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695C9C" w14:paraId="55B6363F" w14:textId="77777777" w:rsidTr="00695C9C">
        <w:trPr>
          <w:trHeight w:val="720"/>
        </w:trPr>
        <w:tc>
          <w:tcPr>
            <w:tcW w:w="5922" w:type="dxa"/>
            <w:gridSpan w:val="2"/>
            <w:tcBorders>
              <w:top w:val="nil"/>
              <w:left w:val="nil"/>
              <w:bottom w:val="single" w:sz="18" w:space="0" w:color="auto"/>
              <w:right w:val="nil"/>
            </w:tcBorders>
            <w:hideMark/>
          </w:tcPr>
          <w:p w14:paraId="473043EB" w14:textId="77777777" w:rsidR="00695C9C" w:rsidRDefault="00695C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1AA7540" w14:textId="77777777" w:rsidR="00695C9C" w:rsidRDefault="00695C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2360DACA" w14:textId="77777777" w:rsidR="00695C9C" w:rsidRDefault="00695C9C">
            <w:pPr>
              <w:tabs>
                <w:tab w:val="left" w:pos="3010"/>
              </w:tabs>
              <w:jc w:val="center"/>
              <w:rPr>
                <w:sz w:val="52"/>
                <w:szCs w:val="52"/>
              </w:rPr>
            </w:pPr>
            <w:r>
              <w:rPr>
                <w:rFonts w:ascii="Univers Bold" w:hAnsi="Univers Bold"/>
                <w:b/>
                <w:sz w:val="72"/>
              </w:rPr>
              <w:t xml:space="preserve">          EP</w:t>
            </w:r>
          </w:p>
        </w:tc>
      </w:tr>
      <w:tr w:rsidR="00695C9C" w14:paraId="0BCBECEF" w14:textId="77777777" w:rsidTr="00695C9C">
        <w:trPr>
          <w:trHeight w:val="2502"/>
        </w:trPr>
        <w:tc>
          <w:tcPr>
            <w:tcW w:w="2052" w:type="dxa"/>
            <w:tcBorders>
              <w:top w:val="nil"/>
              <w:left w:val="nil"/>
              <w:bottom w:val="single" w:sz="36" w:space="0" w:color="auto"/>
              <w:right w:val="nil"/>
            </w:tcBorders>
            <w:hideMark/>
          </w:tcPr>
          <w:p w14:paraId="4A4BF7F0" w14:textId="4EF855A1" w:rsidR="00695C9C" w:rsidRDefault="00695C9C">
            <w:pPr>
              <w:spacing w:before="120"/>
            </w:pPr>
            <w:r>
              <w:rPr>
                <w:noProof/>
              </w:rPr>
              <w:drawing>
                <wp:anchor distT="0" distB="0" distL="114300" distR="114300" simplePos="0" relativeHeight="251659264" behindDoc="0" locked="0" layoutInCell="1" allowOverlap="1" wp14:anchorId="1D267527" wp14:editId="46B33E0D">
                  <wp:simplePos x="0" y="0"/>
                  <wp:positionH relativeFrom="column">
                    <wp:posOffset>133985</wp:posOffset>
                  </wp:positionH>
                  <wp:positionV relativeFrom="paragraph">
                    <wp:posOffset>828675</wp:posOffset>
                  </wp:positionV>
                  <wp:extent cx="672465" cy="660400"/>
                  <wp:effectExtent l="0" t="0" r="0" b="6350"/>
                  <wp:wrapNone/>
                  <wp:docPr id="189889727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67692152" wp14:editId="02BDCECD">
                  <wp:simplePos x="0" y="0"/>
                  <wp:positionH relativeFrom="column">
                    <wp:posOffset>100965</wp:posOffset>
                  </wp:positionH>
                  <wp:positionV relativeFrom="paragraph">
                    <wp:posOffset>111125</wp:posOffset>
                  </wp:positionV>
                  <wp:extent cx="703580" cy="676275"/>
                  <wp:effectExtent l="0" t="0" r="1270" b="9525"/>
                  <wp:wrapNone/>
                  <wp:docPr id="343877553"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F737EFD" w14:textId="77777777" w:rsidR="00695C9C" w:rsidRDefault="00695C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CDB90B7" w14:textId="77777777" w:rsidR="00695C9C" w:rsidRDefault="00695C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E4BB065" w14:textId="77777777" w:rsidR="00695C9C" w:rsidRDefault="00695C9C">
            <w:pPr>
              <w:rPr>
                <w:rFonts w:ascii="Univers" w:hAnsi="Univers"/>
                <w:b/>
                <w:sz w:val="32"/>
              </w:rPr>
            </w:pPr>
            <w:r>
              <w:rPr>
                <w:rFonts w:ascii="Univers" w:hAnsi="Univers"/>
                <w:b/>
                <w:sz w:val="32"/>
              </w:rPr>
              <w:t>Nations Unies pour</w:t>
            </w:r>
          </w:p>
          <w:p w14:paraId="78BAEC87" w14:textId="77777777" w:rsidR="00695C9C" w:rsidRDefault="00695C9C">
            <w:pPr>
              <w:rPr>
                <w:rFonts w:ascii="Univers" w:hAnsi="Univers"/>
                <w:b/>
                <w:sz w:val="32"/>
              </w:rPr>
            </w:pPr>
            <w:proofErr w:type="gramStart"/>
            <w:r>
              <w:rPr>
                <w:rFonts w:ascii="Univers" w:hAnsi="Univers"/>
                <w:b/>
                <w:sz w:val="32"/>
              </w:rPr>
              <w:t>l’environnement</w:t>
            </w:r>
            <w:proofErr w:type="gramEnd"/>
          </w:p>
        </w:tc>
        <w:tc>
          <w:tcPr>
            <w:tcW w:w="3870" w:type="dxa"/>
            <w:tcBorders>
              <w:top w:val="nil"/>
              <w:left w:val="nil"/>
              <w:bottom w:val="single" w:sz="36" w:space="0" w:color="auto"/>
              <w:right w:val="nil"/>
            </w:tcBorders>
          </w:tcPr>
          <w:p w14:paraId="3610EF14" w14:textId="77777777" w:rsidR="00695C9C" w:rsidRDefault="00695C9C">
            <w:pPr>
              <w:rPr>
                <w:lang w:val="fr-FR"/>
              </w:rPr>
            </w:pPr>
          </w:p>
          <w:p w14:paraId="42B0ABCE" w14:textId="77777777" w:rsidR="00695C9C" w:rsidRDefault="00695C9C">
            <w:pPr>
              <w:rPr>
                <w:lang w:val="fr-FR"/>
              </w:rPr>
            </w:pPr>
            <w:proofErr w:type="spellStart"/>
            <w:r>
              <w:rPr>
                <w:lang w:val="fr-FR"/>
              </w:rPr>
              <w:t>Distr</w:t>
            </w:r>
            <w:proofErr w:type="spellEnd"/>
            <w:r>
              <w:rPr>
                <w:lang w:val="fr-FR"/>
              </w:rPr>
              <w:t>.</w:t>
            </w:r>
          </w:p>
          <w:p w14:paraId="0EBBDA00" w14:textId="77777777" w:rsidR="00695C9C" w:rsidRDefault="00695C9C">
            <w:pPr>
              <w:rPr>
                <w:lang w:val="fr-FR"/>
              </w:rPr>
            </w:pPr>
            <w:r>
              <w:rPr>
                <w:lang w:val="fr-FR"/>
              </w:rPr>
              <w:t>GÉNÉRALE</w:t>
            </w:r>
          </w:p>
          <w:p w14:paraId="57A6F582" w14:textId="77777777" w:rsidR="00695C9C" w:rsidRDefault="00695C9C">
            <w:pPr>
              <w:rPr>
                <w:lang w:val="fr-FR"/>
              </w:rPr>
            </w:pPr>
          </w:p>
          <w:p w14:paraId="3B256F51" w14:textId="7A43FC45" w:rsidR="00695C9C" w:rsidRDefault="00695C9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/95/53</w:t>
            </w:r>
            <w:r>
              <w:fldChar w:fldCharType="end"/>
            </w:r>
          </w:p>
          <w:p w14:paraId="262C5044" w14:textId="528BE87E" w:rsidR="00695C9C" w:rsidRDefault="00695C9C">
            <w:r>
              <w:t>16 novembre 2024</w:t>
            </w:r>
          </w:p>
          <w:p w14:paraId="0D101261" w14:textId="77777777" w:rsidR="00695C9C" w:rsidRDefault="00695C9C">
            <w:pPr>
              <w:rPr>
                <w:caps/>
                <w:lang w:val="fr-FR"/>
              </w:rPr>
            </w:pPr>
            <w:r>
              <w:rPr>
                <w:caps/>
              </w:rPr>
              <w:br/>
            </w:r>
            <w:r>
              <w:rPr>
                <w:caps/>
                <w:lang w:val="fr-FR"/>
              </w:rPr>
              <w:t>FRANÇAIS</w:t>
            </w:r>
          </w:p>
          <w:p w14:paraId="3C9DC644" w14:textId="30C561CB" w:rsidR="00695C9C" w:rsidRDefault="00695C9C">
            <w:r>
              <w:t>ORIGINAL</w:t>
            </w:r>
            <w:r w:rsidR="00FA0338">
              <w:t> </w:t>
            </w:r>
            <w:r>
              <w:t>: ANGLAIS</w:t>
            </w:r>
          </w:p>
        </w:tc>
      </w:tr>
    </w:tbl>
    <w:p w14:paraId="294D3237" w14:textId="77777777" w:rsidR="00695C9C" w:rsidRDefault="00695C9C" w:rsidP="00695C9C">
      <w:pPr>
        <w:jc w:val="left"/>
      </w:pPr>
      <w:r>
        <w:t xml:space="preserve">COMITÉ EXÉCUTIF </w:t>
      </w:r>
      <w:r>
        <w:br/>
        <w:t xml:space="preserve">  DU FONDS MULTILATÉRAL AUX FINS </w:t>
      </w:r>
      <w:r>
        <w:br/>
        <w:t xml:space="preserve">  D’APPLICATION DU PROTOCOLE DE MONTRÉAL</w:t>
      </w:r>
      <w:r>
        <w:br/>
        <w:t>Quatre-vingt-quinzième réunion</w:t>
      </w:r>
    </w:p>
    <w:p w14:paraId="499DA4AF" w14:textId="0EF3CDA6" w:rsidR="005C49AC" w:rsidRPr="00065F6D" w:rsidRDefault="005C49AC" w:rsidP="00FC1E29">
      <w:pPr>
        <w:jc w:val="left"/>
      </w:pPr>
      <w:r>
        <w:t>Montréal, 4-8 décembre 2024</w:t>
      </w:r>
    </w:p>
    <w:p w14:paraId="3FC3A444" w14:textId="16047441" w:rsidR="005C49AC" w:rsidRPr="00065F6D" w:rsidRDefault="005C49AC" w:rsidP="00FC1E29">
      <w:pPr>
        <w:jc w:val="left"/>
      </w:pPr>
      <w:r>
        <w:t>Point 9(c) de l’ordre du jour provisoire</w:t>
      </w:r>
      <w:r w:rsidRPr="00065F6D">
        <w:rPr>
          <w:rStyle w:val="Rimandonotaapidipagina"/>
          <w:lang w:val="en-GB"/>
        </w:rPr>
        <w:footnoteReference w:id="1"/>
      </w:r>
    </w:p>
    <w:p w14:paraId="4F81A49C" w14:textId="77777777" w:rsidR="00EA598B" w:rsidRPr="000F59B8" w:rsidRDefault="00EA598B" w:rsidP="00FC1E29">
      <w:pPr>
        <w:jc w:val="left"/>
      </w:pPr>
    </w:p>
    <w:p w14:paraId="3B94E1B1" w14:textId="77777777" w:rsidR="00EA598B" w:rsidRPr="000F59B8" w:rsidRDefault="00EA598B" w:rsidP="00FC1E29">
      <w:pPr>
        <w:jc w:val="left"/>
      </w:pPr>
    </w:p>
    <w:p w14:paraId="59A32827" w14:textId="77777777" w:rsidR="00EA598B" w:rsidRPr="000F59B8" w:rsidRDefault="00EA598B" w:rsidP="00FC1E29"/>
    <w:p w14:paraId="63484CBD" w14:textId="77777777" w:rsidR="000C7DD8" w:rsidRPr="000F59B8" w:rsidRDefault="000C7DD8" w:rsidP="00FC1E29"/>
    <w:p w14:paraId="67B4D011" w14:textId="77777777" w:rsidR="00EA598B" w:rsidRPr="00065F6D" w:rsidRDefault="00EA598B" w:rsidP="00FC1E29">
      <w:pPr>
        <w:jc w:val="center"/>
        <w:rPr>
          <w:b/>
        </w:rPr>
      </w:pPr>
      <w:r>
        <w:rPr>
          <w:b/>
        </w:rPr>
        <w:t>PROPOSITION DE PROJET : GÉORGIE</w:t>
      </w:r>
    </w:p>
    <w:p w14:paraId="1E9EFB1D" w14:textId="77777777" w:rsidR="00EA598B" w:rsidRPr="0068317F" w:rsidRDefault="00EA598B" w:rsidP="00FC1E29">
      <w:pPr>
        <w:rPr>
          <w:lang w:val="fr-CH"/>
        </w:rPr>
      </w:pPr>
    </w:p>
    <w:p w14:paraId="54144054" w14:textId="5CF9C0A7" w:rsidR="00EA598B" w:rsidRPr="00065F6D" w:rsidRDefault="004021F7" w:rsidP="00FC1E29">
      <w:pPr>
        <w:tabs>
          <w:tab w:val="left" w:pos="7200"/>
        </w:tabs>
      </w:pPr>
      <w:r>
        <w:tab/>
      </w:r>
    </w:p>
    <w:p w14:paraId="27F4CA95" w14:textId="77777777" w:rsidR="00EA598B" w:rsidRPr="00065F6D" w:rsidRDefault="00EA598B" w:rsidP="00FC1E29">
      <w:pPr>
        <w:ind w:firstLine="720"/>
      </w:pPr>
      <w:r>
        <w:t>Le présent document contient les commentaires et la recommandation du Secrétariat du Fonds sur la proposition de projet suivante :</w:t>
      </w:r>
    </w:p>
    <w:p w14:paraId="750C7777" w14:textId="77777777" w:rsidR="00EA598B" w:rsidRPr="000F59B8" w:rsidRDefault="00EA598B" w:rsidP="00FC1E29"/>
    <w:p w14:paraId="7A4FF90D" w14:textId="77777777" w:rsidR="00B576E7" w:rsidRPr="00065F6D" w:rsidRDefault="00B576E7" w:rsidP="00FC1E29">
      <w:pPr>
        <w:rPr>
          <w:u w:val="single"/>
        </w:rPr>
      </w:pPr>
      <w:r>
        <w:rPr>
          <w:u w:val="single"/>
        </w:rPr>
        <w:t>Élimination</w:t>
      </w:r>
    </w:p>
    <w:p w14:paraId="0AE84EEF" w14:textId="77777777" w:rsidR="00FE0C84" w:rsidRPr="00065F6D" w:rsidRDefault="00FE0C84" w:rsidP="00FC1E29">
      <w:pPr>
        <w:rPr>
          <w:u w:val="single"/>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B576E7" w:rsidRPr="00C36634" w14:paraId="3D3AA14A" w14:textId="77777777" w:rsidTr="00B576E7">
        <w:tc>
          <w:tcPr>
            <w:tcW w:w="5589" w:type="dxa"/>
            <w:hideMark/>
          </w:tcPr>
          <w:p w14:paraId="69126C6B" w14:textId="77777777" w:rsidR="00B576E7" w:rsidRPr="00065F6D" w:rsidRDefault="00B576E7" w:rsidP="00EC56E4">
            <w:pPr>
              <w:numPr>
                <w:ilvl w:val="0"/>
                <w:numId w:val="24"/>
              </w:numPr>
              <w:ind w:hanging="824"/>
            </w:pPr>
            <w:r>
              <w:t>Plan de gestion de l’élimination des HCFC (phase II, deuxième tranche)</w:t>
            </w:r>
          </w:p>
        </w:tc>
        <w:tc>
          <w:tcPr>
            <w:tcW w:w="1968" w:type="dxa"/>
            <w:hideMark/>
          </w:tcPr>
          <w:p w14:paraId="02D63917" w14:textId="6D9324BC" w:rsidR="00B576E7" w:rsidRPr="00065F6D" w:rsidRDefault="00B576E7" w:rsidP="00FC1E29">
            <w:pPr>
              <w:jc w:val="center"/>
            </w:pPr>
            <w:r>
              <w:t>PNUD</w:t>
            </w:r>
          </w:p>
        </w:tc>
        <w:tc>
          <w:tcPr>
            <w:tcW w:w="1803" w:type="dxa"/>
            <w:hideMark/>
          </w:tcPr>
          <w:p w14:paraId="6F58D044" w14:textId="6C6A7F6B" w:rsidR="00B576E7" w:rsidRPr="00C36634" w:rsidRDefault="00B576E7" w:rsidP="00EC56E4">
            <w:pPr>
              <w:jc w:val="center"/>
            </w:pPr>
            <w:r>
              <w:t>Pour approbation globale</w:t>
            </w:r>
          </w:p>
        </w:tc>
      </w:tr>
    </w:tbl>
    <w:p w14:paraId="0D4A6389" w14:textId="77777777" w:rsidR="00EA598B" w:rsidRPr="00065F6D" w:rsidRDefault="00EA598B" w:rsidP="00FC1E29">
      <w:pPr>
        <w:rPr>
          <w:lang w:val="en-GB"/>
        </w:rPr>
      </w:pPr>
    </w:p>
    <w:p w14:paraId="79D93577" w14:textId="77777777" w:rsidR="00EA598B" w:rsidRPr="00065F6D" w:rsidRDefault="00EA598B" w:rsidP="00FC1E29">
      <w:pPr>
        <w:rPr>
          <w:lang w:val="en-GB"/>
        </w:rPr>
      </w:pPr>
    </w:p>
    <w:p w14:paraId="1CE50700" w14:textId="77777777" w:rsidR="00EA598B" w:rsidRPr="00065F6D" w:rsidRDefault="00EA598B" w:rsidP="00FC1E29">
      <w:pPr>
        <w:rPr>
          <w:lang w:val="en-GB"/>
        </w:rPr>
      </w:pPr>
    </w:p>
    <w:p w14:paraId="194A4CB7" w14:textId="77777777" w:rsidR="00EA598B" w:rsidRPr="00065F6D" w:rsidRDefault="00EA598B" w:rsidP="00FC1E29">
      <w:r>
        <w:br w:type="page"/>
      </w:r>
    </w:p>
    <w:p w14:paraId="526DC76B" w14:textId="77777777" w:rsidR="00EA598B" w:rsidRPr="00065F6D" w:rsidRDefault="00EA598B" w:rsidP="00FC1E29">
      <w:pPr>
        <w:spacing w:after="120"/>
        <w:jc w:val="center"/>
        <w:rPr>
          <w:b/>
        </w:rPr>
      </w:pPr>
      <w:r>
        <w:rPr>
          <w:b/>
        </w:rPr>
        <w:lastRenderedPageBreak/>
        <w:t>FICHE D’ÉVALUATION DU PROJET – PROJETS PLURIANNUELS</w:t>
      </w:r>
    </w:p>
    <w:p w14:paraId="588843E3" w14:textId="77777777" w:rsidR="00EA598B" w:rsidRPr="00065F6D" w:rsidRDefault="00F85B60" w:rsidP="00FC1E29">
      <w:pPr>
        <w:spacing w:after="200"/>
        <w:jc w:val="center"/>
        <w:rPr>
          <w:b/>
          <w:bCs/>
        </w:rPr>
      </w:pPr>
      <w:r>
        <w:rPr>
          <w:b/>
          <w:bCs/>
        </w:rPr>
        <w:t>Géorgie</w:t>
      </w:r>
    </w:p>
    <w:tbl>
      <w:tblPr>
        <w:tblStyle w:val="Grigliatabella"/>
        <w:tblW w:w="11289" w:type="dxa"/>
        <w:jc w:val="center"/>
        <w:tblLook w:val="04A0" w:firstRow="1" w:lastRow="0" w:firstColumn="1" w:lastColumn="0" w:noHBand="0" w:noVBand="1"/>
      </w:tblPr>
      <w:tblGrid>
        <w:gridCol w:w="3823"/>
        <w:gridCol w:w="2268"/>
        <w:gridCol w:w="2409"/>
        <w:gridCol w:w="2789"/>
      </w:tblGrid>
      <w:tr w:rsidR="00EA598B" w:rsidRPr="00065F6D" w14:paraId="4137B4B2" w14:textId="77777777" w:rsidTr="00D04C7F">
        <w:trPr>
          <w:trHeight w:val="240"/>
          <w:jc w:val="center"/>
        </w:trPr>
        <w:tc>
          <w:tcPr>
            <w:tcW w:w="3823" w:type="dxa"/>
            <w:hideMark/>
          </w:tcPr>
          <w:p w14:paraId="7EA14A81" w14:textId="77777777" w:rsidR="00EA598B" w:rsidRPr="00065F6D" w:rsidRDefault="00EA598B" w:rsidP="00FC1E29">
            <w:pPr>
              <w:jc w:val="left"/>
              <w:rPr>
                <w:b/>
                <w:sz w:val="20"/>
                <w:szCs w:val="20"/>
              </w:rPr>
            </w:pPr>
            <w:r>
              <w:rPr>
                <w:b/>
                <w:sz w:val="20"/>
                <w:szCs w:val="20"/>
              </w:rPr>
              <w:t>(I) TITRE DU PROJET</w:t>
            </w:r>
          </w:p>
        </w:tc>
        <w:tc>
          <w:tcPr>
            <w:tcW w:w="2268" w:type="dxa"/>
            <w:hideMark/>
          </w:tcPr>
          <w:p w14:paraId="0CB43E69" w14:textId="77777777" w:rsidR="00EA598B" w:rsidRPr="00065F6D" w:rsidRDefault="00EA598B" w:rsidP="00FC1E29">
            <w:pPr>
              <w:jc w:val="center"/>
              <w:rPr>
                <w:b/>
                <w:sz w:val="20"/>
                <w:szCs w:val="20"/>
              </w:rPr>
            </w:pPr>
            <w:r>
              <w:rPr>
                <w:b/>
                <w:sz w:val="20"/>
                <w:szCs w:val="20"/>
              </w:rPr>
              <w:t>AGENCE</w:t>
            </w:r>
          </w:p>
        </w:tc>
        <w:tc>
          <w:tcPr>
            <w:tcW w:w="2409" w:type="dxa"/>
            <w:hideMark/>
          </w:tcPr>
          <w:p w14:paraId="79CB0C3F" w14:textId="77777777" w:rsidR="00EA598B" w:rsidRPr="00065F6D" w:rsidRDefault="00EA598B" w:rsidP="00FC1E29">
            <w:pPr>
              <w:jc w:val="center"/>
              <w:rPr>
                <w:b/>
                <w:sz w:val="20"/>
                <w:szCs w:val="20"/>
              </w:rPr>
            </w:pPr>
            <w:r>
              <w:rPr>
                <w:b/>
                <w:sz w:val="20"/>
                <w:szCs w:val="20"/>
              </w:rPr>
              <w:t>RÉUNION APPROUVÉE</w:t>
            </w:r>
          </w:p>
        </w:tc>
        <w:tc>
          <w:tcPr>
            <w:tcW w:w="2789" w:type="dxa"/>
            <w:hideMark/>
          </w:tcPr>
          <w:p w14:paraId="7DA1BF60" w14:textId="77777777" w:rsidR="00EA598B" w:rsidRPr="00065F6D" w:rsidRDefault="00EA598B" w:rsidP="00FC1E29">
            <w:pPr>
              <w:jc w:val="center"/>
              <w:rPr>
                <w:b/>
                <w:sz w:val="20"/>
                <w:szCs w:val="20"/>
              </w:rPr>
            </w:pPr>
            <w:r>
              <w:rPr>
                <w:b/>
                <w:sz w:val="20"/>
                <w:szCs w:val="20"/>
              </w:rPr>
              <w:t>MESURE DE RÉGLEMENTATION</w:t>
            </w:r>
          </w:p>
        </w:tc>
      </w:tr>
      <w:tr w:rsidR="00EA598B" w:rsidRPr="00065F6D" w14:paraId="53041A77" w14:textId="77777777" w:rsidTr="00D04C7F">
        <w:trPr>
          <w:trHeight w:val="240"/>
          <w:jc w:val="center"/>
        </w:trPr>
        <w:tc>
          <w:tcPr>
            <w:tcW w:w="3823" w:type="dxa"/>
            <w:vAlign w:val="center"/>
            <w:hideMark/>
          </w:tcPr>
          <w:p w14:paraId="111BDD05" w14:textId="77777777" w:rsidR="00EA598B" w:rsidRPr="00065F6D" w:rsidRDefault="00EA598B" w:rsidP="00FC1E29">
            <w:pPr>
              <w:jc w:val="center"/>
              <w:rPr>
                <w:sz w:val="20"/>
                <w:szCs w:val="20"/>
              </w:rPr>
            </w:pPr>
            <w:r>
              <w:rPr>
                <w:sz w:val="20"/>
                <w:szCs w:val="20"/>
              </w:rPr>
              <w:t>Plan de l’élimination des HCFC (phase II)</w:t>
            </w:r>
          </w:p>
        </w:tc>
        <w:tc>
          <w:tcPr>
            <w:tcW w:w="2268" w:type="dxa"/>
            <w:vAlign w:val="center"/>
          </w:tcPr>
          <w:p w14:paraId="74FABFD0" w14:textId="77777777" w:rsidR="00EA598B" w:rsidRPr="00065F6D" w:rsidRDefault="00F67A00" w:rsidP="00FC1E29">
            <w:pPr>
              <w:jc w:val="center"/>
              <w:rPr>
                <w:sz w:val="20"/>
                <w:szCs w:val="20"/>
              </w:rPr>
            </w:pPr>
            <w:r>
              <w:rPr>
                <w:color w:val="000000" w:themeColor="text1"/>
                <w:sz w:val="20"/>
                <w:szCs w:val="20"/>
              </w:rPr>
              <w:t>PNUD (principale)</w:t>
            </w:r>
          </w:p>
        </w:tc>
        <w:tc>
          <w:tcPr>
            <w:tcW w:w="2409" w:type="dxa"/>
            <w:vAlign w:val="center"/>
          </w:tcPr>
          <w:p w14:paraId="529D74D7" w14:textId="77777777" w:rsidR="00EA598B" w:rsidRPr="00065F6D" w:rsidRDefault="00F67A00" w:rsidP="00FC1E29">
            <w:pPr>
              <w:jc w:val="center"/>
              <w:rPr>
                <w:sz w:val="20"/>
                <w:szCs w:val="20"/>
              </w:rPr>
            </w:pPr>
            <w:r>
              <w:rPr>
                <w:sz w:val="20"/>
                <w:szCs w:val="20"/>
              </w:rPr>
              <w:t>88</w:t>
            </w:r>
            <w:r>
              <w:rPr>
                <w:sz w:val="20"/>
                <w:szCs w:val="20"/>
                <w:vertAlign w:val="superscript"/>
              </w:rPr>
              <w:t>e</w:t>
            </w:r>
          </w:p>
        </w:tc>
        <w:tc>
          <w:tcPr>
            <w:tcW w:w="2789" w:type="dxa"/>
            <w:vAlign w:val="center"/>
          </w:tcPr>
          <w:p w14:paraId="7D9833B1" w14:textId="77777777" w:rsidR="00EA598B" w:rsidRPr="00065F6D" w:rsidRDefault="00F67A00" w:rsidP="00FC1E29">
            <w:pPr>
              <w:jc w:val="center"/>
              <w:rPr>
                <w:sz w:val="20"/>
                <w:szCs w:val="20"/>
              </w:rPr>
            </w:pPr>
            <w:r>
              <w:rPr>
                <w:sz w:val="20"/>
                <w:szCs w:val="20"/>
              </w:rPr>
              <w:t>Élimination à 100 % d’ici 2030</w:t>
            </w:r>
          </w:p>
        </w:tc>
      </w:tr>
    </w:tbl>
    <w:p w14:paraId="5F782929" w14:textId="77777777" w:rsidR="00EA598B" w:rsidRPr="00065F6D" w:rsidRDefault="00EA598B" w:rsidP="00FC1E29">
      <w:pPr>
        <w:jc w:val="center"/>
        <w:rPr>
          <w:sz w:val="18"/>
          <w:szCs w:val="18"/>
          <w:lang w:val="en-GB"/>
        </w:rPr>
      </w:pPr>
    </w:p>
    <w:tbl>
      <w:tblPr>
        <w:tblStyle w:val="Grigliatabella"/>
        <w:tblW w:w="11281" w:type="dxa"/>
        <w:jc w:val="center"/>
        <w:tblLook w:val="04A0" w:firstRow="1" w:lastRow="0" w:firstColumn="1" w:lastColumn="0" w:noHBand="0" w:noVBand="1"/>
      </w:tblPr>
      <w:tblGrid>
        <w:gridCol w:w="6481"/>
        <w:gridCol w:w="2400"/>
        <w:gridCol w:w="2400"/>
      </w:tblGrid>
      <w:tr w:rsidR="00EA598B" w:rsidRPr="00065F6D" w14:paraId="0DD06840" w14:textId="77777777" w:rsidTr="00D04C7F">
        <w:trPr>
          <w:trHeight w:val="43"/>
          <w:jc w:val="center"/>
        </w:trPr>
        <w:tc>
          <w:tcPr>
            <w:tcW w:w="6481" w:type="dxa"/>
            <w:hideMark/>
          </w:tcPr>
          <w:p w14:paraId="1FCFF33F" w14:textId="558AEC7E" w:rsidR="00EA598B" w:rsidRPr="00065F6D" w:rsidRDefault="00EA598B" w:rsidP="00FC1E29">
            <w:pPr>
              <w:jc w:val="left"/>
              <w:rPr>
                <w:b/>
                <w:sz w:val="20"/>
                <w:szCs w:val="20"/>
              </w:rPr>
            </w:pPr>
            <w:r>
              <w:rPr>
                <w:b/>
                <w:sz w:val="20"/>
                <w:szCs w:val="20"/>
              </w:rPr>
              <w:t>(II) DERNIÈRES DONNÉES COMMUNIQUÉES EN VERTU DE L’ARTICLE</w:t>
            </w:r>
            <w:r w:rsidR="00086A56">
              <w:rPr>
                <w:b/>
                <w:sz w:val="20"/>
                <w:szCs w:val="20"/>
              </w:rPr>
              <w:t> </w:t>
            </w:r>
            <w:r>
              <w:rPr>
                <w:b/>
                <w:sz w:val="20"/>
                <w:szCs w:val="20"/>
              </w:rPr>
              <w:t>7 (Annexe</w:t>
            </w:r>
            <w:r w:rsidR="00086A56">
              <w:rPr>
                <w:b/>
                <w:sz w:val="20"/>
                <w:szCs w:val="20"/>
              </w:rPr>
              <w:t> </w:t>
            </w:r>
            <w:r>
              <w:rPr>
                <w:b/>
                <w:sz w:val="20"/>
                <w:szCs w:val="20"/>
              </w:rPr>
              <w:t>C, Groupe</w:t>
            </w:r>
            <w:r w:rsidR="00086A56">
              <w:rPr>
                <w:b/>
                <w:sz w:val="20"/>
                <w:szCs w:val="20"/>
              </w:rPr>
              <w:t> </w:t>
            </w:r>
            <w:r>
              <w:rPr>
                <w:b/>
                <w:sz w:val="20"/>
                <w:szCs w:val="20"/>
              </w:rPr>
              <w:t>l)</w:t>
            </w:r>
          </w:p>
        </w:tc>
        <w:tc>
          <w:tcPr>
            <w:tcW w:w="2400" w:type="dxa"/>
            <w:hideMark/>
          </w:tcPr>
          <w:p w14:paraId="07B37A34" w14:textId="77777777" w:rsidR="00EA598B" w:rsidRPr="00065F6D" w:rsidRDefault="00EA598B" w:rsidP="00FC1E29">
            <w:pPr>
              <w:jc w:val="center"/>
              <w:rPr>
                <w:sz w:val="20"/>
                <w:szCs w:val="20"/>
              </w:rPr>
            </w:pPr>
            <w:r>
              <w:rPr>
                <w:sz w:val="20"/>
                <w:szCs w:val="20"/>
              </w:rPr>
              <w:t>Année : 2023</w:t>
            </w:r>
          </w:p>
        </w:tc>
        <w:tc>
          <w:tcPr>
            <w:tcW w:w="2400" w:type="dxa"/>
            <w:hideMark/>
          </w:tcPr>
          <w:p w14:paraId="0B63C6DB" w14:textId="6371FCF1" w:rsidR="00EA598B" w:rsidRPr="00065F6D" w:rsidRDefault="00EA598B" w:rsidP="00FC1E29">
            <w:pPr>
              <w:jc w:val="right"/>
              <w:rPr>
                <w:sz w:val="20"/>
                <w:szCs w:val="20"/>
              </w:rPr>
            </w:pPr>
            <w:r>
              <w:rPr>
                <w:color w:val="000000" w:themeColor="text1"/>
                <w:sz w:val="20"/>
                <w:szCs w:val="20"/>
              </w:rPr>
              <w:t>0,86</w:t>
            </w:r>
            <w:r>
              <w:rPr>
                <w:sz w:val="20"/>
                <w:szCs w:val="20"/>
              </w:rPr>
              <w:t> tonne PAO</w:t>
            </w:r>
          </w:p>
        </w:tc>
      </w:tr>
    </w:tbl>
    <w:p w14:paraId="0F3C0491" w14:textId="77777777" w:rsidR="00EA598B" w:rsidRPr="00065F6D" w:rsidRDefault="00EA598B" w:rsidP="00FC1E29">
      <w:pPr>
        <w:jc w:val="center"/>
        <w:rPr>
          <w:sz w:val="18"/>
          <w:szCs w:val="18"/>
          <w:lang w:val="en-GB"/>
        </w:rPr>
      </w:pPr>
    </w:p>
    <w:tbl>
      <w:tblPr>
        <w:tblStyle w:val="Grigliatabella"/>
        <w:tblW w:w="11286" w:type="dxa"/>
        <w:jc w:val="center"/>
        <w:tblLayout w:type="fixed"/>
        <w:tblLook w:val="04A0" w:firstRow="1" w:lastRow="0" w:firstColumn="1" w:lastColumn="0" w:noHBand="0" w:noVBand="1"/>
      </w:tblPr>
      <w:tblGrid>
        <w:gridCol w:w="1134"/>
        <w:gridCol w:w="851"/>
        <w:gridCol w:w="992"/>
        <w:gridCol w:w="1134"/>
        <w:gridCol w:w="1134"/>
        <w:gridCol w:w="993"/>
        <w:gridCol w:w="992"/>
        <w:gridCol w:w="1417"/>
        <w:gridCol w:w="1134"/>
        <w:gridCol w:w="1505"/>
      </w:tblGrid>
      <w:tr w:rsidR="00EA598B" w:rsidRPr="00065F6D" w14:paraId="48F1B2E9" w14:textId="77777777" w:rsidTr="00D04C7F">
        <w:trPr>
          <w:trHeight w:val="249"/>
          <w:jc w:val="center"/>
        </w:trPr>
        <w:tc>
          <w:tcPr>
            <w:tcW w:w="8647" w:type="dxa"/>
            <w:gridSpan w:val="8"/>
            <w:hideMark/>
          </w:tcPr>
          <w:p w14:paraId="0C87F3B0" w14:textId="77777777" w:rsidR="00EA598B" w:rsidRPr="00065F6D" w:rsidRDefault="00EA598B" w:rsidP="00FC1E29">
            <w:pPr>
              <w:jc w:val="left"/>
              <w:rPr>
                <w:b/>
                <w:sz w:val="20"/>
                <w:szCs w:val="20"/>
              </w:rPr>
            </w:pPr>
            <w:r>
              <w:rPr>
                <w:b/>
                <w:sz w:val="20"/>
                <w:szCs w:val="20"/>
              </w:rPr>
              <w:t>(III) DERNIÈRES DONNÉES SECTORIELLES DU PROGRAMME DU PAYS (tonnes PAO)</w:t>
            </w:r>
          </w:p>
        </w:tc>
        <w:tc>
          <w:tcPr>
            <w:tcW w:w="2639" w:type="dxa"/>
            <w:gridSpan w:val="2"/>
            <w:hideMark/>
          </w:tcPr>
          <w:p w14:paraId="569C6594" w14:textId="4E38CAEF" w:rsidR="00EA598B" w:rsidRPr="00065F6D" w:rsidRDefault="00EA598B" w:rsidP="00FC1E29">
            <w:pPr>
              <w:jc w:val="right"/>
              <w:rPr>
                <w:b/>
                <w:sz w:val="20"/>
                <w:szCs w:val="20"/>
              </w:rPr>
            </w:pPr>
            <w:r>
              <w:rPr>
                <w:b/>
                <w:sz w:val="20"/>
                <w:szCs w:val="20"/>
              </w:rPr>
              <w:t xml:space="preserve">Année : </w:t>
            </w:r>
            <w:r>
              <w:rPr>
                <w:b/>
                <w:bCs/>
                <w:sz w:val="20"/>
                <w:szCs w:val="20"/>
              </w:rPr>
              <w:t>2023</w:t>
            </w:r>
          </w:p>
        </w:tc>
      </w:tr>
      <w:tr w:rsidR="00EA598B" w:rsidRPr="00065F6D" w14:paraId="4ADC63DE" w14:textId="77777777" w:rsidTr="00D04C7F">
        <w:trPr>
          <w:trHeight w:val="249"/>
          <w:jc w:val="center"/>
        </w:trPr>
        <w:tc>
          <w:tcPr>
            <w:tcW w:w="1134" w:type="dxa"/>
            <w:vAlign w:val="center"/>
            <w:hideMark/>
          </w:tcPr>
          <w:p w14:paraId="7B696DCE" w14:textId="77777777" w:rsidR="00EA598B" w:rsidRPr="00065F6D" w:rsidRDefault="00EA598B" w:rsidP="00FC1E29">
            <w:pPr>
              <w:jc w:val="center"/>
              <w:rPr>
                <w:sz w:val="20"/>
                <w:szCs w:val="20"/>
              </w:rPr>
            </w:pPr>
            <w:r>
              <w:rPr>
                <w:sz w:val="20"/>
                <w:szCs w:val="20"/>
              </w:rPr>
              <w:t>Substance chimique</w:t>
            </w:r>
          </w:p>
        </w:tc>
        <w:tc>
          <w:tcPr>
            <w:tcW w:w="851" w:type="dxa"/>
            <w:vAlign w:val="center"/>
            <w:hideMark/>
          </w:tcPr>
          <w:p w14:paraId="16A67DE3" w14:textId="77777777" w:rsidR="00EA598B" w:rsidRPr="00065F6D" w:rsidRDefault="00EA598B" w:rsidP="00FC1E29">
            <w:pPr>
              <w:jc w:val="center"/>
              <w:rPr>
                <w:sz w:val="20"/>
                <w:szCs w:val="20"/>
              </w:rPr>
            </w:pPr>
            <w:r>
              <w:rPr>
                <w:sz w:val="20"/>
                <w:szCs w:val="20"/>
              </w:rPr>
              <w:t>Aérosol</w:t>
            </w:r>
          </w:p>
        </w:tc>
        <w:tc>
          <w:tcPr>
            <w:tcW w:w="992" w:type="dxa"/>
            <w:vAlign w:val="center"/>
            <w:hideMark/>
          </w:tcPr>
          <w:p w14:paraId="0C381F4C" w14:textId="77777777" w:rsidR="00EA598B" w:rsidRPr="00065F6D" w:rsidRDefault="00EA598B" w:rsidP="00FC1E29">
            <w:pPr>
              <w:jc w:val="center"/>
              <w:rPr>
                <w:sz w:val="20"/>
                <w:szCs w:val="20"/>
              </w:rPr>
            </w:pPr>
            <w:r>
              <w:rPr>
                <w:sz w:val="20"/>
                <w:szCs w:val="20"/>
              </w:rPr>
              <w:t>Mousses</w:t>
            </w:r>
          </w:p>
        </w:tc>
        <w:tc>
          <w:tcPr>
            <w:tcW w:w="1134" w:type="dxa"/>
            <w:vAlign w:val="center"/>
            <w:hideMark/>
          </w:tcPr>
          <w:p w14:paraId="60155211" w14:textId="77777777" w:rsidR="00EA598B" w:rsidRPr="00065F6D" w:rsidRDefault="00EA598B" w:rsidP="00FC1E29">
            <w:pPr>
              <w:jc w:val="center"/>
              <w:rPr>
                <w:sz w:val="20"/>
                <w:szCs w:val="20"/>
              </w:rPr>
            </w:pPr>
            <w:r>
              <w:rPr>
                <w:sz w:val="20"/>
                <w:szCs w:val="20"/>
              </w:rPr>
              <w:t>Lutte contre l’incendie</w:t>
            </w:r>
          </w:p>
        </w:tc>
        <w:tc>
          <w:tcPr>
            <w:tcW w:w="2127" w:type="dxa"/>
            <w:gridSpan w:val="2"/>
            <w:vAlign w:val="center"/>
            <w:hideMark/>
          </w:tcPr>
          <w:p w14:paraId="2CFA3D81" w14:textId="77777777" w:rsidR="00EA598B" w:rsidRPr="00065F6D" w:rsidRDefault="00EA598B" w:rsidP="00FC1E29">
            <w:pPr>
              <w:jc w:val="center"/>
              <w:rPr>
                <w:sz w:val="20"/>
                <w:szCs w:val="20"/>
              </w:rPr>
            </w:pPr>
            <w:r>
              <w:rPr>
                <w:sz w:val="20"/>
                <w:szCs w:val="20"/>
              </w:rPr>
              <w:t>Réfrigération</w:t>
            </w:r>
          </w:p>
        </w:tc>
        <w:tc>
          <w:tcPr>
            <w:tcW w:w="992" w:type="dxa"/>
            <w:vAlign w:val="center"/>
            <w:hideMark/>
          </w:tcPr>
          <w:p w14:paraId="171643D9" w14:textId="77777777" w:rsidR="00EA598B" w:rsidRPr="00065F6D" w:rsidRDefault="00EA598B" w:rsidP="00FC1E29">
            <w:pPr>
              <w:jc w:val="center"/>
              <w:rPr>
                <w:sz w:val="20"/>
                <w:szCs w:val="20"/>
              </w:rPr>
            </w:pPr>
            <w:r>
              <w:rPr>
                <w:sz w:val="20"/>
                <w:szCs w:val="20"/>
              </w:rPr>
              <w:t>Solvants</w:t>
            </w:r>
          </w:p>
        </w:tc>
        <w:tc>
          <w:tcPr>
            <w:tcW w:w="1417" w:type="dxa"/>
            <w:vAlign w:val="center"/>
            <w:hideMark/>
          </w:tcPr>
          <w:p w14:paraId="4C35A855" w14:textId="77777777" w:rsidR="00EA598B" w:rsidRPr="00065F6D" w:rsidRDefault="00EA598B" w:rsidP="00FC1E29">
            <w:pPr>
              <w:jc w:val="center"/>
              <w:rPr>
                <w:sz w:val="20"/>
                <w:szCs w:val="20"/>
              </w:rPr>
            </w:pPr>
            <w:r>
              <w:rPr>
                <w:sz w:val="20"/>
                <w:szCs w:val="20"/>
              </w:rPr>
              <w:t>Agents de transformation</w:t>
            </w:r>
          </w:p>
        </w:tc>
        <w:tc>
          <w:tcPr>
            <w:tcW w:w="1134" w:type="dxa"/>
            <w:vAlign w:val="center"/>
            <w:hideMark/>
          </w:tcPr>
          <w:p w14:paraId="4187B02D" w14:textId="77777777" w:rsidR="00EA598B" w:rsidRPr="00065F6D" w:rsidRDefault="00EA598B" w:rsidP="00FC1E29">
            <w:pPr>
              <w:jc w:val="center"/>
              <w:rPr>
                <w:sz w:val="20"/>
                <w:szCs w:val="20"/>
              </w:rPr>
            </w:pPr>
            <w:r>
              <w:rPr>
                <w:sz w:val="20"/>
                <w:szCs w:val="20"/>
              </w:rPr>
              <w:t>Utilisation en laboratoire</w:t>
            </w:r>
          </w:p>
        </w:tc>
        <w:tc>
          <w:tcPr>
            <w:tcW w:w="1505" w:type="dxa"/>
            <w:vAlign w:val="center"/>
            <w:hideMark/>
          </w:tcPr>
          <w:p w14:paraId="0D7E8C63" w14:textId="77777777" w:rsidR="00EA598B" w:rsidRPr="00065F6D" w:rsidRDefault="00EA598B" w:rsidP="00FC1E29">
            <w:pPr>
              <w:jc w:val="center"/>
              <w:rPr>
                <w:sz w:val="20"/>
                <w:szCs w:val="20"/>
              </w:rPr>
            </w:pPr>
            <w:r>
              <w:rPr>
                <w:sz w:val="20"/>
                <w:szCs w:val="20"/>
              </w:rPr>
              <w:t>Consommation totale pour le secteur</w:t>
            </w:r>
          </w:p>
        </w:tc>
      </w:tr>
      <w:tr w:rsidR="00EA598B" w:rsidRPr="00065F6D" w14:paraId="394F5D95" w14:textId="77777777" w:rsidTr="00D04C7F">
        <w:trPr>
          <w:trHeight w:val="249"/>
          <w:jc w:val="center"/>
        </w:trPr>
        <w:tc>
          <w:tcPr>
            <w:tcW w:w="4111" w:type="dxa"/>
            <w:gridSpan w:val="4"/>
            <w:hideMark/>
          </w:tcPr>
          <w:p w14:paraId="03F01471" w14:textId="77777777" w:rsidR="00EA598B" w:rsidRPr="000F59B8" w:rsidRDefault="00EA598B" w:rsidP="00FC1E29">
            <w:pPr>
              <w:jc w:val="center"/>
              <w:rPr>
                <w:sz w:val="20"/>
                <w:szCs w:val="20"/>
              </w:rPr>
            </w:pPr>
          </w:p>
        </w:tc>
        <w:tc>
          <w:tcPr>
            <w:tcW w:w="1134" w:type="dxa"/>
            <w:hideMark/>
          </w:tcPr>
          <w:p w14:paraId="2C4CEFE5" w14:textId="77777777" w:rsidR="00EA598B" w:rsidRPr="00065F6D" w:rsidRDefault="00EA598B" w:rsidP="00FC1E29">
            <w:pPr>
              <w:jc w:val="center"/>
              <w:rPr>
                <w:sz w:val="20"/>
                <w:szCs w:val="20"/>
              </w:rPr>
            </w:pPr>
            <w:r>
              <w:rPr>
                <w:sz w:val="20"/>
                <w:szCs w:val="20"/>
              </w:rPr>
              <w:t>Fabrication</w:t>
            </w:r>
          </w:p>
        </w:tc>
        <w:tc>
          <w:tcPr>
            <w:tcW w:w="993" w:type="dxa"/>
            <w:hideMark/>
          </w:tcPr>
          <w:p w14:paraId="1E9BEA8D" w14:textId="77777777" w:rsidR="00EA598B" w:rsidRPr="00065F6D" w:rsidRDefault="00EA598B" w:rsidP="00FC1E29">
            <w:pPr>
              <w:jc w:val="center"/>
              <w:rPr>
                <w:sz w:val="20"/>
                <w:szCs w:val="20"/>
              </w:rPr>
            </w:pPr>
            <w:r>
              <w:rPr>
                <w:sz w:val="20"/>
                <w:szCs w:val="20"/>
              </w:rPr>
              <w:t>Entretien</w:t>
            </w:r>
          </w:p>
        </w:tc>
        <w:tc>
          <w:tcPr>
            <w:tcW w:w="5048" w:type="dxa"/>
            <w:gridSpan w:val="4"/>
          </w:tcPr>
          <w:p w14:paraId="5E81EC34" w14:textId="77777777" w:rsidR="00EA598B" w:rsidRPr="00065F6D" w:rsidRDefault="00EA598B" w:rsidP="00FC1E29">
            <w:pPr>
              <w:jc w:val="center"/>
              <w:rPr>
                <w:sz w:val="20"/>
                <w:szCs w:val="20"/>
                <w:lang w:val="en-GB"/>
              </w:rPr>
            </w:pPr>
          </w:p>
        </w:tc>
      </w:tr>
      <w:tr w:rsidR="00EA598B" w:rsidRPr="00065F6D" w14:paraId="1563BBFE" w14:textId="77777777" w:rsidTr="00D04C7F">
        <w:trPr>
          <w:trHeight w:val="249"/>
          <w:jc w:val="center"/>
        </w:trPr>
        <w:tc>
          <w:tcPr>
            <w:tcW w:w="1134" w:type="dxa"/>
            <w:hideMark/>
          </w:tcPr>
          <w:p w14:paraId="34C5FD0A" w14:textId="77777777" w:rsidR="00EA598B" w:rsidRPr="00065F6D" w:rsidRDefault="00EA598B" w:rsidP="00FC1E29">
            <w:pPr>
              <w:ind w:left="32"/>
              <w:jc w:val="left"/>
              <w:rPr>
                <w:sz w:val="20"/>
                <w:szCs w:val="20"/>
              </w:rPr>
            </w:pPr>
            <w:r>
              <w:rPr>
                <w:sz w:val="20"/>
                <w:szCs w:val="20"/>
              </w:rPr>
              <w:t>HCFC-22</w:t>
            </w:r>
          </w:p>
        </w:tc>
        <w:tc>
          <w:tcPr>
            <w:tcW w:w="851" w:type="dxa"/>
          </w:tcPr>
          <w:p w14:paraId="2A892F4B" w14:textId="77777777" w:rsidR="00EA598B" w:rsidRPr="00065F6D" w:rsidRDefault="00EA598B" w:rsidP="00FC1E29">
            <w:pPr>
              <w:jc w:val="right"/>
              <w:rPr>
                <w:sz w:val="20"/>
                <w:szCs w:val="20"/>
                <w:lang w:val="en-GB"/>
              </w:rPr>
            </w:pPr>
          </w:p>
        </w:tc>
        <w:tc>
          <w:tcPr>
            <w:tcW w:w="992" w:type="dxa"/>
          </w:tcPr>
          <w:p w14:paraId="6BE80EBC" w14:textId="77777777" w:rsidR="00EA598B" w:rsidRPr="00065F6D" w:rsidRDefault="00EA598B" w:rsidP="00FC1E29">
            <w:pPr>
              <w:jc w:val="right"/>
              <w:rPr>
                <w:sz w:val="20"/>
                <w:szCs w:val="20"/>
                <w:lang w:val="en-GB"/>
              </w:rPr>
            </w:pPr>
          </w:p>
        </w:tc>
        <w:tc>
          <w:tcPr>
            <w:tcW w:w="1134" w:type="dxa"/>
          </w:tcPr>
          <w:p w14:paraId="408A2EDE" w14:textId="77777777" w:rsidR="00EA598B" w:rsidRPr="00065F6D" w:rsidRDefault="00EA598B" w:rsidP="00FC1E29">
            <w:pPr>
              <w:jc w:val="right"/>
              <w:rPr>
                <w:sz w:val="20"/>
                <w:szCs w:val="20"/>
                <w:lang w:val="en-GB"/>
              </w:rPr>
            </w:pPr>
          </w:p>
        </w:tc>
        <w:tc>
          <w:tcPr>
            <w:tcW w:w="1134" w:type="dxa"/>
          </w:tcPr>
          <w:p w14:paraId="1034DC22" w14:textId="77777777" w:rsidR="00EA598B" w:rsidRPr="00065F6D" w:rsidRDefault="00EA598B" w:rsidP="00FC1E29">
            <w:pPr>
              <w:jc w:val="right"/>
              <w:rPr>
                <w:sz w:val="20"/>
                <w:szCs w:val="20"/>
                <w:lang w:val="en-GB"/>
              </w:rPr>
            </w:pPr>
          </w:p>
        </w:tc>
        <w:tc>
          <w:tcPr>
            <w:tcW w:w="993" w:type="dxa"/>
          </w:tcPr>
          <w:p w14:paraId="56EDC3E4" w14:textId="5EF60172" w:rsidR="00EA598B" w:rsidRPr="00065F6D" w:rsidRDefault="003F3C24" w:rsidP="00FC1E29">
            <w:pPr>
              <w:jc w:val="right"/>
              <w:rPr>
                <w:sz w:val="20"/>
                <w:szCs w:val="20"/>
              </w:rPr>
            </w:pPr>
            <w:r>
              <w:rPr>
                <w:sz w:val="20"/>
                <w:szCs w:val="20"/>
              </w:rPr>
              <w:t>0,86</w:t>
            </w:r>
          </w:p>
        </w:tc>
        <w:tc>
          <w:tcPr>
            <w:tcW w:w="992" w:type="dxa"/>
          </w:tcPr>
          <w:p w14:paraId="7A80DCDD" w14:textId="77777777" w:rsidR="00EA598B" w:rsidRPr="00065F6D" w:rsidRDefault="00EA598B" w:rsidP="00FC1E29">
            <w:pPr>
              <w:jc w:val="right"/>
              <w:rPr>
                <w:sz w:val="20"/>
                <w:szCs w:val="20"/>
                <w:lang w:val="en-GB"/>
              </w:rPr>
            </w:pPr>
          </w:p>
        </w:tc>
        <w:tc>
          <w:tcPr>
            <w:tcW w:w="1417" w:type="dxa"/>
          </w:tcPr>
          <w:p w14:paraId="3CA5FEB9" w14:textId="77777777" w:rsidR="00EA598B" w:rsidRPr="00065F6D" w:rsidRDefault="00EA598B" w:rsidP="00FC1E29">
            <w:pPr>
              <w:jc w:val="right"/>
              <w:rPr>
                <w:sz w:val="20"/>
                <w:szCs w:val="20"/>
                <w:lang w:val="en-GB"/>
              </w:rPr>
            </w:pPr>
          </w:p>
        </w:tc>
        <w:tc>
          <w:tcPr>
            <w:tcW w:w="1134" w:type="dxa"/>
          </w:tcPr>
          <w:p w14:paraId="4729E389" w14:textId="77777777" w:rsidR="00EA598B" w:rsidRPr="00065F6D" w:rsidRDefault="00EA598B" w:rsidP="00FC1E29">
            <w:pPr>
              <w:jc w:val="right"/>
              <w:rPr>
                <w:sz w:val="20"/>
                <w:szCs w:val="20"/>
                <w:lang w:val="en-GB"/>
              </w:rPr>
            </w:pPr>
          </w:p>
        </w:tc>
        <w:tc>
          <w:tcPr>
            <w:tcW w:w="1505" w:type="dxa"/>
          </w:tcPr>
          <w:p w14:paraId="2D0AE0ED" w14:textId="207E80DF" w:rsidR="00EA598B" w:rsidRPr="00065F6D" w:rsidRDefault="003F3C24" w:rsidP="00FC1E29">
            <w:pPr>
              <w:jc w:val="right"/>
              <w:rPr>
                <w:sz w:val="20"/>
                <w:szCs w:val="20"/>
              </w:rPr>
            </w:pPr>
            <w:r>
              <w:rPr>
                <w:color w:val="000000" w:themeColor="text1"/>
                <w:sz w:val="20"/>
                <w:szCs w:val="20"/>
              </w:rPr>
              <w:t>0,86</w:t>
            </w:r>
          </w:p>
        </w:tc>
      </w:tr>
    </w:tbl>
    <w:p w14:paraId="2E2FB539" w14:textId="77777777" w:rsidR="00EA598B" w:rsidRPr="00065F6D" w:rsidRDefault="00EA598B" w:rsidP="00FC1E29">
      <w:pPr>
        <w:jc w:val="center"/>
        <w:rPr>
          <w:sz w:val="18"/>
          <w:szCs w:val="18"/>
          <w:lang w:val="en-GB"/>
        </w:rPr>
      </w:pPr>
    </w:p>
    <w:tbl>
      <w:tblPr>
        <w:tblStyle w:val="Grigliatabella"/>
        <w:tblW w:w="11264" w:type="dxa"/>
        <w:jc w:val="center"/>
        <w:tblLook w:val="04A0" w:firstRow="1" w:lastRow="0" w:firstColumn="1" w:lastColumn="0" w:noHBand="0" w:noVBand="1"/>
      </w:tblPr>
      <w:tblGrid>
        <w:gridCol w:w="3686"/>
        <w:gridCol w:w="1701"/>
        <w:gridCol w:w="4394"/>
        <w:gridCol w:w="1483"/>
      </w:tblGrid>
      <w:tr w:rsidR="00EA598B" w:rsidRPr="00065F6D" w14:paraId="24934C05" w14:textId="77777777" w:rsidTr="00D04C7F">
        <w:trPr>
          <w:trHeight w:val="276"/>
          <w:jc w:val="center"/>
        </w:trPr>
        <w:tc>
          <w:tcPr>
            <w:tcW w:w="11264" w:type="dxa"/>
            <w:gridSpan w:val="4"/>
            <w:hideMark/>
          </w:tcPr>
          <w:p w14:paraId="77481D27" w14:textId="77777777" w:rsidR="00EA598B" w:rsidRPr="00065F6D" w:rsidRDefault="00EA598B" w:rsidP="00FC1E29">
            <w:pPr>
              <w:jc w:val="left"/>
              <w:rPr>
                <w:b/>
                <w:sz w:val="20"/>
                <w:szCs w:val="20"/>
              </w:rPr>
            </w:pPr>
            <w:r>
              <w:rPr>
                <w:b/>
                <w:sz w:val="20"/>
                <w:szCs w:val="20"/>
              </w:rPr>
              <w:t>(IV) DONNÉES SUR LA CONSOMMATION (tonnes PAO)</w:t>
            </w:r>
          </w:p>
        </w:tc>
      </w:tr>
      <w:tr w:rsidR="00EA598B" w:rsidRPr="00065F6D" w14:paraId="364A105B" w14:textId="77777777" w:rsidTr="00D04C7F">
        <w:trPr>
          <w:trHeight w:val="276"/>
          <w:jc w:val="center"/>
        </w:trPr>
        <w:tc>
          <w:tcPr>
            <w:tcW w:w="3686" w:type="dxa"/>
            <w:hideMark/>
          </w:tcPr>
          <w:p w14:paraId="41D81031" w14:textId="368150EF" w:rsidR="00EA598B" w:rsidRPr="00065F6D" w:rsidRDefault="00EA598B" w:rsidP="00FC1E29">
            <w:pPr>
              <w:jc w:val="center"/>
              <w:rPr>
                <w:sz w:val="20"/>
                <w:szCs w:val="20"/>
              </w:rPr>
            </w:pPr>
            <w:r>
              <w:rPr>
                <w:sz w:val="20"/>
                <w:szCs w:val="20"/>
              </w:rPr>
              <w:t>Valeur de référence 2009-2010 :</w:t>
            </w:r>
          </w:p>
        </w:tc>
        <w:tc>
          <w:tcPr>
            <w:tcW w:w="1701" w:type="dxa"/>
            <w:hideMark/>
          </w:tcPr>
          <w:p w14:paraId="18F2005E" w14:textId="77777777" w:rsidR="00EA598B" w:rsidRPr="00065F6D" w:rsidRDefault="003F3C24" w:rsidP="00FC1E29">
            <w:pPr>
              <w:jc w:val="right"/>
              <w:rPr>
                <w:sz w:val="20"/>
                <w:szCs w:val="20"/>
              </w:rPr>
            </w:pPr>
            <w:r>
              <w:rPr>
                <w:color w:val="000000" w:themeColor="text1"/>
                <w:sz w:val="20"/>
                <w:szCs w:val="20"/>
              </w:rPr>
              <w:t>5,3</w:t>
            </w:r>
          </w:p>
        </w:tc>
        <w:tc>
          <w:tcPr>
            <w:tcW w:w="4394" w:type="dxa"/>
            <w:hideMark/>
          </w:tcPr>
          <w:p w14:paraId="1704E474" w14:textId="77777777" w:rsidR="00EA598B" w:rsidRPr="00065F6D" w:rsidRDefault="00EA598B" w:rsidP="00FC1E29">
            <w:pPr>
              <w:jc w:val="center"/>
              <w:rPr>
                <w:sz w:val="20"/>
                <w:szCs w:val="20"/>
              </w:rPr>
            </w:pPr>
            <w:r>
              <w:rPr>
                <w:sz w:val="20"/>
                <w:szCs w:val="20"/>
              </w:rPr>
              <w:t>Point de départ des réductions globales durables :</w:t>
            </w:r>
          </w:p>
        </w:tc>
        <w:tc>
          <w:tcPr>
            <w:tcW w:w="1483" w:type="dxa"/>
            <w:hideMark/>
          </w:tcPr>
          <w:p w14:paraId="31BCE280" w14:textId="77777777" w:rsidR="00EA598B" w:rsidRPr="00065F6D" w:rsidRDefault="003F3C24" w:rsidP="00FC1E29">
            <w:pPr>
              <w:jc w:val="right"/>
              <w:rPr>
                <w:sz w:val="20"/>
                <w:szCs w:val="20"/>
              </w:rPr>
            </w:pPr>
            <w:r>
              <w:rPr>
                <w:color w:val="000000" w:themeColor="text1"/>
                <w:sz w:val="20"/>
                <w:szCs w:val="20"/>
              </w:rPr>
              <w:t>5,21</w:t>
            </w:r>
          </w:p>
        </w:tc>
      </w:tr>
      <w:tr w:rsidR="00EA598B" w:rsidRPr="00065F6D" w14:paraId="2149786D" w14:textId="77777777" w:rsidTr="00D04C7F">
        <w:trPr>
          <w:trHeight w:val="276"/>
          <w:jc w:val="center"/>
        </w:trPr>
        <w:tc>
          <w:tcPr>
            <w:tcW w:w="11264" w:type="dxa"/>
            <w:gridSpan w:val="4"/>
            <w:hideMark/>
          </w:tcPr>
          <w:p w14:paraId="52625451" w14:textId="77777777" w:rsidR="00EA598B" w:rsidRPr="00065F6D" w:rsidRDefault="00EA598B" w:rsidP="00FC1E29">
            <w:pPr>
              <w:ind w:left="316"/>
              <w:rPr>
                <w:b/>
                <w:sz w:val="20"/>
                <w:szCs w:val="20"/>
              </w:rPr>
            </w:pPr>
            <w:r>
              <w:rPr>
                <w:b/>
                <w:sz w:val="20"/>
                <w:szCs w:val="20"/>
              </w:rPr>
              <w:t>CONSOMMATION ADMISSIBLE AU FINANCEMENT</w:t>
            </w:r>
          </w:p>
        </w:tc>
      </w:tr>
      <w:tr w:rsidR="00EA598B" w:rsidRPr="00065F6D" w14:paraId="6A6BB9FF" w14:textId="77777777" w:rsidTr="00D04C7F">
        <w:trPr>
          <w:trHeight w:val="276"/>
          <w:jc w:val="center"/>
        </w:trPr>
        <w:tc>
          <w:tcPr>
            <w:tcW w:w="3686" w:type="dxa"/>
            <w:hideMark/>
          </w:tcPr>
          <w:p w14:paraId="1A9DAEA3" w14:textId="77777777" w:rsidR="00EA598B" w:rsidRPr="00065F6D" w:rsidRDefault="00EA598B" w:rsidP="00FC1E29">
            <w:pPr>
              <w:jc w:val="center"/>
              <w:rPr>
                <w:sz w:val="20"/>
                <w:szCs w:val="20"/>
              </w:rPr>
            </w:pPr>
            <w:r>
              <w:rPr>
                <w:sz w:val="20"/>
                <w:szCs w:val="20"/>
              </w:rPr>
              <w:t>Déjà approuvée :</w:t>
            </w:r>
          </w:p>
        </w:tc>
        <w:tc>
          <w:tcPr>
            <w:tcW w:w="1701" w:type="dxa"/>
            <w:hideMark/>
          </w:tcPr>
          <w:p w14:paraId="2E41702B" w14:textId="77777777" w:rsidR="00EA598B" w:rsidRPr="00065F6D" w:rsidRDefault="007C3B74" w:rsidP="00FC1E29">
            <w:pPr>
              <w:jc w:val="right"/>
              <w:rPr>
                <w:sz w:val="20"/>
                <w:szCs w:val="20"/>
              </w:rPr>
            </w:pPr>
            <w:r>
              <w:rPr>
                <w:color w:val="000000" w:themeColor="text1"/>
                <w:sz w:val="20"/>
                <w:szCs w:val="20"/>
              </w:rPr>
              <w:t>5,21</w:t>
            </w:r>
          </w:p>
        </w:tc>
        <w:tc>
          <w:tcPr>
            <w:tcW w:w="4394" w:type="dxa"/>
            <w:hideMark/>
          </w:tcPr>
          <w:p w14:paraId="1F78EA01" w14:textId="77777777" w:rsidR="00EA598B" w:rsidRPr="00065F6D" w:rsidRDefault="00EA598B" w:rsidP="00FC1E29">
            <w:pPr>
              <w:jc w:val="center"/>
              <w:rPr>
                <w:i/>
                <w:sz w:val="20"/>
                <w:szCs w:val="20"/>
              </w:rPr>
            </w:pPr>
            <w:r>
              <w:rPr>
                <w:sz w:val="20"/>
                <w:szCs w:val="20"/>
              </w:rPr>
              <w:t>Restante :</w:t>
            </w:r>
          </w:p>
        </w:tc>
        <w:tc>
          <w:tcPr>
            <w:tcW w:w="1483" w:type="dxa"/>
            <w:hideMark/>
          </w:tcPr>
          <w:p w14:paraId="7CB5EDAB" w14:textId="77777777" w:rsidR="00EA598B" w:rsidRPr="00065F6D" w:rsidRDefault="007C3B74" w:rsidP="00FC1E29">
            <w:pPr>
              <w:jc w:val="right"/>
              <w:rPr>
                <w:sz w:val="20"/>
                <w:szCs w:val="20"/>
              </w:rPr>
            </w:pPr>
            <w:r>
              <w:rPr>
                <w:color w:val="000000" w:themeColor="text1"/>
                <w:sz w:val="20"/>
                <w:szCs w:val="20"/>
              </w:rPr>
              <w:t>0,00</w:t>
            </w:r>
          </w:p>
        </w:tc>
      </w:tr>
    </w:tbl>
    <w:p w14:paraId="41CB55A9" w14:textId="77777777" w:rsidR="00EA598B" w:rsidRPr="00065F6D" w:rsidRDefault="00EA598B" w:rsidP="00FC1E29">
      <w:pPr>
        <w:jc w:val="center"/>
        <w:rPr>
          <w:sz w:val="18"/>
          <w:szCs w:val="18"/>
          <w:lang w:val="en-GB"/>
        </w:rPr>
      </w:pPr>
    </w:p>
    <w:tbl>
      <w:tblPr>
        <w:tblStyle w:val="Grigliatabella"/>
        <w:tblW w:w="6021" w:type="pct"/>
        <w:jc w:val="center"/>
        <w:tblLook w:val="04A0" w:firstRow="1" w:lastRow="0" w:firstColumn="1" w:lastColumn="0" w:noHBand="0" w:noVBand="1"/>
      </w:tblPr>
      <w:tblGrid>
        <w:gridCol w:w="2696"/>
        <w:gridCol w:w="2655"/>
        <w:gridCol w:w="1459"/>
        <w:gridCol w:w="1459"/>
        <w:gridCol w:w="1459"/>
        <w:gridCol w:w="1531"/>
      </w:tblGrid>
      <w:tr w:rsidR="00EA598B" w:rsidRPr="00065F6D" w14:paraId="6B041285" w14:textId="77777777" w:rsidTr="00D04C7F">
        <w:trPr>
          <w:trHeight w:val="264"/>
          <w:jc w:val="center"/>
        </w:trPr>
        <w:tc>
          <w:tcPr>
            <w:tcW w:w="2375" w:type="pct"/>
            <w:gridSpan w:val="2"/>
            <w:hideMark/>
          </w:tcPr>
          <w:p w14:paraId="30A20F0F" w14:textId="77777777" w:rsidR="00EA598B" w:rsidRPr="00065F6D" w:rsidRDefault="00EA598B" w:rsidP="00FC1E29">
            <w:pPr>
              <w:jc w:val="left"/>
              <w:rPr>
                <w:b/>
                <w:sz w:val="20"/>
                <w:szCs w:val="20"/>
              </w:rPr>
            </w:pPr>
            <w:r>
              <w:rPr>
                <w:b/>
                <w:sz w:val="20"/>
                <w:szCs w:val="20"/>
              </w:rPr>
              <w:t>(V) PLAN D’ACTIVITÉS ENDOSSÉ</w:t>
            </w:r>
          </w:p>
        </w:tc>
        <w:tc>
          <w:tcPr>
            <w:tcW w:w="648" w:type="pct"/>
            <w:vAlign w:val="center"/>
            <w:hideMark/>
          </w:tcPr>
          <w:p w14:paraId="5428840C" w14:textId="77777777" w:rsidR="00EA598B" w:rsidRPr="00065F6D" w:rsidRDefault="00EA598B" w:rsidP="00FC1E29">
            <w:pPr>
              <w:jc w:val="center"/>
              <w:rPr>
                <w:b/>
                <w:sz w:val="20"/>
                <w:szCs w:val="20"/>
              </w:rPr>
            </w:pPr>
            <w:r>
              <w:rPr>
                <w:b/>
                <w:sz w:val="20"/>
                <w:szCs w:val="20"/>
              </w:rPr>
              <w:t>2024</w:t>
            </w:r>
          </w:p>
        </w:tc>
        <w:tc>
          <w:tcPr>
            <w:tcW w:w="648" w:type="pct"/>
            <w:vAlign w:val="center"/>
            <w:hideMark/>
          </w:tcPr>
          <w:p w14:paraId="315E92C8" w14:textId="77777777" w:rsidR="00EA598B" w:rsidRPr="00065F6D" w:rsidRDefault="00EA598B" w:rsidP="00FC1E29">
            <w:pPr>
              <w:jc w:val="center"/>
              <w:rPr>
                <w:b/>
                <w:sz w:val="20"/>
                <w:szCs w:val="20"/>
              </w:rPr>
            </w:pPr>
            <w:r>
              <w:rPr>
                <w:b/>
                <w:sz w:val="20"/>
                <w:szCs w:val="20"/>
              </w:rPr>
              <w:t>2025</w:t>
            </w:r>
          </w:p>
        </w:tc>
        <w:tc>
          <w:tcPr>
            <w:tcW w:w="648" w:type="pct"/>
            <w:vAlign w:val="center"/>
            <w:hideMark/>
          </w:tcPr>
          <w:p w14:paraId="1431D501" w14:textId="77777777" w:rsidR="00EA598B" w:rsidRPr="00065F6D" w:rsidRDefault="00EA598B" w:rsidP="00FC1E29">
            <w:pPr>
              <w:jc w:val="center"/>
              <w:rPr>
                <w:b/>
                <w:sz w:val="20"/>
                <w:szCs w:val="20"/>
              </w:rPr>
            </w:pPr>
            <w:r>
              <w:rPr>
                <w:b/>
                <w:sz w:val="20"/>
                <w:szCs w:val="20"/>
              </w:rPr>
              <w:t>2026</w:t>
            </w:r>
          </w:p>
        </w:tc>
        <w:tc>
          <w:tcPr>
            <w:tcW w:w="681" w:type="pct"/>
            <w:vAlign w:val="center"/>
            <w:hideMark/>
          </w:tcPr>
          <w:p w14:paraId="56C552BD" w14:textId="77777777" w:rsidR="00EA598B" w:rsidRPr="00065F6D" w:rsidRDefault="00EA598B" w:rsidP="00FC1E29">
            <w:pPr>
              <w:jc w:val="center"/>
              <w:rPr>
                <w:b/>
                <w:sz w:val="20"/>
                <w:szCs w:val="20"/>
              </w:rPr>
            </w:pPr>
            <w:r>
              <w:rPr>
                <w:b/>
                <w:sz w:val="20"/>
                <w:szCs w:val="20"/>
              </w:rPr>
              <w:t>Total</w:t>
            </w:r>
          </w:p>
        </w:tc>
      </w:tr>
      <w:tr w:rsidR="00EA598B" w:rsidRPr="00065F6D" w14:paraId="46ADFF71" w14:textId="77777777" w:rsidTr="00D04C7F">
        <w:trPr>
          <w:trHeight w:val="187"/>
          <w:jc w:val="center"/>
        </w:trPr>
        <w:tc>
          <w:tcPr>
            <w:tcW w:w="1197" w:type="pct"/>
            <w:vMerge w:val="restart"/>
            <w:vAlign w:val="center"/>
            <w:hideMark/>
          </w:tcPr>
          <w:p w14:paraId="16476DCF" w14:textId="77777777" w:rsidR="00EA598B" w:rsidRPr="00065F6D" w:rsidRDefault="00F67A00" w:rsidP="00FC1E29">
            <w:pPr>
              <w:jc w:val="center"/>
              <w:rPr>
                <w:sz w:val="20"/>
                <w:szCs w:val="20"/>
              </w:rPr>
            </w:pPr>
            <w:r>
              <w:rPr>
                <w:color w:val="000000" w:themeColor="text1"/>
                <w:sz w:val="20"/>
                <w:szCs w:val="20"/>
              </w:rPr>
              <w:t>PNUD</w:t>
            </w:r>
          </w:p>
        </w:tc>
        <w:tc>
          <w:tcPr>
            <w:tcW w:w="1179" w:type="pct"/>
            <w:hideMark/>
          </w:tcPr>
          <w:p w14:paraId="4D4C4A7B" w14:textId="77777777" w:rsidR="00EA598B" w:rsidRPr="00065F6D" w:rsidRDefault="00EA598B" w:rsidP="00FC1E29">
            <w:pPr>
              <w:jc w:val="left"/>
              <w:rPr>
                <w:sz w:val="20"/>
                <w:szCs w:val="20"/>
              </w:rPr>
            </w:pPr>
            <w:r>
              <w:rPr>
                <w:sz w:val="20"/>
                <w:szCs w:val="20"/>
              </w:rPr>
              <w:t>Élimination des SAO (tonnes PAO)</w:t>
            </w:r>
          </w:p>
        </w:tc>
        <w:tc>
          <w:tcPr>
            <w:tcW w:w="648" w:type="pct"/>
          </w:tcPr>
          <w:p w14:paraId="02D237F0" w14:textId="77777777" w:rsidR="00EA598B" w:rsidRPr="00065F6D" w:rsidRDefault="003F3C24" w:rsidP="00FC1E29">
            <w:pPr>
              <w:jc w:val="right"/>
              <w:rPr>
                <w:sz w:val="20"/>
                <w:szCs w:val="20"/>
              </w:rPr>
            </w:pPr>
            <w:r>
              <w:rPr>
                <w:sz w:val="20"/>
                <w:szCs w:val="20"/>
              </w:rPr>
              <w:t>1,20</w:t>
            </w:r>
          </w:p>
        </w:tc>
        <w:tc>
          <w:tcPr>
            <w:tcW w:w="648" w:type="pct"/>
          </w:tcPr>
          <w:p w14:paraId="55B8B134" w14:textId="77777777" w:rsidR="00EA598B" w:rsidRPr="00065F6D" w:rsidRDefault="00EA598B" w:rsidP="00FC1E29">
            <w:pPr>
              <w:jc w:val="right"/>
              <w:rPr>
                <w:sz w:val="20"/>
                <w:szCs w:val="20"/>
                <w:lang w:val="en-GB"/>
              </w:rPr>
            </w:pPr>
          </w:p>
        </w:tc>
        <w:tc>
          <w:tcPr>
            <w:tcW w:w="648" w:type="pct"/>
          </w:tcPr>
          <w:p w14:paraId="2972E884" w14:textId="77777777" w:rsidR="00EA598B" w:rsidRPr="00065F6D" w:rsidRDefault="00EA598B" w:rsidP="00FC1E29">
            <w:pPr>
              <w:jc w:val="right"/>
              <w:rPr>
                <w:sz w:val="20"/>
                <w:szCs w:val="20"/>
                <w:lang w:val="en-GB"/>
              </w:rPr>
            </w:pPr>
          </w:p>
        </w:tc>
        <w:tc>
          <w:tcPr>
            <w:tcW w:w="681" w:type="pct"/>
          </w:tcPr>
          <w:p w14:paraId="384EEB84" w14:textId="77777777" w:rsidR="00EA598B" w:rsidRPr="00065F6D" w:rsidRDefault="003F3C24" w:rsidP="00FC1E29">
            <w:pPr>
              <w:jc w:val="right"/>
              <w:rPr>
                <w:sz w:val="20"/>
                <w:szCs w:val="20"/>
              </w:rPr>
            </w:pPr>
            <w:r>
              <w:rPr>
                <w:sz w:val="20"/>
                <w:szCs w:val="20"/>
              </w:rPr>
              <w:t>1,20</w:t>
            </w:r>
          </w:p>
        </w:tc>
      </w:tr>
      <w:tr w:rsidR="00EA598B" w:rsidRPr="00065F6D" w14:paraId="79DABA70" w14:textId="77777777" w:rsidTr="00D04C7F">
        <w:trPr>
          <w:trHeight w:val="55"/>
          <w:jc w:val="center"/>
        </w:trPr>
        <w:tc>
          <w:tcPr>
            <w:tcW w:w="1197" w:type="pct"/>
            <w:vMerge/>
            <w:vAlign w:val="center"/>
            <w:hideMark/>
          </w:tcPr>
          <w:p w14:paraId="1C2D7FC0" w14:textId="77777777" w:rsidR="00EA598B" w:rsidRPr="00065F6D" w:rsidRDefault="00EA598B" w:rsidP="00FC1E29">
            <w:pPr>
              <w:rPr>
                <w:sz w:val="20"/>
                <w:szCs w:val="20"/>
                <w:lang w:val="en-GB"/>
              </w:rPr>
            </w:pPr>
          </w:p>
        </w:tc>
        <w:tc>
          <w:tcPr>
            <w:tcW w:w="1179" w:type="pct"/>
            <w:hideMark/>
          </w:tcPr>
          <w:p w14:paraId="188A993B" w14:textId="77777777" w:rsidR="00EA598B" w:rsidRPr="00065F6D" w:rsidRDefault="00EA598B" w:rsidP="00FC1E29">
            <w:pPr>
              <w:jc w:val="left"/>
              <w:rPr>
                <w:sz w:val="20"/>
                <w:szCs w:val="20"/>
              </w:rPr>
            </w:pPr>
            <w:r>
              <w:rPr>
                <w:sz w:val="20"/>
                <w:szCs w:val="20"/>
              </w:rPr>
              <w:t>Financement ($ US)</w:t>
            </w:r>
          </w:p>
        </w:tc>
        <w:tc>
          <w:tcPr>
            <w:tcW w:w="648" w:type="pct"/>
          </w:tcPr>
          <w:p w14:paraId="182533EB" w14:textId="77777777" w:rsidR="00EA598B" w:rsidRPr="00065F6D" w:rsidRDefault="003F3C24" w:rsidP="00FC1E29">
            <w:pPr>
              <w:jc w:val="right"/>
              <w:rPr>
                <w:sz w:val="20"/>
                <w:szCs w:val="20"/>
              </w:rPr>
            </w:pPr>
            <w:r>
              <w:rPr>
                <w:sz w:val="20"/>
                <w:szCs w:val="20"/>
              </w:rPr>
              <w:t>328 779*</w:t>
            </w:r>
          </w:p>
        </w:tc>
        <w:tc>
          <w:tcPr>
            <w:tcW w:w="648" w:type="pct"/>
          </w:tcPr>
          <w:p w14:paraId="66457CC9" w14:textId="77777777" w:rsidR="00EA598B" w:rsidRPr="00065F6D" w:rsidRDefault="00EA598B" w:rsidP="00FC1E29">
            <w:pPr>
              <w:jc w:val="right"/>
              <w:rPr>
                <w:sz w:val="20"/>
                <w:szCs w:val="20"/>
                <w:lang w:val="en-GB"/>
              </w:rPr>
            </w:pPr>
          </w:p>
        </w:tc>
        <w:tc>
          <w:tcPr>
            <w:tcW w:w="648" w:type="pct"/>
          </w:tcPr>
          <w:p w14:paraId="12D110A0" w14:textId="77777777" w:rsidR="00EA598B" w:rsidRPr="00065F6D" w:rsidRDefault="00EA598B" w:rsidP="00FC1E29">
            <w:pPr>
              <w:jc w:val="right"/>
              <w:rPr>
                <w:sz w:val="20"/>
                <w:szCs w:val="20"/>
                <w:lang w:val="en-GB"/>
              </w:rPr>
            </w:pPr>
          </w:p>
        </w:tc>
        <w:tc>
          <w:tcPr>
            <w:tcW w:w="681" w:type="pct"/>
          </w:tcPr>
          <w:p w14:paraId="79778949" w14:textId="77777777" w:rsidR="00EA598B" w:rsidRPr="00065F6D" w:rsidRDefault="003F3C24" w:rsidP="00FC1E29">
            <w:pPr>
              <w:jc w:val="right"/>
              <w:rPr>
                <w:sz w:val="20"/>
                <w:szCs w:val="20"/>
              </w:rPr>
            </w:pPr>
            <w:r>
              <w:rPr>
                <w:sz w:val="20"/>
                <w:szCs w:val="20"/>
              </w:rPr>
              <w:t>328 779</w:t>
            </w:r>
          </w:p>
        </w:tc>
      </w:tr>
    </w:tbl>
    <w:p w14:paraId="572F63E1" w14:textId="77777777" w:rsidR="00EA598B" w:rsidRPr="00065F6D" w:rsidRDefault="00EA598B" w:rsidP="00D24DD9">
      <w:pPr>
        <w:ind w:left="-993" w:right="-563" w:firstLine="142"/>
        <w:rPr>
          <w:sz w:val="18"/>
          <w:szCs w:val="18"/>
        </w:rPr>
      </w:pPr>
      <w:r>
        <w:rPr>
          <w:sz w:val="18"/>
          <w:szCs w:val="18"/>
        </w:rPr>
        <w:t>*Y compris 76 300 $ US pour le PNUD, pour les activités supplémentaires de maintien de l’efficacité énergétique (décision 89/6)</w:t>
      </w:r>
    </w:p>
    <w:p w14:paraId="50179F0E" w14:textId="77777777" w:rsidR="00EA598B" w:rsidRPr="000F59B8" w:rsidRDefault="00EA598B" w:rsidP="00FC1E29">
      <w:pPr>
        <w:jc w:val="left"/>
        <w:rPr>
          <w:sz w:val="18"/>
          <w:szCs w:val="18"/>
        </w:rPr>
      </w:pPr>
    </w:p>
    <w:tbl>
      <w:tblPr>
        <w:tblStyle w:val="Grigliatabella"/>
        <w:tblW w:w="1123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838"/>
        <w:gridCol w:w="1134"/>
        <w:gridCol w:w="1342"/>
        <w:gridCol w:w="933"/>
        <w:gridCol w:w="604"/>
        <w:gridCol w:w="672"/>
        <w:gridCol w:w="851"/>
        <w:gridCol w:w="708"/>
        <w:gridCol w:w="843"/>
        <w:gridCol w:w="717"/>
        <w:gridCol w:w="708"/>
        <w:gridCol w:w="882"/>
      </w:tblGrid>
      <w:tr w:rsidR="003F3C24" w:rsidRPr="00065F6D" w14:paraId="2CD61DBC" w14:textId="77777777" w:rsidTr="00D04C7F">
        <w:trPr>
          <w:trHeight w:val="261"/>
          <w:jc w:val="center"/>
        </w:trPr>
        <w:tc>
          <w:tcPr>
            <w:tcW w:w="4314" w:type="dxa"/>
            <w:gridSpan w:val="3"/>
            <w:tcBorders>
              <w:top w:val="single" w:sz="4" w:space="0" w:color="auto"/>
              <w:left w:val="single" w:sz="4" w:space="0" w:color="auto"/>
              <w:bottom w:val="single" w:sz="4" w:space="0" w:color="auto"/>
              <w:right w:val="single" w:sz="4" w:space="0" w:color="auto"/>
            </w:tcBorders>
            <w:hideMark/>
          </w:tcPr>
          <w:p w14:paraId="353DC0A4" w14:textId="77777777" w:rsidR="003F3C24" w:rsidRPr="00065F6D" w:rsidRDefault="003F3C24" w:rsidP="00FC1E29">
            <w:pPr>
              <w:spacing w:afterLines="20" w:after="48"/>
              <w:ind w:left="38"/>
              <w:jc w:val="left"/>
              <w:rPr>
                <w:b/>
                <w:sz w:val="20"/>
                <w:szCs w:val="20"/>
              </w:rPr>
            </w:pPr>
            <w:r>
              <w:rPr>
                <w:b/>
                <w:sz w:val="20"/>
                <w:szCs w:val="20"/>
              </w:rPr>
              <w:t>(VI) DONNÉES DU PROJET</w:t>
            </w:r>
          </w:p>
        </w:tc>
        <w:tc>
          <w:tcPr>
            <w:tcW w:w="933" w:type="dxa"/>
            <w:tcBorders>
              <w:top w:val="single" w:sz="4" w:space="0" w:color="auto"/>
              <w:left w:val="single" w:sz="4" w:space="0" w:color="auto"/>
              <w:bottom w:val="single" w:sz="4" w:space="0" w:color="auto"/>
              <w:right w:val="single" w:sz="4" w:space="0" w:color="auto"/>
            </w:tcBorders>
            <w:shd w:val="clear" w:color="auto" w:fill="auto"/>
            <w:hideMark/>
          </w:tcPr>
          <w:p w14:paraId="1D142447" w14:textId="77777777" w:rsidR="003F3C24" w:rsidRPr="00065F6D" w:rsidRDefault="003F3C24" w:rsidP="00FC1E29">
            <w:pPr>
              <w:spacing w:afterLines="20" w:after="48"/>
              <w:ind w:left="38"/>
              <w:jc w:val="center"/>
              <w:rPr>
                <w:b/>
                <w:sz w:val="20"/>
                <w:szCs w:val="20"/>
                <w:highlight w:val="cyan"/>
              </w:rPr>
            </w:pPr>
            <w:r>
              <w:rPr>
                <w:rStyle w:val="normaltextrun"/>
                <w:b/>
                <w:bCs/>
                <w:sz w:val="20"/>
                <w:szCs w:val="20"/>
              </w:rPr>
              <w:t>2021</w:t>
            </w:r>
            <w:r>
              <w:rPr>
                <w:rStyle w:val="eop"/>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hideMark/>
          </w:tcPr>
          <w:p w14:paraId="28C08353" w14:textId="77777777" w:rsidR="003F3C24" w:rsidRPr="00065F6D" w:rsidRDefault="003F3C24" w:rsidP="00FC1E29">
            <w:pPr>
              <w:spacing w:afterLines="20" w:after="48"/>
              <w:jc w:val="center"/>
              <w:rPr>
                <w:b/>
                <w:sz w:val="20"/>
                <w:szCs w:val="20"/>
                <w:highlight w:val="cyan"/>
              </w:rPr>
            </w:pPr>
            <w:r>
              <w:rPr>
                <w:rStyle w:val="normaltextrun"/>
                <w:b/>
                <w:bCs/>
                <w:sz w:val="20"/>
                <w:szCs w:val="20"/>
              </w:rPr>
              <w:t>2022</w:t>
            </w:r>
            <w:r>
              <w:rPr>
                <w:rStyle w:val="eop"/>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14:paraId="7C7ABE39" w14:textId="77777777" w:rsidR="003F3C24" w:rsidRPr="00065F6D" w:rsidRDefault="003F3C24" w:rsidP="00FC1E29">
            <w:pPr>
              <w:spacing w:afterLines="20" w:after="48"/>
              <w:jc w:val="center"/>
              <w:rPr>
                <w:b/>
                <w:sz w:val="20"/>
                <w:szCs w:val="20"/>
                <w:highlight w:val="cyan"/>
              </w:rPr>
            </w:pPr>
            <w:r>
              <w:rPr>
                <w:rStyle w:val="normaltextrun"/>
                <w:b/>
                <w:bCs/>
                <w:sz w:val="20"/>
                <w:szCs w:val="20"/>
              </w:rPr>
              <w:t>2023</w:t>
            </w:r>
            <w:r>
              <w:rPr>
                <w:rStyle w:val="eop"/>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BE07DF5" w14:textId="01E9F2D8" w:rsidR="003F3C24" w:rsidRPr="00065F6D" w:rsidRDefault="003F3C24" w:rsidP="00FC1E29">
            <w:pPr>
              <w:spacing w:afterLines="20" w:after="48"/>
              <w:jc w:val="center"/>
              <w:rPr>
                <w:b/>
                <w:sz w:val="20"/>
                <w:szCs w:val="20"/>
                <w:highlight w:val="cyan"/>
              </w:rPr>
            </w:pPr>
            <w:r>
              <w:rPr>
                <w:rStyle w:val="normaltextrun"/>
                <w:b/>
                <w:bCs/>
                <w:sz w:val="20"/>
                <w:szCs w:val="20"/>
              </w:rPr>
              <w:t>2024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E4CCD30" w14:textId="77777777" w:rsidR="003F3C24" w:rsidRPr="00065F6D" w:rsidRDefault="003F3C24" w:rsidP="00FC1E29">
            <w:pPr>
              <w:spacing w:afterLines="20" w:after="48"/>
              <w:jc w:val="center"/>
              <w:rPr>
                <w:b/>
                <w:sz w:val="20"/>
                <w:szCs w:val="20"/>
                <w:highlight w:val="cyan"/>
              </w:rPr>
            </w:pPr>
            <w:r>
              <w:rPr>
                <w:rStyle w:val="normaltextrun"/>
                <w:b/>
                <w:bCs/>
                <w:sz w:val="20"/>
                <w:szCs w:val="20"/>
              </w:rPr>
              <w:t>2025-2026</w:t>
            </w:r>
            <w:r>
              <w:rPr>
                <w:rStyle w:val="eop"/>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3687239" w14:textId="77777777" w:rsidR="003F3C24" w:rsidRPr="00065F6D" w:rsidRDefault="003F3C24" w:rsidP="00FC1E29">
            <w:pPr>
              <w:spacing w:afterLines="20" w:after="48"/>
              <w:jc w:val="center"/>
              <w:rPr>
                <w:b/>
                <w:sz w:val="20"/>
                <w:szCs w:val="20"/>
              </w:rPr>
            </w:pPr>
            <w:r>
              <w:rPr>
                <w:rStyle w:val="normaltextrun"/>
                <w:b/>
                <w:bCs/>
                <w:sz w:val="20"/>
                <w:szCs w:val="20"/>
              </w:rPr>
              <w:t>2027</w:t>
            </w:r>
            <w:r>
              <w:rPr>
                <w:rStyle w:val="eop"/>
                <w:sz w:val="20"/>
                <w:szCs w:val="20"/>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78F2A8A1" w14:textId="77777777" w:rsidR="003F3C24" w:rsidRPr="00065F6D" w:rsidRDefault="003F3C24" w:rsidP="00FC1E29">
            <w:pPr>
              <w:spacing w:afterLines="20" w:after="48"/>
              <w:jc w:val="center"/>
              <w:rPr>
                <w:b/>
                <w:sz w:val="20"/>
                <w:szCs w:val="20"/>
              </w:rPr>
            </w:pPr>
            <w:r>
              <w:rPr>
                <w:rStyle w:val="normaltextrun"/>
                <w:b/>
                <w:bCs/>
                <w:sz w:val="20"/>
                <w:szCs w:val="20"/>
              </w:rPr>
              <w:t>2028-2029</w:t>
            </w:r>
            <w:r>
              <w:rPr>
                <w:rStyle w:val="eop"/>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03C23F9" w14:textId="77777777" w:rsidR="003F3C24" w:rsidRPr="00065F6D" w:rsidRDefault="003F3C24" w:rsidP="00FC1E29">
            <w:pPr>
              <w:spacing w:afterLines="20" w:after="48"/>
              <w:jc w:val="center"/>
              <w:rPr>
                <w:b/>
                <w:sz w:val="20"/>
                <w:szCs w:val="20"/>
              </w:rPr>
            </w:pPr>
            <w:r>
              <w:rPr>
                <w:rStyle w:val="normaltextrun"/>
                <w:b/>
                <w:bCs/>
                <w:sz w:val="20"/>
                <w:szCs w:val="20"/>
              </w:rPr>
              <w:t>2030</w:t>
            </w:r>
            <w:r>
              <w:rPr>
                <w:rStyle w:val="eop"/>
                <w:sz w:val="20"/>
                <w:szCs w:val="20"/>
              </w:rPr>
              <w:t> </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14:paraId="6E3CC81E" w14:textId="77777777" w:rsidR="003F3C24" w:rsidRPr="00065F6D" w:rsidRDefault="003F3C24" w:rsidP="00FC1E29">
            <w:pPr>
              <w:spacing w:afterLines="20" w:after="48"/>
              <w:jc w:val="center"/>
              <w:rPr>
                <w:b/>
                <w:sz w:val="20"/>
                <w:szCs w:val="20"/>
              </w:rPr>
            </w:pPr>
            <w:r>
              <w:rPr>
                <w:rStyle w:val="normaltextrun"/>
                <w:b/>
                <w:bCs/>
                <w:sz w:val="20"/>
                <w:szCs w:val="20"/>
              </w:rPr>
              <w:t>Total</w:t>
            </w:r>
            <w:r>
              <w:rPr>
                <w:rStyle w:val="eop"/>
                <w:sz w:val="20"/>
                <w:szCs w:val="20"/>
              </w:rPr>
              <w:t> </w:t>
            </w:r>
          </w:p>
        </w:tc>
      </w:tr>
      <w:tr w:rsidR="003F3C24" w:rsidRPr="00065F6D" w14:paraId="50D6D2DD" w14:textId="77777777" w:rsidTr="00D04C7F">
        <w:trPr>
          <w:trHeight w:val="216"/>
          <w:jc w:val="center"/>
        </w:trPr>
        <w:tc>
          <w:tcPr>
            <w:tcW w:w="4314" w:type="dxa"/>
            <w:gridSpan w:val="3"/>
            <w:tcBorders>
              <w:top w:val="single" w:sz="4" w:space="0" w:color="auto"/>
              <w:left w:val="single" w:sz="4" w:space="0" w:color="auto"/>
              <w:bottom w:val="single" w:sz="4" w:space="0" w:color="auto"/>
              <w:right w:val="single" w:sz="4" w:space="0" w:color="auto"/>
            </w:tcBorders>
            <w:hideMark/>
          </w:tcPr>
          <w:p w14:paraId="2D3F926F" w14:textId="77777777" w:rsidR="003F3C24" w:rsidRPr="00065F6D" w:rsidRDefault="003F3C24" w:rsidP="00FC1E29">
            <w:pPr>
              <w:spacing w:after="60"/>
              <w:ind w:left="38"/>
              <w:jc w:val="left"/>
              <w:rPr>
                <w:sz w:val="20"/>
                <w:szCs w:val="20"/>
              </w:rPr>
            </w:pPr>
            <w:r>
              <w:rPr>
                <w:sz w:val="20"/>
                <w:szCs w:val="20"/>
              </w:rPr>
              <w:t>Limites de consommation du Protocole de Montréal (tonnes PAO)</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7AE17DB1" w14:textId="77777777" w:rsidR="003F3C24" w:rsidRPr="00065F6D" w:rsidRDefault="003F3C24" w:rsidP="00FC1E29">
            <w:pPr>
              <w:spacing w:after="60"/>
              <w:ind w:left="38"/>
              <w:jc w:val="right"/>
              <w:rPr>
                <w:sz w:val="20"/>
                <w:szCs w:val="20"/>
              </w:rPr>
            </w:pPr>
            <w:r>
              <w:rPr>
                <w:rStyle w:val="normaltextrun"/>
                <w:color w:val="000000"/>
                <w:sz w:val="20"/>
                <w:szCs w:val="20"/>
              </w:rPr>
              <w:t>3,45</w:t>
            </w:r>
            <w:r>
              <w:rPr>
                <w:rStyle w:val="eop"/>
                <w:color w:val="000000"/>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379FF98B" w14:textId="77777777" w:rsidR="003F3C24" w:rsidRPr="00065F6D" w:rsidRDefault="003F3C24" w:rsidP="00FC1E29">
            <w:pPr>
              <w:spacing w:after="60"/>
              <w:jc w:val="right"/>
              <w:rPr>
                <w:sz w:val="20"/>
                <w:szCs w:val="20"/>
              </w:rPr>
            </w:pPr>
            <w:r>
              <w:rPr>
                <w:rStyle w:val="normaltextrun"/>
                <w:color w:val="000000"/>
                <w:sz w:val="20"/>
                <w:szCs w:val="20"/>
              </w:rPr>
              <w:t>3,45</w:t>
            </w:r>
            <w:r>
              <w:rPr>
                <w:rStyle w:val="eop"/>
                <w:color w:val="000000"/>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F352849" w14:textId="77777777" w:rsidR="003F3C24" w:rsidRPr="00065F6D" w:rsidRDefault="003F3C24" w:rsidP="00FC1E29">
            <w:pPr>
              <w:spacing w:after="60"/>
              <w:jc w:val="right"/>
              <w:rPr>
                <w:sz w:val="20"/>
                <w:szCs w:val="20"/>
              </w:rPr>
            </w:pPr>
            <w:r>
              <w:rPr>
                <w:rStyle w:val="normaltextrun"/>
                <w:color w:val="000000"/>
                <w:sz w:val="20"/>
                <w:szCs w:val="20"/>
              </w:rPr>
              <w:t>3,45</w:t>
            </w:r>
            <w:r>
              <w:rPr>
                <w:rStyle w:val="eop"/>
                <w:color w:val="000000"/>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CA492E" w14:textId="77777777" w:rsidR="003F3C24" w:rsidRPr="00065F6D" w:rsidRDefault="003F3C24" w:rsidP="00FC1E29">
            <w:pPr>
              <w:spacing w:after="60"/>
              <w:jc w:val="right"/>
              <w:rPr>
                <w:rStyle w:val="normaltextrun"/>
                <w:color w:val="000000"/>
                <w:sz w:val="20"/>
                <w:szCs w:val="20"/>
              </w:rPr>
            </w:pPr>
            <w:r>
              <w:rPr>
                <w:rStyle w:val="normaltextrun"/>
                <w:color w:val="000000"/>
                <w:sz w:val="20"/>
                <w:szCs w:val="20"/>
              </w:rPr>
              <w:t>3,45</w:t>
            </w:r>
            <w:r>
              <w:rPr>
                <w:rStyle w:val="eop"/>
                <w:color w:val="000000"/>
                <w:sz w:val="20"/>
                <w:szCs w:val="20"/>
              </w:rPr>
              <w:t> </w:t>
            </w:r>
          </w:p>
          <w:p w14:paraId="05572362" w14:textId="77777777" w:rsidR="004021F7" w:rsidRPr="00065F6D" w:rsidRDefault="004021F7" w:rsidP="00FC1E29">
            <w:pPr>
              <w:rPr>
                <w:sz w:val="20"/>
                <w:szCs w:val="20"/>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AF5162E" w14:textId="77777777" w:rsidR="003F3C24" w:rsidRPr="00065F6D" w:rsidRDefault="003F3C24" w:rsidP="00FC1E29">
            <w:pPr>
              <w:spacing w:after="60"/>
              <w:jc w:val="right"/>
              <w:rPr>
                <w:sz w:val="20"/>
                <w:szCs w:val="20"/>
              </w:rPr>
            </w:pPr>
            <w:r>
              <w:rPr>
                <w:rStyle w:val="normaltextrun"/>
                <w:sz w:val="20"/>
                <w:szCs w:val="20"/>
              </w:rPr>
              <w:t>1,72</w:t>
            </w:r>
            <w:r>
              <w:rPr>
                <w:rStyle w:val="eop"/>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760C9AA" w14:textId="77777777" w:rsidR="003F3C24" w:rsidRPr="00065F6D" w:rsidRDefault="003F3C24" w:rsidP="00FC1E29">
            <w:pPr>
              <w:spacing w:after="60"/>
              <w:jc w:val="right"/>
              <w:rPr>
                <w:sz w:val="20"/>
                <w:szCs w:val="20"/>
              </w:rPr>
            </w:pPr>
            <w:r>
              <w:rPr>
                <w:rStyle w:val="normaltextrun"/>
                <w:sz w:val="20"/>
                <w:szCs w:val="20"/>
              </w:rPr>
              <w:t>1,72</w:t>
            </w:r>
            <w:r>
              <w:rPr>
                <w:rStyle w:val="eop"/>
                <w:sz w:val="20"/>
                <w:szCs w:val="20"/>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4725486A" w14:textId="77777777" w:rsidR="003F3C24" w:rsidRPr="00065F6D" w:rsidRDefault="003F3C24" w:rsidP="00FC1E29">
            <w:pPr>
              <w:spacing w:after="60"/>
              <w:jc w:val="right"/>
              <w:rPr>
                <w:sz w:val="20"/>
                <w:szCs w:val="20"/>
              </w:rPr>
            </w:pPr>
            <w:r>
              <w:rPr>
                <w:rStyle w:val="normaltextrun"/>
                <w:sz w:val="20"/>
                <w:szCs w:val="20"/>
              </w:rPr>
              <w:t>1,72</w:t>
            </w:r>
            <w:r>
              <w:rPr>
                <w:rStyle w:val="eop"/>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C57D32F" w14:textId="77777777" w:rsidR="003F3C24" w:rsidRPr="00065F6D" w:rsidRDefault="003F3C24" w:rsidP="00FC1E29">
            <w:pPr>
              <w:spacing w:after="60"/>
              <w:jc w:val="right"/>
              <w:rPr>
                <w:sz w:val="20"/>
                <w:szCs w:val="20"/>
              </w:rPr>
            </w:pPr>
            <w:r>
              <w:rPr>
                <w:rStyle w:val="normaltextrun"/>
                <w:sz w:val="20"/>
                <w:szCs w:val="20"/>
              </w:rPr>
              <w:t>0</w:t>
            </w:r>
            <w:r>
              <w:rPr>
                <w:rStyle w:val="eop"/>
                <w:sz w:val="20"/>
                <w:szCs w:val="20"/>
              </w:rPr>
              <w:t> </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14:paraId="504DB99E" w14:textId="77777777" w:rsidR="003F3C24" w:rsidRPr="00065F6D" w:rsidRDefault="003F3C24" w:rsidP="00FC1E29">
            <w:pPr>
              <w:spacing w:after="60"/>
              <w:jc w:val="right"/>
              <w:rPr>
                <w:sz w:val="20"/>
                <w:szCs w:val="20"/>
              </w:rPr>
            </w:pPr>
            <w:r>
              <w:rPr>
                <w:rStyle w:val="normaltextrun"/>
                <w:color w:val="0D0D0D"/>
                <w:sz w:val="20"/>
                <w:szCs w:val="20"/>
              </w:rPr>
              <w:t>s. o.</w:t>
            </w:r>
            <w:r>
              <w:rPr>
                <w:rStyle w:val="eop"/>
                <w:color w:val="0D0D0D"/>
                <w:sz w:val="20"/>
                <w:szCs w:val="20"/>
              </w:rPr>
              <w:t> </w:t>
            </w:r>
          </w:p>
        </w:tc>
      </w:tr>
      <w:tr w:rsidR="003F3C24" w:rsidRPr="00065F6D" w14:paraId="70842CFB" w14:textId="77777777" w:rsidTr="00D04C7F">
        <w:trPr>
          <w:trHeight w:val="249"/>
          <w:jc w:val="center"/>
        </w:trPr>
        <w:tc>
          <w:tcPr>
            <w:tcW w:w="4314" w:type="dxa"/>
            <w:gridSpan w:val="3"/>
            <w:tcBorders>
              <w:top w:val="single" w:sz="4" w:space="0" w:color="auto"/>
              <w:left w:val="single" w:sz="4" w:space="0" w:color="auto"/>
              <w:bottom w:val="single" w:sz="4" w:space="0" w:color="auto"/>
              <w:right w:val="single" w:sz="4" w:space="0" w:color="auto"/>
            </w:tcBorders>
            <w:hideMark/>
          </w:tcPr>
          <w:p w14:paraId="5C645AC6" w14:textId="77777777" w:rsidR="003F3C24" w:rsidRPr="00065F6D" w:rsidRDefault="003F3C24" w:rsidP="00FC1E29">
            <w:pPr>
              <w:spacing w:after="60"/>
              <w:ind w:left="38"/>
              <w:jc w:val="left"/>
              <w:rPr>
                <w:sz w:val="20"/>
                <w:szCs w:val="20"/>
              </w:rPr>
            </w:pPr>
            <w:r>
              <w:rPr>
                <w:sz w:val="20"/>
                <w:szCs w:val="20"/>
              </w:rPr>
              <w:t>Consommation maximale autorisée (tonnes PAO)</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10FB4CC0" w14:textId="77777777" w:rsidR="003F3C24" w:rsidRPr="00065F6D" w:rsidRDefault="003F3C24" w:rsidP="00FC1E29">
            <w:pPr>
              <w:spacing w:after="60"/>
              <w:ind w:left="38"/>
              <w:jc w:val="right"/>
              <w:rPr>
                <w:sz w:val="20"/>
                <w:szCs w:val="20"/>
              </w:rPr>
            </w:pPr>
            <w:r>
              <w:rPr>
                <w:rStyle w:val="normaltextrun"/>
                <w:color w:val="000000"/>
                <w:sz w:val="20"/>
                <w:szCs w:val="20"/>
              </w:rPr>
              <w:t>2,60</w:t>
            </w:r>
            <w:r>
              <w:rPr>
                <w:rStyle w:val="eop"/>
                <w:color w:val="000000"/>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13BC2E08" w14:textId="77777777" w:rsidR="003F3C24" w:rsidRPr="00065F6D" w:rsidRDefault="003F3C24" w:rsidP="00FC1E29">
            <w:pPr>
              <w:spacing w:after="60"/>
              <w:jc w:val="right"/>
              <w:rPr>
                <w:sz w:val="20"/>
                <w:szCs w:val="20"/>
              </w:rPr>
            </w:pPr>
            <w:r>
              <w:rPr>
                <w:rStyle w:val="normaltextrun"/>
                <w:color w:val="000000"/>
                <w:sz w:val="20"/>
                <w:szCs w:val="20"/>
              </w:rPr>
              <w:t>2,32</w:t>
            </w:r>
            <w:r>
              <w:rPr>
                <w:rStyle w:val="eop"/>
                <w:color w:val="000000"/>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53E98F0" w14:textId="77777777" w:rsidR="003F3C24" w:rsidRPr="00065F6D" w:rsidRDefault="003F3C24" w:rsidP="00FC1E29">
            <w:pPr>
              <w:spacing w:after="60"/>
              <w:jc w:val="right"/>
              <w:rPr>
                <w:sz w:val="20"/>
                <w:szCs w:val="20"/>
              </w:rPr>
            </w:pPr>
            <w:r>
              <w:rPr>
                <w:rStyle w:val="normaltextrun"/>
                <w:color w:val="000000"/>
                <w:sz w:val="20"/>
                <w:szCs w:val="20"/>
              </w:rPr>
              <w:t>2,04</w:t>
            </w:r>
            <w:r>
              <w:rPr>
                <w:rStyle w:val="eop"/>
                <w:color w:val="000000"/>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7DF339" w14:textId="77777777" w:rsidR="003F3C24" w:rsidRPr="00065F6D" w:rsidRDefault="003F3C24" w:rsidP="00FC1E29">
            <w:pPr>
              <w:spacing w:after="60"/>
              <w:jc w:val="right"/>
              <w:rPr>
                <w:sz w:val="20"/>
                <w:szCs w:val="20"/>
              </w:rPr>
            </w:pPr>
            <w:r>
              <w:rPr>
                <w:rStyle w:val="normaltextrun"/>
                <w:color w:val="000000"/>
                <w:sz w:val="20"/>
                <w:szCs w:val="20"/>
              </w:rPr>
              <w:t>1,76</w:t>
            </w:r>
            <w:r>
              <w:rPr>
                <w:rStyle w:val="eop"/>
                <w:color w:val="000000"/>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3E8A8DA" w14:textId="77777777" w:rsidR="003F3C24" w:rsidRPr="00065F6D" w:rsidRDefault="003F3C24" w:rsidP="00FC1E29">
            <w:pPr>
              <w:spacing w:after="60"/>
              <w:jc w:val="right"/>
              <w:rPr>
                <w:sz w:val="20"/>
                <w:szCs w:val="20"/>
              </w:rPr>
            </w:pPr>
            <w:r>
              <w:rPr>
                <w:rStyle w:val="normaltextrun"/>
                <w:color w:val="000000"/>
                <w:sz w:val="20"/>
                <w:szCs w:val="20"/>
              </w:rPr>
              <w:t>1,49</w:t>
            </w:r>
            <w:r>
              <w:rPr>
                <w:rStyle w:val="eop"/>
                <w:color w:val="000000"/>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FA27030" w14:textId="77777777" w:rsidR="003F3C24" w:rsidRPr="00065F6D" w:rsidRDefault="003F3C24" w:rsidP="00FC1E29">
            <w:pPr>
              <w:spacing w:after="60"/>
              <w:jc w:val="right"/>
              <w:rPr>
                <w:sz w:val="20"/>
                <w:szCs w:val="20"/>
              </w:rPr>
            </w:pPr>
            <w:r>
              <w:rPr>
                <w:rStyle w:val="normaltextrun"/>
                <w:color w:val="000000"/>
                <w:sz w:val="20"/>
                <w:szCs w:val="20"/>
              </w:rPr>
              <w:t>1,49</w:t>
            </w:r>
            <w:r>
              <w:rPr>
                <w:rStyle w:val="eop"/>
                <w:color w:val="000000"/>
                <w:sz w:val="20"/>
                <w:szCs w:val="20"/>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05B6B5BC" w14:textId="77777777" w:rsidR="003F3C24" w:rsidRPr="00065F6D" w:rsidRDefault="003F3C24" w:rsidP="00FC1E29">
            <w:pPr>
              <w:spacing w:after="60"/>
              <w:jc w:val="right"/>
              <w:rPr>
                <w:sz w:val="20"/>
                <w:szCs w:val="20"/>
              </w:rPr>
            </w:pPr>
            <w:r>
              <w:rPr>
                <w:rStyle w:val="normaltextrun"/>
                <w:color w:val="000000"/>
                <w:sz w:val="20"/>
                <w:szCs w:val="20"/>
              </w:rPr>
              <w:t>1,49</w:t>
            </w:r>
            <w:r>
              <w:rPr>
                <w:rStyle w:val="eop"/>
                <w:color w:val="000000"/>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D66AE09" w14:textId="77777777" w:rsidR="003F3C24" w:rsidRPr="00065F6D" w:rsidRDefault="003F3C24" w:rsidP="00FC1E29">
            <w:pPr>
              <w:spacing w:after="60"/>
              <w:jc w:val="right"/>
              <w:rPr>
                <w:sz w:val="20"/>
                <w:szCs w:val="20"/>
              </w:rPr>
            </w:pPr>
            <w:r>
              <w:rPr>
                <w:rStyle w:val="normaltextrun"/>
                <w:color w:val="000000"/>
                <w:sz w:val="20"/>
                <w:szCs w:val="20"/>
              </w:rPr>
              <w:t>0</w:t>
            </w:r>
            <w:r>
              <w:rPr>
                <w:rStyle w:val="eop"/>
                <w:color w:val="000000"/>
                <w:sz w:val="20"/>
                <w:szCs w:val="20"/>
              </w:rPr>
              <w:t> </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14:paraId="772F66B5" w14:textId="77777777" w:rsidR="003F3C24" w:rsidRPr="00065F6D" w:rsidRDefault="003F3C24" w:rsidP="00FC1E29">
            <w:pPr>
              <w:spacing w:after="60"/>
              <w:jc w:val="right"/>
              <w:rPr>
                <w:sz w:val="20"/>
                <w:szCs w:val="20"/>
              </w:rPr>
            </w:pPr>
            <w:r>
              <w:rPr>
                <w:rStyle w:val="normaltextrun"/>
                <w:color w:val="000000"/>
                <w:sz w:val="20"/>
                <w:szCs w:val="20"/>
              </w:rPr>
              <w:t>s. o.</w:t>
            </w:r>
            <w:r>
              <w:rPr>
                <w:rStyle w:val="eop"/>
                <w:color w:val="000000"/>
                <w:sz w:val="20"/>
                <w:szCs w:val="20"/>
              </w:rPr>
              <w:t> </w:t>
            </w:r>
          </w:p>
        </w:tc>
      </w:tr>
      <w:tr w:rsidR="003F3C24" w:rsidRPr="00065F6D" w14:paraId="78BB61AB" w14:textId="77777777" w:rsidTr="00D24DD9">
        <w:trPr>
          <w:trHeight w:val="216"/>
          <w:jc w:val="center"/>
        </w:trPr>
        <w:tc>
          <w:tcPr>
            <w:tcW w:w="1838" w:type="dxa"/>
            <w:vMerge w:val="restart"/>
            <w:tcBorders>
              <w:top w:val="single" w:sz="4" w:space="0" w:color="auto"/>
              <w:left w:val="single" w:sz="4" w:space="0" w:color="auto"/>
              <w:bottom w:val="single" w:sz="4" w:space="0" w:color="auto"/>
              <w:right w:val="single" w:sz="4" w:space="0" w:color="auto"/>
            </w:tcBorders>
            <w:hideMark/>
          </w:tcPr>
          <w:p w14:paraId="19BE8382" w14:textId="77777777" w:rsidR="003F3C24" w:rsidRPr="00065F6D" w:rsidRDefault="003F3C24" w:rsidP="00FC1E29">
            <w:pPr>
              <w:spacing w:after="60"/>
              <w:ind w:left="38"/>
              <w:jc w:val="left"/>
              <w:rPr>
                <w:sz w:val="20"/>
                <w:szCs w:val="20"/>
              </w:rPr>
            </w:pPr>
            <w:r>
              <w:rPr>
                <w:sz w:val="20"/>
                <w:szCs w:val="20"/>
              </w:rPr>
              <w:t>Fonds approuvés en principe ($ US)</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CC7E27A" w14:textId="77777777" w:rsidR="003F3C24" w:rsidRPr="00065F6D" w:rsidRDefault="003F3C24" w:rsidP="00FC1E29">
            <w:pPr>
              <w:spacing w:after="60"/>
              <w:ind w:left="38"/>
              <w:jc w:val="center"/>
              <w:rPr>
                <w:sz w:val="20"/>
                <w:szCs w:val="20"/>
              </w:rPr>
            </w:pPr>
            <w:r>
              <w:rPr>
                <w:color w:val="000000" w:themeColor="text1"/>
                <w:sz w:val="20"/>
                <w:szCs w:val="20"/>
              </w:rPr>
              <w:t>PNUD</w:t>
            </w:r>
          </w:p>
        </w:tc>
        <w:tc>
          <w:tcPr>
            <w:tcW w:w="1342" w:type="dxa"/>
            <w:tcBorders>
              <w:top w:val="single" w:sz="4" w:space="0" w:color="auto"/>
              <w:left w:val="single" w:sz="4" w:space="0" w:color="auto"/>
              <w:bottom w:val="single" w:sz="4" w:space="0" w:color="auto"/>
              <w:right w:val="single" w:sz="4" w:space="0" w:color="auto"/>
            </w:tcBorders>
            <w:hideMark/>
          </w:tcPr>
          <w:p w14:paraId="5B482A66" w14:textId="77777777" w:rsidR="003F3C24" w:rsidRPr="00065F6D" w:rsidRDefault="003F3C24" w:rsidP="00FC1E29">
            <w:pPr>
              <w:spacing w:after="60"/>
              <w:ind w:left="38"/>
              <w:jc w:val="left"/>
              <w:rPr>
                <w:sz w:val="20"/>
                <w:szCs w:val="20"/>
              </w:rPr>
            </w:pPr>
            <w:r>
              <w:rPr>
                <w:sz w:val="20"/>
                <w:szCs w:val="20"/>
              </w:rPr>
              <w:t>Coûts du projet</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7A8F8137" w14:textId="77777777" w:rsidR="003F3C24" w:rsidRPr="00065F6D" w:rsidRDefault="003F3C24" w:rsidP="00FC1E29">
            <w:pPr>
              <w:spacing w:after="60"/>
              <w:ind w:left="38"/>
              <w:jc w:val="right"/>
              <w:rPr>
                <w:color w:val="000000"/>
                <w:sz w:val="20"/>
                <w:szCs w:val="20"/>
              </w:rPr>
            </w:pPr>
            <w:r>
              <w:rPr>
                <w:rStyle w:val="normaltextrun"/>
                <w:sz w:val="20"/>
                <w:szCs w:val="20"/>
              </w:rPr>
              <w:t>190 839</w:t>
            </w:r>
            <w:r>
              <w:rPr>
                <w:rStyle w:val="eop"/>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6E5D05FA" w14:textId="77777777" w:rsidR="003F3C24" w:rsidRPr="00065F6D" w:rsidRDefault="003F3C24"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1BB3059" w14:textId="77777777" w:rsidR="003F3C24" w:rsidRPr="00065F6D" w:rsidRDefault="003F3C24"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3A88CC" w14:textId="7C487DBC" w:rsidR="003F3C24" w:rsidRPr="00065F6D" w:rsidRDefault="004021F7" w:rsidP="00FC1E29">
            <w:pPr>
              <w:spacing w:after="60"/>
              <w:jc w:val="right"/>
              <w:rPr>
                <w:color w:val="000000"/>
                <w:sz w:val="20"/>
                <w:szCs w:val="20"/>
              </w:rPr>
            </w:pPr>
            <w:r>
              <w:rPr>
                <w:rStyle w:val="normaltextrun"/>
                <w:sz w:val="20"/>
                <w:szCs w:val="20"/>
              </w:rPr>
              <w:t>235 962</w:t>
            </w:r>
            <w:r>
              <w:rPr>
                <w:rStyle w:val="eop"/>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9EB202" w14:textId="77777777" w:rsidR="003F3C24" w:rsidRPr="00065F6D" w:rsidRDefault="003F3C24" w:rsidP="00FC1E29">
            <w:pPr>
              <w:spacing w:after="60"/>
              <w:jc w:val="right"/>
              <w:rPr>
                <w:color w:val="000000"/>
                <w:sz w:val="20"/>
                <w:szCs w:val="20"/>
              </w:rPr>
            </w:pPr>
            <w:r>
              <w:rPr>
                <w:rStyle w:val="normaltextrun"/>
                <w:sz w:val="20"/>
                <w:szCs w:val="20"/>
              </w:rPr>
              <w:t>0</w:t>
            </w:r>
            <w:r>
              <w:rPr>
                <w:rStyle w:val="eop"/>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301FD487" w14:textId="77777777" w:rsidR="003F3C24" w:rsidRPr="00065F6D" w:rsidRDefault="003F3C24" w:rsidP="00FC1E29">
            <w:pPr>
              <w:spacing w:after="60"/>
              <w:jc w:val="right"/>
              <w:rPr>
                <w:color w:val="000000"/>
                <w:sz w:val="20"/>
                <w:szCs w:val="20"/>
              </w:rPr>
            </w:pPr>
            <w:r>
              <w:rPr>
                <w:rStyle w:val="normaltextrun"/>
                <w:sz w:val="20"/>
                <w:szCs w:val="20"/>
              </w:rPr>
              <w:t>98 981</w:t>
            </w:r>
            <w:r>
              <w:rPr>
                <w:rStyle w:val="eop"/>
                <w:sz w:val="20"/>
                <w:szCs w:val="20"/>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50291985" w14:textId="77777777" w:rsidR="003F3C24" w:rsidRPr="00065F6D" w:rsidRDefault="003F3C24" w:rsidP="00FC1E29">
            <w:pPr>
              <w:spacing w:after="60"/>
              <w:jc w:val="right"/>
              <w:rPr>
                <w:color w:val="000000"/>
                <w:sz w:val="20"/>
                <w:szCs w:val="20"/>
              </w:rPr>
            </w:pPr>
            <w:r>
              <w:rPr>
                <w:rStyle w:val="normaltextrun"/>
                <w:sz w:val="20"/>
                <w:szCs w:val="20"/>
              </w:rPr>
              <w:t>0</w:t>
            </w:r>
            <w:r>
              <w:rPr>
                <w:rStyle w:val="eop"/>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3C4D6AC" w14:textId="77777777" w:rsidR="003F3C24" w:rsidRPr="00065F6D" w:rsidRDefault="003F3C24" w:rsidP="00FC1E29">
            <w:pPr>
              <w:spacing w:after="60"/>
              <w:jc w:val="right"/>
              <w:rPr>
                <w:color w:val="000000"/>
                <w:sz w:val="20"/>
                <w:szCs w:val="20"/>
              </w:rPr>
            </w:pPr>
            <w:r>
              <w:rPr>
                <w:rStyle w:val="normaltextrun"/>
                <w:sz w:val="20"/>
                <w:szCs w:val="20"/>
              </w:rPr>
              <w:t>59 218</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416C746D" w14:textId="6CCC5C1E" w:rsidR="003F3C24" w:rsidRPr="00065F6D" w:rsidRDefault="00614647" w:rsidP="00614647">
            <w:pPr>
              <w:spacing w:after="60"/>
              <w:jc w:val="right"/>
              <w:rPr>
                <w:color w:val="000000"/>
                <w:sz w:val="20"/>
                <w:szCs w:val="20"/>
              </w:rPr>
            </w:pPr>
            <w:r>
              <w:rPr>
                <w:rStyle w:val="normaltextrun"/>
                <w:color w:val="000000"/>
                <w:sz w:val="20"/>
                <w:szCs w:val="20"/>
              </w:rPr>
              <w:t>585 000</w:t>
            </w:r>
          </w:p>
        </w:tc>
      </w:tr>
      <w:tr w:rsidR="003F3C24" w:rsidRPr="00065F6D" w14:paraId="7E842C73" w14:textId="77777777" w:rsidTr="00D24DD9">
        <w:trPr>
          <w:trHeight w:val="45"/>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79EE8CA" w14:textId="77777777" w:rsidR="003F3C24" w:rsidRPr="00065F6D" w:rsidRDefault="003F3C24" w:rsidP="00FC1E29">
            <w:pPr>
              <w:spacing w:after="60"/>
              <w:ind w:left="38"/>
              <w:rPr>
                <w:sz w:val="20"/>
                <w:szCs w:val="20"/>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655570A" w14:textId="77777777" w:rsidR="003F3C24" w:rsidRPr="00065F6D" w:rsidRDefault="003F3C24" w:rsidP="00FC1E29">
            <w:pPr>
              <w:spacing w:after="60"/>
              <w:ind w:left="38"/>
              <w:jc w:val="center"/>
              <w:rPr>
                <w:sz w:val="20"/>
                <w:szCs w:val="20"/>
                <w:lang w:val="en-GB"/>
              </w:rPr>
            </w:pPr>
          </w:p>
        </w:tc>
        <w:tc>
          <w:tcPr>
            <w:tcW w:w="1342" w:type="dxa"/>
            <w:tcBorders>
              <w:top w:val="single" w:sz="4" w:space="0" w:color="auto"/>
              <w:left w:val="single" w:sz="4" w:space="0" w:color="auto"/>
              <w:bottom w:val="single" w:sz="4" w:space="0" w:color="auto"/>
              <w:right w:val="single" w:sz="4" w:space="0" w:color="auto"/>
            </w:tcBorders>
            <w:hideMark/>
          </w:tcPr>
          <w:p w14:paraId="02F8E351" w14:textId="77777777" w:rsidR="003F3C24" w:rsidRPr="00065F6D" w:rsidRDefault="003F3C24" w:rsidP="00FC1E29">
            <w:pPr>
              <w:spacing w:after="60"/>
              <w:ind w:left="38"/>
              <w:jc w:val="left"/>
              <w:rPr>
                <w:sz w:val="20"/>
                <w:szCs w:val="20"/>
              </w:rPr>
            </w:pPr>
            <w:r>
              <w:rPr>
                <w:sz w:val="20"/>
                <w:szCs w:val="20"/>
              </w:rPr>
              <w:t>Coûts d’appui</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2135553F" w14:textId="77777777" w:rsidR="003F3C24" w:rsidRPr="00065F6D" w:rsidRDefault="003F3C24" w:rsidP="00FC1E29">
            <w:pPr>
              <w:spacing w:after="60"/>
              <w:ind w:left="38"/>
              <w:jc w:val="right"/>
              <w:rPr>
                <w:color w:val="000000"/>
                <w:sz w:val="20"/>
                <w:szCs w:val="20"/>
              </w:rPr>
            </w:pPr>
            <w:r>
              <w:rPr>
                <w:rStyle w:val="normaltextrun"/>
                <w:color w:val="000000"/>
                <w:sz w:val="20"/>
                <w:szCs w:val="20"/>
              </w:rPr>
              <w:t>13 359</w:t>
            </w:r>
            <w:r>
              <w:rPr>
                <w:rStyle w:val="eop"/>
                <w:color w:val="000000"/>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16141BEC" w14:textId="77777777" w:rsidR="003F3C24" w:rsidRPr="00065F6D" w:rsidRDefault="003F3C24"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C7FE289" w14:textId="77777777" w:rsidR="003F3C24" w:rsidRPr="00065F6D" w:rsidRDefault="003F3C24"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226547" w14:textId="3931245E" w:rsidR="003F3C24" w:rsidRPr="00065F6D" w:rsidRDefault="004021F7" w:rsidP="00FC1E29">
            <w:pPr>
              <w:spacing w:after="60"/>
              <w:jc w:val="right"/>
              <w:rPr>
                <w:color w:val="000000"/>
                <w:sz w:val="20"/>
                <w:szCs w:val="20"/>
              </w:rPr>
            </w:pPr>
            <w:r>
              <w:rPr>
                <w:rStyle w:val="normaltextrun"/>
                <w:color w:val="000000"/>
                <w:sz w:val="20"/>
                <w:szCs w:val="20"/>
              </w:rPr>
              <w:t>16 517</w:t>
            </w:r>
            <w:r>
              <w:rPr>
                <w:rStyle w:val="eop"/>
                <w:color w:val="000000"/>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9447E2" w14:textId="77777777" w:rsidR="003F3C24" w:rsidRPr="00065F6D" w:rsidRDefault="003F3C24"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069682F2" w14:textId="77777777" w:rsidR="003F3C24" w:rsidRPr="00065F6D" w:rsidRDefault="003F3C24" w:rsidP="00FC1E29">
            <w:pPr>
              <w:spacing w:after="60"/>
              <w:jc w:val="right"/>
              <w:rPr>
                <w:color w:val="000000"/>
                <w:sz w:val="20"/>
                <w:szCs w:val="20"/>
              </w:rPr>
            </w:pPr>
            <w:r>
              <w:rPr>
                <w:rStyle w:val="normaltextrun"/>
                <w:color w:val="000000"/>
                <w:sz w:val="20"/>
                <w:szCs w:val="20"/>
              </w:rPr>
              <w:t>6 929</w:t>
            </w:r>
            <w:r>
              <w:rPr>
                <w:rStyle w:val="eop"/>
                <w:color w:val="000000"/>
                <w:sz w:val="20"/>
                <w:szCs w:val="20"/>
              </w:rPr>
              <w:t> </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572A2939" w14:textId="77777777" w:rsidR="003F3C24" w:rsidRPr="00065F6D" w:rsidRDefault="003F3C24"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7C491A" w14:textId="77777777" w:rsidR="003F3C24" w:rsidRPr="00065F6D" w:rsidRDefault="003F3C24" w:rsidP="00FC1E29">
            <w:pPr>
              <w:spacing w:after="60"/>
              <w:jc w:val="right"/>
              <w:rPr>
                <w:color w:val="000000"/>
                <w:sz w:val="20"/>
                <w:szCs w:val="20"/>
              </w:rPr>
            </w:pPr>
            <w:r>
              <w:rPr>
                <w:rStyle w:val="normaltextrun"/>
                <w:color w:val="000000"/>
                <w:sz w:val="20"/>
                <w:szCs w:val="20"/>
              </w:rPr>
              <w:t>4 145</w:t>
            </w:r>
            <w:r>
              <w:rPr>
                <w:rStyle w:val="eop"/>
                <w:color w:val="000000"/>
                <w:sz w:val="20"/>
                <w:szCs w:val="20"/>
              </w:rPr>
              <w:t> </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460D124F" w14:textId="076921E0" w:rsidR="003F3C24" w:rsidRPr="00065F6D" w:rsidRDefault="003F3C24" w:rsidP="00FC1E29">
            <w:pPr>
              <w:spacing w:after="60"/>
              <w:jc w:val="right"/>
              <w:rPr>
                <w:color w:val="000000"/>
                <w:sz w:val="20"/>
                <w:szCs w:val="20"/>
              </w:rPr>
            </w:pPr>
            <w:r>
              <w:rPr>
                <w:rStyle w:val="normaltextrun"/>
                <w:color w:val="000000"/>
                <w:sz w:val="20"/>
                <w:szCs w:val="20"/>
              </w:rPr>
              <w:t>40 950</w:t>
            </w:r>
            <w:r>
              <w:rPr>
                <w:rStyle w:val="eop"/>
                <w:color w:val="000000"/>
                <w:sz w:val="20"/>
                <w:szCs w:val="20"/>
              </w:rPr>
              <w:t> </w:t>
            </w:r>
          </w:p>
        </w:tc>
      </w:tr>
      <w:tr w:rsidR="0084559D" w:rsidRPr="00065F6D" w14:paraId="770FB831" w14:textId="77777777" w:rsidTr="00D24DD9">
        <w:trPr>
          <w:trHeight w:val="98"/>
          <w:jc w:val="center"/>
        </w:trPr>
        <w:tc>
          <w:tcPr>
            <w:tcW w:w="2972" w:type="dxa"/>
            <w:gridSpan w:val="2"/>
            <w:vMerge w:val="restart"/>
            <w:tcBorders>
              <w:top w:val="single" w:sz="4" w:space="0" w:color="auto"/>
              <w:left w:val="single" w:sz="4" w:space="0" w:color="auto"/>
              <w:bottom w:val="single" w:sz="4" w:space="0" w:color="auto"/>
              <w:right w:val="single" w:sz="4" w:space="0" w:color="auto"/>
            </w:tcBorders>
            <w:hideMark/>
          </w:tcPr>
          <w:p w14:paraId="2FAA2A1F" w14:textId="77777777" w:rsidR="0084559D" w:rsidRPr="00065F6D" w:rsidRDefault="0084559D" w:rsidP="00FC1E29">
            <w:pPr>
              <w:spacing w:after="60"/>
              <w:ind w:left="38"/>
              <w:jc w:val="left"/>
              <w:rPr>
                <w:sz w:val="20"/>
                <w:szCs w:val="20"/>
              </w:rPr>
            </w:pPr>
            <w:r>
              <w:rPr>
                <w:sz w:val="20"/>
                <w:szCs w:val="20"/>
              </w:rPr>
              <w:t xml:space="preserve">Fonds approuvés par </w:t>
            </w:r>
            <w:proofErr w:type="spellStart"/>
            <w:r>
              <w:rPr>
                <w:sz w:val="20"/>
                <w:szCs w:val="20"/>
              </w:rPr>
              <w:t>ExCom</w:t>
            </w:r>
            <w:proofErr w:type="spellEnd"/>
            <w:r>
              <w:rPr>
                <w:sz w:val="20"/>
                <w:szCs w:val="20"/>
              </w:rPr>
              <w:t xml:space="preserve"> ($ US)</w:t>
            </w:r>
          </w:p>
        </w:tc>
        <w:tc>
          <w:tcPr>
            <w:tcW w:w="1342" w:type="dxa"/>
            <w:tcBorders>
              <w:top w:val="single" w:sz="4" w:space="0" w:color="auto"/>
              <w:left w:val="single" w:sz="4" w:space="0" w:color="auto"/>
              <w:bottom w:val="single" w:sz="4" w:space="0" w:color="auto"/>
              <w:right w:val="single" w:sz="4" w:space="0" w:color="auto"/>
            </w:tcBorders>
            <w:hideMark/>
          </w:tcPr>
          <w:p w14:paraId="2E1EA1EF" w14:textId="77777777" w:rsidR="0084559D" w:rsidRPr="00065F6D" w:rsidRDefault="0084559D" w:rsidP="00FC1E29">
            <w:pPr>
              <w:spacing w:after="60"/>
              <w:ind w:left="38"/>
              <w:jc w:val="left"/>
              <w:rPr>
                <w:sz w:val="20"/>
                <w:szCs w:val="20"/>
              </w:rPr>
            </w:pPr>
            <w:r>
              <w:rPr>
                <w:sz w:val="20"/>
                <w:szCs w:val="20"/>
              </w:rPr>
              <w:t>Coûts du projet</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683709EA" w14:textId="77777777" w:rsidR="0084559D" w:rsidRPr="00065F6D" w:rsidRDefault="0084559D" w:rsidP="00FC1E29">
            <w:pPr>
              <w:spacing w:after="60"/>
              <w:ind w:left="38"/>
              <w:jc w:val="right"/>
              <w:rPr>
                <w:color w:val="000000"/>
                <w:sz w:val="20"/>
                <w:szCs w:val="20"/>
              </w:rPr>
            </w:pPr>
            <w:r>
              <w:rPr>
                <w:rStyle w:val="normaltextrun"/>
                <w:sz w:val="20"/>
                <w:szCs w:val="20"/>
              </w:rPr>
              <w:t>190 839</w:t>
            </w:r>
            <w:r>
              <w:rPr>
                <w:rStyle w:val="eop"/>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228449C6"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80EFCC2"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03716D" w14:textId="77777777" w:rsidR="0084559D" w:rsidRPr="00065F6D" w:rsidRDefault="0084559D" w:rsidP="00FC1E29">
            <w:pPr>
              <w:spacing w:after="60"/>
              <w:jc w:val="right"/>
              <w:rPr>
                <w:color w:val="000000"/>
                <w:sz w:val="20"/>
                <w:szCs w:val="20"/>
              </w:rPr>
            </w:pPr>
            <w:r>
              <w:rPr>
                <w:color w:val="000000"/>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2318FF"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3282C389" w14:textId="77777777" w:rsidR="0084559D" w:rsidRPr="00065F6D" w:rsidRDefault="0084559D" w:rsidP="00FC1E29">
            <w:pPr>
              <w:spacing w:after="60"/>
              <w:jc w:val="right"/>
              <w:rPr>
                <w:color w:val="000000"/>
                <w:sz w:val="20"/>
                <w:szCs w:val="20"/>
              </w:rPr>
            </w:pPr>
            <w:r>
              <w:rPr>
                <w:color w:val="000000"/>
                <w:sz w:val="20"/>
                <w:szCs w:val="20"/>
              </w:rPr>
              <w:t>0</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5D942187" w14:textId="77777777" w:rsidR="0084559D" w:rsidRPr="00065F6D" w:rsidRDefault="0084559D" w:rsidP="00FC1E29">
            <w:pPr>
              <w:spacing w:after="60"/>
              <w:jc w:val="right"/>
              <w:rPr>
                <w:color w:val="000000"/>
                <w:sz w:val="20"/>
                <w:szCs w:val="20"/>
              </w:rPr>
            </w:pPr>
            <w:r>
              <w:rPr>
                <w:rStyle w:val="normaltextrun"/>
                <w:sz w:val="20"/>
                <w:szCs w:val="20"/>
              </w:rPr>
              <w:t>0</w:t>
            </w:r>
            <w:r>
              <w:rPr>
                <w:rStyle w:val="eop"/>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D7322E" w14:textId="77777777" w:rsidR="0084559D" w:rsidRPr="00065F6D" w:rsidRDefault="0084559D" w:rsidP="00FC1E29">
            <w:pPr>
              <w:spacing w:after="60"/>
              <w:jc w:val="right"/>
              <w:rPr>
                <w:color w:val="000000"/>
                <w:sz w:val="20"/>
                <w:szCs w:val="20"/>
              </w:rPr>
            </w:pPr>
            <w:r>
              <w:rPr>
                <w:color w:val="000000"/>
                <w:sz w:val="20"/>
                <w:szCs w:val="20"/>
              </w:rPr>
              <w:t>0</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58ACC508" w14:textId="77777777" w:rsidR="0084559D" w:rsidRPr="00065F6D" w:rsidRDefault="0084559D" w:rsidP="00FC1E29">
            <w:pPr>
              <w:spacing w:after="60"/>
              <w:jc w:val="right"/>
              <w:rPr>
                <w:color w:val="000000"/>
                <w:sz w:val="20"/>
                <w:szCs w:val="20"/>
              </w:rPr>
            </w:pPr>
            <w:r>
              <w:rPr>
                <w:rStyle w:val="normaltextrun"/>
                <w:sz w:val="20"/>
                <w:szCs w:val="20"/>
              </w:rPr>
              <w:t>190 839</w:t>
            </w:r>
            <w:r>
              <w:rPr>
                <w:rStyle w:val="eop"/>
                <w:sz w:val="20"/>
                <w:szCs w:val="20"/>
              </w:rPr>
              <w:t> </w:t>
            </w:r>
          </w:p>
        </w:tc>
      </w:tr>
      <w:tr w:rsidR="0084559D" w:rsidRPr="00065F6D" w14:paraId="6B30C024" w14:textId="77777777" w:rsidTr="00D24DD9">
        <w:trPr>
          <w:trHeight w:val="77"/>
          <w:jc w:val="center"/>
        </w:trPr>
        <w:tc>
          <w:tcPr>
            <w:tcW w:w="2972" w:type="dxa"/>
            <w:gridSpan w:val="2"/>
            <w:vMerge/>
            <w:tcBorders>
              <w:top w:val="single" w:sz="4" w:space="0" w:color="auto"/>
              <w:left w:val="single" w:sz="4" w:space="0" w:color="auto"/>
              <w:bottom w:val="single" w:sz="4" w:space="0" w:color="auto"/>
              <w:right w:val="single" w:sz="4" w:space="0" w:color="auto"/>
            </w:tcBorders>
            <w:hideMark/>
          </w:tcPr>
          <w:p w14:paraId="311A2C68" w14:textId="77777777" w:rsidR="0084559D" w:rsidRPr="00065F6D" w:rsidRDefault="0084559D" w:rsidP="00FC1E29">
            <w:pPr>
              <w:spacing w:after="60"/>
              <w:ind w:left="38"/>
              <w:jc w:val="left"/>
              <w:rPr>
                <w:sz w:val="20"/>
                <w:szCs w:val="20"/>
                <w:lang w:val="en-GB"/>
              </w:rPr>
            </w:pPr>
          </w:p>
        </w:tc>
        <w:tc>
          <w:tcPr>
            <w:tcW w:w="1342" w:type="dxa"/>
            <w:tcBorders>
              <w:top w:val="single" w:sz="4" w:space="0" w:color="auto"/>
              <w:left w:val="single" w:sz="4" w:space="0" w:color="auto"/>
              <w:bottom w:val="single" w:sz="4" w:space="0" w:color="auto"/>
              <w:right w:val="single" w:sz="4" w:space="0" w:color="auto"/>
            </w:tcBorders>
            <w:hideMark/>
          </w:tcPr>
          <w:p w14:paraId="54266E51" w14:textId="77777777" w:rsidR="0084559D" w:rsidRPr="00065F6D" w:rsidRDefault="0084559D" w:rsidP="00FC1E29">
            <w:pPr>
              <w:spacing w:after="60"/>
              <w:ind w:left="38"/>
              <w:jc w:val="left"/>
              <w:rPr>
                <w:sz w:val="20"/>
                <w:szCs w:val="20"/>
              </w:rPr>
            </w:pPr>
            <w:r>
              <w:rPr>
                <w:sz w:val="20"/>
                <w:szCs w:val="20"/>
              </w:rPr>
              <w:t>Coûts d’appui</w:t>
            </w:r>
          </w:p>
        </w:tc>
        <w:tc>
          <w:tcPr>
            <w:tcW w:w="933" w:type="dxa"/>
            <w:tcBorders>
              <w:top w:val="single" w:sz="4" w:space="0" w:color="auto"/>
              <w:left w:val="single" w:sz="4" w:space="0" w:color="auto"/>
              <w:bottom w:val="single" w:sz="4" w:space="0" w:color="auto"/>
              <w:right w:val="single" w:sz="4" w:space="0" w:color="auto"/>
            </w:tcBorders>
            <w:shd w:val="clear" w:color="auto" w:fill="auto"/>
          </w:tcPr>
          <w:p w14:paraId="6162FFC7" w14:textId="77777777" w:rsidR="0084559D" w:rsidRPr="00065F6D" w:rsidRDefault="0084559D" w:rsidP="00FC1E29">
            <w:pPr>
              <w:spacing w:after="60"/>
              <w:ind w:left="38"/>
              <w:jc w:val="right"/>
              <w:rPr>
                <w:color w:val="000000"/>
                <w:sz w:val="20"/>
                <w:szCs w:val="20"/>
              </w:rPr>
            </w:pPr>
            <w:r>
              <w:rPr>
                <w:rStyle w:val="normaltextrun"/>
                <w:color w:val="000000"/>
                <w:sz w:val="20"/>
                <w:szCs w:val="20"/>
              </w:rPr>
              <w:t>13 359</w:t>
            </w:r>
            <w:r>
              <w:rPr>
                <w:rStyle w:val="eop"/>
                <w:color w:val="000000"/>
                <w:sz w:val="20"/>
                <w:szCs w:val="20"/>
              </w:rPr>
              <w:t> </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2DFB53C7"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DC9D502"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FD6DCA" w14:textId="77777777" w:rsidR="0084559D" w:rsidRPr="00065F6D" w:rsidRDefault="0084559D" w:rsidP="00FC1E29">
            <w:pPr>
              <w:spacing w:after="60"/>
              <w:jc w:val="right"/>
              <w:rPr>
                <w:color w:val="000000"/>
                <w:sz w:val="20"/>
                <w:szCs w:val="20"/>
              </w:rPr>
            </w:pPr>
            <w:r>
              <w:rPr>
                <w:color w:val="000000"/>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F69C3D6"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078AC056" w14:textId="77777777" w:rsidR="0084559D" w:rsidRPr="00065F6D" w:rsidRDefault="0084559D" w:rsidP="00FC1E29">
            <w:pPr>
              <w:spacing w:after="60"/>
              <w:jc w:val="right"/>
              <w:rPr>
                <w:color w:val="000000"/>
                <w:sz w:val="20"/>
                <w:szCs w:val="20"/>
              </w:rPr>
            </w:pPr>
            <w:r>
              <w:rPr>
                <w:color w:val="000000"/>
                <w:sz w:val="20"/>
                <w:szCs w:val="20"/>
              </w:rPr>
              <w:t>0</w:t>
            </w:r>
          </w:p>
        </w:tc>
        <w:tc>
          <w:tcPr>
            <w:tcW w:w="717" w:type="dxa"/>
            <w:tcBorders>
              <w:top w:val="single" w:sz="4" w:space="0" w:color="auto"/>
              <w:left w:val="single" w:sz="4" w:space="0" w:color="auto"/>
              <w:bottom w:val="single" w:sz="4" w:space="0" w:color="auto"/>
              <w:right w:val="single" w:sz="4" w:space="0" w:color="auto"/>
            </w:tcBorders>
            <w:shd w:val="clear" w:color="auto" w:fill="auto"/>
          </w:tcPr>
          <w:p w14:paraId="710163AE" w14:textId="77777777" w:rsidR="0084559D" w:rsidRPr="00065F6D" w:rsidRDefault="0084559D" w:rsidP="00FC1E29">
            <w:pPr>
              <w:spacing w:after="60"/>
              <w:jc w:val="right"/>
              <w:rPr>
                <w:color w:val="000000"/>
                <w:sz w:val="20"/>
                <w:szCs w:val="20"/>
              </w:rPr>
            </w:pPr>
            <w:r>
              <w:rPr>
                <w:rStyle w:val="normaltextrun"/>
                <w:color w:val="000000"/>
                <w:sz w:val="20"/>
                <w:szCs w:val="20"/>
              </w:rPr>
              <w:t>0</w:t>
            </w:r>
            <w:r>
              <w:rPr>
                <w:rStyle w:val="eop"/>
                <w:color w:val="000000"/>
                <w:sz w:val="20"/>
                <w:szCs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59EC24" w14:textId="77777777" w:rsidR="0084559D" w:rsidRPr="00065F6D" w:rsidRDefault="0084559D" w:rsidP="00FC1E29">
            <w:pPr>
              <w:spacing w:after="60"/>
              <w:jc w:val="right"/>
              <w:rPr>
                <w:color w:val="000000"/>
                <w:sz w:val="20"/>
                <w:szCs w:val="20"/>
              </w:rPr>
            </w:pPr>
            <w:r>
              <w:rPr>
                <w:color w:val="000000"/>
                <w:sz w:val="20"/>
                <w:szCs w:val="20"/>
              </w:rPr>
              <w:t>0</w:t>
            </w:r>
          </w:p>
        </w:tc>
        <w:tc>
          <w:tcPr>
            <w:tcW w:w="882" w:type="dxa"/>
            <w:tcBorders>
              <w:top w:val="single" w:sz="4" w:space="0" w:color="auto"/>
              <w:left w:val="single" w:sz="4" w:space="0" w:color="auto"/>
              <w:bottom w:val="single" w:sz="4" w:space="0" w:color="auto"/>
              <w:right w:val="single" w:sz="4" w:space="0" w:color="auto"/>
            </w:tcBorders>
            <w:shd w:val="clear" w:color="auto" w:fill="auto"/>
          </w:tcPr>
          <w:p w14:paraId="5DC50A80" w14:textId="77777777" w:rsidR="0084559D" w:rsidRPr="00065F6D" w:rsidRDefault="0084559D" w:rsidP="00FC1E29">
            <w:pPr>
              <w:spacing w:after="60"/>
              <w:jc w:val="right"/>
              <w:rPr>
                <w:color w:val="000000"/>
                <w:sz w:val="20"/>
                <w:szCs w:val="20"/>
              </w:rPr>
            </w:pPr>
            <w:r>
              <w:rPr>
                <w:rStyle w:val="normaltextrun"/>
                <w:color w:val="000000"/>
                <w:sz w:val="20"/>
                <w:szCs w:val="20"/>
              </w:rPr>
              <w:t>13 359</w:t>
            </w:r>
            <w:r>
              <w:rPr>
                <w:rStyle w:val="eop"/>
                <w:color w:val="000000"/>
                <w:sz w:val="20"/>
                <w:szCs w:val="20"/>
              </w:rPr>
              <w:t> </w:t>
            </w:r>
          </w:p>
        </w:tc>
      </w:tr>
      <w:tr w:rsidR="001C3D61" w:rsidRPr="00065F6D" w14:paraId="08161807" w14:textId="77777777" w:rsidTr="00D24DD9">
        <w:trPr>
          <w:trHeight w:val="332"/>
          <w:jc w:val="center"/>
        </w:trPr>
        <w:tc>
          <w:tcPr>
            <w:tcW w:w="2972" w:type="dxa"/>
            <w:gridSpan w:val="2"/>
            <w:vMerge w:val="restart"/>
            <w:tcBorders>
              <w:top w:val="single" w:sz="4" w:space="0" w:color="auto"/>
              <w:left w:val="single" w:sz="4" w:space="0" w:color="auto"/>
              <w:bottom w:val="single" w:sz="4" w:space="0" w:color="auto"/>
              <w:right w:val="single" w:sz="4" w:space="0" w:color="auto"/>
            </w:tcBorders>
            <w:hideMark/>
          </w:tcPr>
          <w:p w14:paraId="484817A5" w14:textId="77777777" w:rsidR="001C3D61" w:rsidRPr="00065F6D" w:rsidRDefault="001C3D61" w:rsidP="001C3D61">
            <w:pPr>
              <w:spacing w:after="60"/>
              <w:ind w:left="38" w:right="-85"/>
              <w:jc w:val="left"/>
              <w:rPr>
                <w:sz w:val="20"/>
                <w:szCs w:val="20"/>
              </w:rPr>
            </w:pPr>
            <w:r>
              <w:rPr>
                <w:sz w:val="19"/>
                <w:szCs w:val="19"/>
              </w:rPr>
              <w:t xml:space="preserve">Total des fonds recommandés pour approbation à cette réunion </w:t>
            </w:r>
            <w:r>
              <w:rPr>
                <w:sz w:val="20"/>
                <w:szCs w:val="20"/>
              </w:rPr>
              <w:t>($ US)</w:t>
            </w:r>
          </w:p>
        </w:tc>
        <w:tc>
          <w:tcPr>
            <w:tcW w:w="1342" w:type="dxa"/>
            <w:tcBorders>
              <w:top w:val="single" w:sz="4" w:space="0" w:color="auto"/>
              <w:left w:val="single" w:sz="4" w:space="0" w:color="auto"/>
              <w:bottom w:val="single" w:sz="4" w:space="0" w:color="auto"/>
              <w:right w:val="single" w:sz="4" w:space="0" w:color="auto"/>
            </w:tcBorders>
            <w:hideMark/>
          </w:tcPr>
          <w:p w14:paraId="10BFE472" w14:textId="77777777" w:rsidR="001C3D61" w:rsidRPr="00065F6D" w:rsidRDefault="001C3D61" w:rsidP="001C3D61">
            <w:pPr>
              <w:spacing w:after="60"/>
              <w:ind w:left="38"/>
              <w:jc w:val="left"/>
              <w:rPr>
                <w:sz w:val="20"/>
                <w:szCs w:val="20"/>
              </w:rPr>
            </w:pPr>
            <w:r>
              <w:rPr>
                <w:sz w:val="20"/>
                <w:szCs w:val="20"/>
              </w:rPr>
              <w:t>Coûts du projet</w:t>
            </w:r>
          </w:p>
        </w:tc>
        <w:tc>
          <w:tcPr>
            <w:tcW w:w="933" w:type="dxa"/>
            <w:tcBorders>
              <w:top w:val="single" w:sz="4" w:space="0" w:color="auto"/>
              <w:left w:val="single" w:sz="4" w:space="0" w:color="auto"/>
              <w:bottom w:val="single" w:sz="4" w:space="0" w:color="auto"/>
              <w:right w:val="single" w:sz="4" w:space="0" w:color="auto"/>
            </w:tcBorders>
          </w:tcPr>
          <w:p w14:paraId="2CAB922D" w14:textId="77777777" w:rsidR="001C3D61" w:rsidRPr="00065F6D" w:rsidRDefault="001C3D61" w:rsidP="001C3D61">
            <w:pPr>
              <w:spacing w:after="60"/>
              <w:ind w:left="38"/>
              <w:jc w:val="right"/>
              <w:rPr>
                <w:color w:val="000000"/>
                <w:sz w:val="20"/>
                <w:szCs w:val="20"/>
                <w:lang w:val="en-GB" w:eastAsia="en-CA"/>
              </w:rPr>
            </w:pPr>
          </w:p>
        </w:tc>
        <w:tc>
          <w:tcPr>
            <w:tcW w:w="604" w:type="dxa"/>
            <w:tcBorders>
              <w:top w:val="single" w:sz="4" w:space="0" w:color="auto"/>
              <w:left w:val="single" w:sz="4" w:space="0" w:color="auto"/>
              <w:bottom w:val="single" w:sz="4" w:space="0" w:color="auto"/>
              <w:right w:val="single" w:sz="4" w:space="0" w:color="auto"/>
            </w:tcBorders>
          </w:tcPr>
          <w:p w14:paraId="4D139AFE" w14:textId="77777777" w:rsidR="001C3D61" w:rsidRPr="00065F6D" w:rsidRDefault="001C3D61" w:rsidP="001C3D61">
            <w:pPr>
              <w:spacing w:after="60"/>
              <w:jc w:val="right"/>
              <w:rPr>
                <w:color w:val="000000"/>
                <w:sz w:val="20"/>
                <w:szCs w:val="20"/>
                <w:lang w:val="en-GB" w:eastAsia="en-CA"/>
              </w:rPr>
            </w:pPr>
          </w:p>
        </w:tc>
        <w:tc>
          <w:tcPr>
            <w:tcW w:w="672" w:type="dxa"/>
            <w:tcBorders>
              <w:top w:val="single" w:sz="4" w:space="0" w:color="auto"/>
              <w:left w:val="single" w:sz="4" w:space="0" w:color="auto"/>
              <w:bottom w:val="single" w:sz="4" w:space="0" w:color="auto"/>
              <w:right w:val="single" w:sz="4" w:space="0" w:color="auto"/>
            </w:tcBorders>
          </w:tcPr>
          <w:p w14:paraId="042DE987" w14:textId="77777777" w:rsidR="001C3D61" w:rsidRPr="00065F6D" w:rsidRDefault="001C3D61" w:rsidP="001C3D61">
            <w:pPr>
              <w:spacing w:after="60"/>
              <w:jc w:val="right"/>
              <w:rPr>
                <w:color w:val="000000"/>
                <w:sz w:val="20"/>
                <w:szCs w:val="20"/>
                <w:lang w:val="en-GB" w:eastAsia="en-CA"/>
              </w:rPr>
            </w:pPr>
          </w:p>
        </w:tc>
        <w:tc>
          <w:tcPr>
            <w:tcW w:w="851" w:type="dxa"/>
            <w:tcBorders>
              <w:top w:val="single" w:sz="4" w:space="0" w:color="auto"/>
              <w:left w:val="single" w:sz="4" w:space="0" w:color="auto"/>
              <w:bottom w:val="single" w:sz="4" w:space="0" w:color="auto"/>
              <w:right w:val="single" w:sz="4" w:space="0" w:color="auto"/>
            </w:tcBorders>
          </w:tcPr>
          <w:p w14:paraId="70649F0E" w14:textId="6714A68A" w:rsidR="001C3D61" w:rsidRPr="00065F6D" w:rsidRDefault="001C3D61" w:rsidP="001C3D61">
            <w:pPr>
              <w:spacing w:after="60"/>
              <w:jc w:val="right"/>
              <w:rPr>
                <w:color w:val="000000"/>
                <w:sz w:val="20"/>
                <w:szCs w:val="20"/>
              </w:rPr>
            </w:pPr>
            <w:r>
              <w:rPr>
                <w:color w:val="000000"/>
                <w:sz w:val="20"/>
                <w:szCs w:val="20"/>
              </w:rPr>
              <w:t>235 962</w:t>
            </w:r>
          </w:p>
        </w:tc>
        <w:tc>
          <w:tcPr>
            <w:tcW w:w="708" w:type="dxa"/>
            <w:tcBorders>
              <w:top w:val="single" w:sz="4" w:space="0" w:color="auto"/>
              <w:left w:val="single" w:sz="4" w:space="0" w:color="auto"/>
              <w:bottom w:val="single" w:sz="4" w:space="0" w:color="auto"/>
              <w:right w:val="single" w:sz="4" w:space="0" w:color="auto"/>
            </w:tcBorders>
          </w:tcPr>
          <w:p w14:paraId="5F36D312" w14:textId="77777777" w:rsidR="001C3D61" w:rsidRPr="00065F6D" w:rsidRDefault="001C3D61" w:rsidP="001C3D61">
            <w:pPr>
              <w:spacing w:after="60"/>
              <w:jc w:val="right"/>
              <w:rPr>
                <w:color w:val="000000"/>
                <w:sz w:val="20"/>
                <w:szCs w:val="20"/>
                <w:lang w:val="en-GB" w:eastAsia="en-CA"/>
              </w:rPr>
            </w:pPr>
          </w:p>
        </w:tc>
        <w:tc>
          <w:tcPr>
            <w:tcW w:w="843" w:type="dxa"/>
            <w:tcBorders>
              <w:top w:val="single" w:sz="4" w:space="0" w:color="auto"/>
              <w:left w:val="single" w:sz="4" w:space="0" w:color="auto"/>
              <w:bottom w:val="single" w:sz="4" w:space="0" w:color="auto"/>
              <w:right w:val="single" w:sz="4" w:space="0" w:color="auto"/>
            </w:tcBorders>
          </w:tcPr>
          <w:p w14:paraId="554C4476" w14:textId="77777777" w:rsidR="001C3D61" w:rsidRPr="00065F6D" w:rsidRDefault="001C3D61" w:rsidP="001C3D61">
            <w:pPr>
              <w:spacing w:after="60"/>
              <w:jc w:val="right"/>
              <w:rPr>
                <w:color w:val="000000"/>
                <w:sz w:val="20"/>
                <w:szCs w:val="20"/>
                <w:lang w:val="en-GB" w:eastAsia="en-CA"/>
              </w:rPr>
            </w:pPr>
          </w:p>
        </w:tc>
        <w:tc>
          <w:tcPr>
            <w:tcW w:w="717" w:type="dxa"/>
            <w:tcBorders>
              <w:top w:val="single" w:sz="4" w:space="0" w:color="auto"/>
              <w:left w:val="single" w:sz="4" w:space="0" w:color="auto"/>
              <w:bottom w:val="single" w:sz="4" w:space="0" w:color="auto"/>
              <w:right w:val="single" w:sz="4" w:space="0" w:color="auto"/>
            </w:tcBorders>
          </w:tcPr>
          <w:p w14:paraId="69EB446C" w14:textId="77777777" w:rsidR="001C3D61" w:rsidRPr="00065F6D" w:rsidRDefault="001C3D61" w:rsidP="001C3D61">
            <w:pPr>
              <w:spacing w:after="60"/>
              <w:jc w:val="right"/>
              <w:rPr>
                <w:color w:val="000000"/>
                <w:sz w:val="20"/>
                <w:szCs w:val="20"/>
                <w:lang w:val="en-GB" w:eastAsia="en-CA"/>
              </w:rPr>
            </w:pPr>
          </w:p>
        </w:tc>
        <w:tc>
          <w:tcPr>
            <w:tcW w:w="708" w:type="dxa"/>
            <w:tcBorders>
              <w:top w:val="single" w:sz="4" w:space="0" w:color="auto"/>
              <w:left w:val="single" w:sz="4" w:space="0" w:color="auto"/>
              <w:bottom w:val="single" w:sz="4" w:space="0" w:color="auto"/>
              <w:right w:val="single" w:sz="4" w:space="0" w:color="auto"/>
            </w:tcBorders>
          </w:tcPr>
          <w:p w14:paraId="01ACD01C" w14:textId="77777777" w:rsidR="001C3D61" w:rsidRPr="00065F6D" w:rsidRDefault="001C3D61" w:rsidP="001C3D61">
            <w:pPr>
              <w:spacing w:after="60"/>
              <w:jc w:val="right"/>
              <w:rPr>
                <w:color w:val="000000"/>
                <w:sz w:val="20"/>
                <w:szCs w:val="20"/>
                <w:lang w:val="en-GB" w:eastAsia="en-CA"/>
              </w:rPr>
            </w:pPr>
          </w:p>
        </w:tc>
        <w:tc>
          <w:tcPr>
            <w:tcW w:w="882" w:type="dxa"/>
            <w:tcBorders>
              <w:top w:val="single" w:sz="4" w:space="0" w:color="auto"/>
              <w:left w:val="single" w:sz="4" w:space="0" w:color="auto"/>
              <w:bottom w:val="single" w:sz="4" w:space="0" w:color="auto"/>
              <w:right w:val="single" w:sz="4" w:space="0" w:color="auto"/>
            </w:tcBorders>
          </w:tcPr>
          <w:p w14:paraId="5DB872B9" w14:textId="4BD1C5DC" w:rsidR="001C3D61" w:rsidRPr="00065F6D" w:rsidRDefault="001C3D61" w:rsidP="001C3D61">
            <w:pPr>
              <w:spacing w:after="60"/>
              <w:jc w:val="right"/>
              <w:rPr>
                <w:color w:val="000000"/>
                <w:sz w:val="20"/>
                <w:szCs w:val="20"/>
              </w:rPr>
            </w:pPr>
            <w:r>
              <w:rPr>
                <w:color w:val="000000"/>
                <w:sz w:val="20"/>
                <w:szCs w:val="20"/>
              </w:rPr>
              <w:t>235 952</w:t>
            </w:r>
          </w:p>
        </w:tc>
      </w:tr>
      <w:tr w:rsidR="001C3D61" w:rsidRPr="00065F6D" w14:paraId="757784E7" w14:textId="77777777" w:rsidTr="00D24DD9">
        <w:trPr>
          <w:trHeight w:val="332"/>
          <w:jc w:val="center"/>
        </w:trPr>
        <w:tc>
          <w:tcPr>
            <w:tcW w:w="2972" w:type="dxa"/>
            <w:gridSpan w:val="2"/>
            <w:vMerge/>
            <w:tcBorders>
              <w:top w:val="single" w:sz="4" w:space="0" w:color="auto"/>
              <w:left w:val="single" w:sz="4" w:space="0" w:color="auto"/>
              <w:bottom w:val="single" w:sz="4" w:space="0" w:color="auto"/>
              <w:right w:val="single" w:sz="4" w:space="0" w:color="auto"/>
            </w:tcBorders>
            <w:vAlign w:val="center"/>
            <w:hideMark/>
          </w:tcPr>
          <w:p w14:paraId="52A46F7A" w14:textId="77777777" w:rsidR="001C3D61" w:rsidRPr="00065F6D" w:rsidRDefault="001C3D61" w:rsidP="001C3D61">
            <w:pPr>
              <w:ind w:left="38"/>
              <w:rPr>
                <w:sz w:val="20"/>
                <w:szCs w:val="20"/>
                <w:lang w:val="en-GB"/>
              </w:rPr>
            </w:pPr>
          </w:p>
        </w:tc>
        <w:tc>
          <w:tcPr>
            <w:tcW w:w="1342" w:type="dxa"/>
            <w:tcBorders>
              <w:top w:val="single" w:sz="4" w:space="0" w:color="auto"/>
              <w:left w:val="single" w:sz="4" w:space="0" w:color="auto"/>
              <w:bottom w:val="single" w:sz="4" w:space="0" w:color="auto"/>
              <w:right w:val="single" w:sz="4" w:space="0" w:color="auto"/>
            </w:tcBorders>
            <w:hideMark/>
          </w:tcPr>
          <w:p w14:paraId="0955783C" w14:textId="77777777" w:rsidR="001C3D61" w:rsidRPr="00065F6D" w:rsidRDefault="001C3D61" w:rsidP="001C3D61">
            <w:pPr>
              <w:spacing w:afterLines="20" w:after="48"/>
              <w:ind w:left="38"/>
              <w:jc w:val="left"/>
              <w:rPr>
                <w:sz w:val="20"/>
                <w:szCs w:val="20"/>
              </w:rPr>
            </w:pPr>
            <w:r>
              <w:rPr>
                <w:sz w:val="20"/>
                <w:szCs w:val="20"/>
              </w:rPr>
              <w:t>Coûts d’appui</w:t>
            </w:r>
          </w:p>
        </w:tc>
        <w:tc>
          <w:tcPr>
            <w:tcW w:w="933" w:type="dxa"/>
            <w:tcBorders>
              <w:top w:val="single" w:sz="4" w:space="0" w:color="auto"/>
              <w:left w:val="single" w:sz="4" w:space="0" w:color="auto"/>
              <w:bottom w:val="single" w:sz="4" w:space="0" w:color="auto"/>
              <w:right w:val="single" w:sz="4" w:space="0" w:color="auto"/>
            </w:tcBorders>
          </w:tcPr>
          <w:p w14:paraId="2EF25244" w14:textId="77777777" w:rsidR="001C3D61" w:rsidRPr="00065F6D" w:rsidRDefault="001C3D61" w:rsidP="001C3D61">
            <w:pPr>
              <w:spacing w:afterLines="20" w:after="48"/>
              <w:ind w:left="38"/>
              <w:jc w:val="right"/>
              <w:rPr>
                <w:color w:val="000000"/>
                <w:sz w:val="20"/>
                <w:szCs w:val="20"/>
                <w:lang w:val="en-GB" w:eastAsia="en-CA"/>
              </w:rPr>
            </w:pPr>
          </w:p>
        </w:tc>
        <w:tc>
          <w:tcPr>
            <w:tcW w:w="604" w:type="dxa"/>
            <w:tcBorders>
              <w:top w:val="single" w:sz="4" w:space="0" w:color="auto"/>
              <w:left w:val="single" w:sz="4" w:space="0" w:color="auto"/>
              <w:bottom w:val="single" w:sz="4" w:space="0" w:color="auto"/>
              <w:right w:val="single" w:sz="4" w:space="0" w:color="auto"/>
            </w:tcBorders>
          </w:tcPr>
          <w:p w14:paraId="214AC496" w14:textId="77777777" w:rsidR="001C3D61" w:rsidRPr="00065F6D" w:rsidRDefault="001C3D61" w:rsidP="001C3D61">
            <w:pPr>
              <w:spacing w:afterLines="20" w:after="48"/>
              <w:jc w:val="right"/>
              <w:rPr>
                <w:color w:val="000000"/>
                <w:sz w:val="20"/>
                <w:szCs w:val="20"/>
                <w:lang w:val="en-GB" w:eastAsia="en-CA"/>
              </w:rPr>
            </w:pPr>
          </w:p>
        </w:tc>
        <w:tc>
          <w:tcPr>
            <w:tcW w:w="672" w:type="dxa"/>
            <w:tcBorders>
              <w:top w:val="single" w:sz="4" w:space="0" w:color="auto"/>
              <w:left w:val="single" w:sz="4" w:space="0" w:color="auto"/>
              <w:bottom w:val="single" w:sz="4" w:space="0" w:color="auto"/>
              <w:right w:val="single" w:sz="4" w:space="0" w:color="auto"/>
            </w:tcBorders>
          </w:tcPr>
          <w:p w14:paraId="4C6465B7" w14:textId="77777777" w:rsidR="001C3D61" w:rsidRPr="00065F6D" w:rsidRDefault="001C3D61" w:rsidP="001C3D61">
            <w:pPr>
              <w:spacing w:afterLines="20" w:after="48"/>
              <w:jc w:val="right"/>
              <w:rPr>
                <w:color w:val="000000"/>
                <w:sz w:val="20"/>
                <w:szCs w:val="20"/>
                <w:lang w:val="en-GB" w:eastAsia="en-CA"/>
              </w:rPr>
            </w:pPr>
          </w:p>
        </w:tc>
        <w:tc>
          <w:tcPr>
            <w:tcW w:w="851" w:type="dxa"/>
            <w:tcBorders>
              <w:top w:val="single" w:sz="4" w:space="0" w:color="auto"/>
              <w:left w:val="single" w:sz="4" w:space="0" w:color="auto"/>
              <w:bottom w:val="single" w:sz="4" w:space="0" w:color="auto"/>
              <w:right w:val="single" w:sz="4" w:space="0" w:color="auto"/>
            </w:tcBorders>
          </w:tcPr>
          <w:p w14:paraId="429EF24D" w14:textId="1C1B263D" w:rsidR="001C3D61" w:rsidRPr="00065F6D" w:rsidRDefault="001C3D61" w:rsidP="001C3D61">
            <w:pPr>
              <w:spacing w:afterLines="20" w:after="48"/>
              <w:jc w:val="right"/>
              <w:rPr>
                <w:color w:val="000000"/>
                <w:sz w:val="20"/>
                <w:szCs w:val="20"/>
              </w:rPr>
            </w:pPr>
            <w:r>
              <w:rPr>
                <w:color w:val="000000"/>
                <w:sz w:val="20"/>
                <w:szCs w:val="20"/>
              </w:rPr>
              <w:t>16 517</w:t>
            </w:r>
          </w:p>
        </w:tc>
        <w:tc>
          <w:tcPr>
            <w:tcW w:w="708" w:type="dxa"/>
            <w:tcBorders>
              <w:top w:val="single" w:sz="4" w:space="0" w:color="auto"/>
              <w:left w:val="single" w:sz="4" w:space="0" w:color="auto"/>
              <w:bottom w:val="single" w:sz="4" w:space="0" w:color="auto"/>
              <w:right w:val="single" w:sz="4" w:space="0" w:color="auto"/>
            </w:tcBorders>
          </w:tcPr>
          <w:p w14:paraId="66C23F20" w14:textId="77777777" w:rsidR="001C3D61" w:rsidRPr="00065F6D" w:rsidRDefault="001C3D61" w:rsidP="001C3D61">
            <w:pPr>
              <w:spacing w:afterLines="20" w:after="48"/>
              <w:jc w:val="right"/>
              <w:rPr>
                <w:color w:val="000000"/>
                <w:sz w:val="20"/>
                <w:szCs w:val="20"/>
                <w:lang w:val="en-GB" w:eastAsia="en-CA"/>
              </w:rPr>
            </w:pPr>
          </w:p>
        </w:tc>
        <w:tc>
          <w:tcPr>
            <w:tcW w:w="843" w:type="dxa"/>
            <w:tcBorders>
              <w:top w:val="single" w:sz="4" w:space="0" w:color="auto"/>
              <w:left w:val="single" w:sz="4" w:space="0" w:color="auto"/>
              <w:bottom w:val="single" w:sz="4" w:space="0" w:color="auto"/>
              <w:right w:val="single" w:sz="4" w:space="0" w:color="auto"/>
            </w:tcBorders>
          </w:tcPr>
          <w:p w14:paraId="44FC8F95" w14:textId="77777777" w:rsidR="001C3D61" w:rsidRPr="00065F6D" w:rsidRDefault="001C3D61" w:rsidP="001C3D61">
            <w:pPr>
              <w:spacing w:afterLines="20" w:after="48"/>
              <w:jc w:val="right"/>
              <w:rPr>
                <w:color w:val="000000"/>
                <w:sz w:val="20"/>
                <w:szCs w:val="20"/>
                <w:lang w:val="en-GB" w:eastAsia="en-CA"/>
              </w:rPr>
            </w:pPr>
          </w:p>
        </w:tc>
        <w:tc>
          <w:tcPr>
            <w:tcW w:w="717" w:type="dxa"/>
            <w:tcBorders>
              <w:top w:val="single" w:sz="4" w:space="0" w:color="auto"/>
              <w:left w:val="single" w:sz="4" w:space="0" w:color="auto"/>
              <w:bottom w:val="single" w:sz="4" w:space="0" w:color="auto"/>
              <w:right w:val="single" w:sz="4" w:space="0" w:color="auto"/>
            </w:tcBorders>
          </w:tcPr>
          <w:p w14:paraId="281D229E" w14:textId="77777777" w:rsidR="001C3D61" w:rsidRPr="00065F6D" w:rsidRDefault="001C3D61" w:rsidP="001C3D61">
            <w:pPr>
              <w:spacing w:afterLines="20" w:after="48"/>
              <w:jc w:val="right"/>
              <w:rPr>
                <w:color w:val="000000"/>
                <w:sz w:val="20"/>
                <w:szCs w:val="20"/>
                <w:lang w:val="en-GB" w:eastAsia="en-CA"/>
              </w:rPr>
            </w:pPr>
          </w:p>
        </w:tc>
        <w:tc>
          <w:tcPr>
            <w:tcW w:w="708" w:type="dxa"/>
            <w:tcBorders>
              <w:top w:val="single" w:sz="4" w:space="0" w:color="auto"/>
              <w:left w:val="single" w:sz="4" w:space="0" w:color="auto"/>
              <w:bottom w:val="single" w:sz="4" w:space="0" w:color="auto"/>
              <w:right w:val="single" w:sz="4" w:space="0" w:color="auto"/>
            </w:tcBorders>
          </w:tcPr>
          <w:p w14:paraId="00C5D8ED" w14:textId="77777777" w:rsidR="001C3D61" w:rsidRPr="00065F6D" w:rsidRDefault="001C3D61" w:rsidP="001C3D61">
            <w:pPr>
              <w:spacing w:afterLines="20" w:after="48"/>
              <w:jc w:val="right"/>
              <w:rPr>
                <w:color w:val="000000"/>
                <w:sz w:val="20"/>
                <w:szCs w:val="20"/>
                <w:lang w:val="en-GB" w:eastAsia="en-CA"/>
              </w:rPr>
            </w:pPr>
          </w:p>
        </w:tc>
        <w:tc>
          <w:tcPr>
            <w:tcW w:w="882" w:type="dxa"/>
            <w:tcBorders>
              <w:top w:val="single" w:sz="4" w:space="0" w:color="auto"/>
              <w:left w:val="single" w:sz="4" w:space="0" w:color="auto"/>
              <w:bottom w:val="single" w:sz="4" w:space="0" w:color="auto"/>
              <w:right w:val="single" w:sz="4" w:space="0" w:color="auto"/>
            </w:tcBorders>
          </w:tcPr>
          <w:p w14:paraId="411FA130" w14:textId="49A058A5" w:rsidR="001C3D61" w:rsidRPr="00065F6D" w:rsidRDefault="001C3D61" w:rsidP="001C3D61">
            <w:pPr>
              <w:spacing w:afterLines="20" w:after="48"/>
              <w:jc w:val="right"/>
              <w:rPr>
                <w:color w:val="000000"/>
                <w:sz w:val="20"/>
                <w:szCs w:val="20"/>
              </w:rPr>
            </w:pPr>
            <w:r>
              <w:rPr>
                <w:color w:val="000000"/>
                <w:sz w:val="20"/>
                <w:szCs w:val="20"/>
              </w:rPr>
              <w:t>16 517</w:t>
            </w:r>
          </w:p>
        </w:tc>
      </w:tr>
    </w:tbl>
    <w:p w14:paraId="05328EC1" w14:textId="370DF631" w:rsidR="00EA598B" w:rsidRPr="00065F6D" w:rsidRDefault="00EA598B" w:rsidP="00FC1E29">
      <w:pPr>
        <w:ind w:right="-563"/>
        <w:rPr>
          <w:sz w:val="18"/>
          <w:szCs w:val="18"/>
          <w:lang w:val="en-GB"/>
        </w:rPr>
      </w:pPr>
    </w:p>
    <w:p w14:paraId="7F9B26E6" w14:textId="77777777" w:rsidR="00EA598B" w:rsidRPr="00065F6D" w:rsidRDefault="00EA598B" w:rsidP="00FC1E29">
      <w:pPr>
        <w:jc w:val="left"/>
        <w:rPr>
          <w:sz w:val="18"/>
          <w:szCs w:val="18"/>
          <w:lang w:val="en-GB"/>
        </w:rPr>
      </w:pPr>
    </w:p>
    <w:tbl>
      <w:tblPr>
        <w:tblStyle w:val="Grigliatabella"/>
        <w:tblW w:w="1127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04"/>
        <w:gridCol w:w="6175"/>
      </w:tblGrid>
      <w:tr w:rsidR="00EA598B" w:rsidRPr="00065F6D" w14:paraId="4F20979F" w14:textId="77777777" w:rsidTr="00D04C7F">
        <w:trPr>
          <w:trHeight w:val="42"/>
          <w:jc w:val="center"/>
        </w:trPr>
        <w:tc>
          <w:tcPr>
            <w:tcW w:w="5104" w:type="dxa"/>
            <w:hideMark/>
          </w:tcPr>
          <w:p w14:paraId="7E304CDF" w14:textId="77777777" w:rsidR="00EA598B" w:rsidRPr="00065F6D" w:rsidRDefault="00EA598B" w:rsidP="00FC1E29">
            <w:pPr>
              <w:spacing w:after="60"/>
              <w:jc w:val="left"/>
              <w:rPr>
                <w:b/>
                <w:sz w:val="20"/>
                <w:szCs w:val="20"/>
              </w:rPr>
            </w:pPr>
            <w:r>
              <w:rPr>
                <w:b/>
                <w:sz w:val="20"/>
                <w:szCs w:val="20"/>
              </w:rPr>
              <w:t>Recommandation du Secrétariat :</w:t>
            </w:r>
          </w:p>
        </w:tc>
        <w:tc>
          <w:tcPr>
            <w:tcW w:w="6175" w:type="dxa"/>
            <w:shd w:val="clear" w:color="auto" w:fill="auto"/>
            <w:hideMark/>
          </w:tcPr>
          <w:p w14:paraId="1E020904" w14:textId="5896B392" w:rsidR="00EA598B" w:rsidRPr="00065F6D" w:rsidRDefault="00EA598B" w:rsidP="00FC1E29">
            <w:pPr>
              <w:spacing w:after="60"/>
              <w:jc w:val="center"/>
              <w:rPr>
                <w:sz w:val="20"/>
                <w:szCs w:val="20"/>
              </w:rPr>
            </w:pPr>
            <w:r>
              <w:rPr>
                <w:sz w:val="20"/>
                <w:szCs w:val="20"/>
              </w:rPr>
              <w:t>Approbation globale</w:t>
            </w:r>
          </w:p>
        </w:tc>
      </w:tr>
    </w:tbl>
    <w:p w14:paraId="30659F4E" w14:textId="77777777" w:rsidR="00EA598B" w:rsidRPr="00065F6D" w:rsidRDefault="00EA598B" w:rsidP="00FC1E29">
      <w:r>
        <w:br w:type="page"/>
      </w:r>
    </w:p>
    <w:p w14:paraId="459D466E" w14:textId="77777777" w:rsidR="00EA598B" w:rsidRPr="00065F6D" w:rsidRDefault="00EA598B" w:rsidP="00FC1E29">
      <w:pPr>
        <w:spacing w:after="240"/>
        <w:jc w:val="center"/>
        <w:rPr>
          <w:b/>
        </w:rPr>
      </w:pPr>
      <w:r>
        <w:rPr>
          <w:b/>
        </w:rPr>
        <w:lastRenderedPageBreak/>
        <w:t>DESCRIPTION DU PROJET</w:t>
      </w:r>
    </w:p>
    <w:p w14:paraId="3DA3D4A9" w14:textId="25EF1BBD" w:rsidR="00EA598B" w:rsidRPr="00065F6D" w:rsidRDefault="00EA598B" w:rsidP="00FC1E29">
      <w:pPr>
        <w:pStyle w:val="Titolo1"/>
      </w:pPr>
      <w:r>
        <w:t>Au nom du gouvernement de la Géorgie, le PNUD, à titre d’agence d’exécution désignée, a présenté une demande de financement pour la deuxième tranche de la phase II du plan de gestion de l’élimination des HCFC (PGEH), pour un montant de 335 952 $ US, plus des coûts d’appui d’agence de 23 517 $ US</w:t>
      </w:r>
      <w:r w:rsidRPr="00065F6D">
        <w:rPr>
          <w:rStyle w:val="Rimandonotaapidipagina"/>
          <w:lang w:val="en-GB"/>
        </w:rPr>
        <w:footnoteReference w:id="2"/>
      </w:r>
      <w:r>
        <w:t>. La présentation comprend un rapport périodique sur la mise en œuvre de la première tranche, le rapport de vérification de la consommation des HCFC pour 2018 à 2022, une demande pour financer des activités supplémentaires de maintien de l’efficacité énergétique dans le secteur de l’entretien en réfrigération</w:t>
      </w:r>
      <w:r w:rsidR="006E4B01" w:rsidRPr="00065F6D">
        <w:rPr>
          <w:rStyle w:val="Rimandonotaapidipagina"/>
          <w:lang w:val="en-GB"/>
        </w:rPr>
        <w:footnoteReference w:id="3"/>
      </w:r>
      <w:r>
        <w:t>, et le plan de mise en œuvre de la tranche pour 2025 à 2028.</w:t>
      </w:r>
    </w:p>
    <w:p w14:paraId="5D57F041" w14:textId="77777777" w:rsidR="00D564E1" w:rsidRPr="00065F6D" w:rsidRDefault="00EA598B" w:rsidP="00D564E1">
      <w:pPr>
        <w:spacing w:after="240"/>
        <w:rPr>
          <w:u w:val="single"/>
        </w:rPr>
      </w:pPr>
      <w:r>
        <w:rPr>
          <w:u w:val="single"/>
        </w:rPr>
        <w:t>Rapport sur la consommation des HCFC</w:t>
      </w:r>
    </w:p>
    <w:p w14:paraId="25CDB33B" w14:textId="6BC3FD59" w:rsidR="00BA0B88" w:rsidRPr="00065F6D" w:rsidRDefault="00EA598B" w:rsidP="00D564E1">
      <w:pPr>
        <w:pStyle w:val="Titolo1"/>
        <w:rPr>
          <w:u w:val="single"/>
        </w:rPr>
      </w:pPr>
      <w:r>
        <w:t xml:space="preserve">Le gouvernement de la Géorgie a communiqué une consommation de 0,86 tonne PAO de HCFC en 2023, ce qui est 83,8 pour cent inférieur à la valeur de référence du pays pour la conformité. La consommation de HCFC pour 2019-2023 est indiquée au tableau 1. </w:t>
      </w:r>
    </w:p>
    <w:p w14:paraId="0FD83652" w14:textId="1CF64A55" w:rsidR="00FC1E29" w:rsidRPr="00065F6D" w:rsidRDefault="00FC1E29" w:rsidP="00FC1E29">
      <w:pPr>
        <w:keepNext/>
        <w:widowControl w:val="0"/>
        <w:rPr>
          <w:b/>
        </w:rPr>
      </w:pPr>
      <w:r>
        <w:rPr>
          <w:b/>
        </w:rPr>
        <w:t>Tableau 1. Consommation de HCFC en Géorgie (2019-2023, données de l’Article</w:t>
      </w:r>
      <w:r w:rsidR="00240CD2">
        <w:rPr>
          <w:b/>
        </w:rPr>
        <w:t> </w:t>
      </w:r>
      <w:r>
        <w:rPr>
          <w:b/>
        </w:rPr>
        <w:t>7)</w:t>
      </w:r>
    </w:p>
    <w:tbl>
      <w:tblPr>
        <w:tblW w:w="5000" w:type="pct"/>
        <w:tblLook w:val="04A0" w:firstRow="1" w:lastRow="0" w:firstColumn="1" w:lastColumn="0" w:noHBand="0" w:noVBand="1"/>
      </w:tblPr>
      <w:tblGrid>
        <w:gridCol w:w="2211"/>
        <w:gridCol w:w="1046"/>
        <w:gridCol w:w="1048"/>
        <w:gridCol w:w="1046"/>
        <w:gridCol w:w="1048"/>
        <w:gridCol w:w="1047"/>
        <w:gridCol w:w="1904"/>
      </w:tblGrid>
      <w:tr w:rsidR="00FC1E29" w:rsidRPr="00065F6D" w14:paraId="503D443B" w14:textId="77777777" w:rsidTr="00755C8E">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A89185" w14:textId="77777777" w:rsidR="00FC1E29" w:rsidRPr="00065F6D" w:rsidRDefault="00FC1E29" w:rsidP="00755C8E">
            <w:pPr>
              <w:widowControl w:val="0"/>
              <w:jc w:val="left"/>
              <w:rPr>
                <w:b/>
                <w:color w:val="000000"/>
                <w:sz w:val="20"/>
              </w:rPr>
            </w:pPr>
            <w:r>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01E3A231" w14:textId="77777777" w:rsidR="00FC1E29" w:rsidRPr="00065F6D" w:rsidRDefault="00FC1E29" w:rsidP="00755C8E">
            <w:pPr>
              <w:widowControl w:val="0"/>
              <w:jc w:val="center"/>
              <w:rPr>
                <w:b/>
                <w:color w:val="000000"/>
                <w:sz w:val="20"/>
              </w:rPr>
            </w:pPr>
            <w:r>
              <w:rPr>
                <w:b/>
                <w:color w:val="000000"/>
                <w:sz w:val="20"/>
              </w:rPr>
              <w:t>2019</w:t>
            </w:r>
          </w:p>
        </w:tc>
        <w:tc>
          <w:tcPr>
            <w:tcW w:w="626" w:type="pct"/>
            <w:tcBorders>
              <w:top w:val="single" w:sz="4" w:space="0" w:color="auto"/>
              <w:left w:val="nil"/>
              <w:bottom w:val="single" w:sz="4" w:space="0" w:color="auto"/>
              <w:right w:val="single" w:sz="4" w:space="0" w:color="auto"/>
            </w:tcBorders>
          </w:tcPr>
          <w:p w14:paraId="14D1E37B" w14:textId="77777777" w:rsidR="00FC1E29" w:rsidRPr="00065F6D" w:rsidRDefault="00FC1E29" w:rsidP="00755C8E">
            <w:pPr>
              <w:widowControl w:val="0"/>
              <w:jc w:val="center"/>
              <w:rPr>
                <w:b/>
                <w:color w:val="000000"/>
                <w:sz w:val="20"/>
              </w:rPr>
            </w:pPr>
            <w:r>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tcPr>
          <w:p w14:paraId="5310A992" w14:textId="77777777" w:rsidR="00FC1E29" w:rsidRPr="00065F6D" w:rsidRDefault="00FC1E29" w:rsidP="00755C8E">
            <w:pPr>
              <w:widowControl w:val="0"/>
              <w:jc w:val="center"/>
              <w:rPr>
                <w:b/>
                <w:color w:val="000000"/>
                <w:sz w:val="20"/>
              </w:rPr>
            </w:pPr>
            <w:r>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4146263F" w14:textId="77777777" w:rsidR="00FC1E29" w:rsidRPr="00065F6D" w:rsidRDefault="00FC1E29" w:rsidP="00755C8E">
            <w:pPr>
              <w:widowControl w:val="0"/>
              <w:jc w:val="center"/>
              <w:rPr>
                <w:b/>
                <w:color w:val="000000"/>
                <w:sz w:val="20"/>
              </w:rPr>
            </w:pPr>
            <w:r>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3B36216B" w14:textId="77777777" w:rsidR="00FC1E29" w:rsidRPr="00065F6D" w:rsidRDefault="00FC1E29" w:rsidP="00755C8E">
            <w:pPr>
              <w:widowControl w:val="0"/>
              <w:jc w:val="center"/>
              <w:rPr>
                <w:b/>
                <w:color w:val="000000"/>
                <w:sz w:val="20"/>
              </w:rPr>
            </w:pPr>
            <w:r>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CDA3E" w14:textId="77777777" w:rsidR="00FC1E29" w:rsidRPr="00065F6D" w:rsidRDefault="00FC1E29" w:rsidP="00755C8E">
            <w:pPr>
              <w:widowControl w:val="0"/>
              <w:jc w:val="center"/>
              <w:rPr>
                <w:b/>
                <w:color w:val="000000"/>
                <w:sz w:val="20"/>
              </w:rPr>
            </w:pPr>
            <w:r>
              <w:rPr>
                <w:b/>
                <w:color w:val="000000"/>
                <w:sz w:val="20"/>
              </w:rPr>
              <w:t>Valeur de référence</w:t>
            </w:r>
          </w:p>
        </w:tc>
      </w:tr>
      <w:tr w:rsidR="00FC1E29" w:rsidRPr="00065F6D" w14:paraId="670051FC" w14:textId="77777777" w:rsidTr="00F92AC4">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6F5EC1" w14:textId="77777777" w:rsidR="00FC1E29" w:rsidRPr="00065F6D" w:rsidRDefault="00FC1E29" w:rsidP="00FC1E29">
            <w:pPr>
              <w:widowControl w:val="0"/>
              <w:jc w:val="left"/>
              <w:rPr>
                <w:b/>
                <w:bCs/>
                <w:color w:val="000000"/>
                <w:sz w:val="20"/>
              </w:rPr>
            </w:pPr>
            <w:r>
              <w:rPr>
                <w:b/>
                <w:bCs/>
                <w:color w:val="000000"/>
                <w:sz w:val="20"/>
              </w:rPr>
              <w:t>Tonnes métriques (</w:t>
            </w:r>
            <w:proofErr w:type="spellStart"/>
            <w:r>
              <w:rPr>
                <w:b/>
                <w:bCs/>
                <w:color w:val="000000"/>
                <w:sz w:val="20"/>
              </w:rPr>
              <w:t>tm</w:t>
            </w:r>
            <w:proofErr w:type="spellEnd"/>
            <w:r>
              <w:rPr>
                <w:b/>
                <w:bCs/>
                <w:color w:val="000000"/>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bottom"/>
          </w:tcPr>
          <w:p w14:paraId="2092EB5B" w14:textId="57B40286" w:rsidR="00FC1E29" w:rsidRPr="00065F6D" w:rsidRDefault="00FC1E29" w:rsidP="00FC1E29">
            <w:pPr>
              <w:ind w:right="-125"/>
              <w:jc w:val="right"/>
              <w:rPr>
                <w:sz w:val="20"/>
                <w:szCs w:val="20"/>
              </w:rPr>
            </w:pPr>
            <w:r>
              <w:rPr>
                <w:color w:val="000000"/>
                <w:sz w:val="20"/>
                <w:szCs w:val="20"/>
              </w:rPr>
              <w:t>43,59</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F5BC259" w14:textId="19E1807D" w:rsidR="00FC1E29" w:rsidRPr="00065F6D" w:rsidRDefault="00FC1E29" w:rsidP="00FC1E29">
            <w:pPr>
              <w:ind w:right="-125"/>
              <w:jc w:val="right"/>
              <w:rPr>
                <w:sz w:val="20"/>
                <w:szCs w:val="20"/>
              </w:rPr>
            </w:pPr>
            <w:r>
              <w:rPr>
                <w:color w:val="000000"/>
                <w:sz w:val="20"/>
                <w:szCs w:val="20"/>
              </w:rPr>
              <w:t>15,50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E3BA454" w14:textId="71D699F5" w:rsidR="00FC1E29" w:rsidRPr="00065F6D" w:rsidRDefault="00FC1E29" w:rsidP="00FC1E29">
            <w:pPr>
              <w:ind w:right="-125"/>
              <w:jc w:val="right"/>
              <w:rPr>
                <w:sz w:val="20"/>
                <w:szCs w:val="20"/>
              </w:rPr>
            </w:pPr>
            <w:r>
              <w:rPr>
                <w:color w:val="000000"/>
                <w:sz w:val="20"/>
                <w:szCs w:val="20"/>
              </w:rPr>
              <w:t>16,69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111BF5BF" w14:textId="50CD8C86" w:rsidR="00FC1E29" w:rsidRPr="00065F6D" w:rsidRDefault="00FC1E29" w:rsidP="00FC1E29">
            <w:pPr>
              <w:widowControl w:val="0"/>
              <w:ind w:right="-125"/>
              <w:jc w:val="right"/>
              <w:rPr>
                <w:rFonts w:eastAsiaTheme="minorHAnsi"/>
                <w:color w:val="000000"/>
                <w:sz w:val="20"/>
                <w:szCs w:val="20"/>
              </w:rPr>
            </w:pPr>
            <w:r>
              <w:rPr>
                <w:color w:val="000000"/>
                <w:sz w:val="20"/>
                <w:szCs w:val="20"/>
              </w:rPr>
              <w:t>17,60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8AF61F2" w14:textId="7F104326" w:rsidR="00FC1E29" w:rsidRPr="00065F6D" w:rsidRDefault="00FC1E29" w:rsidP="00FC1E29">
            <w:pPr>
              <w:ind w:right="-125"/>
              <w:jc w:val="right"/>
              <w:rPr>
                <w:color w:val="000000"/>
                <w:sz w:val="20"/>
                <w:szCs w:val="20"/>
              </w:rPr>
            </w:pPr>
            <w:r>
              <w:rPr>
                <w:color w:val="000000"/>
                <w:sz w:val="20"/>
                <w:szCs w:val="20"/>
              </w:rPr>
              <w:t>15,64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B4D7EA4" w14:textId="79402651" w:rsidR="00FC1E29" w:rsidRPr="00065F6D" w:rsidRDefault="00FC1E29" w:rsidP="00FC1E29">
            <w:pPr>
              <w:widowControl w:val="0"/>
              <w:ind w:right="-125"/>
              <w:jc w:val="right"/>
              <w:rPr>
                <w:color w:val="000000"/>
                <w:sz w:val="20"/>
                <w:szCs w:val="20"/>
              </w:rPr>
            </w:pPr>
            <w:r>
              <w:rPr>
                <w:color w:val="000000"/>
                <w:sz w:val="20"/>
                <w:szCs w:val="20"/>
              </w:rPr>
              <w:t>96,36</w:t>
            </w:r>
          </w:p>
        </w:tc>
      </w:tr>
      <w:tr w:rsidR="00FC1E29" w:rsidRPr="00065F6D" w14:paraId="54DE4D27" w14:textId="77777777" w:rsidTr="00755C8E">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62CDB" w14:textId="77777777" w:rsidR="00FC1E29" w:rsidRPr="00065F6D" w:rsidRDefault="00FC1E29" w:rsidP="00FC1E29">
            <w:pPr>
              <w:widowControl w:val="0"/>
              <w:jc w:val="left"/>
              <w:rPr>
                <w:b/>
                <w:bCs/>
                <w:color w:val="000000"/>
                <w:sz w:val="20"/>
              </w:rPr>
            </w:pPr>
            <w:r>
              <w:rPr>
                <w:b/>
                <w:bCs/>
                <w:color w:val="000000"/>
                <w:sz w:val="20"/>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F038E26" w14:textId="15357E12" w:rsidR="00FC1E29" w:rsidRPr="00065F6D" w:rsidRDefault="00FC1E29" w:rsidP="00FC1E29">
            <w:pPr>
              <w:ind w:right="-125"/>
              <w:jc w:val="right"/>
              <w:rPr>
                <w:sz w:val="20"/>
                <w:szCs w:val="20"/>
              </w:rPr>
            </w:pPr>
            <w:r>
              <w:rPr>
                <w:color w:val="000000"/>
                <w:sz w:val="20"/>
                <w:szCs w:val="20"/>
              </w:rPr>
              <w:t>2,40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6711150" w14:textId="639DDB48" w:rsidR="00FC1E29" w:rsidRPr="00065F6D" w:rsidRDefault="00FC1E29" w:rsidP="00FC1E29">
            <w:pPr>
              <w:ind w:right="-125"/>
              <w:jc w:val="right"/>
              <w:rPr>
                <w:sz w:val="20"/>
                <w:szCs w:val="20"/>
              </w:rPr>
            </w:pPr>
            <w:r>
              <w:rPr>
                <w:color w:val="000000"/>
                <w:sz w:val="20"/>
                <w:szCs w:val="20"/>
              </w:rPr>
              <w:t>0,85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AB1E4CF" w14:textId="1EE56C6B" w:rsidR="00FC1E29" w:rsidRPr="00065F6D" w:rsidRDefault="00FC1E29" w:rsidP="00FC1E29">
            <w:pPr>
              <w:ind w:right="-125"/>
              <w:jc w:val="right"/>
              <w:rPr>
                <w:sz w:val="20"/>
                <w:szCs w:val="20"/>
              </w:rPr>
            </w:pPr>
            <w:r>
              <w:rPr>
                <w:color w:val="000000"/>
                <w:sz w:val="20"/>
                <w:szCs w:val="20"/>
              </w:rPr>
              <w:t>0,92</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5A39C42" w14:textId="72443DFD" w:rsidR="00FC1E29" w:rsidRPr="00065F6D" w:rsidRDefault="00FC1E29" w:rsidP="00FC1E29">
            <w:pPr>
              <w:ind w:right="-125"/>
              <w:jc w:val="right"/>
              <w:rPr>
                <w:rFonts w:eastAsiaTheme="minorHAnsi"/>
                <w:color w:val="000000"/>
                <w:sz w:val="20"/>
                <w:szCs w:val="20"/>
              </w:rPr>
            </w:pPr>
            <w:r>
              <w:rPr>
                <w:sz w:val="20"/>
                <w:szCs w:val="20"/>
              </w:rPr>
              <w:t>0,97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0AE7F9E" w14:textId="256502AB" w:rsidR="00FC1E29" w:rsidRPr="00065F6D" w:rsidRDefault="00FC1E29" w:rsidP="00FC1E29">
            <w:pPr>
              <w:ind w:right="-125"/>
              <w:jc w:val="right"/>
              <w:rPr>
                <w:rFonts w:eastAsiaTheme="minorHAnsi"/>
                <w:color w:val="000000"/>
                <w:sz w:val="20"/>
                <w:szCs w:val="20"/>
              </w:rPr>
            </w:pPr>
            <w:r>
              <w:rPr>
                <w:color w:val="000000"/>
                <w:sz w:val="20"/>
                <w:szCs w:val="20"/>
              </w:rPr>
              <w:t>0,86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162C2F7" w14:textId="17FBF7CC" w:rsidR="00FC1E29" w:rsidRPr="00065F6D" w:rsidRDefault="00FC1E29" w:rsidP="00FC1E29">
            <w:pPr>
              <w:ind w:right="-125"/>
              <w:jc w:val="right"/>
              <w:rPr>
                <w:rFonts w:eastAsiaTheme="minorHAnsi"/>
                <w:color w:val="000000"/>
                <w:sz w:val="20"/>
                <w:szCs w:val="20"/>
              </w:rPr>
            </w:pPr>
            <w:r>
              <w:rPr>
                <w:color w:val="000000"/>
                <w:sz w:val="20"/>
                <w:szCs w:val="20"/>
              </w:rPr>
              <w:t>5,3</w:t>
            </w:r>
          </w:p>
        </w:tc>
      </w:tr>
    </w:tbl>
    <w:p w14:paraId="1E416B76" w14:textId="2363BD03" w:rsidR="0057722A" w:rsidRPr="00065F6D" w:rsidRDefault="00E8410A" w:rsidP="00FC1E29">
      <w:pPr>
        <w:pStyle w:val="Titolo1"/>
        <w:spacing w:before="240"/>
        <w:rPr>
          <w:rStyle w:val="normaltextrun"/>
          <w:color w:val="000000"/>
          <w:shd w:val="clear" w:color="auto" w:fill="FFFFFF"/>
        </w:rPr>
      </w:pPr>
      <w:r>
        <w:rPr>
          <w:rStyle w:val="normaltextrun"/>
          <w:color w:val="000000"/>
          <w:shd w:val="clear" w:color="auto" w:fill="FFFFFF"/>
        </w:rPr>
        <w:t>En 2020, la pandémie de COVID-19 a eu une incidence majeure sur les importations de HCFC-22 et les 15,5 </w:t>
      </w:r>
      <w:proofErr w:type="spellStart"/>
      <w:r>
        <w:rPr>
          <w:rStyle w:val="normaltextrun"/>
          <w:color w:val="000000"/>
          <w:shd w:val="clear" w:color="auto" w:fill="FFFFFF"/>
        </w:rPr>
        <w:t>tm</w:t>
      </w:r>
      <w:proofErr w:type="spellEnd"/>
      <w:r>
        <w:rPr>
          <w:rStyle w:val="normaltextrun"/>
          <w:color w:val="000000"/>
          <w:shd w:val="clear" w:color="auto" w:fill="FFFFFF"/>
        </w:rPr>
        <w:t xml:space="preserve"> importées étaient insuffisantes pour couvrir la consommation annuelle de cette substance en entier, ce qui a été compensé par une augmentation des importations en 2021 et 2022. Toutefois, une tendance globale à la baisse de la demande de HCFC-22 de 2019 à 2023 est observée, indépendamment de la pandémie. Cela s’explique par l’application du système d’octroi de quotas pour les HCFC, la mise en œuvre des activités liées au PGEH ainsi que l’introduction des HFC et des solutions de remplacement à faible PRG.</w:t>
      </w:r>
    </w:p>
    <w:p w14:paraId="4EC452E0" w14:textId="77777777" w:rsidR="00EA598B" w:rsidRPr="00065F6D" w:rsidRDefault="00EA598B" w:rsidP="00FC1E29">
      <w:pPr>
        <w:pStyle w:val="Titolo1"/>
        <w:numPr>
          <w:ilvl w:val="0"/>
          <w:numId w:val="0"/>
        </w:numPr>
        <w:spacing w:before="240"/>
        <w:rPr>
          <w:i/>
        </w:rPr>
      </w:pPr>
      <w:r>
        <w:rPr>
          <w:i/>
        </w:rPr>
        <w:t>Rapport sur la mise en œuvre du programme du pays</w:t>
      </w:r>
    </w:p>
    <w:p w14:paraId="7D729748" w14:textId="77777777" w:rsidR="00BE1031" w:rsidRPr="00065F6D" w:rsidRDefault="00EA598B" w:rsidP="00FC1E29">
      <w:pPr>
        <w:pStyle w:val="Titolo1"/>
        <w:rPr>
          <w:i/>
        </w:rPr>
      </w:pPr>
      <w:r>
        <w:t xml:space="preserve">Le gouvernement de la Géorgie a communiqué des données du secteur de la consommation des HCFC dans le cadre du rapport de mise en œuvre du programme du pays de 2023, et ces données correspondent aux données déclarées en vertu de l’Article 7 du Protocole de Montréal. </w:t>
      </w:r>
    </w:p>
    <w:p w14:paraId="572E9D62" w14:textId="471B4D55" w:rsidR="00EA598B" w:rsidRPr="00065F6D" w:rsidRDefault="00EA598B" w:rsidP="00FC1E29">
      <w:pPr>
        <w:pStyle w:val="Titolo1"/>
        <w:numPr>
          <w:ilvl w:val="0"/>
          <w:numId w:val="0"/>
        </w:numPr>
        <w:rPr>
          <w:i/>
        </w:rPr>
      </w:pPr>
      <w:r>
        <w:rPr>
          <w:i/>
        </w:rPr>
        <w:t xml:space="preserve">Rapport de vérification </w:t>
      </w:r>
    </w:p>
    <w:p w14:paraId="325891C4" w14:textId="4F43D69B" w:rsidR="00EA598B" w:rsidRPr="00065F6D" w:rsidRDefault="00EA598B" w:rsidP="00FC1E29">
      <w:pPr>
        <w:pStyle w:val="Titolo1"/>
      </w:pPr>
      <w:r>
        <w:t>Le rapport de vérification a confirmé que le gouvernement mettait en place un système d’octroi de permis et de quotas d’importation et d’exportation des HCFC, et que la consommation totale de HCFC déclarée en vertu de l’Article 7 du Protocole de Montréal pour 2018 et 2019 à 2022 (comme indiqué dans le tableau 1 ci-dessus) était exacte. La vérification a conclu que la Géorgie est entièrement conforme au calendrier d’élimination des HCFC établi par le Protocole de Montréal et présenté dans l’Accord entre le pays et le Comité exécutif. Le rapport de vérification suggère des recommandations à suivre et qui sont davantage expliquées dans la section des commentaires du présent document.</w:t>
      </w:r>
    </w:p>
    <w:p w14:paraId="0ADCEBE4" w14:textId="77777777" w:rsidR="00EA598B" w:rsidRPr="00065F6D" w:rsidRDefault="00EA598B" w:rsidP="00355553">
      <w:pPr>
        <w:spacing w:after="240"/>
        <w:rPr>
          <w:u w:val="single"/>
        </w:rPr>
      </w:pPr>
      <w:r>
        <w:rPr>
          <w:u w:val="single"/>
        </w:rPr>
        <w:t xml:space="preserve">État de la mise en œuvre de la phase I du plan de gestion de l’élimination des HCFC </w:t>
      </w:r>
    </w:p>
    <w:p w14:paraId="58523B94" w14:textId="3FC616C2" w:rsidR="00EA598B" w:rsidRPr="00065F6D" w:rsidRDefault="00EA598B" w:rsidP="00355553">
      <w:pPr>
        <w:pStyle w:val="Titolo1"/>
      </w:pPr>
      <w:r>
        <w:lastRenderedPageBreak/>
        <w:t>La phase I du PGEH a été achevée le 1</w:t>
      </w:r>
      <w:r>
        <w:rPr>
          <w:vertAlign w:val="superscript"/>
        </w:rPr>
        <w:t>er</w:t>
      </w:r>
      <w:r>
        <w:t> décembre 2022. Le rapport d’achèvement de projet a été présenté le 25 mars 2024.</w:t>
      </w:r>
    </w:p>
    <w:p w14:paraId="65C48DFB" w14:textId="77777777" w:rsidR="00EA598B" w:rsidRPr="00065F6D" w:rsidRDefault="00EA598B" w:rsidP="00FC1E29">
      <w:pPr>
        <w:spacing w:after="240"/>
        <w:rPr>
          <w:u w:val="single"/>
        </w:rPr>
      </w:pPr>
      <w:bookmarkStart w:id="0" w:name="_Hlk179999019"/>
      <w:r>
        <w:rPr>
          <w:u w:val="single"/>
        </w:rPr>
        <w:t>Rapport périodique sur la mise en œuvre de la première tranche de la phase II</w:t>
      </w:r>
      <w:bookmarkEnd w:id="0"/>
      <w:r>
        <w:rPr>
          <w:u w:val="single"/>
        </w:rPr>
        <w:t xml:space="preserve"> du plan de gestion de l’élimination des HCFC</w:t>
      </w:r>
    </w:p>
    <w:p w14:paraId="1D52F12D" w14:textId="77777777" w:rsidR="00593F3B" w:rsidRPr="00065F6D" w:rsidRDefault="00112277" w:rsidP="00593F3B">
      <w:pPr>
        <w:pStyle w:val="Titolo1"/>
        <w:numPr>
          <w:ilvl w:val="0"/>
          <w:numId w:val="0"/>
        </w:numPr>
        <w:rPr>
          <w:i/>
        </w:rPr>
      </w:pPr>
      <w:r>
        <w:rPr>
          <w:i/>
          <w:iCs/>
        </w:rPr>
        <w:t>Soutien politique, réglementaire et institutionnel</w:t>
      </w:r>
      <w:r>
        <w:rPr>
          <w:i/>
        </w:rPr>
        <w:t xml:space="preserve"> </w:t>
      </w:r>
    </w:p>
    <w:p w14:paraId="4777D353" w14:textId="2BD5B842" w:rsidR="002D396C" w:rsidRPr="00065F6D" w:rsidRDefault="0038211A" w:rsidP="00593F3B">
      <w:pPr>
        <w:pStyle w:val="Titolo1"/>
        <w:rPr>
          <w:i/>
        </w:rPr>
      </w:pPr>
      <w:r>
        <w:rPr>
          <w:rStyle w:val="normaltextrun"/>
          <w:shd w:val="clear" w:color="auto" w:fill="FFFFFF"/>
        </w:rPr>
        <w:t xml:space="preserve">Le gouvernement de la Géorgie a ratifié l’Amendement de Kigali le 11 juillet 2023. Un </w:t>
      </w:r>
      <w:r>
        <w:t>ensemble de changements législatifs a été adopté le 16 juin 2023</w:t>
      </w:r>
      <w:r>
        <w:rPr>
          <w:rStyle w:val="normaltextrun"/>
          <w:shd w:val="clear" w:color="auto" w:fill="FFFFFF"/>
        </w:rPr>
        <w:t xml:space="preserve"> afin d’établir </w:t>
      </w:r>
      <w:r>
        <w:t>des exigences sur la surveillance des fuites, la collecte, la récupération, le recyclage et l’élimination des HCFC et des HFC ainsi que de leur transfert transfrontalier</w:t>
      </w:r>
      <w:r>
        <w:rPr>
          <w:rStyle w:val="normaltextrun"/>
          <w:shd w:val="clear" w:color="auto" w:fill="FFFFFF"/>
        </w:rPr>
        <w:t>. Un système électronique sur le Web pour déclarer la</w:t>
      </w:r>
      <w:r>
        <w:t xml:space="preserve"> gestion des frigorigènes (ERMS), y compris les HFC,</w:t>
      </w:r>
      <w:r>
        <w:rPr>
          <w:rStyle w:val="normaltextrun"/>
          <w:shd w:val="clear" w:color="auto" w:fill="FFFFFF"/>
        </w:rPr>
        <w:t xml:space="preserve"> est en vigueur depuis janvier 2024.</w:t>
      </w:r>
      <w:r w:rsidR="00EC4D31" w:rsidRPr="00065F6D">
        <w:rPr>
          <w:rStyle w:val="Rimandonotaapidipagina"/>
          <w:shd w:val="clear" w:color="auto" w:fill="FFFFFF"/>
          <w:lang w:val="en-GB"/>
        </w:rPr>
        <w:footnoteReference w:id="4"/>
      </w:r>
      <w:r>
        <w:rPr>
          <w:rStyle w:val="normaltextrun"/>
          <w:shd w:val="clear" w:color="auto" w:fill="FFFFFF"/>
        </w:rPr>
        <w:t xml:space="preserve"> L</w:t>
      </w:r>
      <w:r>
        <w:t xml:space="preserve">a mise à jour des normes pour les exigences en matière de sécurité et d’environnement </w:t>
      </w:r>
      <w:r w:rsidR="00E54219">
        <w:t>a</w:t>
      </w:r>
      <w:r>
        <w:t xml:space="preserve"> été mise au point en octobre 2024. </w:t>
      </w:r>
      <w:bookmarkStart w:id="1" w:name="_Hlk180069294"/>
      <w:r>
        <w:t>Les lois nécessaires à l’introduction des critères des marchés publics écologiques pour l’approvisionnement en appareils de réfrigération et de climatisation à faible PRG ont été rédigées et doivent être mises au point</w:t>
      </w:r>
      <w:bookmarkEnd w:id="1"/>
      <w:r>
        <w:t xml:space="preserve"> d’ici la fin de décembre 2024.</w:t>
      </w:r>
    </w:p>
    <w:p w14:paraId="64DFF46A" w14:textId="2F42D914" w:rsidR="008A6D06" w:rsidRPr="00CB3D8D" w:rsidRDefault="00197E20" w:rsidP="0015748D">
      <w:pPr>
        <w:pStyle w:val="Titolo1"/>
      </w:pPr>
      <w:r>
        <w:rPr>
          <w:rStyle w:val="normaltextrun"/>
          <w:shd w:val="clear" w:color="auto" w:fill="FFFFFF"/>
        </w:rPr>
        <w:t xml:space="preserve">La formation a été fournie à 336 participants (55 femmes) des principales parties prenantes (utilisateurs finaux, inspecteurs de l’environnement et techniciens) sur l’utilisation de l’outil de déclaration électronique; </w:t>
      </w:r>
      <w:r>
        <w:t xml:space="preserve">six cours de formation de deux jours ont eu lieu pour un total de 90 agents des douanes (46 femmes) sur les mesures de contrôle d’importation et d’exportation des SAO et la législation nouvellement introduite afin d’appuyer l’Amendement de Kigali avec deux autres cours de formation prévus pour novembre 2024. Dix séances de formation pour 136 inspecteurs de l’environnement (49 femmes) ont eu lieu sur la réglementation pour l’équipement contenant du HCFC-22 provenant divers sous-secteurs de la réfrigération et climatisation et la réalisation d’inspections dans des installations exploitant de l’équipement de réfrigération et de climatisation. Un total de 176 participants ont pris part à neuf réunions de tables rondes afin de faciliter l’harmonisation des politiques entre les secteurs respectifs et de renforcer l’élimination des HCFC et la réduction progressive des HFC. </w:t>
      </w:r>
    </w:p>
    <w:p w14:paraId="331C2976" w14:textId="7EAB724F" w:rsidR="009A7682" w:rsidRPr="00065F6D" w:rsidRDefault="002C58A6" w:rsidP="0015748D">
      <w:pPr>
        <w:pStyle w:val="Titolo1"/>
      </w:pPr>
      <w:r>
        <w:t>Huit tablettes</w:t>
      </w:r>
      <w:r w:rsidR="00FA31FA" w:rsidRPr="00065F6D">
        <w:rPr>
          <w:rStyle w:val="Rimandonotaapidipagina"/>
          <w:lang w:val="en-GB"/>
        </w:rPr>
        <w:footnoteReference w:id="5"/>
      </w:r>
      <w:r>
        <w:t xml:space="preserve"> et 15 détecteurs de fuites ont été fournis au département de la Supervision environnementale du ministère de l’Environnement en vue des visites de surveillance dans les installations des utilisateurs finaux, et quatre identifiants ont été acquis pour les distribuer entre les postes de douanes.</w:t>
      </w:r>
    </w:p>
    <w:p w14:paraId="293A487B" w14:textId="59B2C0C2" w:rsidR="002D396C" w:rsidRPr="00065F6D" w:rsidRDefault="002D396C" w:rsidP="00FC1E29">
      <w:pPr>
        <w:pStyle w:val="Titolo1"/>
        <w:numPr>
          <w:ilvl w:val="0"/>
          <w:numId w:val="0"/>
        </w:numPr>
      </w:pPr>
      <w:bookmarkStart w:id="2" w:name="_Hlk180076112"/>
      <w:bookmarkStart w:id="3" w:name="_Hlk180074116"/>
      <w:r>
        <w:rPr>
          <w:i/>
        </w:rPr>
        <w:t xml:space="preserve">Renforcement de la </w:t>
      </w:r>
      <w:r>
        <w:rPr>
          <w:i/>
          <w:iCs/>
        </w:rPr>
        <w:t>certification des techniciens en réfrigération et climatisation et</w:t>
      </w:r>
      <w:r w:rsidR="001B148F">
        <w:rPr>
          <w:i/>
          <w:iCs/>
        </w:rPr>
        <w:t xml:space="preserve"> </w:t>
      </w:r>
      <w:r>
        <w:rPr>
          <w:i/>
        </w:rPr>
        <w:t>sensibilisation</w:t>
      </w:r>
      <w:r>
        <w:t xml:space="preserve"> </w:t>
      </w:r>
    </w:p>
    <w:p w14:paraId="14FC87A7" w14:textId="50299E5A" w:rsidR="00EC4D31" w:rsidRPr="00065F6D" w:rsidRDefault="008D3985" w:rsidP="00EC4D31">
      <w:pPr>
        <w:pStyle w:val="Titolo1"/>
      </w:pPr>
      <w:r>
        <w:t>Les normes de qualification professionnelle pour les techniciens de niveau 4 ont été élaborées, des tests pour les examens pratiques doivent être intégrés dans l’examen de la certification et plusieurs versions supplémentaires de tests pour les examens écrits sont disponibles pour la certification. La procédure de certification est en place avec un total de 1 191 certificats remis (875 techniciens et 316 entreprises) et seuls les techniciens et les ateliers certifiés sont autorisés à acheter des frigorigènes. La mise à jour du programme d’études de trois écoles professionnelles afin d’inclure la récupération, le recyclage et la régénération (RRR), les procédures sécuritaires pour la manipulation des frigorigènes inflammables, et le maintien de la performance des appareils utilisant une technologie de remplacement à faible PRG avance et sera achevée en novembre 2024.</w:t>
      </w:r>
      <w:bookmarkEnd w:id="2"/>
      <w:r>
        <w:t xml:space="preserve"> Une séance de formation pour 20 formateurs en réfrigération et climatisation sur le nouveau programme d’études aura lieu à la fin de 2024. </w:t>
      </w:r>
      <w:bookmarkStart w:id="4" w:name="_Hlk180086590"/>
      <w:bookmarkEnd w:id="3"/>
      <w:r>
        <w:t xml:space="preserve">Deux cents techniciens ont été formés sur les bonnes pratiques en réfrigération et la manipulation sûre des frigorigènes de remplacement et deux réunions </w:t>
      </w:r>
      <w:r>
        <w:lastRenderedPageBreak/>
        <w:t xml:space="preserve">de coordination des parties prenantes sur les bonnes pratiques d’entretien dans le secteur de la réfrigération et de la climatisation ont eu lieu pour 25 participants. </w:t>
      </w:r>
      <w:bookmarkStart w:id="5" w:name="_Hlk180086649"/>
      <w:bookmarkEnd w:id="4"/>
    </w:p>
    <w:p w14:paraId="0365F993" w14:textId="7A242097" w:rsidR="00B239BD" w:rsidRPr="00065F6D" w:rsidRDefault="00B239BD" w:rsidP="00B239BD">
      <w:pPr>
        <w:rPr>
          <w:rFonts w:eastAsia="Calibri"/>
          <w:i/>
        </w:rPr>
      </w:pPr>
      <w:r>
        <w:rPr>
          <w:i/>
        </w:rPr>
        <w:t>Assistance technique pour appuyer les bonnes pratiques d’entretien dans le secteur de la réfrigération</w:t>
      </w:r>
    </w:p>
    <w:p w14:paraId="3F241918" w14:textId="77777777" w:rsidR="00B239BD" w:rsidRPr="000F59B8" w:rsidRDefault="00B239BD" w:rsidP="00B239BD">
      <w:pPr>
        <w:rPr>
          <w:rFonts w:eastAsia="Calibri"/>
          <w:i/>
        </w:rPr>
      </w:pPr>
    </w:p>
    <w:p w14:paraId="36EFC453" w14:textId="41BFAE51" w:rsidR="00B239BD" w:rsidRPr="00065F6D" w:rsidRDefault="00B239BD" w:rsidP="00B239BD">
      <w:pPr>
        <w:pStyle w:val="Titolo1"/>
      </w:pPr>
      <w:r>
        <w:t>Deux centres de RRR ont été mis sur pied sous la surveillance et la direction générales de l’Association géorgienne des ingénieurs en réfrigération, en équipement cryogénique et en climatisation. Ces centres jouent également un rôle dans l’introduction des bonnes pratiques, en démontrant l’utilisation de la RRR et en renforçant le régime national de réutilisation des frigorigènes dans le secteur de l’entretien. Actuellement, ces centres suivent le processus habituel afin d’obtenir le permis environnemental pour réaliser des activités de RRR.</w:t>
      </w:r>
    </w:p>
    <w:p w14:paraId="6F483CDE" w14:textId="5DB572A8" w:rsidR="00ED1FC1" w:rsidRPr="00065F6D" w:rsidRDefault="00ED1FC1" w:rsidP="006D72AC">
      <w:pPr>
        <w:pStyle w:val="Titolo1"/>
        <w:numPr>
          <w:ilvl w:val="0"/>
          <w:numId w:val="0"/>
        </w:numPr>
        <w:tabs>
          <w:tab w:val="num" w:pos="0"/>
        </w:tabs>
      </w:pPr>
      <w:r>
        <w:rPr>
          <w:i/>
          <w:iCs/>
        </w:rPr>
        <w:t>Projet de démonstration de la technologie de remplacement à faible PRG</w:t>
      </w:r>
    </w:p>
    <w:bookmarkEnd w:id="5"/>
    <w:p w14:paraId="4154089C" w14:textId="6C80CAC1" w:rsidR="006E41C6" w:rsidRPr="00065F6D" w:rsidRDefault="00FC424F" w:rsidP="00335627">
      <w:pPr>
        <w:pStyle w:val="Titolo1"/>
      </w:pPr>
      <w:r>
        <w:t xml:space="preserve">Une analyse des obstacles pour inciter à l’importation et à l’utilisation de l’équipement de réfrigération et de climatisation à PRG faible ou nul, comprenant des recommandations sur les règlements, a été achevée et présentée aux autorités du ministère de la Protection de l’environnement en vue d’un examen. </w:t>
      </w:r>
    </w:p>
    <w:p w14:paraId="4FDB1B2B" w14:textId="77777777" w:rsidR="00EA598B" w:rsidRPr="00CB3D8D" w:rsidRDefault="00EA598B" w:rsidP="005A4663">
      <w:pPr>
        <w:pStyle w:val="Titolo1"/>
        <w:numPr>
          <w:ilvl w:val="0"/>
          <w:numId w:val="0"/>
        </w:numPr>
        <w:rPr>
          <w:i/>
        </w:rPr>
      </w:pPr>
      <w:bookmarkStart w:id="6" w:name="_Hlk180086863"/>
      <w:r>
        <w:rPr>
          <w:i/>
        </w:rPr>
        <w:t>Mise en œuvre et suivi du projet</w:t>
      </w:r>
    </w:p>
    <w:bookmarkEnd w:id="6"/>
    <w:p w14:paraId="23AE19F0" w14:textId="1D8398D9" w:rsidR="00EA598B" w:rsidRPr="00CB3D8D" w:rsidRDefault="00430A67" w:rsidP="005A4663">
      <w:pPr>
        <w:pStyle w:val="Titolo1"/>
      </w:pPr>
      <w:r>
        <w:rPr>
          <w:rStyle w:val="normaltextrun"/>
          <w:color w:val="000000"/>
          <w:shd w:val="clear" w:color="auto" w:fill="FFFFFF"/>
        </w:rPr>
        <w:t>Les rapports réguliers sur les données de consommation des années 2021 à 2023 ont été préparés par l’UNO et envoyés au Secrétariat de l’Ozone et au Secrétariat du Fonds multilatéral du Protocole de Montréal, y compris les activités entreprises pour la réduction de la consommation des SAO et l’amélioration</w:t>
      </w:r>
      <w:r w:rsidR="00745917">
        <w:rPr>
          <w:rStyle w:val="normaltextrun"/>
          <w:color w:val="000000"/>
          <w:shd w:val="clear" w:color="auto" w:fill="FFFFFF"/>
        </w:rPr>
        <w:t xml:space="preserve"> </w:t>
      </w:r>
      <w:r>
        <w:rPr>
          <w:rStyle w:val="normaltextrun"/>
          <w:color w:val="000000"/>
          <w:shd w:val="clear" w:color="auto" w:fill="FFFFFF"/>
        </w:rPr>
        <w:t>accomplie des cadres juridiques et institutionnels (</w:t>
      </w:r>
      <w:r>
        <w:t>25 712 $ US)</w:t>
      </w:r>
      <w:r>
        <w:rPr>
          <w:rStyle w:val="normaltextrun"/>
          <w:color w:val="000000"/>
          <w:shd w:val="clear" w:color="auto" w:fill="FFFFFF"/>
        </w:rPr>
        <w:t>.</w:t>
      </w:r>
    </w:p>
    <w:p w14:paraId="6925D371" w14:textId="77777777" w:rsidR="00EA598B" w:rsidRPr="00065F6D" w:rsidRDefault="00EA598B" w:rsidP="00FC1E29">
      <w:pPr>
        <w:spacing w:after="240"/>
      </w:pPr>
      <w:r>
        <w:rPr>
          <w:u w:val="single"/>
        </w:rPr>
        <w:t>Taux de décaissement des fonds</w:t>
      </w:r>
      <w:r>
        <w:t xml:space="preserve"> </w:t>
      </w:r>
    </w:p>
    <w:p w14:paraId="6B2D8C49" w14:textId="77777777" w:rsidR="00EA598B" w:rsidRPr="00065F6D" w:rsidRDefault="00EA598B" w:rsidP="00FC1E29">
      <w:pPr>
        <w:pStyle w:val="Titolo1"/>
      </w:pPr>
      <w:r>
        <w:t>En date de septembre 2024, sur le montant de 190 839 $ US approuvé jusqu’ici, 125 605 $ US (65,8 pour cent) avaient été décaissés. Le solde de 65 234 $ US sera décaissé d’ici décembre 2024.</w:t>
      </w:r>
    </w:p>
    <w:p w14:paraId="4D6BBE7C" w14:textId="77777777" w:rsidR="00EA598B" w:rsidRPr="00065F6D" w:rsidRDefault="00EA598B" w:rsidP="00FC1E29">
      <w:pPr>
        <w:spacing w:before="240" w:after="240"/>
        <w:rPr>
          <w:u w:val="single"/>
        </w:rPr>
      </w:pPr>
      <w:r>
        <w:rPr>
          <w:u w:val="single"/>
        </w:rPr>
        <w:t>Plan de mise en œuvre pour la deuxième tranche de la phase II du plan de gestion de l’élimination des HCFC</w:t>
      </w:r>
    </w:p>
    <w:p w14:paraId="39777F87" w14:textId="2E35A51D" w:rsidR="00EA598B" w:rsidRPr="00065F6D" w:rsidRDefault="00EA598B" w:rsidP="00FC1E29">
      <w:pPr>
        <w:pStyle w:val="Titolo1"/>
      </w:pPr>
      <w:bookmarkStart w:id="7" w:name="_Hlk126934425"/>
      <w:bookmarkStart w:id="8" w:name="_Hlk126663552"/>
      <w:r>
        <w:t>Les activités suivantes seront mises en œuvre entre janvier 2025 et décembre 2027 :</w:t>
      </w:r>
    </w:p>
    <w:p w14:paraId="386427C6" w14:textId="5D26A73D" w:rsidR="00EA598B" w:rsidRPr="00065F6D" w:rsidRDefault="00BE67E6" w:rsidP="00281999">
      <w:pPr>
        <w:pStyle w:val="Titolo2"/>
      </w:pPr>
      <w:r>
        <w:rPr>
          <w:i/>
          <w:iCs/>
        </w:rPr>
        <w:t>Soutien politique, réglementaire et institutionnel</w:t>
      </w:r>
      <w:r w:rsidR="00BA22A2">
        <w:rPr>
          <w:i/>
          <w:iCs/>
        </w:rPr>
        <w:t> :</w:t>
      </w:r>
      <w:r>
        <w:t xml:space="preserve"> </w:t>
      </w:r>
      <w:r>
        <w:rPr>
          <w:rStyle w:val="normaltextrun"/>
          <w:color w:val="000000"/>
          <w:bdr w:val="none" w:sz="0" w:space="0" w:color="auto" w:frame="1"/>
        </w:rPr>
        <w:t xml:space="preserve">Élaborer des règlements </w:t>
      </w:r>
      <w:r>
        <w:t xml:space="preserve">pour étiqueter les frigorigènes régénérés et les mettre sur le marché; et </w:t>
      </w:r>
      <w:r>
        <w:rPr>
          <w:rStyle w:val="normaltextrun"/>
          <w:color w:val="000000"/>
          <w:shd w:val="clear" w:color="auto" w:fill="FFFFFF"/>
        </w:rPr>
        <w:t xml:space="preserve">organiser 10 réunions de table ronde pour le dialogue politique afin de faciliter l’harmonisation des politiques entre les secteurs respectifs et renforcer l’élimination des HCFC et la réduction progressive des </w:t>
      </w:r>
      <w:r>
        <w:rPr>
          <w:rStyle w:val="normaltextrun"/>
          <w:shd w:val="clear" w:color="auto" w:fill="FFFFFF"/>
        </w:rPr>
        <w:t>HFC a</w:t>
      </w:r>
      <w:r>
        <w:rPr>
          <w:rStyle w:val="normaltextrun"/>
          <w:color w:val="000000"/>
          <w:shd w:val="clear" w:color="auto" w:fill="FFFFFF"/>
        </w:rPr>
        <w:t>u pays</w:t>
      </w:r>
      <w:r>
        <w:t xml:space="preserve">; </w:t>
      </w:r>
      <w:r>
        <w:rPr>
          <w:color w:val="000000" w:themeColor="text1"/>
        </w:rPr>
        <w:t xml:space="preserve">(5 500 $ US et </w:t>
      </w:r>
      <w:r>
        <w:t>solde du budget provenant de la tranche précédente</w:t>
      </w:r>
      <w:r>
        <w:rPr>
          <w:color w:val="000000" w:themeColor="text1"/>
        </w:rPr>
        <w:t>);</w:t>
      </w:r>
    </w:p>
    <w:p w14:paraId="4ED1D713" w14:textId="03499E1E" w:rsidR="003C5304" w:rsidRPr="00065F6D" w:rsidRDefault="003C5304" w:rsidP="00351466">
      <w:pPr>
        <w:pStyle w:val="Titolo2"/>
        <w:widowControl/>
        <w:numPr>
          <w:ilvl w:val="1"/>
          <w:numId w:val="1"/>
        </w:numPr>
        <w:rPr>
          <w:color w:val="000000" w:themeColor="text1"/>
        </w:rPr>
      </w:pPr>
      <w:r>
        <w:rPr>
          <w:i/>
          <w:iCs/>
        </w:rPr>
        <w:t>Accroissement de la capacité des agents des douanes et d’application de la loi</w:t>
      </w:r>
      <w:r>
        <w:t xml:space="preserve"> : </w:t>
      </w:r>
      <w:r>
        <w:rPr>
          <w:rStyle w:val="normaltextrun"/>
          <w:color w:val="000000"/>
          <w:shd w:val="clear" w:color="auto" w:fill="FFFFFF"/>
        </w:rPr>
        <w:t>O</w:t>
      </w:r>
      <w:r>
        <w:rPr>
          <w:shd w:val="clear" w:color="auto" w:fill="FFFFFF"/>
        </w:rPr>
        <w:t>rganiser huit ateliers de formation de deux jours pour</w:t>
      </w:r>
      <w:r>
        <w:rPr>
          <w:rStyle w:val="normaltextrun"/>
          <w:color w:val="000000"/>
          <w:shd w:val="clear" w:color="auto" w:fill="FFFFFF"/>
        </w:rPr>
        <w:t xml:space="preserve"> un maximum de 250 agents des douanes sur les mesures de contrôle de l’importation des HCFC et des HFC et </w:t>
      </w:r>
      <w:r>
        <w:rPr>
          <w:shd w:val="clear" w:color="auto" w:fill="FFFFFF"/>
        </w:rPr>
        <w:t>huit ateliers de formation de deux jours pour un maximum de 150 inspecteurs de l’environnement sur le contrôle de la conformité à la réglementation en matière de SAO</w:t>
      </w:r>
      <w:r>
        <w:rPr>
          <w:rStyle w:val="normaltextrun"/>
          <w:color w:val="000000"/>
          <w:shd w:val="clear" w:color="auto" w:fill="FFFFFF"/>
        </w:rPr>
        <w:t xml:space="preserve">; et mettre à jour et imprimer 1 000 exemplaires de </w:t>
      </w:r>
      <w:r>
        <w:rPr>
          <w:rStyle w:val="normaltextrun"/>
          <w:i/>
          <w:iCs/>
          <w:color w:val="000000"/>
          <w:shd w:val="clear" w:color="auto" w:fill="FFFFFF"/>
        </w:rPr>
        <w:t xml:space="preserve">L’outil rapide des agents des douanes pour la détection des SAO </w:t>
      </w:r>
      <w:r>
        <w:rPr>
          <w:color w:val="000000" w:themeColor="text1"/>
        </w:rPr>
        <w:t>(11 500 $ US);</w:t>
      </w:r>
      <w:r>
        <w:rPr>
          <w:rStyle w:val="normaltextrun"/>
          <w:color w:val="000000"/>
          <w:shd w:val="clear" w:color="auto" w:fill="FFFFFF"/>
        </w:rPr>
        <w:t xml:space="preserve"> </w:t>
      </w:r>
    </w:p>
    <w:p w14:paraId="09EDCEAD" w14:textId="67E40504" w:rsidR="003564D4" w:rsidRPr="00065F6D" w:rsidRDefault="00BE67E6" w:rsidP="00FC1E29">
      <w:pPr>
        <w:pStyle w:val="Titolo2"/>
        <w:widowControl/>
        <w:numPr>
          <w:ilvl w:val="1"/>
          <w:numId w:val="1"/>
        </w:numPr>
      </w:pPr>
      <w:r>
        <w:rPr>
          <w:i/>
          <w:iCs/>
        </w:rPr>
        <w:t>Accroissement de la capacité et soutien technique :</w:t>
      </w:r>
      <w:r>
        <w:t xml:space="preserve"> </w:t>
      </w:r>
    </w:p>
    <w:p w14:paraId="5C131FA0" w14:textId="05BD5027" w:rsidR="004D70C5" w:rsidRPr="00065F6D" w:rsidRDefault="004D70C5" w:rsidP="00F16B5B">
      <w:pPr>
        <w:pStyle w:val="Titolo3"/>
        <w:rPr>
          <w:rStyle w:val="normaltextrun"/>
          <w:color w:val="000000"/>
          <w:shd w:val="clear" w:color="auto" w:fill="FFFFFF"/>
        </w:rPr>
      </w:pPr>
      <w:r>
        <w:rPr>
          <w:rStyle w:val="normaltextrun"/>
          <w:shd w:val="clear" w:color="auto" w:fill="FFFFFF"/>
        </w:rPr>
        <w:t xml:space="preserve">Élaborer une ligne directrice et mener des expériences démonstratives sur le contrôle des fuites de frigorigènes et la manipulation sûre des frigorigènes </w:t>
      </w:r>
      <w:r>
        <w:rPr>
          <w:rStyle w:val="normaltextrun"/>
          <w:shd w:val="clear" w:color="auto" w:fill="FFFFFF"/>
        </w:rPr>
        <w:lastRenderedPageBreak/>
        <w:t>inflammables ou toxiques; organiser huit cours de formation de quatre jours</w:t>
      </w:r>
      <w:r>
        <w:rPr>
          <w:rStyle w:val="normaltextrun"/>
          <w:color w:val="000000"/>
          <w:shd w:val="clear" w:color="auto" w:fill="FFFFFF"/>
        </w:rPr>
        <w:t xml:space="preserve"> pour un maximum de 200 techniciens sur les bonnes pratiques de réfrigération et les frigorigènes de remplacement; et </w:t>
      </w:r>
      <w:r>
        <w:t xml:space="preserve">rédiger et mettre en œuvre un </w:t>
      </w:r>
      <w:r>
        <w:rPr>
          <w:rStyle w:val="normaltextrun"/>
          <w:color w:val="000000"/>
          <w:shd w:val="clear" w:color="auto" w:fill="FFFFFF"/>
        </w:rPr>
        <w:t>plan de communication pour le secteur de l’entretien (</w:t>
      </w:r>
      <w:r>
        <w:t>16 250 $ US et le budget restant de la tranche précédente)</w:t>
      </w:r>
      <w:r>
        <w:rPr>
          <w:rStyle w:val="normaltextrun"/>
          <w:color w:val="000000"/>
          <w:shd w:val="clear" w:color="auto" w:fill="FFFFFF"/>
        </w:rPr>
        <w:t xml:space="preserve">; </w:t>
      </w:r>
    </w:p>
    <w:p w14:paraId="00E6F569" w14:textId="670888CA" w:rsidR="00BE7EF0" w:rsidRPr="00065F6D" w:rsidRDefault="00B00AAF" w:rsidP="00F16B5B">
      <w:pPr>
        <w:pStyle w:val="Titolo3"/>
      </w:pPr>
      <w:r>
        <w:rPr>
          <w:shd w:val="clear" w:color="auto" w:fill="FFFFFF"/>
        </w:rPr>
        <w:t xml:space="preserve">Créer et installer une </w:t>
      </w:r>
      <w:r>
        <w:rPr>
          <w:rStyle w:val="normaltextrun"/>
          <w:color w:val="000000"/>
          <w:shd w:val="clear" w:color="auto" w:fill="FFFFFF"/>
        </w:rPr>
        <w:t>plateforme de rayonnement en ligne (</w:t>
      </w:r>
      <w:r>
        <w:rPr>
          <w:rStyle w:val="Enfasigrassetto"/>
          <w:b w:val="0"/>
          <w:bCs w:val="0"/>
          <w:i/>
          <w:iCs/>
        </w:rPr>
        <w:t>portail de soutien en ligne pour les systèmes CVCR intelligents)</w:t>
      </w:r>
      <w:r>
        <w:t xml:space="preserve"> pendant un maximum de deux ans afin de fournir aux techniciens et aux utilisateurs finaux un système de soutien numérique complet, y compris du dépannage en temps réel, de la formation et des ressources pour assurer le rendement optimal et la résolution opportune des problèmes techniques (24 600 $ US); </w:t>
      </w:r>
    </w:p>
    <w:p w14:paraId="184158D4" w14:textId="10CC1239" w:rsidR="00EA598B" w:rsidRPr="00065F6D" w:rsidRDefault="00573769" w:rsidP="00FC1E29">
      <w:pPr>
        <w:pStyle w:val="Titolo2"/>
        <w:widowControl/>
        <w:numPr>
          <w:ilvl w:val="1"/>
          <w:numId w:val="1"/>
        </w:numPr>
      </w:pPr>
      <w:bookmarkStart w:id="9" w:name="_Hlk180124368"/>
      <w:r>
        <w:rPr>
          <w:i/>
          <w:iCs/>
          <w:color w:val="000000" w:themeColor="text1"/>
        </w:rPr>
        <w:t>Assistance technique pour appuyer les bonnes pratiques d’entretien dans le secteur de la réfrigération</w:t>
      </w:r>
      <w:bookmarkEnd w:id="9"/>
      <w:r>
        <w:rPr>
          <w:i/>
          <w:iCs/>
          <w:color w:val="000000" w:themeColor="text1"/>
        </w:rPr>
        <w:t xml:space="preserve"> : </w:t>
      </w:r>
      <w:bookmarkStart w:id="10" w:name="_Hlk180125204"/>
      <w:r>
        <w:rPr>
          <w:color w:val="000000" w:themeColor="text1"/>
        </w:rPr>
        <w:t>Diriger des consultations avec les parties prenantes pour</w:t>
      </w:r>
      <w:r w:rsidR="00E76DAF">
        <w:rPr>
          <w:color w:val="000000" w:themeColor="text1"/>
        </w:rPr>
        <w:t xml:space="preserve"> </w:t>
      </w:r>
      <w:r>
        <w:rPr>
          <w:shd w:val="clear" w:color="auto" w:fill="FFFFFF"/>
        </w:rPr>
        <w:t xml:space="preserve">rédiger un modèle d’affaires de RRR </w:t>
      </w:r>
      <w:r>
        <w:rPr>
          <w:rStyle w:val="normaltextrun"/>
          <w:color w:val="000000"/>
          <w:shd w:val="clear" w:color="auto" w:fill="FFFFFF"/>
        </w:rPr>
        <w:t xml:space="preserve">et </w:t>
      </w:r>
      <w:r>
        <w:rPr>
          <w:color w:val="000000"/>
          <w:shd w:val="clear" w:color="auto" w:fill="FFFFFF"/>
        </w:rPr>
        <w:t>élaborer une étude pour évalue les options en matière d’infrastructure pour l’entreposage sur place à long terme des SAO usés, y compris une évaluation détaillée des coûts pour la mise sur pied et l’entretien d’une installation d’entreposage de ce genre</w:t>
      </w:r>
      <w:r>
        <w:rPr>
          <w:shd w:val="clear" w:color="auto" w:fill="FFFFFF"/>
        </w:rPr>
        <w:t xml:space="preserve">; </w:t>
      </w:r>
      <w:r>
        <w:rPr>
          <w:color w:val="000000" w:themeColor="text1"/>
        </w:rPr>
        <w:t>fournir</w:t>
      </w:r>
      <w:r>
        <w:rPr>
          <w:rStyle w:val="normaltextrun"/>
          <w:color w:val="000000"/>
          <w:shd w:val="clear" w:color="auto" w:fill="FFFFFF"/>
        </w:rPr>
        <w:t xml:space="preserve"> à au moins trois centres d’entretien des frigorigènes</w:t>
      </w:r>
      <w:r w:rsidR="00DD66F3" w:rsidRPr="00065F6D">
        <w:rPr>
          <w:rStyle w:val="Rimandonotaapidipagina"/>
          <w:color w:val="000000"/>
          <w:shd w:val="clear" w:color="auto" w:fill="FFFFFF"/>
          <w:lang w:val="en-GB"/>
        </w:rPr>
        <w:footnoteReference w:id="6"/>
      </w:r>
      <w:r>
        <w:rPr>
          <w:rStyle w:val="normaltextrun"/>
          <w:color w:val="000000"/>
          <w:shd w:val="clear" w:color="auto" w:fill="FFFFFF"/>
        </w:rPr>
        <w:t xml:space="preserve"> des conseils techniques, de l’équipement et des outils</w:t>
      </w:r>
      <w:r w:rsidR="00DD66F3" w:rsidRPr="00065F6D">
        <w:rPr>
          <w:rStyle w:val="Rimandonotaapidipagina"/>
          <w:color w:val="000000"/>
          <w:shd w:val="clear" w:color="auto" w:fill="FFFFFF"/>
          <w:lang w:val="en-GB"/>
        </w:rPr>
        <w:footnoteReference w:id="7"/>
      </w:r>
      <w:r>
        <w:rPr>
          <w:rStyle w:val="normaltextrun"/>
          <w:color w:val="000000"/>
          <w:shd w:val="clear" w:color="auto" w:fill="FFFFFF"/>
        </w:rPr>
        <w:t xml:space="preserve"> </w:t>
      </w:r>
      <w:r>
        <w:t xml:space="preserve">(72 100 $ US </w:t>
      </w:r>
      <w:r>
        <w:rPr>
          <w:color w:val="000000" w:themeColor="text1"/>
        </w:rPr>
        <w:t>et le budget restant de la tranche précédente</w:t>
      </w:r>
      <w:r>
        <w:t>);</w:t>
      </w:r>
    </w:p>
    <w:p w14:paraId="1DF98792" w14:textId="6A45145E" w:rsidR="00BE67E6" w:rsidRPr="00065F6D" w:rsidRDefault="00BE67E6" w:rsidP="00FC1E29">
      <w:pPr>
        <w:pStyle w:val="Titolo2"/>
        <w:widowControl/>
        <w:rPr>
          <w:i/>
          <w:iCs/>
        </w:rPr>
      </w:pPr>
      <w:bookmarkStart w:id="11" w:name="_Hlk180126535"/>
      <w:bookmarkEnd w:id="10"/>
      <w:r>
        <w:rPr>
          <w:i/>
          <w:iCs/>
        </w:rPr>
        <w:t>Projet de démonstration de la technologie de remplacement à faible PRG</w:t>
      </w:r>
      <w:bookmarkEnd w:id="11"/>
      <w:r>
        <w:rPr>
          <w:i/>
          <w:iCs/>
        </w:rPr>
        <w:t> :</w:t>
      </w:r>
      <w:r>
        <w:rPr>
          <w:color w:val="000000"/>
          <w:shd w:val="clear" w:color="auto" w:fill="FFFFFF"/>
        </w:rPr>
        <w:t xml:space="preserve"> </w:t>
      </w:r>
      <w:r>
        <w:rPr>
          <w:rStyle w:val="normaltextrun"/>
          <w:color w:val="000000"/>
          <w:shd w:val="clear" w:color="auto" w:fill="FFFFFF"/>
        </w:rPr>
        <w:t xml:space="preserve">Concevoir et mettre en œuvre deux projets de démonstration sur la technologie à faible PRG </w:t>
      </w:r>
      <w:r>
        <w:rPr>
          <w:color w:val="000000"/>
        </w:rPr>
        <w:t xml:space="preserve">dans le secteur de la réfrigération commerciale </w:t>
      </w:r>
      <w:r>
        <w:rPr>
          <w:rStyle w:val="normaltextrun"/>
          <w:color w:val="000000"/>
          <w:shd w:val="clear" w:color="auto" w:fill="FFFFFF"/>
        </w:rPr>
        <w:t>avec jusqu’à 50 pour cent de cofinancement</w:t>
      </w:r>
      <w:r>
        <w:rPr>
          <w:rStyle w:val="eop"/>
          <w:color w:val="000000"/>
          <w:shd w:val="clear" w:color="auto" w:fill="FFFFFF"/>
        </w:rPr>
        <w:t xml:space="preserve">; et </w:t>
      </w:r>
      <w:r>
        <w:rPr>
          <w:color w:val="000000"/>
          <w:shd w:val="clear" w:color="auto" w:fill="FFFFFF"/>
        </w:rPr>
        <w:t>organiser deux ateliers pour environ 20 participants chacun afin de présenter les résultats des projets de démonstration et la technologie utilisée</w:t>
      </w:r>
      <w:r>
        <w:t xml:space="preserve"> (86 900 $ US et le budget restant dans la tranche précédente)</w:t>
      </w:r>
      <w:r>
        <w:rPr>
          <w:color w:val="000000" w:themeColor="text1"/>
        </w:rPr>
        <w:t>;</w:t>
      </w:r>
    </w:p>
    <w:p w14:paraId="08D2BB9E" w14:textId="77777777" w:rsidR="00EA598B" w:rsidRPr="00065F6D" w:rsidRDefault="00EA598B" w:rsidP="00FC1E29">
      <w:pPr>
        <w:pStyle w:val="Titolo2"/>
        <w:widowControl/>
        <w:numPr>
          <w:ilvl w:val="1"/>
          <w:numId w:val="1"/>
        </w:numPr>
      </w:pPr>
      <w:r>
        <w:rPr>
          <w:i/>
          <w:iCs/>
        </w:rPr>
        <w:t>Activités pour le maintien de l’efficacité énergétique</w:t>
      </w:r>
      <w:r>
        <w:t> : ces activités sont détaillées dans la section ci-dessous (100 000 $ US);</w:t>
      </w:r>
    </w:p>
    <w:p w14:paraId="17744C21" w14:textId="0A11D317" w:rsidR="00EA598B" w:rsidRPr="00065F6D" w:rsidRDefault="00EA598B" w:rsidP="00FC1E29">
      <w:pPr>
        <w:pStyle w:val="Titolo2"/>
        <w:widowControl/>
        <w:numPr>
          <w:ilvl w:val="1"/>
          <w:numId w:val="1"/>
        </w:numPr>
      </w:pPr>
      <w:r>
        <w:rPr>
          <w:i/>
          <w:iCs/>
        </w:rPr>
        <w:t>Surveillance de projet</w:t>
      </w:r>
      <w:r>
        <w:t> : Coûts pour les consultants afin de fournir un soutien à la surveillance de projet (19 112 $ US).</w:t>
      </w:r>
    </w:p>
    <w:p w14:paraId="63995C83" w14:textId="77777777" w:rsidR="00EA598B" w:rsidRPr="00065F6D" w:rsidRDefault="00EA598B" w:rsidP="00FC1E29">
      <w:pPr>
        <w:spacing w:after="240"/>
        <w:rPr>
          <w:i/>
          <w:highlight w:val="yellow"/>
        </w:rPr>
      </w:pPr>
      <w:r>
        <w:rPr>
          <w:i/>
        </w:rPr>
        <w:t xml:space="preserve">Activités de maintien du rendement énergétique dans le secteur de l’entretien de l’équipement de réfrigération </w:t>
      </w:r>
    </w:p>
    <w:p w14:paraId="0D7EF538" w14:textId="39D4583E" w:rsidR="00EA598B" w:rsidRPr="00065F6D" w:rsidRDefault="00EA598B" w:rsidP="00FC1E29">
      <w:pPr>
        <w:pStyle w:val="Titolo1"/>
      </w:pPr>
      <w:bookmarkStart w:id="12" w:name="_Hlk126662278"/>
      <w:r>
        <w:t xml:space="preserve">Le projet relatif à l’efficacité énergétique a été conçu pour </w:t>
      </w:r>
      <w:r>
        <w:rPr>
          <w:rStyle w:val="normaltextrun"/>
          <w:color w:val="000000"/>
          <w:shd w:val="clear" w:color="auto" w:fill="FFFFFF"/>
        </w:rPr>
        <w:t xml:space="preserve">appuyer la Géorgie avec </w:t>
      </w:r>
      <w:bookmarkStart w:id="13" w:name="_Hlk180185515"/>
      <w:r>
        <w:rPr>
          <w:rStyle w:val="normaltextrun"/>
          <w:color w:val="000000"/>
          <w:shd w:val="clear" w:color="auto" w:fill="FFFFFF"/>
        </w:rPr>
        <w:t>l’introduction des normes de construction écologique et la sensibilisation pertinente</w:t>
      </w:r>
      <w:bookmarkEnd w:id="13"/>
      <w:r>
        <w:rPr>
          <w:rStyle w:val="normaltextrun"/>
          <w:color w:val="000000"/>
          <w:shd w:val="clear" w:color="auto" w:fill="FFFFFF"/>
        </w:rPr>
        <w:t xml:space="preserve">. </w:t>
      </w:r>
      <w:r>
        <w:t xml:space="preserve">La description et la répartition des coûts suggérés des activités pour le maintien de l’efficacité énergétique dans le secteur </w:t>
      </w:r>
      <w:bookmarkStart w:id="14" w:name="_Hlk126934445"/>
      <w:bookmarkEnd w:id="7"/>
      <w:r>
        <w:t>comprennent :</w:t>
      </w:r>
    </w:p>
    <w:p w14:paraId="5A9220D6" w14:textId="3435462F" w:rsidR="00EA598B" w:rsidRPr="00065F6D" w:rsidRDefault="000E19E1" w:rsidP="00FC1E29">
      <w:pPr>
        <w:pStyle w:val="Titolo2"/>
        <w:widowControl/>
        <w:numPr>
          <w:ilvl w:val="1"/>
          <w:numId w:val="1"/>
        </w:numPr>
      </w:pPr>
      <w:r>
        <w:rPr>
          <w:i/>
          <w:iCs/>
        </w:rPr>
        <w:t>Accroissement de la capacité</w:t>
      </w:r>
      <w:r w:rsidRPr="00AC171A">
        <w:rPr>
          <w:i/>
          <w:iCs/>
        </w:rPr>
        <w:t> :</w:t>
      </w:r>
      <w:r>
        <w:t xml:space="preserve"> Réaliser des études sur une introduction des normes de construction écologique et sur l’expérience de l’Union européenne dans l’application des règlements en matière de conception écologique et des directives sur l’étiquetage énergétique; et réunion de coordination avec les parties prenantes (40 000 $ US);</w:t>
      </w:r>
    </w:p>
    <w:p w14:paraId="33029420" w14:textId="541C4D0A" w:rsidR="00EA598B" w:rsidRPr="00065F6D" w:rsidRDefault="00A2554C" w:rsidP="00FC1E29">
      <w:pPr>
        <w:pStyle w:val="Titolo2"/>
        <w:widowControl/>
        <w:numPr>
          <w:ilvl w:val="1"/>
          <w:numId w:val="1"/>
        </w:numPr>
      </w:pPr>
      <w:r>
        <w:rPr>
          <w:i/>
          <w:iCs/>
        </w:rPr>
        <w:lastRenderedPageBreak/>
        <w:t>Sensibilisation et diffusion</w:t>
      </w:r>
      <w:r>
        <w:t> </w:t>
      </w:r>
      <w:r w:rsidRPr="00AC171A">
        <w:rPr>
          <w:i/>
          <w:iCs/>
        </w:rPr>
        <w:t>:</w:t>
      </w:r>
      <w:r>
        <w:t xml:space="preserve"> Élaborer une stratégie et un plan d’action pour promouvoir les normes de construction écologique et un système d’étiquetage; élaborer et distribuer des documents de diffusion sur la construction écologique et l’efficacité énergétique; et organiser un événement de sensibilisation pour promouvoir l’introduction des normes de construction écologique et un système d’étiquetage (35 000 $ US);</w:t>
      </w:r>
    </w:p>
    <w:p w14:paraId="04F95610" w14:textId="0E4ABD99" w:rsidR="00EA598B" w:rsidRPr="00065F6D" w:rsidRDefault="00A2554C" w:rsidP="00FC1E29">
      <w:pPr>
        <w:pStyle w:val="Titolo2"/>
        <w:widowControl/>
        <w:numPr>
          <w:ilvl w:val="1"/>
          <w:numId w:val="1"/>
        </w:numPr>
      </w:pPr>
      <w:r>
        <w:rPr>
          <w:i/>
          <w:iCs/>
        </w:rPr>
        <w:t>Mises à jour des documents de formation</w:t>
      </w:r>
      <w:r w:rsidRPr="00AC171A">
        <w:rPr>
          <w:i/>
          <w:iCs/>
        </w:rPr>
        <w:t> :</w:t>
      </w:r>
      <w:r>
        <w:t xml:space="preserve"> Réaliser l’évaluation sur les besoins en matière de formation pour différents groupes de parties prenantes en vue de l’introduction des normes de construction écologique et de l’étiquetage; et trois cours de formation pour 70 participants provenant des principales parties prenantes publiques et privées (25 000 $ US).</w:t>
      </w:r>
    </w:p>
    <w:bookmarkEnd w:id="8"/>
    <w:bookmarkEnd w:id="12"/>
    <w:bookmarkEnd w:id="14"/>
    <w:p w14:paraId="6C674D65" w14:textId="340CFE31" w:rsidR="00EA598B" w:rsidRPr="00065F6D" w:rsidRDefault="00EA598B" w:rsidP="008E7E32">
      <w:pPr>
        <w:spacing w:before="360" w:after="240"/>
        <w:jc w:val="center"/>
        <w:rPr>
          <w:b/>
        </w:rPr>
      </w:pPr>
      <w:r>
        <w:rPr>
          <w:b/>
        </w:rPr>
        <w:t>OBSERVATIONS ET RECOMMANDATION DU SECRÉTARIAT</w:t>
      </w:r>
    </w:p>
    <w:p w14:paraId="521114A0" w14:textId="77777777" w:rsidR="00EA598B" w:rsidRPr="00065F6D" w:rsidRDefault="00EA598B" w:rsidP="008E7E32">
      <w:pPr>
        <w:rPr>
          <w:b/>
        </w:rPr>
      </w:pPr>
      <w:r>
        <w:rPr>
          <w:b/>
        </w:rPr>
        <w:t>OBSERVATIONS</w:t>
      </w:r>
    </w:p>
    <w:p w14:paraId="74511E8E" w14:textId="77777777" w:rsidR="00EA598B" w:rsidRPr="00065F6D" w:rsidRDefault="00EA598B" w:rsidP="008E7E32">
      <w:pPr>
        <w:spacing w:before="240" w:after="240"/>
      </w:pPr>
      <w:r>
        <w:rPr>
          <w:u w:val="single"/>
        </w:rPr>
        <w:t>Rapport sur la consommation des HCFC et vérification</w:t>
      </w:r>
    </w:p>
    <w:p w14:paraId="670E2505" w14:textId="28B696A0" w:rsidR="00EA598B" w:rsidRPr="008B0171" w:rsidRDefault="002F58C2" w:rsidP="002F58C2">
      <w:pPr>
        <w:pStyle w:val="Titolo1"/>
      </w:pPr>
      <w:r>
        <w:t xml:space="preserve">Le rapport de vérification présentait les recommandations, y compris la promotion de l’amélioration supplémentaire de l’ERMS, la contribution à l’élaboration d’une application mobile du logiciel pour simplifier l’accès aux personnes certifiées </w:t>
      </w:r>
      <w:r w:rsidR="000B5061">
        <w:t>à</w:t>
      </w:r>
      <w:r>
        <w:t xml:space="preserve"> ce système, et la mise sur pied ainsi que le maintien à jour de la base de données numérique à l’échelle nationale des parties prenantes impliquées dans le secteur de la réfrigération et de la climatisation. Le PNUD a déclaré que l’ERMS est un système relativement nouveau puisqu’il est devenu imposé par la loi à partir de janvier 2024. Actuellement, l’UNO recueille une rétroaction des acteurs impliqués dans le système. Les demandes précises des utilisateurs ont déjà été traitées et d’autres changements seront apportés au besoin pour continuer de parfaire le système. En outre, la base de données des parties prenantes du secteur de la réfrigération et de la climatisation mise sur pied en avril 2023 a été intégrée à l’ERMS. Actuellement, 1 200 parties prenantes sont enregistrées et un élargissement supplémentaire ainsi que la maintenance continue se poursuivront.</w:t>
      </w:r>
    </w:p>
    <w:p w14:paraId="24AF1F56" w14:textId="77777777" w:rsidR="00EA598B" w:rsidRPr="008B0171" w:rsidRDefault="00EA598B" w:rsidP="00FC1E29">
      <w:pPr>
        <w:spacing w:before="240" w:after="240"/>
        <w:rPr>
          <w:u w:val="single"/>
        </w:rPr>
      </w:pPr>
      <w:r>
        <w:rPr>
          <w:u w:val="single"/>
        </w:rPr>
        <w:t>Rapport périodique sur la mise en œuvre de la première tranche de la phase II du plan de gestion de l’élimination des HCFC</w:t>
      </w:r>
    </w:p>
    <w:p w14:paraId="6D51FD02" w14:textId="77777777" w:rsidR="00EA598B" w:rsidRPr="008B0171" w:rsidRDefault="00EA598B" w:rsidP="00FC1E29">
      <w:pPr>
        <w:spacing w:before="240" w:after="240"/>
        <w:rPr>
          <w:i/>
        </w:rPr>
      </w:pPr>
      <w:r>
        <w:rPr>
          <w:i/>
        </w:rPr>
        <w:t>Cadre juridique</w:t>
      </w:r>
    </w:p>
    <w:p w14:paraId="7D641C9A" w14:textId="2C5BD480" w:rsidR="00EA598B" w:rsidRPr="008B0171" w:rsidRDefault="00EA598B" w:rsidP="00FC1E29">
      <w:pPr>
        <w:pStyle w:val="Titolo1"/>
      </w:pPr>
      <w:r>
        <w:t>Le gouvernement de la Géorgie a déjà émis des quotas d’importation de HCFC pour 2024 à hauteur de 1,65 tonne PAO et de 1,375 tonne PAO pour 2025, ce qui est inférieur aux cibles de contrôle du Protocole de Montréal et à la consommation maximale autorisée pour ces années.</w:t>
      </w:r>
    </w:p>
    <w:p w14:paraId="227DD827" w14:textId="246E2AA7" w:rsidR="00677E85" w:rsidRPr="008B0171" w:rsidRDefault="00BD4470" w:rsidP="00BD1BBD">
      <w:pPr>
        <w:pStyle w:val="Titolo1"/>
      </w:pPr>
      <w:r>
        <w:t>En réponse à une demande du Secrétariat sur l’interdiction des importations des appareils contenant des HCFC prévue à partir du 1</w:t>
      </w:r>
      <w:r>
        <w:rPr>
          <w:vertAlign w:val="superscript"/>
        </w:rPr>
        <w:t>er</w:t>
      </w:r>
      <w:r>
        <w:t> janvier 2024, le PNUD a indiqué que le pays éprouve des difficultés exécutoires, puisque les douanes ne peuvent pas vérifier physiquement l’équipement contenu dans chaque cargaison d’appareils de réfrigération et de climatisation. L’introduction de cette mesure est au calendrier du Programme national 2022-2026 de l’action environnementale de la Géorgie. Par conséquent, le Bureau national de l’ozone collabore étroitement avec le département des douanes afin d’identifier des moyens de mettre en œuvre l’interdiction des importations d’appareils contenant des HCFC.</w:t>
      </w:r>
    </w:p>
    <w:p w14:paraId="41F59E7A" w14:textId="77777777" w:rsidR="00EA598B" w:rsidRPr="008B0171" w:rsidRDefault="00EA598B" w:rsidP="00FC1E29">
      <w:pPr>
        <w:spacing w:after="240"/>
        <w:rPr>
          <w:i/>
        </w:rPr>
      </w:pPr>
      <w:r>
        <w:rPr>
          <w:i/>
        </w:rPr>
        <w:t>Secteur de l’entretien en réfrigération</w:t>
      </w:r>
    </w:p>
    <w:p w14:paraId="610D5730" w14:textId="7C9D0D40" w:rsidR="00AE1A29" w:rsidRPr="008B0171" w:rsidRDefault="00AE1A29" w:rsidP="005E2916">
      <w:pPr>
        <w:pStyle w:val="Titolo1"/>
        <w:rPr>
          <w:i/>
          <w:iCs/>
        </w:rPr>
      </w:pPr>
      <w:r>
        <w:t xml:space="preserve">Le Secrétariat s’est renseigné au sujet des limites rencontrées dans l’adoption des solutions de remplacement à PRG faible ou nul au pays, et le PNUD a répondu qu’il y a plusieurs unités d’équipement de réfrigération et de climatisation fonctionnant avec des substituts à PRG faible ou nul, y compris le nouvel équipement de climatisation installé à la société de Radiodiffusion publique géorgienne grâce au projet </w:t>
      </w:r>
      <w:r>
        <w:lastRenderedPageBreak/>
        <w:t>pilote mis en œuvre dans le cadre de la phase I du PGEH. Ainsi, une certaine expertise en entretien de cet équipement existe, mais doit être améliorée. Par ailleurs, il existe quelques normes en matière de sécurité couvrant les solutions de remplacement qui doivent être mises à jour.</w:t>
      </w:r>
    </w:p>
    <w:p w14:paraId="350493EC" w14:textId="77777777" w:rsidR="00EA598B" w:rsidRPr="008B0171" w:rsidRDefault="00EA598B" w:rsidP="00FC1E29">
      <w:pPr>
        <w:spacing w:after="240"/>
        <w:rPr>
          <w:u w:val="single"/>
        </w:rPr>
      </w:pPr>
      <w:r>
        <w:rPr>
          <w:u w:val="single"/>
        </w:rPr>
        <w:t>Plan de mise en œuvre pour la deuxième tranche de la phase II du plan de gestion de l’élimination des HCFC</w:t>
      </w:r>
    </w:p>
    <w:p w14:paraId="300167E5" w14:textId="77777777" w:rsidR="009E2D8B" w:rsidRPr="008B0171" w:rsidRDefault="009E2D8B" w:rsidP="009E2D8B">
      <w:pPr>
        <w:pStyle w:val="Titolo1"/>
        <w:numPr>
          <w:ilvl w:val="0"/>
          <w:numId w:val="0"/>
        </w:numPr>
        <w:tabs>
          <w:tab w:val="num" w:pos="0"/>
        </w:tabs>
      </w:pPr>
      <w:r>
        <w:rPr>
          <w:i/>
          <w:iCs/>
        </w:rPr>
        <w:t>Projet de démonstration de la technologie de remplacement à faible PRG</w:t>
      </w:r>
    </w:p>
    <w:p w14:paraId="0EBB23FD" w14:textId="3E9865D2" w:rsidR="0025329C" w:rsidRPr="008B0171" w:rsidRDefault="0025329C" w:rsidP="009E2D8B">
      <w:pPr>
        <w:pStyle w:val="Titolo1"/>
        <w:rPr>
          <w:i/>
          <w:iCs/>
        </w:rPr>
      </w:pPr>
      <w:r>
        <w:t>Un</w:t>
      </w:r>
      <w:r w:rsidR="00A356FC">
        <w:t>e</w:t>
      </w:r>
      <w:r>
        <w:t xml:space="preserve"> étude de portée détaillée pour le projet de démonstration de la technologie est toujours en cours et doit s’achever à la fin de novembre 2024. En outre, l’interdiction sur l’importation de l’équipement contenant des HCFC, les mesures politiques pour inciter l’importation de l’équipement de réfrigération et de climatisation à faible PRG et l’interdiction sur l’installation de nouveaux appareils contenant des HCFC doivent encore être publiées ou appliquées. Toutefois, le projet de démonstration destiné aux utilisateurs finaux pour la réfrigération commerciale de petite et moyenne taille pour les détaillants alimentaires est crucial pour la démonstration de l’utilisation de la technologie à faible PRG et la promotion de l’élimination des HCFC tout en évitant l’introduction des HFC. Bien que le gouvernement </w:t>
      </w:r>
      <w:proofErr w:type="gramStart"/>
      <w:r>
        <w:t>identifiera</w:t>
      </w:r>
      <w:proofErr w:type="gramEnd"/>
      <w:r>
        <w:t xml:space="preserve"> des bénéficiaires potentiels du projet de démonstration une fois que l’étude ou l’évaluation du marché et un processus de soumissions auront été complétés, on estimait initialement qu’environ 30 utilisateurs finaux montreraient de l’intérêt pour remplacer leurs appareils existants et appuieraient la sensibilisation après l’achèvement du projet. </w:t>
      </w:r>
    </w:p>
    <w:p w14:paraId="4597BBB2" w14:textId="45F7D8A9" w:rsidR="000602C5" w:rsidRPr="00065F6D" w:rsidRDefault="0025329C" w:rsidP="009E2D8B">
      <w:pPr>
        <w:pStyle w:val="Titolo1"/>
        <w:rPr>
          <w:i/>
          <w:iCs/>
        </w:rPr>
      </w:pPr>
      <w:r>
        <w:t>Compte tenu de tout ce qui précède ainsi que des conditions mises sur pied par la décision 84/84 afin de financer ce type de projet, le Secrétariat recommande que le projet de démonstration pour les utilisateur</w:t>
      </w:r>
      <w:r w:rsidR="00673468">
        <w:t>s</w:t>
      </w:r>
      <w:r>
        <w:t xml:space="preserve"> finaux pour la réfrigération commerciale soit approuvé à la condition que le PNUD reporte le déblocage des fonds pour ce projet jusqu’à ce que les interdictions sur l’importation et l’installation de nouveaux appareils contenant des HCFC dans secteur de la réfrigération commerciale soient en vigueur. Par ailleurs, le PNUD devrait faire un suivi sur la situation de l’approbation et de la mise en application des règlements et soumettre un rapport sur l’évolution des règlements en vue d’interdire l’importation et l’installation des appareils contenant des HCFC dans le cadre de son rapport périodique et financier de 2024 à présenter à la deuxième réunion de 2025.</w:t>
      </w:r>
    </w:p>
    <w:p w14:paraId="5465B713" w14:textId="28C0D752" w:rsidR="000F3A7B" w:rsidRPr="00065F6D" w:rsidRDefault="000F3A7B" w:rsidP="000F3A7B">
      <w:pPr>
        <w:pStyle w:val="Titolo1"/>
      </w:pPr>
      <w:r>
        <w:t>En accord avec la décision 92/36(g), on a demandé au PNUD de produire un rapport sur l’élimination des HCFC et les gains en efficacité énergétique obtenus à l’achèvement de ce projet.</w:t>
      </w:r>
    </w:p>
    <w:p w14:paraId="23F9F638" w14:textId="21D71C4F" w:rsidR="00C65FE8" w:rsidRPr="00065F6D" w:rsidRDefault="00EA598B" w:rsidP="0066472F">
      <w:pPr>
        <w:keepNext/>
        <w:spacing w:after="240"/>
        <w:outlineLvl w:val="0"/>
      </w:pPr>
      <w:r>
        <w:rPr>
          <w:i/>
          <w:iCs/>
        </w:rPr>
        <w:t xml:space="preserve">Activités de maintien du rendement énergétique dans le secteur de l’entretien de l’équipement de réfrigération </w:t>
      </w:r>
    </w:p>
    <w:p w14:paraId="00F42D11" w14:textId="5CCE2A63" w:rsidR="00921FA8" w:rsidRPr="00065F6D" w:rsidRDefault="00172F6F" w:rsidP="0066472F">
      <w:pPr>
        <w:pStyle w:val="Titolo1"/>
        <w:keepNext/>
        <w:rPr>
          <w:i/>
          <w:iCs/>
        </w:rPr>
      </w:pPr>
      <w:r>
        <w:t>Le Secrétariat a souligné au PNUD que le point focal de la décision 89/6 est délimité à l’introduction de substituts à PRG faible ou nul pour les HCFC ou les HFC et au maintien de l’efficacité énergétique tout en remédiant à la consommation des HCFC dans le secteur de l’entretien. L’objectif de la proposition de projet soumis était toutefois d’introduire les normes de construction écologique et de réaliser la sensibilisation connexe. Par conséquent, le Secrétariat a suggéré que le PNUD discute à nouveau du projet avec le gouvernement de la Géorgie et présente une nouvelle proposition relative à l’introduction de la technologie à faible PRG et écoénergétique pour les secteurs de la réfrigération et climatisation et des pompes à chaleur. Étant donné que la seconde soumission d’une nouvelle proposition nécessite des consultations avec les principales parties prenantes et autorités du pays, le PNUD a accueilli l’occasion de présenter à nouveau une proposition aux termes des décisions 89/6 et 92/22 à titre d’initiative autonome à la prochaine réunion du Comité exécutif</w:t>
      </w:r>
      <w:r>
        <w:rPr>
          <w:i/>
          <w:iCs/>
        </w:rPr>
        <w:t>.</w:t>
      </w:r>
    </w:p>
    <w:p w14:paraId="42823E34" w14:textId="38DFE8D6" w:rsidR="00EA598B" w:rsidRPr="00065F6D" w:rsidRDefault="00EA598B" w:rsidP="00172F6F">
      <w:pPr>
        <w:spacing w:after="240"/>
        <w:rPr>
          <w:u w:val="single"/>
        </w:rPr>
      </w:pPr>
      <w:r>
        <w:rPr>
          <w:u w:val="single"/>
        </w:rPr>
        <w:t>Mise en œuvre de la politique sur les questions de genre</w:t>
      </w:r>
    </w:p>
    <w:p w14:paraId="19992D48" w14:textId="2200496F" w:rsidR="008F1BBA" w:rsidRPr="00065F6D" w:rsidRDefault="002347C4" w:rsidP="00FC1E29">
      <w:pPr>
        <w:pStyle w:val="Titolo1"/>
        <w:rPr>
          <w:i/>
        </w:rPr>
      </w:pPr>
      <w:r>
        <w:rPr>
          <w:rStyle w:val="normaltextrun"/>
          <w:color w:val="000000"/>
          <w:shd w:val="clear" w:color="auto" w:fill="FFFFFF"/>
        </w:rPr>
        <w:lastRenderedPageBreak/>
        <w:t xml:space="preserve">Au cours de la mise en œuvre des activités dans le cadre de la première tranche de la phase II, l’attention nécessaire a été accordée à déterminer les points d’entrée pour favoriser les activités d’égalité des genres et d’autonomisation des femmes. Plus précisément, </w:t>
      </w:r>
      <w:r>
        <w:rPr>
          <w:color w:val="000000"/>
          <w:shd w:val="clear" w:color="auto" w:fill="FFFFFF"/>
        </w:rPr>
        <w:t>une séance a été dédiée aux aspects des questions de genre</w:t>
      </w:r>
      <w:r>
        <w:rPr>
          <w:rStyle w:val="normaltextrun"/>
          <w:color w:val="000000"/>
          <w:shd w:val="clear" w:color="auto" w:fill="FFFFFF"/>
        </w:rPr>
        <w:t xml:space="preserve"> p</w:t>
      </w:r>
      <w:r>
        <w:rPr>
          <w:color w:val="000000"/>
          <w:shd w:val="clear" w:color="auto" w:fill="FFFFFF"/>
        </w:rPr>
        <w:t xml:space="preserve">endant chaque cours de formation pour les inspecteurs de l’environnement et des agents des douanes, et une étude a été menée sur les possibilités d’intégration du genre, y compris une demande pour que les parties prenantes envisagent la parité chez les personnes candidates et pour encourager la participation des femmes en sélectionnant un espace où des services de garde d’enfants peuvent être fournis.  Pour aller de l’avant, le projet nécessite désormais de recueillir des données ventilées par sexe et des renseignements qualificatifs pour analyser et suivre les enjeux des questions de genre.  Le PNUD et le gouvernement de la Géorgie continueront de produire des rapports sur tous les indicateurs obligatoires d’intégration du genre du Fonds multilatéral dans les demandes pour </w:t>
      </w:r>
      <w:proofErr w:type="gramStart"/>
      <w:r>
        <w:rPr>
          <w:color w:val="000000"/>
          <w:shd w:val="clear" w:color="auto" w:fill="FFFFFF"/>
        </w:rPr>
        <w:t>les troisième</w:t>
      </w:r>
      <w:proofErr w:type="gramEnd"/>
      <w:r>
        <w:rPr>
          <w:color w:val="000000"/>
          <w:shd w:val="clear" w:color="auto" w:fill="FFFFFF"/>
        </w:rPr>
        <w:t xml:space="preserve"> et quatrième tranches</w:t>
      </w:r>
      <w:r>
        <w:rPr>
          <w:rStyle w:val="eop"/>
          <w:color w:val="000000"/>
          <w:shd w:val="clear" w:color="auto" w:fill="FFFFFF"/>
        </w:rPr>
        <w:t> de la phase II du PGEH.</w:t>
      </w:r>
    </w:p>
    <w:p w14:paraId="2E6B89A2" w14:textId="77777777" w:rsidR="00EA598B" w:rsidRPr="00065F6D" w:rsidRDefault="00EA598B" w:rsidP="00FC1E29">
      <w:pPr>
        <w:pStyle w:val="NormaleWeb"/>
        <w:rPr>
          <w:sz w:val="22"/>
          <w:szCs w:val="22"/>
          <w:u w:val="single"/>
        </w:rPr>
      </w:pPr>
      <w:r>
        <w:rPr>
          <w:sz w:val="22"/>
          <w:szCs w:val="22"/>
          <w:u w:val="single"/>
        </w:rPr>
        <w:t>Durabilité de l’élimination des HCFC et évaluation des risques</w:t>
      </w:r>
    </w:p>
    <w:p w14:paraId="21DD870A" w14:textId="43BCCE73" w:rsidR="006C321E" w:rsidRPr="00065F6D" w:rsidRDefault="00AC16E2" w:rsidP="007D592E">
      <w:pPr>
        <w:pStyle w:val="Titolo1"/>
        <w:spacing w:before="240"/>
      </w:pPr>
      <w:r>
        <w:t>L’UNO de la Géorgie déploie des efforts pour s’assurer de la durabilité à long terme de l’élimination des HCFC et des résultats des activités du PGEH, non seulement par la mise en application du système d’octroi de permis et de quotas, mais également grâce à la récupération obligatoire des frigorigènes et à la surveillance des utilisateurs finaux ainsi que des installations des fournisseurs de frigorigènes. De plus, l’UNO et l’administration des douanes s’efforcent d’institutionnaliser la formation sur le Protocole de Montréal en organisant la formation régulière des agents nationaux des douanes sur la législation révisée afin de réglementer le commerce international des HCFC, des HFC et des appareils de réfrigération et de climatisation et en fournissant des identifiants de frigorigènes à quatre points d’entrée des douanes pour les frigorigènes. En même temps, la durabilité à long terme de la formation et de la certification des techniciens en réfrigération et climatisation a été abordée grâce à une certification fondée sur les compétences des techniciens et des ateliers d’entretien, en mettant à jour le programme d’études du programme de formation professionnelle accrédité et en formant les formateurs sur les plus récents développements de la technologie de remplacement, y compris les procédures de sécurité et les exigences réglementaires pour la manipulation des frigorigènes.</w:t>
      </w:r>
    </w:p>
    <w:p w14:paraId="27A72BBD" w14:textId="06300A3A" w:rsidR="006C321E" w:rsidRPr="00065F6D" w:rsidRDefault="006C321E" w:rsidP="00640055">
      <w:pPr>
        <w:pStyle w:val="Titolo1"/>
      </w:pPr>
      <w:r>
        <w:t>Pour aborder davantage le vieillissement des appareils contenant du HCFC-22, le risque associé aux émissions de HCFC en raison des fuites et l’augmentation éventuelle de la demande pour le HCFC-22, la phase II du PGEH démontrera l’utilisation des substituts à faible PRG dans le sous-secteur de la réfrigération commerciale. La phase I a déjà démontré des substituts pour les refroidisseurs, et une analyse des obstacles pour inciter à l’importation de l’équipement de réfrigération et de climatisation à PRG faible ou nul avec des recommandations sur les règlements a été achevée et présentée aux autorités du ministère de la Protection de l’environnement en vue d’un examen. Inversement, une utilisation accrue des substituts à PRG faible ou nul, y compris des frigorigènes inflammables ou toxiques, pourrait augmenter le risque d’accidents associés à l’utilisation de ces frigorigènes. Par conséquent, une attention particulière a été accordée dans ce contexte afin d’élaborer davantage les normes de qualification des techniciens. À cet égard, les normes de qualification professionnelle pour les techniciens de niveau 4 ont été élaborées en étroite coopération avec l’Agence de développement des compétences, le ministère de l’Éducation, le ministère de la Protection de l’environnement et les experts techniques.</w:t>
      </w:r>
    </w:p>
    <w:p w14:paraId="0312415D" w14:textId="16E9C955" w:rsidR="00EA598B" w:rsidRPr="00065F6D" w:rsidRDefault="00EA598B" w:rsidP="006C321E">
      <w:pPr>
        <w:pStyle w:val="Titolo1"/>
        <w:numPr>
          <w:ilvl w:val="0"/>
          <w:numId w:val="0"/>
        </w:numPr>
        <w:spacing w:before="240"/>
        <w:rPr>
          <w:u w:val="single"/>
        </w:rPr>
      </w:pPr>
      <w:r>
        <w:rPr>
          <w:u w:val="single"/>
        </w:rPr>
        <w:t>Conclusion</w:t>
      </w:r>
    </w:p>
    <w:p w14:paraId="4CC6E9E9" w14:textId="2247E9E1" w:rsidR="0099799D" w:rsidRPr="00CB3D8D" w:rsidRDefault="00AF6C11" w:rsidP="00367DE1">
      <w:pPr>
        <w:pStyle w:val="Titolo1"/>
      </w:pPr>
      <w:r>
        <w:t xml:space="preserve">La Géorgie a atteint les cibles de contrôle de son Accord avec le Comité exécutif et dans le cadre du Protocole de Montréal. Le pays met efficacement en application un système d’octroi de permis et de quotas afin de contrôler l’importation des HCFC, a mis sur pied des exigences pour la surveillance des fuites, la collecte, la récupération, le recyclage et l’élimination des HCFC et des HFC ainsi que leurs transferts transfrontaliers, et a mis à jour des normes en matière de sécurité et d’exigences environnementales pour la manipulation des substituts à faible PRG. Ainsi, avec la réduction progressive des quotas annuels de HCFC, la Géorgie est en voie de réduire davantage sa consommation de HCFC-22. </w:t>
      </w:r>
      <w:r>
        <w:lastRenderedPageBreak/>
        <w:t>Le gouvernement de la Géorgie s’est efforcé d’inclure l’intégration des questions de genre dans le PGEH et les femmes sont de plus en plus impliquées dans les activités relatives au PGEH. En outre, le gouvernement de la Géorgie, avec l’aide du PNUD, a mis en œuvre un vaste ensemble d’activités afin de renforcer la capacité nationale des agents des douanes et d’application de la loi afin de contrôler le commerce des HCFC, et surveille les installations de réfrigération et de climatisation ainsi que les établissements d’approvisionnement de frigorigènes. Avec la mise sur pied du système de certification obligatoire pour les techniciens d’entretien et les entreprises, un total de 1 191 certificats ont été remis. Le taux de décaissement de la première tranche est de plus de 65 pour cent. L’approbation de la deuxième tranche à la présente réunion assurerait la mise en œuvre continue des activités prévues afin d’atteindre et de maintenir la réduction de 72 pour cent par rapport à la cible de référence en 2025 et l’élimination totale des HCFC d’ici 2030.</w:t>
      </w:r>
    </w:p>
    <w:p w14:paraId="494B2765" w14:textId="77777777" w:rsidR="00EA598B" w:rsidRPr="00065F6D" w:rsidRDefault="00EA598B" w:rsidP="00FC1E29">
      <w:pPr>
        <w:spacing w:before="360" w:after="240"/>
        <w:rPr>
          <w:b/>
        </w:rPr>
      </w:pPr>
      <w:r>
        <w:rPr>
          <w:b/>
        </w:rPr>
        <w:t>RECOMMANDATION</w:t>
      </w:r>
    </w:p>
    <w:p w14:paraId="38407443" w14:textId="5093F7CA" w:rsidR="00747C93" w:rsidRPr="00065F6D" w:rsidRDefault="00747C93" w:rsidP="00747C93">
      <w:pPr>
        <w:pStyle w:val="Titolo1"/>
      </w:pPr>
      <w:r>
        <w:t>Le Secrétariat du Fonds recommande au Comité exécutif de prendre note :</w:t>
      </w:r>
    </w:p>
    <w:p w14:paraId="27E2CF82" w14:textId="511D1FE6" w:rsidR="00CA14BF" w:rsidRPr="00065F6D" w:rsidRDefault="00BA1969" w:rsidP="00CA14BF">
      <w:pPr>
        <w:pStyle w:val="Titolo2"/>
      </w:pPr>
      <w:r>
        <w:t>Du rapport périodique sur la mise en œuvre de la première tranche de la phase II du plan de gestion de l’élimination des HCFC (PGEH) pour la Géorgie;</w:t>
      </w:r>
    </w:p>
    <w:p w14:paraId="41E554FB" w14:textId="03918307" w:rsidR="00FA3CD7" w:rsidRPr="00065F6D" w:rsidRDefault="00BA1969" w:rsidP="00914EF0">
      <w:pPr>
        <w:pStyle w:val="Titolo2"/>
        <w:rPr>
          <w:color w:val="000000" w:themeColor="text1"/>
        </w:rPr>
      </w:pPr>
      <w:r>
        <w:t xml:space="preserve">Que le PNUD ne décaissera pas de fonds pour mettre en œuvre les projets de démonstration pour les utilisateurs finaux jusqu’à ce que les </w:t>
      </w:r>
      <w:r>
        <w:rPr>
          <w:color w:val="000000" w:themeColor="text1"/>
        </w:rPr>
        <w:t>interdictions sur l’importation et l’installation des appareils contenant des HCFC pour la réfrigération commerciale soient en place;</w:t>
      </w:r>
    </w:p>
    <w:p w14:paraId="6038E647" w14:textId="1E2203A6" w:rsidR="00BA1969" w:rsidRPr="00065F6D" w:rsidRDefault="00BA1969" w:rsidP="00BA1969">
      <w:pPr>
        <w:pStyle w:val="Titolo2"/>
      </w:pPr>
      <w:r>
        <w:t>Que le PNUD présentera un rapport de l’évolution des règlements afin d’interdire l’importation et l’installation des appareils contenant des HCFC dans le cadre de son rapport périodique et financier de 2024 à présenter à la deuxième réunion du Comité exécutif en 2025;</w:t>
      </w:r>
    </w:p>
    <w:p w14:paraId="1BABB5C2" w14:textId="781F1C12" w:rsidR="00BA1969" w:rsidRPr="00065F6D" w:rsidRDefault="00BA1969" w:rsidP="003E4D81">
      <w:pPr>
        <w:pStyle w:val="Titolo2"/>
      </w:pPr>
      <w:r>
        <w:t>Qu’à l’achèvement des projets pour les utilisateurs finaux compris dans la phase II du PGEH, le PNUD présentera un rapport final sur la mise en œuvre de ces projets, y compris l’élimination des HCFC et les gains d’efficacité énergétique obtenus, en accord avec la décision 92/36(g);</w:t>
      </w:r>
    </w:p>
    <w:p w14:paraId="6963C7CB" w14:textId="6DD28E41" w:rsidR="00EA598B" w:rsidRPr="00065F6D" w:rsidRDefault="00EA598B" w:rsidP="00FA3CD7">
      <w:pPr>
        <w:pStyle w:val="Titolo1"/>
      </w:pPr>
      <w:r>
        <w:t>Le Secrétariat du Fonds recommande en outre l’approbation globale de la deuxième tranche de la phase II du PGEH de la Géorgie, et le plan de mise en œuvre de la tranche correspondante pour 2024-2026 au niveau de financement indiqué dans le tableau ci-dessous</w:t>
      </w:r>
      <w:r w:rsidR="000B27E3">
        <w:t> </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065F6D" w14:paraId="731FC882" w14:textId="77777777" w:rsidTr="00E4763A">
        <w:trPr>
          <w:tblHeader/>
        </w:trPr>
        <w:tc>
          <w:tcPr>
            <w:tcW w:w="536" w:type="dxa"/>
          </w:tcPr>
          <w:p w14:paraId="33F4A9C3" w14:textId="77777777" w:rsidR="00EA598B" w:rsidRPr="000F59B8" w:rsidRDefault="00EA598B" w:rsidP="00FC1E29">
            <w:pPr>
              <w:jc w:val="center"/>
              <w:rPr>
                <w:b/>
                <w:bCs/>
                <w:sz w:val="20"/>
                <w:szCs w:val="20"/>
              </w:rPr>
            </w:pPr>
          </w:p>
        </w:tc>
        <w:tc>
          <w:tcPr>
            <w:tcW w:w="4260" w:type="dxa"/>
          </w:tcPr>
          <w:p w14:paraId="4C2170B6" w14:textId="77777777" w:rsidR="00EA598B" w:rsidRPr="00065F6D" w:rsidRDefault="00EA598B" w:rsidP="00FC1E29">
            <w:pPr>
              <w:jc w:val="center"/>
              <w:rPr>
                <w:b/>
                <w:bCs/>
                <w:sz w:val="20"/>
                <w:szCs w:val="20"/>
              </w:rPr>
            </w:pPr>
            <w:r>
              <w:rPr>
                <w:b/>
                <w:bCs/>
                <w:sz w:val="20"/>
                <w:szCs w:val="20"/>
              </w:rPr>
              <w:t>Titre du projet</w:t>
            </w:r>
          </w:p>
        </w:tc>
        <w:tc>
          <w:tcPr>
            <w:tcW w:w="1543" w:type="dxa"/>
            <w:tcMar>
              <w:left w:w="29" w:type="dxa"/>
              <w:right w:w="29" w:type="dxa"/>
            </w:tcMar>
          </w:tcPr>
          <w:p w14:paraId="39EDCBE9" w14:textId="77777777" w:rsidR="00EA598B" w:rsidRPr="00065F6D" w:rsidRDefault="00EA598B" w:rsidP="00FC1E29">
            <w:pPr>
              <w:jc w:val="center"/>
              <w:rPr>
                <w:b/>
                <w:bCs/>
                <w:sz w:val="20"/>
                <w:szCs w:val="20"/>
              </w:rPr>
            </w:pPr>
            <w:r>
              <w:rPr>
                <w:b/>
                <w:bCs/>
                <w:sz w:val="20"/>
                <w:szCs w:val="20"/>
              </w:rPr>
              <w:t>Financement du projet ($ US)</w:t>
            </w:r>
          </w:p>
        </w:tc>
        <w:tc>
          <w:tcPr>
            <w:tcW w:w="1437" w:type="dxa"/>
            <w:tcMar>
              <w:left w:w="29" w:type="dxa"/>
              <w:right w:w="29" w:type="dxa"/>
            </w:tcMar>
          </w:tcPr>
          <w:p w14:paraId="72B482A8" w14:textId="77777777" w:rsidR="00EA598B" w:rsidRPr="00065F6D" w:rsidRDefault="00EA598B" w:rsidP="00FC1E29">
            <w:pPr>
              <w:jc w:val="center"/>
              <w:rPr>
                <w:b/>
                <w:bCs/>
                <w:sz w:val="20"/>
                <w:szCs w:val="20"/>
              </w:rPr>
            </w:pPr>
            <w:r>
              <w:rPr>
                <w:b/>
                <w:bCs/>
                <w:sz w:val="20"/>
                <w:szCs w:val="20"/>
              </w:rPr>
              <w:t>Coûts d’appui ($ US)</w:t>
            </w:r>
          </w:p>
        </w:tc>
        <w:tc>
          <w:tcPr>
            <w:tcW w:w="1574" w:type="dxa"/>
            <w:tcMar>
              <w:left w:w="29" w:type="dxa"/>
              <w:right w:w="29" w:type="dxa"/>
            </w:tcMar>
          </w:tcPr>
          <w:p w14:paraId="12055F25" w14:textId="77777777" w:rsidR="00EA598B" w:rsidRPr="00065F6D" w:rsidRDefault="00EA598B" w:rsidP="00FC1E29">
            <w:pPr>
              <w:jc w:val="center"/>
              <w:rPr>
                <w:b/>
                <w:bCs/>
                <w:sz w:val="20"/>
                <w:szCs w:val="20"/>
              </w:rPr>
            </w:pPr>
            <w:r>
              <w:rPr>
                <w:b/>
                <w:bCs/>
                <w:sz w:val="20"/>
                <w:szCs w:val="20"/>
              </w:rPr>
              <w:t>Agence d’exécution</w:t>
            </w:r>
          </w:p>
        </w:tc>
      </w:tr>
      <w:tr w:rsidR="00EA598B" w:rsidRPr="00065F6D" w14:paraId="16F6A487" w14:textId="77777777" w:rsidTr="00E4763A">
        <w:tc>
          <w:tcPr>
            <w:tcW w:w="536" w:type="dxa"/>
          </w:tcPr>
          <w:p w14:paraId="255C1AAA" w14:textId="77777777" w:rsidR="00EA598B" w:rsidRPr="00065F6D" w:rsidRDefault="00EA598B" w:rsidP="00FC1E29">
            <w:pPr>
              <w:rPr>
                <w:sz w:val="20"/>
                <w:szCs w:val="20"/>
              </w:rPr>
            </w:pPr>
            <w:r>
              <w:rPr>
                <w:sz w:val="20"/>
                <w:szCs w:val="20"/>
              </w:rPr>
              <w:t>(</w:t>
            </w:r>
            <w:proofErr w:type="gramStart"/>
            <w:r>
              <w:rPr>
                <w:sz w:val="20"/>
                <w:szCs w:val="20"/>
              </w:rPr>
              <w:t>a</w:t>
            </w:r>
            <w:proofErr w:type="gramEnd"/>
            <w:r>
              <w:rPr>
                <w:sz w:val="20"/>
                <w:szCs w:val="20"/>
              </w:rPr>
              <w:t>)</w:t>
            </w:r>
          </w:p>
        </w:tc>
        <w:tc>
          <w:tcPr>
            <w:tcW w:w="4260" w:type="dxa"/>
          </w:tcPr>
          <w:p w14:paraId="5977B3EA" w14:textId="77777777" w:rsidR="00EA598B" w:rsidRPr="00065F6D" w:rsidRDefault="00EA598B" w:rsidP="00FC1E29">
            <w:pPr>
              <w:jc w:val="left"/>
              <w:rPr>
                <w:sz w:val="20"/>
                <w:szCs w:val="20"/>
              </w:rPr>
            </w:pPr>
            <w:r>
              <w:rPr>
                <w:sz w:val="20"/>
                <w:szCs w:val="20"/>
              </w:rPr>
              <w:t>Plan de gestion de l’élimination des HCFC (phase II, deuxième tranche)</w:t>
            </w:r>
          </w:p>
        </w:tc>
        <w:tc>
          <w:tcPr>
            <w:tcW w:w="1543" w:type="dxa"/>
          </w:tcPr>
          <w:p w14:paraId="603DEEC6" w14:textId="600DDC51" w:rsidR="00EA598B" w:rsidRPr="00065F6D" w:rsidRDefault="00D924C8" w:rsidP="00FC1E29">
            <w:pPr>
              <w:jc w:val="right"/>
              <w:rPr>
                <w:sz w:val="20"/>
                <w:szCs w:val="20"/>
              </w:rPr>
            </w:pPr>
            <w:r>
              <w:rPr>
                <w:sz w:val="20"/>
                <w:szCs w:val="20"/>
              </w:rPr>
              <w:t>235 962</w:t>
            </w:r>
          </w:p>
        </w:tc>
        <w:tc>
          <w:tcPr>
            <w:tcW w:w="1437" w:type="dxa"/>
          </w:tcPr>
          <w:p w14:paraId="42FE08CE" w14:textId="25BC246A" w:rsidR="00EA598B" w:rsidRPr="00065F6D" w:rsidRDefault="00231DA6" w:rsidP="00FC1E29">
            <w:pPr>
              <w:jc w:val="right"/>
            </w:pPr>
            <w:r>
              <w:rPr>
                <w:sz w:val="20"/>
                <w:szCs w:val="20"/>
              </w:rPr>
              <w:t>16 517</w:t>
            </w:r>
          </w:p>
        </w:tc>
        <w:tc>
          <w:tcPr>
            <w:tcW w:w="1574" w:type="dxa"/>
          </w:tcPr>
          <w:p w14:paraId="26A4AFBD" w14:textId="77777777" w:rsidR="00EA598B" w:rsidRPr="00065F6D" w:rsidRDefault="00F67A00" w:rsidP="00FC1E29">
            <w:pPr>
              <w:jc w:val="center"/>
              <w:rPr>
                <w:sz w:val="20"/>
                <w:szCs w:val="20"/>
              </w:rPr>
            </w:pPr>
            <w:r>
              <w:rPr>
                <w:sz w:val="20"/>
                <w:szCs w:val="20"/>
              </w:rPr>
              <w:t>PNUD</w:t>
            </w:r>
          </w:p>
        </w:tc>
      </w:tr>
    </w:tbl>
    <w:p w14:paraId="0F1291BC" w14:textId="77777777" w:rsidR="00EA598B" w:rsidRDefault="00EA598B" w:rsidP="00FC1E29">
      <w:pPr>
        <w:rPr>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7AA7" w:rsidRPr="009B0D30" w14:paraId="01E13D0D" w14:textId="77777777" w:rsidTr="007D4293">
        <w:tc>
          <w:tcPr>
            <w:tcW w:w="1915" w:type="dxa"/>
          </w:tcPr>
          <w:p w14:paraId="54DF1102" w14:textId="77777777" w:rsidR="00677AA7" w:rsidRPr="009B0D30" w:rsidRDefault="00677AA7" w:rsidP="007D4293"/>
        </w:tc>
        <w:tc>
          <w:tcPr>
            <w:tcW w:w="1915" w:type="dxa"/>
          </w:tcPr>
          <w:p w14:paraId="0C9C5D4F" w14:textId="77777777" w:rsidR="00677AA7" w:rsidRPr="009B0D30" w:rsidRDefault="00677AA7" w:rsidP="007D4293"/>
        </w:tc>
        <w:tc>
          <w:tcPr>
            <w:tcW w:w="1915" w:type="dxa"/>
            <w:tcBorders>
              <w:bottom w:val="single" w:sz="4" w:space="0" w:color="auto"/>
            </w:tcBorders>
          </w:tcPr>
          <w:p w14:paraId="65B46289" w14:textId="77777777" w:rsidR="00677AA7" w:rsidRPr="009B0D30" w:rsidRDefault="00677AA7" w:rsidP="007D4293"/>
        </w:tc>
        <w:tc>
          <w:tcPr>
            <w:tcW w:w="1915" w:type="dxa"/>
          </w:tcPr>
          <w:p w14:paraId="5434FC82" w14:textId="77777777" w:rsidR="00677AA7" w:rsidRPr="009B0D30" w:rsidRDefault="00677AA7" w:rsidP="007D4293"/>
        </w:tc>
        <w:tc>
          <w:tcPr>
            <w:tcW w:w="1916" w:type="dxa"/>
          </w:tcPr>
          <w:p w14:paraId="0FC7DFCC" w14:textId="77777777" w:rsidR="00677AA7" w:rsidRPr="009B0D30" w:rsidRDefault="00677AA7" w:rsidP="007D4293"/>
        </w:tc>
      </w:tr>
    </w:tbl>
    <w:p w14:paraId="4E0B6C98" w14:textId="77777777" w:rsidR="00677AA7" w:rsidRPr="00065F6D" w:rsidRDefault="00677AA7" w:rsidP="00FC1E29">
      <w:pPr>
        <w:rPr>
          <w:lang w:val="en-GB"/>
        </w:rPr>
      </w:pPr>
    </w:p>
    <w:sectPr w:rsidR="00677AA7" w:rsidRPr="00065F6D"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B7D30C" w14:textId="77777777" w:rsidR="008604F9" w:rsidRDefault="008604F9" w:rsidP="004A504B">
      <w:r>
        <w:separator/>
      </w:r>
    </w:p>
  </w:endnote>
  <w:endnote w:type="continuationSeparator" w:id="0">
    <w:p w14:paraId="581AC435" w14:textId="77777777" w:rsidR="008604F9" w:rsidRDefault="008604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0CE2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B37E1"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85592" w14:textId="77777777" w:rsidR="003416C1"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6E6DB329" w14:textId="4643E86C"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017F1EE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03DD9" w14:textId="77777777" w:rsidR="008604F9" w:rsidRDefault="008604F9" w:rsidP="004A504B">
      <w:r>
        <w:separator/>
      </w:r>
    </w:p>
  </w:footnote>
  <w:footnote w:type="continuationSeparator" w:id="0">
    <w:p w14:paraId="52E959A4" w14:textId="77777777" w:rsidR="008604F9" w:rsidRDefault="008604F9" w:rsidP="004A504B">
      <w:r>
        <w:continuationSeparator/>
      </w:r>
    </w:p>
  </w:footnote>
  <w:footnote w:id="1">
    <w:p w14:paraId="6686F1C9" w14:textId="2B72260D" w:rsidR="005C49AC" w:rsidRPr="001E1147" w:rsidRDefault="005C49AC" w:rsidP="007C6D20">
      <w:pPr>
        <w:pStyle w:val="Testonotaapidipagina"/>
        <w:tabs>
          <w:tab w:val="left" w:pos="3700"/>
        </w:tabs>
        <w:spacing w:after="40"/>
      </w:pPr>
      <w:r>
        <w:rPr>
          <w:rStyle w:val="Rimandonotaapidipagina"/>
        </w:rPr>
        <w:footnoteRef/>
      </w:r>
      <w:r>
        <w:t xml:space="preserve"> UNEP/</w:t>
      </w:r>
      <w:proofErr w:type="spellStart"/>
      <w:r>
        <w:t>OzL.Pro</w:t>
      </w:r>
      <w:proofErr w:type="spellEnd"/>
      <w:r>
        <w:t>/</w:t>
      </w:r>
      <w:proofErr w:type="spellStart"/>
      <w:r>
        <w:t>ExCom</w:t>
      </w:r>
      <w:proofErr w:type="spellEnd"/>
      <w:r>
        <w:t>/95/1</w:t>
      </w:r>
      <w:r w:rsidR="007C6D20">
        <w:tab/>
      </w:r>
    </w:p>
  </w:footnote>
  <w:footnote w:id="2">
    <w:p w14:paraId="61F6AB9F" w14:textId="332D2DF2" w:rsidR="00EA598B" w:rsidRPr="00FE3307" w:rsidRDefault="00EA598B" w:rsidP="00EA598B">
      <w:pPr>
        <w:pStyle w:val="Testonotaapidipagina"/>
      </w:pPr>
      <w:r>
        <w:rPr>
          <w:rStyle w:val="Rimandonotaapidipagina"/>
        </w:rPr>
        <w:footnoteRef/>
      </w:r>
      <w:r>
        <w:t xml:space="preserve"> Conformément à la lettre du 27 septembre 2024 du ministère de la Protection de l’environnement et de l’Agriculture de la Géorgie adressée au Secrétariat.</w:t>
      </w:r>
    </w:p>
  </w:footnote>
  <w:footnote w:id="3">
    <w:p w14:paraId="4F22D96A" w14:textId="77777777" w:rsidR="006E4B01" w:rsidRPr="00526E90" w:rsidRDefault="006E4B01" w:rsidP="006E4B01">
      <w:pPr>
        <w:pStyle w:val="Testonotaapidipagina"/>
      </w:pPr>
      <w:r>
        <w:rPr>
          <w:rStyle w:val="Rimandonotaapidipagina"/>
        </w:rPr>
        <w:footnoteRef/>
      </w:r>
      <w:r>
        <w:t xml:space="preserve"> En accord avec la décision 89/6, les pays à faible volume de consommation peuvent inclure des activités supplémentaires dans leurs PGEH pour l’introduction de substituts aux HCFC avec un potentiel de réchauffement de la planète faible ou nul et pour le maintien de l’efficacité énergétique dans le secteur de l’entretien en réfrigération.</w:t>
      </w:r>
    </w:p>
  </w:footnote>
  <w:footnote w:id="4">
    <w:p w14:paraId="48C73391" w14:textId="38A41F78" w:rsidR="00EC4D31" w:rsidRPr="00EC4D31" w:rsidRDefault="00EC4D31">
      <w:pPr>
        <w:pStyle w:val="Testonotaapidipagina"/>
      </w:pPr>
      <w:r>
        <w:rPr>
          <w:rStyle w:val="Rimandonotaapidipagina"/>
        </w:rPr>
        <w:footnoteRef/>
      </w:r>
      <w:r>
        <w:t xml:space="preserve"> Les propriétaires des appareils fixes contenant 3 kg ou plus de HCFC ou HFC et les techniciens certifiés doivent tenir un journal électronique.</w:t>
      </w:r>
    </w:p>
  </w:footnote>
  <w:footnote w:id="5">
    <w:p w14:paraId="67894586" w14:textId="00D82E01" w:rsidR="00FA31FA" w:rsidRPr="00FA31FA" w:rsidRDefault="00FA31FA">
      <w:pPr>
        <w:pStyle w:val="Testonotaapidipagina"/>
      </w:pPr>
      <w:r>
        <w:rPr>
          <w:rStyle w:val="Rimandonotaapidipagina"/>
        </w:rPr>
        <w:footnoteRef/>
      </w:r>
      <w:r>
        <w:t xml:space="preserve"> Pour consigner les visites d’inspection dans les installations de réfrigération et de climatisation, vérifier le registre sur place dans l’ERMS, inscrire les stocks de frigorigènes, vérifier si le technicien d’entretien est certifié et, le cas échéant, </w:t>
      </w:r>
      <w:r w:rsidR="00C5769C">
        <w:t>remettre</w:t>
      </w:r>
      <w:r>
        <w:t xml:space="preserve"> des amendes sur place.</w:t>
      </w:r>
    </w:p>
  </w:footnote>
  <w:footnote w:id="6">
    <w:p w14:paraId="2638DE9D" w14:textId="5ECFB091" w:rsidR="00DD66F3" w:rsidRPr="00DD66F3" w:rsidRDefault="00DD66F3">
      <w:pPr>
        <w:pStyle w:val="Testonotaapidipagina"/>
      </w:pPr>
      <w:r>
        <w:rPr>
          <w:rStyle w:val="Rimandonotaapidipagina"/>
        </w:rPr>
        <w:footnoteRef/>
      </w:r>
      <w:r>
        <w:t xml:space="preserve"> Les centres d’entretien des frigorigènes agissent comme pôle pour l’expertise technique, la distribution de pièces et le soutien, autant pour les utilisateurs finaux que les techniciens, et des outils spécialisés et de l’équipement sont visés pour que les techniciens puissent accomplir leur travail efficacement et en toute sécurité plus facilement.</w:t>
      </w:r>
    </w:p>
  </w:footnote>
  <w:footnote w:id="7">
    <w:p w14:paraId="2A41D8D3" w14:textId="30F7764C" w:rsidR="00DD66F3" w:rsidRPr="00DD66F3" w:rsidRDefault="00DD66F3">
      <w:pPr>
        <w:pStyle w:val="Testonotaapidipagina"/>
      </w:pPr>
      <w:r>
        <w:rPr>
          <w:rStyle w:val="Rimandonotaapidipagina"/>
        </w:rPr>
        <w:footnoteRef/>
      </w:r>
      <w:r>
        <w:t xml:space="preserve"> Liste provisoire de l’équipement : machines de récupération des frigorigènes, bonbonnes de récupération, pompes à vide, manomètres de collecteur, détecteurs de fuites, thermomètres électroniques et hygromètres, balances de chargement des frigorigènes, et multimètres.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87473" w14:textId="6C46EB66" w:rsidR="00DC6A10" w:rsidRPr="0033525D" w:rsidRDefault="00AD0E04">
    <w:r>
      <w:fldChar w:fldCharType="begin"/>
    </w:r>
    <w:r>
      <w:instrText xml:space="preserve"> DOCPROPERTY "Document number"  \* MERGEFORMAT </w:instrText>
    </w:r>
    <w:r>
      <w:fldChar w:fldCharType="separate"/>
    </w:r>
    <w:r w:rsidR="00C36634">
      <w:t>UNEP/</w:t>
    </w:r>
    <w:proofErr w:type="spellStart"/>
    <w:r w:rsidR="00C36634">
      <w:t>OzL.Pro</w:t>
    </w:r>
    <w:proofErr w:type="spellEnd"/>
    <w:r w:rsidR="00C36634">
      <w:t>/</w:t>
    </w:r>
    <w:proofErr w:type="spellStart"/>
    <w:r w:rsidR="00C36634">
      <w:t>ExCom</w:t>
    </w:r>
    <w:proofErr w:type="spellEnd"/>
    <w:r w:rsidR="00C36634">
      <w:t>/95/53</w:t>
    </w:r>
    <w:r>
      <w:fldChar w:fldCharType="end"/>
    </w:r>
  </w:p>
  <w:p w14:paraId="0C786108" w14:textId="77777777" w:rsidR="00DC6A10" w:rsidRPr="0033525D" w:rsidRDefault="00DC6A10"/>
  <w:p w14:paraId="012F302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7003C" w14:textId="5B525E72" w:rsidR="00DC6A10" w:rsidRPr="0033525D" w:rsidRDefault="00AD0E04">
    <w:pPr>
      <w:jc w:val="right"/>
    </w:pPr>
    <w:r>
      <w:fldChar w:fldCharType="begin"/>
    </w:r>
    <w:r>
      <w:instrText xml:space="preserve"> DOCPROPERTY "Document number"  \* MERGEFORMAT </w:instrText>
    </w:r>
    <w:r>
      <w:fldChar w:fldCharType="separate"/>
    </w:r>
    <w:r w:rsidR="00C36634">
      <w:t>UNEP/</w:t>
    </w:r>
    <w:proofErr w:type="spellStart"/>
    <w:r w:rsidR="00C36634">
      <w:t>OzL.Pro</w:t>
    </w:r>
    <w:proofErr w:type="spellEnd"/>
    <w:r w:rsidR="00C36634">
      <w:t>/</w:t>
    </w:r>
    <w:proofErr w:type="spellStart"/>
    <w:r w:rsidR="00C36634">
      <w:t>ExCom</w:t>
    </w:r>
    <w:proofErr w:type="spellEnd"/>
    <w:r w:rsidR="00C36634">
      <w:t>/95/53</w:t>
    </w:r>
    <w:r>
      <w:fldChar w:fldCharType="end"/>
    </w:r>
  </w:p>
  <w:p w14:paraId="2230CA7D" w14:textId="77777777" w:rsidR="00DC6A10" w:rsidRPr="0033525D" w:rsidRDefault="00DC6A10" w:rsidP="008A0CA7">
    <w:pPr>
      <w:jc w:val="right"/>
    </w:pPr>
  </w:p>
  <w:p w14:paraId="44D4E095" w14:textId="77777777" w:rsidR="00DC6A10" w:rsidRPr="0033525D" w:rsidRDefault="00DC6A10" w:rsidP="008A0CA7">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94992E"/>
    <w:lvl w:ilvl="0">
      <w:start w:val="1"/>
      <w:numFmt w:val="decimal"/>
      <w:pStyle w:val="Titolo1"/>
      <w:lvlText w:val="%1."/>
      <w:lvlJc w:val="left"/>
      <w:pPr>
        <w:tabs>
          <w:tab w:val="num" w:pos="990"/>
        </w:tabs>
        <w:ind w:left="990" w:firstLine="0"/>
      </w:pPr>
      <w:rPr>
        <w:i w:val="0"/>
        <w:iCs/>
      </w:rPr>
    </w:lvl>
    <w:lvl w:ilvl="1">
      <w:start w:val="1"/>
      <w:numFmt w:val="lowerLetter"/>
      <w:pStyle w:val="Titolo2"/>
      <w:lvlText w:val="(%2)"/>
      <w:lvlJc w:val="left"/>
      <w:pPr>
        <w:tabs>
          <w:tab w:val="num" w:pos="0"/>
        </w:tabs>
        <w:ind w:left="1440" w:hanging="720"/>
      </w:pPr>
      <w:rPr>
        <w:i w:val="0"/>
        <w:iCs w:val="0"/>
      </w:r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6B3D2A"/>
    <w:multiLevelType w:val="hybridMultilevel"/>
    <w:tmpl w:val="C38C7F24"/>
    <w:lvl w:ilvl="0" w:tplc="E042CC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91E2147"/>
    <w:multiLevelType w:val="hybridMultilevel"/>
    <w:tmpl w:val="977ABFF8"/>
    <w:lvl w:ilvl="0" w:tplc="2BE42F6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9D1FE3"/>
    <w:multiLevelType w:val="hybridMultilevel"/>
    <w:tmpl w:val="AFBC58D6"/>
    <w:lvl w:ilvl="0" w:tplc="8D6499F4">
      <w:start w:val="2000"/>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0350206">
    <w:abstractNumId w:val="10"/>
  </w:num>
  <w:num w:numId="2" w16cid:durableId="1787575899">
    <w:abstractNumId w:val="10"/>
  </w:num>
  <w:num w:numId="3" w16cid:durableId="409741208">
    <w:abstractNumId w:val="10"/>
  </w:num>
  <w:num w:numId="4" w16cid:durableId="1307247976">
    <w:abstractNumId w:val="10"/>
  </w:num>
  <w:num w:numId="5" w16cid:durableId="1704675632">
    <w:abstractNumId w:val="10"/>
  </w:num>
  <w:num w:numId="6" w16cid:durableId="1036854006">
    <w:abstractNumId w:val="9"/>
  </w:num>
  <w:num w:numId="7" w16cid:durableId="1419905266">
    <w:abstractNumId w:val="7"/>
  </w:num>
  <w:num w:numId="8" w16cid:durableId="1165166809">
    <w:abstractNumId w:val="6"/>
  </w:num>
  <w:num w:numId="9" w16cid:durableId="2037004514">
    <w:abstractNumId w:val="5"/>
  </w:num>
  <w:num w:numId="10" w16cid:durableId="861405384">
    <w:abstractNumId w:val="4"/>
  </w:num>
  <w:num w:numId="11" w16cid:durableId="1333340514">
    <w:abstractNumId w:val="8"/>
  </w:num>
  <w:num w:numId="12" w16cid:durableId="1703045353">
    <w:abstractNumId w:val="3"/>
  </w:num>
  <w:num w:numId="13" w16cid:durableId="554043746">
    <w:abstractNumId w:val="2"/>
  </w:num>
  <w:num w:numId="14" w16cid:durableId="1825320622">
    <w:abstractNumId w:val="1"/>
  </w:num>
  <w:num w:numId="15" w16cid:durableId="612636205">
    <w:abstractNumId w:val="0"/>
  </w:num>
  <w:num w:numId="16" w16cid:durableId="2002274968">
    <w:abstractNumId w:val="11"/>
  </w:num>
  <w:num w:numId="17" w16cid:durableId="1719822336">
    <w:abstractNumId w:val="16"/>
  </w:num>
  <w:num w:numId="18" w16cid:durableId="1364285168">
    <w:abstractNumId w:val="17"/>
  </w:num>
  <w:num w:numId="19" w16cid:durableId="605044537">
    <w:abstractNumId w:val="21"/>
  </w:num>
  <w:num w:numId="20" w16cid:durableId="445271718">
    <w:abstractNumId w:val="12"/>
  </w:num>
  <w:num w:numId="21" w16cid:durableId="1823308519">
    <w:abstractNumId w:val="15"/>
  </w:num>
  <w:num w:numId="22" w16cid:durableId="775561095">
    <w:abstractNumId w:val="19"/>
  </w:num>
  <w:num w:numId="23" w16cid:durableId="1195968918">
    <w:abstractNumId w:val="14"/>
  </w:num>
  <w:num w:numId="24" w16cid:durableId="225457857">
    <w:abstractNumId w:val="19"/>
  </w:num>
  <w:num w:numId="25" w16cid:durableId="1653169650">
    <w:abstractNumId w:val="20"/>
  </w:num>
  <w:num w:numId="26" w16cid:durableId="510535816">
    <w:abstractNumId w:val="13"/>
  </w:num>
  <w:num w:numId="27" w16cid:durableId="190783259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0E04"/>
    <w:rsid w:val="00000FED"/>
    <w:rsid w:val="0000434E"/>
    <w:rsid w:val="00004B58"/>
    <w:rsid w:val="00005F07"/>
    <w:rsid w:val="00012CFA"/>
    <w:rsid w:val="0001571C"/>
    <w:rsid w:val="0001748D"/>
    <w:rsid w:val="000211A9"/>
    <w:rsid w:val="00021238"/>
    <w:rsid w:val="00022071"/>
    <w:rsid w:val="00023A6E"/>
    <w:rsid w:val="0002417C"/>
    <w:rsid w:val="000279BE"/>
    <w:rsid w:val="00031260"/>
    <w:rsid w:val="000313D9"/>
    <w:rsid w:val="000349AC"/>
    <w:rsid w:val="0003681A"/>
    <w:rsid w:val="000372B7"/>
    <w:rsid w:val="000437E7"/>
    <w:rsid w:val="00044353"/>
    <w:rsid w:val="00047DAF"/>
    <w:rsid w:val="00050BE9"/>
    <w:rsid w:val="00050F6E"/>
    <w:rsid w:val="00054AEC"/>
    <w:rsid w:val="000602C5"/>
    <w:rsid w:val="00061EC2"/>
    <w:rsid w:val="00065F6D"/>
    <w:rsid w:val="00066CE8"/>
    <w:rsid w:val="00071938"/>
    <w:rsid w:val="00072A6B"/>
    <w:rsid w:val="000741CC"/>
    <w:rsid w:val="00076843"/>
    <w:rsid w:val="00080ED0"/>
    <w:rsid w:val="00082B6C"/>
    <w:rsid w:val="00085B8F"/>
    <w:rsid w:val="00086A56"/>
    <w:rsid w:val="00090481"/>
    <w:rsid w:val="000907E3"/>
    <w:rsid w:val="00090BB1"/>
    <w:rsid w:val="00092987"/>
    <w:rsid w:val="0009733F"/>
    <w:rsid w:val="000A3826"/>
    <w:rsid w:val="000A4984"/>
    <w:rsid w:val="000A515A"/>
    <w:rsid w:val="000A6C26"/>
    <w:rsid w:val="000A6E7F"/>
    <w:rsid w:val="000B0AD4"/>
    <w:rsid w:val="000B27E3"/>
    <w:rsid w:val="000B36C8"/>
    <w:rsid w:val="000B5061"/>
    <w:rsid w:val="000C6873"/>
    <w:rsid w:val="000C6FC4"/>
    <w:rsid w:val="000C7DD8"/>
    <w:rsid w:val="000D20E6"/>
    <w:rsid w:val="000D52A4"/>
    <w:rsid w:val="000E07BC"/>
    <w:rsid w:val="000E09BF"/>
    <w:rsid w:val="000E19E1"/>
    <w:rsid w:val="000E2E21"/>
    <w:rsid w:val="000E59D7"/>
    <w:rsid w:val="000F1CD4"/>
    <w:rsid w:val="000F3A7B"/>
    <w:rsid w:val="000F4103"/>
    <w:rsid w:val="000F59B8"/>
    <w:rsid w:val="000F70A7"/>
    <w:rsid w:val="001004F0"/>
    <w:rsid w:val="00102675"/>
    <w:rsid w:val="001060AC"/>
    <w:rsid w:val="00106197"/>
    <w:rsid w:val="00106435"/>
    <w:rsid w:val="00112277"/>
    <w:rsid w:val="00113CCA"/>
    <w:rsid w:val="0011424C"/>
    <w:rsid w:val="00115213"/>
    <w:rsid w:val="00116A81"/>
    <w:rsid w:val="0012172A"/>
    <w:rsid w:val="00122D86"/>
    <w:rsid w:val="00122F25"/>
    <w:rsid w:val="00131168"/>
    <w:rsid w:val="00133B95"/>
    <w:rsid w:val="00135980"/>
    <w:rsid w:val="00137869"/>
    <w:rsid w:val="0013786F"/>
    <w:rsid w:val="0014565C"/>
    <w:rsid w:val="001471DC"/>
    <w:rsid w:val="00154919"/>
    <w:rsid w:val="00156329"/>
    <w:rsid w:val="001566FF"/>
    <w:rsid w:val="00164719"/>
    <w:rsid w:val="0016638A"/>
    <w:rsid w:val="00166FC4"/>
    <w:rsid w:val="001677AC"/>
    <w:rsid w:val="001729C3"/>
    <w:rsid w:val="00172A69"/>
    <w:rsid w:val="00172F6F"/>
    <w:rsid w:val="001733D4"/>
    <w:rsid w:val="00175E3B"/>
    <w:rsid w:val="001804EA"/>
    <w:rsid w:val="00180873"/>
    <w:rsid w:val="0018228B"/>
    <w:rsid w:val="00182BF1"/>
    <w:rsid w:val="00186741"/>
    <w:rsid w:val="00190A61"/>
    <w:rsid w:val="00191C31"/>
    <w:rsid w:val="001955DB"/>
    <w:rsid w:val="0019576D"/>
    <w:rsid w:val="00197179"/>
    <w:rsid w:val="00197E20"/>
    <w:rsid w:val="001A1BAD"/>
    <w:rsid w:val="001A2215"/>
    <w:rsid w:val="001A3342"/>
    <w:rsid w:val="001A3E3D"/>
    <w:rsid w:val="001A486F"/>
    <w:rsid w:val="001A7049"/>
    <w:rsid w:val="001B148F"/>
    <w:rsid w:val="001B1E40"/>
    <w:rsid w:val="001B23CD"/>
    <w:rsid w:val="001B4B16"/>
    <w:rsid w:val="001C3D61"/>
    <w:rsid w:val="001C764E"/>
    <w:rsid w:val="001C7EA4"/>
    <w:rsid w:val="001E0969"/>
    <w:rsid w:val="001E1052"/>
    <w:rsid w:val="001E21B1"/>
    <w:rsid w:val="001E2D3B"/>
    <w:rsid w:val="001E2F93"/>
    <w:rsid w:val="001E4554"/>
    <w:rsid w:val="001E4958"/>
    <w:rsid w:val="001E4D9F"/>
    <w:rsid w:val="001E5C13"/>
    <w:rsid w:val="001E61E5"/>
    <w:rsid w:val="001E6303"/>
    <w:rsid w:val="001F020D"/>
    <w:rsid w:val="001F2159"/>
    <w:rsid w:val="001F3B40"/>
    <w:rsid w:val="001F53FD"/>
    <w:rsid w:val="002001BD"/>
    <w:rsid w:val="002064C8"/>
    <w:rsid w:val="00210B8B"/>
    <w:rsid w:val="00212B71"/>
    <w:rsid w:val="00213787"/>
    <w:rsid w:val="00214863"/>
    <w:rsid w:val="002156B4"/>
    <w:rsid w:val="002207B1"/>
    <w:rsid w:val="0022108B"/>
    <w:rsid w:val="00224FCD"/>
    <w:rsid w:val="00231DA6"/>
    <w:rsid w:val="00234145"/>
    <w:rsid w:val="0023442D"/>
    <w:rsid w:val="002347C4"/>
    <w:rsid w:val="00235732"/>
    <w:rsid w:val="00240089"/>
    <w:rsid w:val="00240CD2"/>
    <w:rsid w:val="00247EAE"/>
    <w:rsid w:val="00253222"/>
    <w:rsid w:val="0025329C"/>
    <w:rsid w:val="002554E4"/>
    <w:rsid w:val="00255F75"/>
    <w:rsid w:val="00256D3A"/>
    <w:rsid w:val="00261C13"/>
    <w:rsid w:val="002622AF"/>
    <w:rsid w:val="00262847"/>
    <w:rsid w:val="002642B0"/>
    <w:rsid w:val="0026754E"/>
    <w:rsid w:val="00271CCC"/>
    <w:rsid w:val="00273DA7"/>
    <w:rsid w:val="00275DC4"/>
    <w:rsid w:val="00281999"/>
    <w:rsid w:val="00281BB2"/>
    <w:rsid w:val="0028245E"/>
    <w:rsid w:val="00284A75"/>
    <w:rsid w:val="00284D84"/>
    <w:rsid w:val="00285888"/>
    <w:rsid w:val="0028712C"/>
    <w:rsid w:val="0029115F"/>
    <w:rsid w:val="002932F4"/>
    <w:rsid w:val="002A03C3"/>
    <w:rsid w:val="002A2213"/>
    <w:rsid w:val="002A7657"/>
    <w:rsid w:val="002B254E"/>
    <w:rsid w:val="002B2A38"/>
    <w:rsid w:val="002B4C36"/>
    <w:rsid w:val="002B4CE8"/>
    <w:rsid w:val="002B6A7C"/>
    <w:rsid w:val="002B72E9"/>
    <w:rsid w:val="002C4DF8"/>
    <w:rsid w:val="002C4E33"/>
    <w:rsid w:val="002C54CF"/>
    <w:rsid w:val="002C58A6"/>
    <w:rsid w:val="002C7998"/>
    <w:rsid w:val="002D0826"/>
    <w:rsid w:val="002D396C"/>
    <w:rsid w:val="002E4890"/>
    <w:rsid w:val="002E630B"/>
    <w:rsid w:val="002F008E"/>
    <w:rsid w:val="002F1681"/>
    <w:rsid w:val="002F1E53"/>
    <w:rsid w:val="002F2CAA"/>
    <w:rsid w:val="002F2E2F"/>
    <w:rsid w:val="002F58C2"/>
    <w:rsid w:val="0030052C"/>
    <w:rsid w:val="003075F5"/>
    <w:rsid w:val="00312DEF"/>
    <w:rsid w:val="003175D4"/>
    <w:rsid w:val="003222FE"/>
    <w:rsid w:val="00322A7A"/>
    <w:rsid w:val="003306E1"/>
    <w:rsid w:val="00331525"/>
    <w:rsid w:val="003320E4"/>
    <w:rsid w:val="003332BE"/>
    <w:rsid w:val="0033525D"/>
    <w:rsid w:val="00335627"/>
    <w:rsid w:val="003365C6"/>
    <w:rsid w:val="003414F3"/>
    <w:rsid w:val="003416C1"/>
    <w:rsid w:val="0034294D"/>
    <w:rsid w:val="00344419"/>
    <w:rsid w:val="00351466"/>
    <w:rsid w:val="00354F1F"/>
    <w:rsid w:val="00355553"/>
    <w:rsid w:val="0035613E"/>
    <w:rsid w:val="003564D4"/>
    <w:rsid w:val="0035657A"/>
    <w:rsid w:val="00360036"/>
    <w:rsid w:val="00361CC2"/>
    <w:rsid w:val="00363EE9"/>
    <w:rsid w:val="00366518"/>
    <w:rsid w:val="00367DE1"/>
    <w:rsid w:val="00376128"/>
    <w:rsid w:val="0037742E"/>
    <w:rsid w:val="003774EC"/>
    <w:rsid w:val="00377D56"/>
    <w:rsid w:val="00377E5D"/>
    <w:rsid w:val="0038211A"/>
    <w:rsid w:val="0038245A"/>
    <w:rsid w:val="003840E6"/>
    <w:rsid w:val="003858B4"/>
    <w:rsid w:val="00385CFC"/>
    <w:rsid w:val="00391FB5"/>
    <w:rsid w:val="0039219C"/>
    <w:rsid w:val="0039337A"/>
    <w:rsid w:val="003A3189"/>
    <w:rsid w:val="003A3950"/>
    <w:rsid w:val="003A3CA7"/>
    <w:rsid w:val="003B312E"/>
    <w:rsid w:val="003B33BD"/>
    <w:rsid w:val="003B36DF"/>
    <w:rsid w:val="003B569D"/>
    <w:rsid w:val="003C152E"/>
    <w:rsid w:val="003C3C0E"/>
    <w:rsid w:val="003C5304"/>
    <w:rsid w:val="003D12E8"/>
    <w:rsid w:val="003D32BE"/>
    <w:rsid w:val="003D4262"/>
    <w:rsid w:val="003D42A6"/>
    <w:rsid w:val="003D4F21"/>
    <w:rsid w:val="003D4FAC"/>
    <w:rsid w:val="003E1885"/>
    <w:rsid w:val="003E5D2B"/>
    <w:rsid w:val="003E7906"/>
    <w:rsid w:val="003E7F54"/>
    <w:rsid w:val="003F000F"/>
    <w:rsid w:val="003F0509"/>
    <w:rsid w:val="003F3C24"/>
    <w:rsid w:val="003F3C50"/>
    <w:rsid w:val="003F3CFA"/>
    <w:rsid w:val="003F4B43"/>
    <w:rsid w:val="00400788"/>
    <w:rsid w:val="004021F7"/>
    <w:rsid w:val="00402419"/>
    <w:rsid w:val="00404AB3"/>
    <w:rsid w:val="00406202"/>
    <w:rsid w:val="0040623A"/>
    <w:rsid w:val="0040687D"/>
    <w:rsid w:val="00406A6A"/>
    <w:rsid w:val="00406B22"/>
    <w:rsid w:val="00407147"/>
    <w:rsid w:val="004078FA"/>
    <w:rsid w:val="00407EFD"/>
    <w:rsid w:val="00413DA7"/>
    <w:rsid w:val="004171FD"/>
    <w:rsid w:val="004249C0"/>
    <w:rsid w:val="00430A67"/>
    <w:rsid w:val="00431E08"/>
    <w:rsid w:val="004328A7"/>
    <w:rsid w:val="00434C74"/>
    <w:rsid w:val="00435C70"/>
    <w:rsid w:val="004361CE"/>
    <w:rsid w:val="00456AC9"/>
    <w:rsid w:val="00456EB4"/>
    <w:rsid w:val="00457827"/>
    <w:rsid w:val="004602BC"/>
    <w:rsid w:val="004718F3"/>
    <w:rsid w:val="0047202F"/>
    <w:rsid w:val="00475040"/>
    <w:rsid w:val="00477720"/>
    <w:rsid w:val="00480690"/>
    <w:rsid w:val="00485AAC"/>
    <w:rsid w:val="00487AA3"/>
    <w:rsid w:val="004902B8"/>
    <w:rsid w:val="00490C06"/>
    <w:rsid w:val="0049182F"/>
    <w:rsid w:val="00493D40"/>
    <w:rsid w:val="00493EE3"/>
    <w:rsid w:val="0049566D"/>
    <w:rsid w:val="004967B6"/>
    <w:rsid w:val="004A504B"/>
    <w:rsid w:val="004A580B"/>
    <w:rsid w:val="004A6911"/>
    <w:rsid w:val="004B3652"/>
    <w:rsid w:val="004B4797"/>
    <w:rsid w:val="004B54E0"/>
    <w:rsid w:val="004B7384"/>
    <w:rsid w:val="004C4269"/>
    <w:rsid w:val="004D0152"/>
    <w:rsid w:val="004D6236"/>
    <w:rsid w:val="004D70C5"/>
    <w:rsid w:val="004D7F90"/>
    <w:rsid w:val="004E118C"/>
    <w:rsid w:val="004E2890"/>
    <w:rsid w:val="004E2C1A"/>
    <w:rsid w:val="004E4DBB"/>
    <w:rsid w:val="004E4E41"/>
    <w:rsid w:val="004E553A"/>
    <w:rsid w:val="004E73DB"/>
    <w:rsid w:val="004E7F9C"/>
    <w:rsid w:val="004F3493"/>
    <w:rsid w:val="004F5143"/>
    <w:rsid w:val="00501627"/>
    <w:rsid w:val="00501E2A"/>
    <w:rsid w:val="005053DE"/>
    <w:rsid w:val="005060F9"/>
    <w:rsid w:val="00512B09"/>
    <w:rsid w:val="00512CFC"/>
    <w:rsid w:val="00512EF6"/>
    <w:rsid w:val="005216F4"/>
    <w:rsid w:val="005220ED"/>
    <w:rsid w:val="00522DD9"/>
    <w:rsid w:val="00526E90"/>
    <w:rsid w:val="00526FA0"/>
    <w:rsid w:val="00533796"/>
    <w:rsid w:val="00537187"/>
    <w:rsid w:val="00537343"/>
    <w:rsid w:val="00546BA5"/>
    <w:rsid w:val="00547F94"/>
    <w:rsid w:val="005516F3"/>
    <w:rsid w:val="00555D75"/>
    <w:rsid w:val="005564E2"/>
    <w:rsid w:val="005567E2"/>
    <w:rsid w:val="00556BA6"/>
    <w:rsid w:val="00560DF0"/>
    <w:rsid w:val="0056759C"/>
    <w:rsid w:val="00571A64"/>
    <w:rsid w:val="00571B48"/>
    <w:rsid w:val="00573769"/>
    <w:rsid w:val="0057722A"/>
    <w:rsid w:val="005772E1"/>
    <w:rsid w:val="0058755A"/>
    <w:rsid w:val="0059075C"/>
    <w:rsid w:val="00593F3B"/>
    <w:rsid w:val="0059513E"/>
    <w:rsid w:val="0059734E"/>
    <w:rsid w:val="005A0A94"/>
    <w:rsid w:val="005A0F4C"/>
    <w:rsid w:val="005A278C"/>
    <w:rsid w:val="005A4663"/>
    <w:rsid w:val="005A6AA4"/>
    <w:rsid w:val="005A6C75"/>
    <w:rsid w:val="005A6D9F"/>
    <w:rsid w:val="005A7C29"/>
    <w:rsid w:val="005B4377"/>
    <w:rsid w:val="005B48FF"/>
    <w:rsid w:val="005C1E32"/>
    <w:rsid w:val="005C49AC"/>
    <w:rsid w:val="005C670D"/>
    <w:rsid w:val="005D0287"/>
    <w:rsid w:val="005D363F"/>
    <w:rsid w:val="005E2916"/>
    <w:rsid w:val="005E3E89"/>
    <w:rsid w:val="005F0615"/>
    <w:rsid w:val="005F31DF"/>
    <w:rsid w:val="005F3D42"/>
    <w:rsid w:val="00604A06"/>
    <w:rsid w:val="00604C15"/>
    <w:rsid w:val="00607F75"/>
    <w:rsid w:val="00614647"/>
    <w:rsid w:val="006158D5"/>
    <w:rsid w:val="006161E2"/>
    <w:rsid w:val="00625D83"/>
    <w:rsid w:val="00626508"/>
    <w:rsid w:val="00626E89"/>
    <w:rsid w:val="00627840"/>
    <w:rsid w:val="006279CA"/>
    <w:rsid w:val="00630603"/>
    <w:rsid w:val="006308CB"/>
    <w:rsid w:val="006355D2"/>
    <w:rsid w:val="00636707"/>
    <w:rsid w:val="00640A86"/>
    <w:rsid w:val="00643064"/>
    <w:rsid w:val="00651984"/>
    <w:rsid w:val="006547A9"/>
    <w:rsid w:val="00654E4D"/>
    <w:rsid w:val="006623E7"/>
    <w:rsid w:val="00662B80"/>
    <w:rsid w:val="0066472F"/>
    <w:rsid w:val="0066768F"/>
    <w:rsid w:val="00670F6C"/>
    <w:rsid w:val="0067122D"/>
    <w:rsid w:val="0067175B"/>
    <w:rsid w:val="00673235"/>
    <w:rsid w:val="00673468"/>
    <w:rsid w:val="00674D7C"/>
    <w:rsid w:val="00676A96"/>
    <w:rsid w:val="00676E58"/>
    <w:rsid w:val="00677AA7"/>
    <w:rsid w:val="00677E85"/>
    <w:rsid w:val="0068317F"/>
    <w:rsid w:val="006852C7"/>
    <w:rsid w:val="006852CE"/>
    <w:rsid w:val="00692D14"/>
    <w:rsid w:val="00695C9C"/>
    <w:rsid w:val="006A437E"/>
    <w:rsid w:val="006A7A3B"/>
    <w:rsid w:val="006A7FDC"/>
    <w:rsid w:val="006B1F93"/>
    <w:rsid w:val="006B2C55"/>
    <w:rsid w:val="006B5C65"/>
    <w:rsid w:val="006B65C7"/>
    <w:rsid w:val="006B6B7D"/>
    <w:rsid w:val="006C1727"/>
    <w:rsid w:val="006C2061"/>
    <w:rsid w:val="006C321E"/>
    <w:rsid w:val="006C32FD"/>
    <w:rsid w:val="006C39CE"/>
    <w:rsid w:val="006C7F1A"/>
    <w:rsid w:val="006D0990"/>
    <w:rsid w:val="006D0FCC"/>
    <w:rsid w:val="006D21F5"/>
    <w:rsid w:val="006D3089"/>
    <w:rsid w:val="006D3BD7"/>
    <w:rsid w:val="006D43B5"/>
    <w:rsid w:val="006D657C"/>
    <w:rsid w:val="006E126D"/>
    <w:rsid w:val="006E1FC3"/>
    <w:rsid w:val="006E4106"/>
    <w:rsid w:val="006E41C6"/>
    <w:rsid w:val="006E4942"/>
    <w:rsid w:val="006E4B01"/>
    <w:rsid w:val="006E5195"/>
    <w:rsid w:val="006F7A84"/>
    <w:rsid w:val="00704CE9"/>
    <w:rsid w:val="0070616B"/>
    <w:rsid w:val="00706295"/>
    <w:rsid w:val="00706C5E"/>
    <w:rsid w:val="00706FDA"/>
    <w:rsid w:val="00710609"/>
    <w:rsid w:val="00711F9A"/>
    <w:rsid w:val="00713252"/>
    <w:rsid w:val="00713810"/>
    <w:rsid w:val="007144C7"/>
    <w:rsid w:val="007303A5"/>
    <w:rsid w:val="00730B3E"/>
    <w:rsid w:val="0073420B"/>
    <w:rsid w:val="00736367"/>
    <w:rsid w:val="007403AA"/>
    <w:rsid w:val="00745917"/>
    <w:rsid w:val="0074760E"/>
    <w:rsid w:val="00747C93"/>
    <w:rsid w:val="00753FEE"/>
    <w:rsid w:val="0075472D"/>
    <w:rsid w:val="00754ABA"/>
    <w:rsid w:val="007601B8"/>
    <w:rsid w:val="00765E34"/>
    <w:rsid w:val="00770B90"/>
    <w:rsid w:val="00782B0D"/>
    <w:rsid w:val="0078426C"/>
    <w:rsid w:val="00792294"/>
    <w:rsid w:val="0079781A"/>
    <w:rsid w:val="007A02C8"/>
    <w:rsid w:val="007A1546"/>
    <w:rsid w:val="007A228C"/>
    <w:rsid w:val="007A2DDE"/>
    <w:rsid w:val="007A368E"/>
    <w:rsid w:val="007A5868"/>
    <w:rsid w:val="007A64F9"/>
    <w:rsid w:val="007B04CE"/>
    <w:rsid w:val="007B6871"/>
    <w:rsid w:val="007B7A2F"/>
    <w:rsid w:val="007C0937"/>
    <w:rsid w:val="007C32EE"/>
    <w:rsid w:val="007C39D3"/>
    <w:rsid w:val="007C3B74"/>
    <w:rsid w:val="007C3D33"/>
    <w:rsid w:val="007C6D20"/>
    <w:rsid w:val="007D294A"/>
    <w:rsid w:val="007D47D2"/>
    <w:rsid w:val="007D5D89"/>
    <w:rsid w:val="007D6EC0"/>
    <w:rsid w:val="007D7AB7"/>
    <w:rsid w:val="007D7E1D"/>
    <w:rsid w:val="007E503C"/>
    <w:rsid w:val="007E69D6"/>
    <w:rsid w:val="007E7192"/>
    <w:rsid w:val="0080345C"/>
    <w:rsid w:val="00813EB5"/>
    <w:rsid w:val="0082522F"/>
    <w:rsid w:val="00831979"/>
    <w:rsid w:val="00835742"/>
    <w:rsid w:val="0084559D"/>
    <w:rsid w:val="00846991"/>
    <w:rsid w:val="00851352"/>
    <w:rsid w:val="00853008"/>
    <w:rsid w:val="00857077"/>
    <w:rsid w:val="008604F9"/>
    <w:rsid w:val="00861F4B"/>
    <w:rsid w:val="00862FA7"/>
    <w:rsid w:val="00863230"/>
    <w:rsid w:val="00863A59"/>
    <w:rsid w:val="00863E48"/>
    <w:rsid w:val="00865BD0"/>
    <w:rsid w:val="008717D8"/>
    <w:rsid w:val="0087215C"/>
    <w:rsid w:val="00872F08"/>
    <w:rsid w:val="008736A4"/>
    <w:rsid w:val="00873AE2"/>
    <w:rsid w:val="00875D25"/>
    <w:rsid w:val="00875F11"/>
    <w:rsid w:val="008774DB"/>
    <w:rsid w:val="00880E35"/>
    <w:rsid w:val="00886C7B"/>
    <w:rsid w:val="008875FE"/>
    <w:rsid w:val="00887F8E"/>
    <w:rsid w:val="00896234"/>
    <w:rsid w:val="008971E8"/>
    <w:rsid w:val="00897476"/>
    <w:rsid w:val="00897E43"/>
    <w:rsid w:val="008A0CA7"/>
    <w:rsid w:val="008A6D06"/>
    <w:rsid w:val="008B0171"/>
    <w:rsid w:val="008B0FF0"/>
    <w:rsid w:val="008C1AA6"/>
    <w:rsid w:val="008C222B"/>
    <w:rsid w:val="008C5738"/>
    <w:rsid w:val="008C7EAD"/>
    <w:rsid w:val="008D0CFE"/>
    <w:rsid w:val="008D1A62"/>
    <w:rsid w:val="008D3985"/>
    <w:rsid w:val="008D56D1"/>
    <w:rsid w:val="008D6152"/>
    <w:rsid w:val="008E3E5A"/>
    <w:rsid w:val="008E7527"/>
    <w:rsid w:val="008E7BA9"/>
    <w:rsid w:val="008E7E32"/>
    <w:rsid w:val="008F0F81"/>
    <w:rsid w:val="008F167D"/>
    <w:rsid w:val="008F1BBA"/>
    <w:rsid w:val="008F27BF"/>
    <w:rsid w:val="008F2E64"/>
    <w:rsid w:val="008F41EB"/>
    <w:rsid w:val="00901A7B"/>
    <w:rsid w:val="00902227"/>
    <w:rsid w:val="009044D4"/>
    <w:rsid w:val="00905316"/>
    <w:rsid w:val="009142EC"/>
    <w:rsid w:val="009145E4"/>
    <w:rsid w:val="00914B68"/>
    <w:rsid w:val="009154C3"/>
    <w:rsid w:val="0092160C"/>
    <w:rsid w:val="00921AD6"/>
    <w:rsid w:val="00921FA8"/>
    <w:rsid w:val="00923540"/>
    <w:rsid w:val="00925544"/>
    <w:rsid w:val="00926767"/>
    <w:rsid w:val="009302AE"/>
    <w:rsid w:val="00931FFE"/>
    <w:rsid w:val="00934D8B"/>
    <w:rsid w:val="009361D5"/>
    <w:rsid w:val="00941B96"/>
    <w:rsid w:val="009428A4"/>
    <w:rsid w:val="00944899"/>
    <w:rsid w:val="0095130D"/>
    <w:rsid w:val="00962B3C"/>
    <w:rsid w:val="009659F4"/>
    <w:rsid w:val="00965C31"/>
    <w:rsid w:val="0096608B"/>
    <w:rsid w:val="00970D60"/>
    <w:rsid w:val="0097180B"/>
    <w:rsid w:val="00987EB5"/>
    <w:rsid w:val="00990E4A"/>
    <w:rsid w:val="009919FA"/>
    <w:rsid w:val="0099390E"/>
    <w:rsid w:val="009960E5"/>
    <w:rsid w:val="00996156"/>
    <w:rsid w:val="00996C5F"/>
    <w:rsid w:val="0099799D"/>
    <w:rsid w:val="009A3705"/>
    <w:rsid w:val="009A4F78"/>
    <w:rsid w:val="009A70F2"/>
    <w:rsid w:val="009A7682"/>
    <w:rsid w:val="009A7ADC"/>
    <w:rsid w:val="009B0D30"/>
    <w:rsid w:val="009B2D69"/>
    <w:rsid w:val="009B4B31"/>
    <w:rsid w:val="009C1457"/>
    <w:rsid w:val="009C19B7"/>
    <w:rsid w:val="009C1FAD"/>
    <w:rsid w:val="009C4578"/>
    <w:rsid w:val="009C5ABB"/>
    <w:rsid w:val="009C5FEE"/>
    <w:rsid w:val="009C6C12"/>
    <w:rsid w:val="009C6DE2"/>
    <w:rsid w:val="009D45FE"/>
    <w:rsid w:val="009D606F"/>
    <w:rsid w:val="009D7C51"/>
    <w:rsid w:val="009D7C6E"/>
    <w:rsid w:val="009E07D0"/>
    <w:rsid w:val="009E196C"/>
    <w:rsid w:val="009E2D8B"/>
    <w:rsid w:val="009E679C"/>
    <w:rsid w:val="009E6A0A"/>
    <w:rsid w:val="009F1D34"/>
    <w:rsid w:val="009F36BF"/>
    <w:rsid w:val="009F5C32"/>
    <w:rsid w:val="00A05F1F"/>
    <w:rsid w:val="00A111B6"/>
    <w:rsid w:val="00A12620"/>
    <w:rsid w:val="00A2554C"/>
    <w:rsid w:val="00A2668B"/>
    <w:rsid w:val="00A26D27"/>
    <w:rsid w:val="00A339AA"/>
    <w:rsid w:val="00A356FC"/>
    <w:rsid w:val="00A376EE"/>
    <w:rsid w:val="00A41BEF"/>
    <w:rsid w:val="00A42A99"/>
    <w:rsid w:val="00A439B7"/>
    <w:rsid w:val="00A5151A"/>
    <w:rsid w:val="00A52FAD"/>
    <w:rsid w:val="00A53E5D"/>
    <w:rsid w:val="00A551F6"/>
    <w:rsid w:val="00A572F3"/>
    <w:rsid w:val="00A57E0A"/>
    <w:rsid w:val="00A64302"/>
    <w:rsid w:val="00A66571"/>
    <w:rsid w:val="00A70E90"/>
    <w:rsid w:val="00A71D62"/>
    <w:rsid w:val="00A759C5"/>
    <w:rsid w:val="00A77919"/>
    <w:rsid w:val="00A77A16"/>
    <w:rsid w:val="00A823F6"/>
    <w:rsid w:val="00A8459D"/>
    <w:rsid w:val="00A86A88"/>
    <w:rsid w:val="00A86BB5"/>
    <w:rsid w:val="00A8719E"/>
    <w:rsid w:val="00AA0A89"/>
    <w:rsid w:val="00AA4889"/>
    <w:rsid w:val="00AA5368"/>
    <w:rsid w:val="00AA5CB6"/>
    <w:rsid w:val="00AA6429"/>
    <w:rsid w:val="00AA7691"/>
    <w:rsid w:val="00AA7BD6"/>
    <w:rsid w:val="00AB537F"/>
    <w:rsid w:val="00AB6C27"/>
    <w:rsid w:val="00AC01AA"/>
    <w:rsid w:val="00AC16E2"/>
    <w:rsid w:val="00AC171A"/>
    <w:rsid w:val="00AC3FDC"/>
    <w:rsid w:val="00AC4F72"/>
    <w:rsid w:val="00AC5041"/>
    <w:rsid w:val="00AD0A04"/>
    <w:rsid w:val="00AD0E04"/>
    <w:rsid w:val="00AE1A29"/>
    <w:rsid w:val="00AE482E"/>
    <w:rsid w:val="00AF60C7"/>
    <w:rsid w:val="00AF6C11"/>
    <w:rsid w:val="00AF741A"/>
    <w:rsid w:val="00B00AAF"/>
    <w:rsid w:val="00B014E4"/>
    <w:rsid w:val="00B01ADB"/>
    <w:rsid w:val="00B030D9"/>
    <w:rsid w:val="00B04161"/>
    <w:rsid w:val="00B056F9"/>
    <w:rsid w:val="00B0794A"/>
    <w:rsid w:val="00B11E3D"/>
    <w:rsid w:val="00B130DF"/>
    <w:rsid w:val="00B14D2C"/>
    <w:rsid w:val="00B17E82"/>
    <w:rsid w:val="00B239BD"/>
    <w:rsid w:val="00B37CCA"/>
    <w:rsid w:val="00B4575A"/>
    <w:rsid w:val="00B501A1"/>
    <w:rsid w:val="00B575BA"/>
    <w:rsid w:val="00B576E7"/>
    <w:rsid w:val="00B62A3D"/>
    <w:rsid w:val="00B71608"/>
    <w:rsid w:val="00B74393"/>
    <w:rsid w:val="00B76429"/>
    <w:rsid w:val="00B76549"/>
    <w:rsid w:val="00B77F2D"/>
    <w:rsid w:val="00B86471"/>
    <w:rsid w:val="00B93402"/>
    <w:rsid w:val="00B956D4"/>
    <w:rsid w:val="00B970B1"/>
    <w:rsid w:val="00B9719B"/>
    <w:rsid w:val="00B97446"/>
    <w:rsid w:val="00BA0B88"/>
    <w:rsid w:val="00BA1969"/>
    <w:rsid w:val="00BA22A2"/>
    <w:rsid w:val="00BA7432"/>
    <w:rsid w:val="00BA7986"/>
    <w:rsid w:val="00BB2547"/>
    <w:rsid w:val="00BB2764"/>
    <w:rsid w:val="00BB3827"/>
    <w:rsid w:val="00BC1AA0"/>
    <w:rsid w:val="00BC2495"/>
    <w:rsid w:val="00BC314A"/>
    <w:rsid w:val="00BC3774"/>
    <w:rsid w:val="00BC7EB9"/>
    <w:rsid w:val="00BC7F85"/>
    <w:rsid w:val="00BD06B7"/>
    <w:rsid w:val="00BD1BBD"/>
    <w:rsid w:val="00BD2643"/>
    <w:rsid w:val="00BD4470"/>
    <w:rsid w:val="00BD56B1"/>
    <w:rsid w:val="00BD6558"/>
    <w:rsid w:val="00BE1031"/>
    <w:rsid w:val="00BE2FB8"/>
    <w:rsid w:val="00BE67E6"/>
    <w:rsid w:val="00BE7EF0"/>
    <w:rsid w:val="00BF2AD7"/>
    <w:rsid w:val="00BF2F76"/>
    <w:rsid w:val="00BF3022"/>
    <w:rsid w:val="00BF3214"/>
    <w:rsid w:val="00BF5573"/>
    <w:rsid w:val="00BF60E7"/>
    <w:rsid w:val="00BF65CA"/>
    <w:rsid w:val="00C0393D"/>
    <w:rsid w:val="00C03AE3"/>
    <w:rsid w:val="00C1099C"/>
    <w:rsid w:val="00C15867"/>
    <w:rsid w:val="00C22398"/>
    <w:rsid w:val="00C2296D"/>
    <w:rsid w:val="00C23155"/>
    <w:rsid w:val="00C26B69"/>
    <w:rsid w:val="00C32ADB"/>
    <w:rsid w:val="00C34E84"/>
    <w:rsid w:val="00C36634"/>
    <w:rsid w:val="00C37E45"/>
    <w:rsid w:val="00C40C41"/>
    <w:rsid w:val="00C45885"/>
    <w:rsid w:val="00C47088"/>
    <w:rsid w:val="00C47C95"/>
    <w:rsid w:val="00C50F22"/>
    <w:rsid w:val="00C52B99"/>
    <w:rsid w:val="00C5769C"/>
    <w:rsid w:val="00C57971"/>
    <w:rsid w:val="00C6100E"/>
    <w:rsid w:val="00C6133E"/>
    <w:rsid w:val="00C65BD7"/>
    <w:rsid w:val="00C65FE8"/>
    <w:rsid w:val="00C66CEC"/>
    <w:rsid w:val="00C72BDB"/>
    <w:rsid w:val="00C74C31"/>
    <w:rsid w:val="00C76BA4"/>
    <w:rsid w:val="00C76EDE"/>
    <w:rsid w:val="00C83A48"/>
    <w:rsid w:val="00C85865"/>
    <w:rsid w:val="00C85E85"/>
    <w:rsid w:val="00CA14BF"/>
    <w:rsid w:val="00CA2EAE"/>
    <w:rsid w:val="00CA3FE7"/>
    <w:rsid w:val="00CA4AC1"/>
    <w:rsid w:val="00CA58CD"/>
    <w:rsid w:val="00CA59F5"/>
    <w:rsid w:val="00CA59FB"/>
    <w:rsid w:val="00CA5C76"/>
    <w:rsid w:val="00CB0316"/>
    <w:rsid w:val="00CB0B11"/>
    <w:rsid w:val="00CB0FEB"/>
    <w:rsid w:val="00CB1DBA"/>
    <w:rsid w:val="00CB1F29"/>
    <w:rsid w:val="00CB3D8D"/>
    <w:rsid w:val="00CB426A"/>
    <w:rsid w:val="00CB5354"/>
    <w:rsid w:val="00CC3C9E"/>
    <w:rsid w:val="00CC5CEE"/>
    <w:rsid w:val="00CC6A14"/>
    <w:rsid w:val="00CC70A3"/>
    <w:rsid w:val="00CD4442"/>
    <w:rsid w:val="00CD4CBD"/>
    <w:rsid w:val="00CD53C3"/>
    <w:rsid w:val="00CD574E"/>
    <w:rsid w:val="00CE0866"/>
    <w:rsid w:val="00CE17A7"/>
    <w:rsid w:val="00CE20A9"/>
    <w:rsid w:val="00CE4C22"/>
    <w:rsid w:val="00CE680A"/>
    <w:rsid w:val="00CE76E5"/>
    <w:rsid w:val="00CF41EC"/>
    <w:rsid w:val="00CF5D04"/>
    <w:rsid w:val="00D01D82"/>
    <w:rsid w:val="00D020AC"/>
    <w:rsid w:val="00D02F43"/>
    <w:rsid w:val="00D04C7F"/>
    <w:rsid w:val="00D04DE4"/>
    <w:rsid w:val="00D063F1"/>
    <w:rsid w:val="00D12806"/>
    <w:rsid w:val="00D1379E"/>
    <w:rsid w:val="00D14426"/>
    <w:rsid w:val="00D14F22"/>
    <w:rsid w:val="00D20F0F"/>
    <w:rsid w:val="00D23A18"/>
    <w:rsid w:val="00D23CC2"/>
    <w:rsid w:val="00D24DD9"/>
    <w:rsid w:val="00D25D68"/>
    <w:rsid w:val="00D332AA"/>
    <w:rsid w:val="00D354ED"/>
    <w:rsid w:val="00D37391"/>
    <w:rsid w:val="00D4189F"/>
    <w:rsid w:val="00D4358B"/>
    <w:rsid w:val="00D443CD"/>
    <w:rsid w:val="00D4741C"/>
    <w:rsid w:val="00D505AB"/>
    <w:rsid w:val="00D564E1"/>
    <w:rsid w:val="00D57918"/>
    <w:rsid w:val="00D674E3"/>
    <w:rsid w:val="00D70930"/>
    <w:rsid w:val="00D73DC6"/>
    <w:rsid w:val="00D74C1A"/>
    <w:rsid w:val="00D754C1"/>
    <w:rsid w:val="00D76696"/>
    <w:rsid w:val="00D77393"/>
    <w:rsid w:val="00D77A35"/>
    <w:rsid w:val="00D814A3"/>
    <w:rsid w:val="00D81B3E"/>
    <w:rsid w:val="00D90C6F"/>
    <w:rsid w:val="00D90C70"/>
    <w:rsid w:val="00D90E49"/>
    <w:rsid w:val="00D924C8"/>
    <w:rsid w:val="00D96ADE"/>
    <w:rsid w:val="00D96C8E"/>
    <w:rsid w:val="00D975AA"/>
    <w:rsid w:val="00DA0CE2"/>
    <w:rsid w:val="00DA1D14"/>
    <w:rsid w:val="00DA2387"/>
    <w:rsid w:val="00DA31C6"/>
    <w:rsid w:val="00DA3987"/>
    <w:rsid w:val="00DA51CA"/>
    <w:rsid w:val="00DB1EE3"/>
    <w:rsid w:val="00DB4254"/>
    <w:rsid w:val="00DB4A51"/>
    <w:rsid w:val="00DB4E0F"/>
    <w:rsid w:val="00DB7C45"/>
    <w:rsid w:val="00DC6A10"/>
    <w:rsid w:val="00DC7E27"/>
    <w:rsid w:val="00DD0325"/>
    <w:rsid w:val="00DD320C"/>
    <w:rsid w:val="00DD66F3"/>
    <w:rsid w:val="00DD787C"/>
    <w:rsid w:val="00DE009B"/>
    <w:rsid w:val="00DE657E"/>
    <w:rsid w:val="00DF1B8E"/>
    <w:rsid w:val="00DF4704"/>
    <w:rsid w:val="00E024AA"/>
    <w:rsid w:val="00E02729"/>
    <w:rsid w:val="00E04AE0"/>
    <w:rsid w:val="00E04C37"/>
    <w:rsid w:val="00E145FF"/>
    <w:rsid w:val="00E15C77"/>
    <w:rsid w:val="00E170A7"/>
    <w:rsid w:val="00E2091A"/>
    <w:rsid w:val="00E22DFC"/>
    <w:rsid w:val="00E250E4"/>
    <w:rsid w:val="00E250F1"/>
    <w:rsid w:val="00E331FF"/>
    <w:rsid w:val="00E3550D"/>
    <w:rsid w:val="00E43EE8"/>
    <w:rsid w:val="00E44823"/>
    <w:rsid w:val="00E4763A"/>
    <w:rsid w:val="00E50DBF"/>
    <w:rsid w:val="00E52838"/>
    <w:rsid w:val="00E54219"/>
    <w:rsid w:val="00E614E0"/>
    <w:rsid w:val="00E72FDC"/>
    <w:rsid w:val="00E73F7F"/>
    <w:rsid w:val="00E744E3"/>
    <w:rsid w:val="00E753E8"/>
    <w:rsid w:val="00E76DAF"/>
    <w:rsid w:val="00E808E6"/>
    <w:rsid w:val="00E81908"/>
    <w:rsid w:val="00E8410A"/>
    <w:rsid w:val="00E85409"/>
    <w:rsid w:val="00E87953"/>
    <w:rsid w:val="00E95CEC"/>
    <w:rsid w:val="00EA429F"/>
    <w:rsid w:val="00EA4F9E"/>
    <w:rsid w:val="00EA598B"/>
    <w:rsid w:val="00EA63CA"/>
    <w:rsid w:val="00EA6D3B"/>
    <w:rsid w:val="00EB00AD"/>
    <w:rsid w:val="00EB136C"/>
    <w:rsid w:val="00EB2AAE"/>
    <w:rsid w:val="00EB2FB0"/>
    <w:rsid w:val="00EB480E"/>
    <w:rsid w:val="00EB5EC6"/>
    <w:rsid w:val="00EB7FC9"/>
    <w:rsid w:val="00EC4D31"/>
    <w:rsid w:val="00EC56E4"/>
    <w:rsid w:val="00ED102A"/>
    <w:rsid w:val="00ED1FC1"/>
    <w:rsid w:val="00ED27E8"/>
    <w:rsid w:val="00ED55DE"/>
    <w:rsid w:val="00ED7137"/>
    <w:rsid w:val="00EE1BE4"/>
    <w:rsid w:val="00EE2FA2"/>
    <w:rsid w:val="00EE42B7"/>
    <w:rsid w:val="00EE5AAE"/>
    <w:rsid w:val="00EE6BCB"/>
    <w:rsid w:val="00EF06EA"/>
    <w:rsid w:val="00F0650B"/>
    <w:rsid w:val="00F07604"/>
    <w:rsid w:val="00F13DCC"/>
    <w:rsid w:val="00F14BAC"/>
    <w:rsid w:val="00F16B5B"/>
    <w:rsid w:val="00F1701B"/>
    <w:rsid w:val="00F21088"/>
    <w:rsid w:val="00F218A4"/>
    <w:rsid w:val="00F22C5B"/>
    <w:rsid w:val="00F24C24"/>
    <w:rsid w:val="00F326BF"/>
    <w:rsid w:val="00F327E7"/>
    <w:rsid w:val="00F338A1"/>
    <w:rsid w:val="00F341A2"/>
    <w:rsid w:val="00F35746"/>
    <w:rsid w:val="00F41C0A"/>
    <w:rsid w:val="00F447C7"/>
    <w:rsid w:val="00F459B4"/>
    <w:rsid w:val="00F47C49"/>
    <w:rsid w:val="00F5211B"/>
    <w:rsid w:val="00F554A9"/>
    <w:rsid w:val="00F57727"/>
    <w:rsid w:val="00F60F62"/>
    <w:rsid w:val="00F6325C"/>
    <w:rsid w:val="00F64AFB"/>
    <w:rsid w:val="00F65AC6"/>
    <w:rsid w:val="00F66B04"/>
    <w:rsid w:val="00F67667"/>
    <w:rsid w:val="00F67A00"/>
    <w:rsid w:val="00F70BC8"/>
    <w:rsid w:val="00F716FD"/>
    <w:rsid w:val="00F80355"/>
    <w:rsid w:val="00F82203"/>
    <w:rsid w:val="00F85B60"/>
    <w:rsid w:val="00F87C43"/>
    <w:rsid w:val="00F960DE"/>
    <w:rsid w:val="00FA0338"/>
    <w:rsid w:val="00FA121E"/>
    <w:rsid w:val="00FA2EB1"/>
    <w:rsid w:val="00FA31FA"/>
    <w:rsid w:val="00FA3CD7"/>
    <w:rsid w:val="00FA5722"/>
    <w:rsid w:val="00FA637B"/>
    <w:rsid w:val="00FA77EE"/>
    <w:rsid w:val="00FB0AA7"/>
    <w:rsid w:val="00FB0C81"/>
    <w:rsid w:val="00FB41AB"/>
    <w:rsid w:val="00FB433B"/>
    <w:rsid w:val="00FB4CD2"/>
    <w:rsid w:val="00FB6A39"/>
    <w:rsid w:val="00FC0BB3"/>
    <w:rsid w:val="00FC1E29"/>
    <w:rsid w:val="00FC2200"/>
    <w:rsid w:val="00FC2540"/>
    <w:rsid w:val="00FC2B76"/>
    <w:rsid w:val="00FC424F"/>
    <w:rsid w:val="00FC67EB"/>
    <w:rsid w:val="00FC6CDF"/>
    <w:rsid w:val="00FD04ED"/>
    <w:rsid w:val="00FD0DCF"/>
    <w:rsid w:val="00FD5B2E"/>
    <w:rsid w:val="00FD712A"/>
    <w:rsid w:val="00FE0C84"/>
    <w:rsid w:val="00FE1E61"/>
    <w:rsid w:val="00FE26E6"/>
    <w:rsid w:val="00FE4A60"/>
    <w:rsid w:val="00FF0204"/>
    <w:rsid w:val="00FF130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B1D49"/>
  <w15:docId w15:val="{D9A94E9A-6121-47AF-82FF-94A3C5C5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tabs>
        <w:tab w:val="clear" w:pos="990"/>
        <w:tab w:val="num" w:pos="0"/>
      </w:tabs>
      <w:spacing w:after="240"/>
      <w:ind w:left="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rPr>
  </w:style>
  <w:style w:type="paragraph" w:styleId="Pidipagina">
    <w:name w:val="footer"/>
    <w:basedOn w:val="Normale"/>
    <w:semiHidden/>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fr-CA"/>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fr-CA"/>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fr-CA"/>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rsid w:val="006E126D"/>
    <w:rPr>
      <w:lang w:val="fr-CA"/>
    </w:rPr>
  </w:style>
  <w:style w:type="character" w:styleId="Rimandonotaapidipagina">
    <w:name w:val="footnote reference"/>
    <w:aliases w:val="Footnote text,Footnote Text1,Footnote Text2,ftref,16 Point,Superscript 6 Point,Superscript 6 Point + 11 pt,BVI fnr,BVI fnr Car Car,BVI fnr Car,BVI fnr Car Car Car Car"/>
    <w:basedOn w:val="Carpredefinitoparagrafo"/>
    <w:unhideWhenUsed/>
    <w:rsid w:val="006E126D"/>
    <w:rPr>
      <w:vertAlign w:val="superscript"/>
    </w:rPr>
  </w:style>
  <w:style w:type="paragraph" w:customStyle="1" w:styleId="Newheader4">
    <w:name w:val="New header 4"/>
    <w:basedOn w:val="Titolo4"/>
    <w:next w:val="Normale"/>
    <w:qFormat/>
    <w:rsid w:val="00AC5041"/>
  </w:style>
  <w:style w:type="paragraph" w:styleId="Paragrafoelenco">
    <w:name w:val="List Paragraph"/>
    <w:aliases w:val="Bullet OSM,Bullets,CORE-1.1.1,Dot pt,Heading 2_sj,List Paragraph (numbered (a)),List Paragraph1,List Paragraph11,Numbered Para 1,Proposal Bullet List,Report Para,Resume Title,TOC style,Table,WB Para,WinDForce-Letter,bullets,d_bodyb,lp1"/>
    <w:basedOn w:val="Normale"/>
    <w:link w:val="ParagrafoelencoCarattere"/>
    <w:uiPriority w:val="99"/>
    <w:qFormat/>
    <w:rsid w:val="00EA598B"/>
    <w:pPr>
      <w:ind w:left="720"/>
      <w:contextualSpacing/>
    </w:pPr>
  </w:style>
  <w:style w:type="paragraph" w:styleId="Revisione">
    <w:name w:val="Revision"/>
    <w:hidden/>
    <w:uiPriority w:val="99"/>
    <w:semiHidden/>
    <w:rsid w:val="00EA598B"/>
    <w:rPr>
      <w:sz w:val="22"/>
      <w:szCs w:val="22"/>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EA598B"/>
    <w:rPr>
      <w:sz w:val="22"/>
      <w:szCs w:val="22"/>
      <w:lang w:val="fr-CA"/>
    </w:rPr>
  </w:style>
  <w:style w:type="paragraph" w:styleId="NormaleWeb">
    <w:name w:val="Normal (Web)"/>
    <w:basedOn w:val="Normale"/>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Carpredefinitoparagrafo"/>
    <w:rsid w:val="00EA598B"/>
  </w:style>
  <w:style w:type="character" w:customStyle="1" w:styleId="highlight">
    <w:name w:val="highlight"/>
    <w:basedOn w:val="Carpredefinitoparagrafo"/>
    <w:rsid w:val="00EA598B"/>
  </w:style>
  <w:style w:type="character" w:customStyle="1" w:styleId="normaltextrun">
    <w:name w:val="normaltextrun"/>
    <w:basedOn w:val="Carpredefinitoparagrafo"/>
    <w:rsid w:val="003F3C24"/>
  </w:style>
  <w:style w:type="character" w:customStyle="1" w:styleId="eop">
    <w:name w:val="eop"/>
    <w:basedOn w:val="Carpredefinitoparagrafo"/>
    <w:rsid w:val="003F3C24"/>
  </w:style>
  <w:style w:type="paragraph" w:customStyle="1" w:styleId="paragraph">
    <w:name w:val="paragraph"/>
    <w:basedOn w:val="Normale"/>
    <w:rsid w:val="00234145"/>
    <w:pPr>
      <w:spacing w:before="100" w:beforeAutospacing="1" w:after="100" w:afterAutospacing="1"/>
      <w:jc w:val="left"/>
    </w:pPr>
    <w:rPr>
      <w:sz w:val="24"/>
      <w:szCs w:val="24"/>
      <w:lang w:eastAsia="en-CA"/>
    </w:rPr>
  </w:style>
  <w:style w:type="character" w:customStyle="1" w:styleId="ParagrafoelencoCarattere">
    <w:name w:val="Paragrafo elenco Carattere"/>
    <w:aliases w:val="Bullet OSM Carattere,Bullets Carattere,CORE-1.1.1 Carattere,Dot pt Carattere,Heading 2_sj Carattere,List Paragraph (numbered (a)) Carattere,List Paragraph1 Carattere,List Paragraph11 Carattere,Numbered Para 1 Carattere"/>
    <w:link w:val="Paragrafoelenco"/>
    <w:uiPriority w:val="34"/>
    <w:qFormat/>
    <w:locked/>
    <w:rsid w:val="006D3BD7"/>
    <w:rPr>
      <w:sz w:val="22"/>
      <w:szCs w:val="22"/>
      <w:lang w:val="fr-CA"/>
    </w:rPr>
  </w:style>
  <w:style w:type="character" w:styleId="Enfasigrassetto">
    <w:name w:val="Strong"/>
    <w:basedOn w:val="Carpredefinitoparagrafo"/>
    <w:uiPriority w:val="22"/>
    <w:qFormat/>
    <w:rsid w:val="003555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5909771">
      <w:bodyDiv w:val="1"/>
      <w:marLeft w:val="0"/>
      <w:marRight w:val="0"/>
      <w:marTop w:val="0"/>
      <w:marBottom w:val="0"/>
      <w:divBdr>
        <w:top w:val="none" w:sz="0" w:space="0" w:color="auto"/>
        <w:left w:val="none" w:sz="0" w:space="0" w:color="auto"/>
        <w:bottom w:val="none" w:sz="0" w:space="0" w:color="auto"/>
        <w:right w:val="none" w:sz="0" w:space="0" w:color="auto"/>
      </w:divBdr>
      <w:divsChild>
        <w:div w:id="1473256561">
          <w:marLeft w:val="0"/>
          <w:marRight w:val="0"/>
          <w:marTop w:val="0"/>
          <w:marBottom w:val="0"/>
          <w:divBdr>
            <w:top w:val="none" w:sz="0" w:space="0" w:color="auto"/>
            <w:left w:val="none" w:sz="0" w:space="0" w:color="auto"/>
            <w:bottom w:val="none" w:sz="0" w:space="0" w:color="auto"/>
            <w:right w:val="none" w:sz="0" w:space="0" w:color="auto"/>
          </w:divBdr>
        </w:div>
        <w:div w:id="821237282">
          <w:marLeft w:val="0"/>
          <w:marRight w:val="0"/>
          <w:marTop w:val="0"/>
          <w:marBottom w:val="0"/>
          <w:divBdr>
            <w:top w:val="none" w:sz="0" w:space="0" w:color="auto"/>
            <w:left w:val="none" w:sz="0" w:space="0" w:color="auto"/>
            <w:bottom w:val="none" w:sz="0" w:space="0" w:color="auto"/>
            <w:right w:val="none" w:sz="0" w:space="0" w:color="auto"/>
          </w:divBdr>
        </w:div>
        <w:div w:id="732124625">
          <w:marLeft w:val="0"/>
          <w:marRight w:val="0"/>
          <w:marTop w:val="0"/>
          <w:marBottom w:val="0"/>
          <w:divBdr>
            <w:top w:val="none" w:sz="0" w:space="0" w:color="auto"/>
            <w:left w:val="none" w:sz="0" w:space="0" w:color="auto"/>
            <w:bottom w:val="none" w:sz="0" w:space="0" w:color="auto"/>
            <w:right w:val="none" w:sz="0" w:space="0" w:color="auto"/>
          </w:divBdr>
        </w:div>
        <w:div w:id="1284115254">
          <w:marLeft w:val="0"/>
          <w:marRight w:val="0"/>
          <w:marTop w:val="0"/>
          <w:marBottom w:val="0"/>
          <w:divBdr>
            <w:top w:val="none" w:sz="0" w:space="0" w:color="auto"/>
            <w:left w:val="none" w:sz="0" w:space="0" w:color="auto"/>
            <w:bottom w:val="none" w:sz="0" w:space="0" w:color="auto"/>
            <w:right w:val="none" w:sz="0" w:space="0" w:color="auto"/>
          </w:divBdr>
        </w:div>
      </w:divsChild>
    </w:div>
    <w:div w:id="648752716">
      <w:bodyDiv w:val="1"/>
      <w:marLeft w:val="0"/>
      <w:marRight w:val="0"/>
      <w:marTop w:val="0"/>
      <w:marBottom w:val="0"/>
      <w:divBdr>
        <w:top w:val="none" w:sz="0" w:space="0" w:color="auto"/>
        <w:left w:val="none" w:sz="0" w:space="0" w:color="auto"/>
        <w:bottom w:val="none" w:sz="0" w:space="0" w:color="auto"/>
        <w:right w:val="none" w:sz="0" w:space="0" w:color="auto"/>
      </w:divBdr>
      <w:divsChild>
        <w:div w:id="902834766">
          <w:marLeft w:val="0"/>
          <w:marRight w:val="0"/>
          <w:marTop w:val="0"/>
          <w:marBottom w:val="0"/>
          <w:divBdr>
            <w:top w:val="none" w:sz="0" w:space="0" w:color="auto"/>
            <w:left w:val="none" w:sz="0" w:space="0" w:color="auto"/>
            <w:bottom w:val="none" w:sz="0" w:space="0" w:color="auto"/>
            <w:right w:val="none" w:sz="0" w:space="0" w:color="auto"/>
          </w:divBdr>
          <w:divsChild>
            <w:div w:id="1499492786">
              <w:marLeft w:val="0"/>
              <w:marRight w:val="0"/>
              <w:marTop w:val="0"/>
              <w:marBottom w:val="0"/>
              <w:divBdr>
                <w:top w:val="none" w:sz="0" w:space="0" w:color="auto"/>
                <w:left w:val="none" w:sz="0" w:space="0" w:color="auto"/>
                <w:bottom w:val="none" w:sz="0" w:space="0" w:color="auto"/>
                <w:right w:val="none" w:sz="0" w:space="0" w:color="auto"/>
              </w:divBdr>
            </w:div>
          </w:divsChild>
        </w:div>
        <w:div w:id="1793589965">
          <w:marLeft w:val="0"/>
          <w:marRight w:val="0"/>
          <w:marTop w:val="0"/>
          <w:marBottom w:val="0"/>
          <w:divBdr>
            <w:top w:val="none" w:sz="0" w:space="0" w:color="auto"/>
            <w:left w:val="none" w:sz="0" w:space="0" w:color="auto"/>
            <w:bottom w:val="none" w:sz="0" w:space="0" w:color="auto"/>
            <w:right w:val="none" w:sz="0" w:space="0" w:color="auto"/>
          </w:divBdr>
          <w:divsChild>
            <w:div w:id="2797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716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2172934">
      <w:bodyDiv w:val="1"/>
      <w:marLeft w:val="0"/>
      <w:marRight w:val="0"/>
      <w:marTop w:val="0"/>
      <w:marBottom w:val="0"/>
      <w:divBdr>
        <w:top w:val="none" w:sz="0" w:space="0" w:color="auto"/>
        <w:left w:val="none" w:sz="0" w:space="0" w:color="auto"/>
        <w:bottom w:val="none" w:sz="0" w:space="0" w:color="auto"/>
        <w:right w:val="none" w:sz="0" w:space="0" w:color="auto"/>
      </w:divBdr>
      <w:divsChild>
        <w:div w:id="738139897">
          <w:marLeft w:val="0"/>
          <w:marRight w:val="0"/>
          <w:marTop w:val="0"/>
          <w:marBottom w:val="0"/>
          <w:divBdr>
            <w:top w:val="none" w:sz="0" w:space="0" w:color="auto"/>
            <w:left w:val="none" w:sz="0" w:space="0" w:color="auto"/>
            <w:bottom w:val="none" w:sz="0" w:space="0" w:color="auto"/>
            <w:right w:val="none" w:sz="0" w:space="0" w:color="auto"/>
          </w:divBdr>
        </w:div>
        <w:div w:id="1145512794">
          <w:marLeft w:val="0"/>
          <w:marRight w:val="0"/>
          <w:marTop w:val="0"/>
          <w:marBottom w:val="0"/>
          <w:divBdr>
            <w:top w:val="none" w:sz="0" w:space="0" w:color="auto"/>
            <w:left w:val="none" w:sz="0" w:space="0" w:color="auto"/>
            <w:bottom w:val="none" w:sz="0" w:space="0" w:color="auto"/>
            <w:right w:val="none" w:sz="0" w:space="0" w:color="auto"/>
          </w:divBdr>
        </w:div>
        <w:div w:id="353461010">
          <w:marLeft w:val="0"/>
          <w:marRight w:val="0"/>
          <w:marTop w:val="0"/>
          <w:marBottom w:val="0"/>
          <w:divBdr>
            <w:top w:val="none" w:sz="0" w:space="0" w:color="auto"/>
            <w:left w:val="none" w:sz="0" w:space="0" w:color="auto"/>
            <w:bottom w:val="none" w:sz="0" w:space="0" w:color="auto"/>
            <w:right w:val="none" w:sz="0" w:space="0" w:color="auto"/>
          </w:divBdr>
          <w:divsChild>
            <w:div w:id="1405949607">
              <w:marLeft w:val="-75"/>
              <w:marRight w:val="0"/>
              <w:marTop w:val="30"/>
              <w:marBottom w:val="30"/>
              <w:divBdr>
                <w:top w:val="none" w:sz="0" w:space="0" w:color="auto"/>
                <w:left w:val="none" w:sz="0" w:space="0" w:color="auto"/>
                <w:bottom w:val="none" w:sz="0" w:space="0" w:color="auto"/>
                <w:right w:val="none" w:sz="0" w:space="0" w:color="auto"/>
              </w:divBdr>
              <w:divsChild>
                <w:div w:id="1508716530">
                  <w:marLeft w:val="0"/>
                  <w:marRight w:val="0"/>
                  <w:marTop w:val="0"/>
                  <w:marBottom w:val="0"/>
                  <w:divBdr>
                    <w:top w:val="none" w:sz="0" w:space="0" w:color="auto"/>
                    <w:left w:val="none" w:sz="0" w:space="0" w:color="auto"/>
                    <w:bottom w:val="none" w:sz="0" w:space="0" w:color="auto"/>
                    <w:right w:val="none" w:sz="0" w:space="0" w:color="auto"/>
                  </w:divBdr>
                  <w:divsChild>
                    <w:div w:id="1241646309">
                      <w:marLeft w:val="0"/>
                      <w:marRight w:val="0"/>
                      <w:marTop w:val="0"/>
                      <w:marBottom w:val="0"/>
                      <w:divBdr>
                        <w:top w:val="none" w:sz="0" w:space="0" w:color="auto"/>
                        <w:left w:val="none" w:sz="0" w:space="0" w:color="auto"/>
                        <w:bottom w:val="none" w:sz="0" w:space="0" w:color="auto"/>
                        <w:right w:val="none" w:sz="0" w:space="0" w:color="auto"/>
                      </w:divBdr>
                    </w:div>
                  </w:divsChild>
                </w:div>
                <w:div w:id="1418482548">
                  <w:marLeft w:val="0"/>
                  <w:marRight w:val="0"/>
                  <w:marTop w:val="0"/>
                  <w:marBottom w:val="0"/>
                  <w:divBdr>
                    <w:top w:val="none" w:sz="0" w:space="0" w:color="auto"/>
                    <w:left w:val="none" w:sz="0" w:space="0" w:color="auto"/>
                    <w:bottom w:val="none" w:sz="0" w:space="0" w:color="auto"/>
                    <w:right w:val="none" w:sz="0" w:space="0" w:color="auto"/>
                  </w:divBdr>
                  <w:divsChild>
                    <w:div w:id="1819952065">
                      <w:marLeft w:val="0"/>
                      <w:marRight w:val="0"/>
                      <w:marTop w:val="0"/>
                      <w:marBottom w:val="0"/>
                      <w:divBdr>
                        <w:top w:val="none" w:sz="0" w:space="0" w:color="auto"/>
                        <w:left w:val="none" w:sz="0" w:space="0" w:color="auto"/>
                        <w:bottom w:val="none" w:sz="0" w:space="0" w:color="auto"/>
                        <w:right w:val="none" w:sz="0" w:space="0" w:color="auto"/>
                      </w:divBdr>
                    </w:div>
                  </w:divsChild>
                </w:div>
                <w:div w:id="948119406">
                  <w:marLeft w:val="0"/>
                  <w:marRight w:val="0"/>
                  <w:marTop w:val="0"/>
                  <w:marBottom w:val="0"/>
                  <w:divBdr>
                    <w:top w:val="none" w:sz="0" w:space="0" w:color="auto"/>
                    <w:left w:val="none" w:sz="0" w:space="0" w:color="auto"/>
                    <w:bottom w:val="none" w:sz="0" w:space="0" w:color="auto"/>
                    <w:right w:val="none" w:sz="0" w:space="0" w:color="auto"/>
                  </w:divBdr>
                  <w:divsChild>
                    <w:div w:id="558521899">
                      <w:marLeft w:val="0"/>
                      <w:marRight w:val="0"/>
                      <w:marTop w:val="0"/>
                      <w:marBottom w:val="0"/>
                      <w:divBdr>
                        <w:top w:val="none" w:sz="0" w:space="0" w:color="auto"/>
                        <w:left w:val="none" w:sz="0" w:space="0" w:color="auto"/>
                        <w:bottom w:val="none" w:sz="0" w:space="0" w:color="auto"/>
                        <w:right w:val="none" w:sz="0" w:space="0" w:color="auto"/>
                      </w:divBdr>
                    </w:div>
                  </w:divsChild>
                </w:div>
                <w:div w:id="1081946636">
                  <w:marLeft w:val="0"/>
                  <w:marRight w:val="0"/>
                  <w:marTop w:val="0"/>
                  <w:marBottom w:val="0"/>
                  <w:divBdr>
                    <w:top w:val="none" w:sz="0" w:space="0" w:color="auto"/>
                    <w:left w:val="none" w:sz="0" w:space="0" w:color="auto"/>
                    <w:bottom w:val="none" w:sz="0" w:space="0" w:color="auto"/>
                    <w:right w:val="none" w:sz="0" w:space="0" w:color="auto"/>
                  </w:divBdr>
                  <w:divsChild>
                    <w:div w:id="724261576">
                      <w:marLeft w:val="0"/>
                      <w:marRight w:val="0"/>
                      <w:marTop w:val="0"/>
                      <w:marBottom w:val="0"/>
                      <w:divBdr>
                        <w:top w:val="none" w:sz="0" w:space="0" w:color="auto"/>
                        <w:left w:val="none" w:sz="0" w:space="0" w:color="auto"/>
                        <w:bottom w:val="none" w:sz="0" w:space="0" w:color="auto"/>
                        <w:right w:val="none" w:sz="0" w:space="0" w:color="auto"/>
                      </w:divBdr>
                    </w:div>
                  </w:divsChild>
                </w:div>
                <w:div w:id="80682654">
                  <w:marLeft w:val="0"/>
                  <w:marRight w:val="0"/>
                  <w:marTop w:val="0"/>
                  <w:marBottom w:val="0"/>
                  <w:divBdr>
                    <w:top w:val="none" w:sz="0" w:space="0" w:color="auto"/>
                    <w:left w:val="none" w:sz="0" w:space="0" w:color="auto"/>
                    <w:bottom w:val="none" w:sz="0" w:space="0" w:color="auto"/>
                    <w:right w:val="none" w:sz="0" w:space="0" w:color="auto"/>
                  </w:divBdr>
                  <w:divsChild>
                    <w:div w:id="164394509">
                      <w:marLeft w:val="0"/>
                      <w:marRight w:val="0"/>
                      <w:marTop w:val="0"/>
                      <w:marBottom w:val="0"/>
                      <w:divBdr>
                        <w:top w:val="none" w:sz="0" w:space="0" w:color="auto"/>
                        <w:left w:val="none" w:sz="0" w:space="0" w:color="auto"/>
                        <w:bottom w:val="none" w:sz="0" w:space="0" w:color="auto"/>
                        <w:right w:val="none" w:sz="0" w:space="0" w:color="auto"/>
                      </w:divBdr>
                    </w:div>
                  </w:divsChild>
                </w:div>
                <w:div w:id="1749963500">
                  <w:marLeft w:val="0"/>
                  <w:marRight w:val="0"/>
                  <w:marTop w:val="0"/>
                  <w:marBottom w:val="0"/>
                  <w:divBdr>
                    <w:top w:val="none" w:sz="0" w:space="0" w:color="auto"/>
                    <w:left w:val="none" w:sz="0" w:space="0" w:color="auto"/>
                    <w:bottom w:val="none" w:sz="0" w:space="0" w:color="auto"/>
                    <w:right w:val="none" w:sz="0" w:space="0" w:color="auto"/>
                  </w:divBdr>
                  <w:divsChild>
                    <w:div w:id="291983248">
                      <w:marLeft w:val="0"/>
                      <w:marRight w:val="0"/>
                      <w:marTop w:val="0"/>
                      <w:marBottom w:val="0"/>
                      <w:divBdr>
                        <w:top w:val="none" w:sz="0" w:space="0" w:color="auto"/>
                        <w:left w:val="none" w:sz="0" w:space="0" w:color="auto"/>
                        <w:bottom w:val="none" w:sz="0" w:space="0" w:color="auto"/>
                        <w:right w:val="none" w:sz="0" w:space="0" w:color="auto"/>
                      </w:divBdr>
                    </w:div>
                  </w:divsChild>
                </w:div>
                <w:div w:id="413430128">
                  <w:marLeft w:val="0"/>
                  <w:marRight w:val="0"/>
                  <w:marTop w:val="0"/>
                  <w:marBottom w:val="0"/>
                  <w:divBdr>
                    <w:top w:val="none" w:sz="0" w:space="0" w:color="auto"/>
                    <w:left w:val="none" w:sz="0" w:space="0" w:color="auto"/>
                    <w:bottom w:val="none" w:sz="0" w:space="0" w:color="auto"/>
                    <w:right w:val="none" w:sz="0" w:space="0" w:color="auto"/>
                  </w:divBdr>
                  <w:divsChild>
                    <w:div w:id="1371691231">
                      <w:marLeft w:val="0"/>
                      <w:marRight w:val="0"/>
                      <w:marTop w:val="0"/>
                      <w:marBottom w:val="0"/>
                      <w:divBdr>
                        <w:top w:val="none" w:sz="0" w:space="0" w:color="auto"/>
                        <w:left w:val="none" w:sz="0" w:space="0" w:color="auto"/>
                        <w:bottom w:val="none" w:sz="0" w:space="0" w:color="auto"/>
                        <w:right w:val="none" w:sz="0" w:space="0" w:color="auto"/>
                      </w:divBdr>
                    </w:div>
                  </w:divsChild>
                </w:div>
                <w:div w:id="79067962">
                  <w:marLeft w:val="0"/>
                  <w:marRight w:val="0"/>
                  <w:marTop w:val="0"/>
                  <w:marBottom w:val="0"/>
                  <w:divBdr>
                    <w:top w:val="none" w:sz="0" w:space="0" w:color="auto"/>
                    <w:left w:val="none" w:sz="0" w:space="0" w:color="auto"/>
                    <w:bottom w:val="none" w:sz="0" w:space="0" w:color="auto"/>
                    <w:right w:val="none" w:sz="0" w:space="0" w:color="auto"/>
                  </w:divBdr>
                  <w:divsChild>
                    <w:div w:id="277687546">
                      <w:marLeft w:val="0"/>
                      <w:marRight w:val="0"/>
                      <w:marTop w:val="0"/>
                      <w:marBottom w:val="0"/>
                      <w:divBdr>
                        <w:top w:val="none" w:sz="0" w:space="0" w:color="auto"/>
                        <w:left w:val="none" w:sz="0" w:space="0" w:color="auto"/>
                        <w:bottom w:val="none" w:sz="0" w:space="0" w:color="auto"/>
                        <w:right w:val="none" w:sz="0" w:space="0" w:color="auto"/>
                      </w:divBdr>
                    </w:div>
                  </w:divsChild>
                </w:div>
                <w:div w:id="379404608">
                  <w:marLeft w:val="0"/>
                  <w:marRight w:val="0"/>
                  <w:marTop w:val="0"/>
                  <w:marBottom w:val="0"/>
                  <w:divBdr>
                    <w:top w:val="none" w:sz="0" w:space="0" w:color="auto"/>
                    <w:left w:val="none" w:sz="0" w:space="0" w:color="auto"/>
                    <w:bottom w:val="none" w:sz="0" w:space="0" w:color="auto"/>
                    <w:right w:val="none" w:sz="0" w:space="0" w:color="auto"/>
                  </w:divBdr>
                  <w:divsChild>
                    <w:div w:id="2055687964">
                      <w:marLeft w:val="0"/>
                      <w:marRight w:val="0"/>
                      <w:marTop w:val="0"/>
                      <w:marBottom w:val="0"/>
                      <w:divBdr>
                        <w:top w:val="none" w:sz="0" w:space="0" w:color="auto"/>
                        <w:left w:val="none" w:sz="0" w:space="0" w:color="auto"/>
                        <w:bottom w:val="none" w:sz="0" w:space="0" w:color="auto"/>
                        <w:right w:val="none" w:sz="0" w:space="0" w:color="auto"/>
                      </w:divBdr>
                    </w:div>
                  </w:divsChild>
                </w:div>
                <w:div w:id="1431052077">
                  <w:marLeft w:val="0"/>
                  <w:marRight w:val="0"/>
                  <w:marTop w:val="0"/>
                  <w:marBottom w:val="0"/>
                  <w:divBdr>
                    <w:top w:val="none" w:sz="0" w:space="0" w:color="auto"/>
                    <w:left w:val="none" w:sz="0" w:space="0" w:color="auto"/>
                    <w:bottom w:val="none" w:sz="0" w:space="0" w:color="auto"/>
                    <w:right w:val="none" w:sz="0" w:space="0" w:color="auto"/>
                  </w:divBdr>
                  <w:divsChild>
                    <w:div w:id="1147433684">
                      <w:marLeft w:val="0"/>
                      <w:marRight w:val="0"/>
                      <w:marTop w:val="0"/>
                      <w:marBottom w:val="0"/>
                      <w:divBdr>
                        <w:top w:val="none" w:sz="0" w:space="0" w:color="auto"/>
                        <w:left w:val="none" w:sz="0" w:space="0" w:color="auto"/>
                        <w:bottom w:val="none" w:sz="0" w:space="0" w:color="auto"/>
                        <w:right w:val="none" w:sz="0" w:space="0" w:color="auto"/>
                      </w:divBdr>
                    </w:div>
                  </w:divsChild>
                </w:div>
                <w:div w:id="1464612424">
                  <w:marLeft w:val="0"/>
                  <w:marRight w:val="0"/>
                  <w:marTop w:val="0"/>
                  <w:marBottom w:val="0"/>
                  <w:divBdr>
                    <w:top w:val="none" w:sz="0" w:space="0" w:color="auto"/>
                    <w:left w:val="none" w:sz="0" w:space="0" w:color="auto"/>
                    <w:bottom w:val="none" w:sz="0" w:space="0" w:color="auto"/>
                    <w:right w:val="none" w:sz="0" w:space="0" w:color="auto"/>
                  </w:divBdr>
                  <w:divsChild>
                    <w:div w:id="488641039">
                      <w:marLeft w:val="0"/>
                      <w:marRight w:val="0"/>
                      <w:marTop w:val="0"/>
                      <w:marBottom w:val="0"/>
                      <w:divBdr>
                        <w:top w:val="none" w:sz="0" w:space="0" w:color="auto"/>
                        <w:left w:val="none" w:sz="0" w:space="0" w:color="auto"/>
                        <w:bottom w:val="none" w:sz="0" w:space="0" w:color="auto"/>
                        <w:right w:val="none" w:sz="0" w:space="0" w:color="auto"/>
                      </w:divBdr>
                    </w:div>
                  </w:divsChild>
                </w:div>
                <w:div w:id="1823548189">
                  <w:marLeft w:val="0"/>
                  <w:marRight w:val="0"/>
                  <w:marTop w:val="0"/>
                  <w:marBottom w:val="0"/>
                  <w:divBdr>
                    <w:top w:val="none" w:sz="0" w:space="0" w:color="auto"/>
                    <w:left w:val="none" w:sz="0" w:space="0" w:color="auto"/>
                    <w:bottom w:val="none" w:sz="0" w:space="0" w:color="auto"/>
                    <w:right w:val="none" w:sz="0" w:space="0" w:color="auto"/>
                  </w:divBdr>
                  <w:divsChild>
                    <w:div w:id="1920868417">
                      <w:marLeft w:val="0"/>
                      <w:marRight w:val="0"/>
                      <w:marTop w:val="0"/>
                      <w:marBottom w:val="0"/>
                      <w:divBdr>
                        <w:top w:val="none" w:sz="0" w:space="0" w:color="auto"/>
                        <w:left w:val="none" w:sz="0" w:space="0" w:color="auto"/>
                        <w:bottom w:val="none" w:sz="0" w:space="0" w:color="auto"/>
                        <w:right w:val="none" w:sz="0" w:space="0" w:color="auto"/>
                      </w:divBdr>
                    </w:div>
                  </w:divsChild>
                </w:div>
                <w:div w:id="418257491">
                  <w:marLeft w:val="0"/>
                  <w:marRight w:val="0"/>
                  <w:marTop w:val="0"/>
                  <w:marBottom w:val="0"/>
                  <w:divBdr>
                    <w:top w:val="none" w:sz="0" w:space="0" w:color="auto"/>
                    <w:left w:val="none" w:sz="0" w:space="0" w:color="auto"/>
                    <w:bottom w:val="none" w:sz="0" w:space="0" w:color="auto"/>
                    <w:right w:val="none" w:sz="0" w:space="0" w:color="auto"/>
                  </w:divBdr>
                  <w:divsChild>
                    <w:div w:id="328290016">
                      <w:marLeft w:val="0"/>
                      <w:marRight w:val="0"/>
                      <w:marTop w:val="0"/>
                      <w:marBottom w:val="0"/>
                      <w:divBdr>
                        <w:top w:val="none" w:sz="0" w:space="0" w:color="auto"/>
                        <w:left w:val="none" w:sz="0" w:space="0" w:color="auto"/>
                        <w:bottom w:val="none" w:sz="0" w:space="0" w:color="auto"/>
                        <w:right w:val="none" w:sz="0" w:space="0" w:color="auto"/>
                      </w:divBdr>
                    </w:div>
                  </w:divsChild>
                </w:div>
                <w:div w:id="1775634807">
                  <w:marLeft w:val="0"/>
                  <w:marRight w:val="0"/>
                  <w:marTop w:val="0"/>
                  <w:marBottom w:val="0"/>
                  <w:divBdr>
                    <w:top w:val="none" w:sz="0" w:space="0" w:color="auto"/>
                    <w:left w:val="none" w:sz="0" w:space="0" w:color="auto"/>
                    <w:bottom w:val="none" w:sz="0" w:space="0" w:color="auto"/>
                    <w:right w:val="none" w:sz="0" w:space="0" w:color="auto"/>
                  </w:divBdr>
                  <w:divsChild>
                    <w:div w:id="22289513">
                      <w:marLeft w:val="0"/>
                      <w:marRight w:val="0"/>
                      <w:marTop w:val="0"/>
                      <w:marBottom w:val="0"/>
                      <w:divBdr>
                        <w:top w:val="none" w:sz="0" w:space="0" w:color="auto"/>
                        <w:left w:val="none" w:sz="0" w:space="0" w:color="auto"/>
                        <w:bottom w:val="none" w:sz="0" w:space="0" w:color="auto"/>
                        <w:right w:val="none" w:sz="0" w:space="0" w:color="auto"/>
                      </w:divBdr>
                    </w:div>
                  </w:divsChild>
                </w:div>
                <w:div w:id="269168230">
                  <w:marLeft w:val="0"/>
                  <w:marRight w:val="0"/>
                  <w:marTop w:val="0"/>
                  <w:marBottom w:val="0"/>
                  <w:divBdr>
                    <w:top w:val="none" w:sz="0" w:space="0" w:color="auto"/>
                    <w:left w:val="none" w:sz="0" w:space="0" w:color="auto"/>
                    <w:bottom w:val="none" w:sz="0" w:space="0" w:color="auto"/>
                    <w:right w:val="none" w:sz="0" w:space="0" w:color="auto"/>
                  </w:divBdr>
                  <w:divsChild>
                    <w:div w:id="935484039">
                      <w:marLeft w:val="0"/>
                      <w:marRight w:val="0"/>
                      <w:marTop w:val="0"/>
                      <w:marBottom w:val="0"/>
                      <w:divBdr>
                        <w:top w:val="none" w:sz="0" w:space="0" w:color="auto"/>
                        <w:left w:val="none" w:sz="0" w:space="0" w:color="auto"/>
                        <w:bottom w:val="none" w:sz="0" w:space="0" w:color="auto"/>
                        <w:right w:val="none" w:sz="0" w:space="0" w:color="auto"/>
                      </w:divBdr>
                    </w:div>
                  </w:divsChild>
                </w:div>
                <w:div w:id="611135823">
                  <w:marLeft w:val="0"/>
                  <w:marRight w:val="0"/>
                  <w:marTop w:val="0"/>
                  <w:marBottom w:val="0"/>
                  <w:divBdr>
                    <w:top w:val="none" w:sz="0" w:space="0" w:color="auto"/>
                    <w:left w:val="none" w:sz="0" w:space="0" w:color="auto"/>
                    <w:bottom w:val="none" w:sz="0" w:space="0" w:color="auto"/>
                    <w:right w:val="none" w:sz="0" w:space="0" w:color="auto"/>
                  </w:divBdr>
                  <w:divsChild>
                    <w:div w:id="287903476">
                      <w:marLeft w:val="0"/>
                      <w:marRight w:val="0"/>
                      <w:marTop w:val="0"/>
                      <w:marBottom w:val="0"/>
                      <w:divBdr>
                        <w:top w:val="none" w:sz="0" w:space="0" w:color="auto"/>
                        <w:left w:val="none" w:sz="0" w:space="0" w:color="auto"/>
                        <w:bottom w:val="none" w:sz="0" w:space="0" w:color="auto"/>
                        <w:right w:val="none" w:sz="0" w:space="0" w:color="auto"/>
                      </w:divBdr>
                    </w:div>
                  </w:divsChild>
                </w:div>
                <w:div w:id="174272692">
                  <w:marLeft w:val="0"/>
                  <w:marRight w:val="0"/>
                  <w:marTop w:val="0"/>
                  <w:marBottom w:val="0"/>
                  <w:divBdr>
                    <w:top w:val="none" w:sz="0" w:space="0" w:color="auto"/>
                    <w:left w:val="none" w:sz="0" w:space="0" w:color="auto"/>
                    <w:bottom w:val="none" w:sz="0" w:space="0" w:color="auto"/>
                    <w:right w:val="none" w:sz="0" w:space="0" w:color="auto"/>
                  </w:divBdr>
                  <w:divsChild>
                    <w:div w:id="1139952642">
                      <w:marLeft w:val="0"/>
                      <w:marRight w:val="0"/>
                      <w:marTop w:val="0"/>
                      <w:marBottom w:val="0"/>
                      <w:divBdr>
                        <w:top w:val="none" w:sz="0" w:space="0" w:color="auto"/>
                        <w:left w:val="none" w:sz="0" w:space="0" w:color="auto"/>
                        <w:bottom w:val="none" w:sz="0" w:space="0" w:color="auto"/>
                        <w:right w:val="none" w:sz="0" w:space="0" w:color="auto"/>
                      </w:divBdr>
                    </w:div>
                  </w:divsChild>
                </w:div>
                <w:div w:id="1832675174">
                  <w:marLeft w:val="0"/>
                  <w:marRight w:val="0"/>
                  <w:marTop w:val="0"/>
                  <w:marBottom w:val="0"/>
                  <w:divBdr>
                    <w:top w:val="none" w:sz="0" w:space="0" w:color="auto"/>
                    <w:left w:val="none" w:sz="0" w:space="0" w:color="auto"/>
                    <w:bottom w:val="none" w:sz="0" w:space="0" w:color="auto"/>
                    <w:right w:val="none" w:sz="0" w:space="0" w:color="auto"/>
                  </w:divBdr>
                  <w:divsChild>
                    <w:div w:id="2072729118">
                      <w:marLeft w:val="0"/>
                      <w:marRight w:val="0"/>
                      <w:marTop w:val="0"/>
                      <w:marBottom w:val="0"/>
                      <w:divBdr>
                        <w:top w:val="none" w:sz="0" w:space="0" w:color="auto"/>
                        <w:left w:val="none" w:sz="0" w:space="0" w:color="auto"/>
                        <w:bottom w:val="none" w:sz="0" w:space="0" w:color="auto"/>
                        <w:right w:val="none" w:sz="0" w:space="0" w:color="auto"/>
                      </w:divBdr>
                    </w:div>
                  </w:divsChild>
                </w:div>
                <w:div w:id="576862272">
                  <w:marLeft w:val="0"/>
                  <w:marRight w:val="0"/>
                  <w:marTop w:val="0"/>
                  <w:marBottom w:val="0"/>
                  <w:divBdr>
                    <w:top w:val="none" w:sz="0" w:space="0" w:color="auto"/>
                    <w:left w:val="none" w:sz="0" w:space="0" w:color="auto"/>
                    <w:bottom w:val="none" w:sz="0" w:space="0" w:color="auto"/>
                    <w:right w:val="none" w:sz="0" w:space="0" w:color="auto"/>
                  </w:divBdr>
                  <w:divsChild>
                    <w:div w:id="1652171182">
                      <w:marLeft w:val="0"/>
                      <w:marRight w:val="0"/>
                      <w:marTop w:val="0"/>
                      <w:marBottom w:val="0"/>
                      <w:divBdr>
                        <w:top w:val="none" w:sz="0" w:space="0" w:color="auto"/>
                        <w:left w:val="none" w:sz="0" w:space="0" w:color="auto"/>
                        <w:bottom w:val="none" w:sz="0" w:space="0" w:color="auto"/>
                        <w:right w:val="none" w:sz="0" w:space="0" w:color="auto"/>
                      </w:divBdr>
                    </w:div>
                  </w:divsChild>
                </w:div>
                <w:div w:id="2107729638">
                  <w:marLeft w:val="0"/>
                  <w:marRight w:val="0"/>
                  <w:marTop w:val="0"/>
                  <w:marBottom w:val="0"/>
                  <w:divBdr>
                    <w:top w:val="none" w:sz="0" w:space="0" w:color="auto"/>
                    <w:left w:val="none" w:sz="0" w:space="0" w:color="auto"/>
                    <w:bottom w:val="none" w:sz="0" w:space="0" w:color="auto"/>
                    <w:right w:val="none" w:sz="0" w:space="0" w:color="auto"/>
                  </w:divBdr>
                  <w:divsChild>
                    <w:div w:id="2106918862">
                      <w:marLeft w:val="0"/>
                      <w:marRight w:val="0"/>
                      <w:marTop w:val="0"/>
                      <w:marBottom w:val="0"/>
                      <w:divBdr>
                        <w:top w:val="none" w:sz="0" w:space="0" w:color="auto"/>
                        <w:left w:val="none" w:sz="0" w:space="0" w:color="auto"/>
                        <w:bottom w:val="none" w:sz="0" w:space="0" w:color="auto"/>
                        <w:right w:val="none" w:sz="0" w:space="0" w:color="auto"/>
                      </w:divBdr>
                    </w:div>
                  </w:divsChild>
                </w:div>
                <w:div w:id="1523517960">
                  <w:marLeft w:val="0"/>
                  <w:marRight w:val="0"/>
                  <w:marTop w:val="0"/>
                  <w:marBottom w:val="0"/>
                  <w:divBdr>
                    <w:top w:val="none" w:sz="0" w:space="0" w:color="auto"/>
                    <w:left w:val="none" w:sz="0" w:space="0" w:color="auto"/>
                    <w:bottom w:val="none" w:sz="0" w:space="0" w:color="auto"/>
                    <w:right w:val="none" w:sz="0" w:space="0" w:color="auto"/>
                  </w:divBdr>
                  <w:divsChild>
                    <w:div w:id="885875338">
                      <w:marLeft w:val="0"/>
                      <w:marRight w:val="0"/>
                      <w:marTop w:val="0"/>
                      <w:marBottom w:val="0"/>
                      <w:divBdr>
                        <w:top w:val="none" w:sz="0" w:space="0" w:color="auto"/>
                        <w:left w:val="none" w:sz="0" w:space="0" w:color="auto"/>
                        <w:bottom w:val="none" w:sz="0" w:space="0" w:color="auto"/>
                        <w:right w:val="none" w:sz="0" w:space="0" w:color="auto"/>
                      </w:divBdr>
                    </w:div>
                  </w:divsChild>
                </w:div>
                <w:div w:id="432676234">
                  <w:marLeft w:val="0"/>
                  <w:marRight w:val="0"/>
                  <w:marTop w:val="0"/>
                  <w:marBottom w:val="0"/>
                  <w:divBdr>
                    <w:top w:val="none" w:sz="0" w:space="0" w:color="auto"/>
                    <w:left w:val="none" w:sz="0" w:space="0" w:color="auto"/>
                    <w:bottom w:val="none" w:sz="0" w:space="0" w:color="auto"/>
                    <w:right w:val="none" w:sz="0" w:space="0" w:color="auto"/>
                  </w:divBdr>
                  <w:divsChild>
                    <w:div w:id="1805659276">
                      <w:marLeft w:val="0"/>
                      <w:marRight w:val="0"/>
                      <w:marTop w:val="0"/>
                      <w:marBottom w:val="0"/>
                      <w:divBdr>
                        <w:top w:val="none" w:sz="0" w:space="0" w:color="auto"/>
                        <w:left w:val="none" w:sz="0" w:space="0" w:color="auto"/>
                        <w:bottom w:val="none" w:sz="0" w:space="0" w:color="auto"/>
                        <w:right w:val="none" w:sz="0" w:space="0" w:color="auto"/>
                      </w:divBdr>
                    </w:div>
                  </w:divsChild>
                </w:div>
                <w:div w:id="1006249008">
                  <w:marLeft w:val="0"/>
                  <w:marRight w:val="0"/>
                  <w:marTop w:val="0"/>
                  <w:marBottom w:val="0"/>
                  <w:divBdr>
                    <w:top w:val="none" w:sz="0" w:space="0" w:color="auto"/>
                    <w:left w:val="none" w:sz="0" w:space="0" w:color="auto"/>
                    <w:bottom w:val="none" w:sz="0" w:space="0" w:color="auto"/>
                    <w:right w:val="none" w:sz="0" w:space="0" w:color="auto"/>
                  </w:divBdr>
                  <w:divsChild>
                    <w:div w:id="1363284438">
                      <w:marLeft w:val="0"/>
                      <w:marRight w:val="0"/>
                      <w:marTop w:val="0"/>
                      <w:marBottom w:val="0"/>
                      <w:divBdr>
                        <w:top w:val="none" w:sz="0" w:space="0" w:color="auto"/>
                        <w:left w:val="none" w:sz="0" w:space="0" w:color="auto"/>
                        <w:bottom w:val="none" w:sz="0" w:space="0" w:color="auto"/>
                        <w:right w:val="none" w:sz="0" w:space="0" w:color="auto"/>
                      </w:divBdr>
                    </w:div>
                  </w:divsChild>
                </w:div>
                <w:div w:id="94400749">
                  <w:marLeft w:val="0"/>
                  <w:marRight w:val="0"/>
                  <w:marTop w:val="0"/>
                  <w:marBottom w:val="0"/>
                  <w:divBdr>
                    <w:top w:val="none" w:sz="0" w:space="0" w:color="auto"/>
                    <w:left w:val="none" w:sz="0" w:space="0" w:color="auto"/>
                    <w:bottom w:val="none" w:sz="0" w:space="0" w:color="auto"/>
                    <w:right w:val="none" w:sz="0" w:space="0" w:color="auto"/>
                  </w:divBdr>
                  <w:divsChild>
                    <w:div w:id="1326743317">
                      <w:marLeft w:val="0"/>
                      <w:marRight w:val="0"/>
                      <w:marTop w:val="0"/>
                      <w:marBottom w:val="0"/>
                      <w:divBdr>
                        <w:top w:val="none" w:sz="0" w:space="0" w:color="auto"/>
                        <w:left w:val="none" w:sz="0" w:space="0" w:color="auto"/>
                        <w:bottom w:val="none" w:sz="0" w:space="0" w:color="auto"/>
                        <w:right w:val="none" w:sz="0" w:space="0" w:color="auto"/>
                      </w:divBdr>
                    </w:div>
                  </w:divsChild>
                </w:div>
                <w:div w:id="1142963329">
                  <w:marLeft w:val="0"/>
                  <w:marRight w:val="0"/>
                  <w:marTop w:val="0"/>
                  <w:marBottom w:val="0"/>
                  <w:divBdr>
                    <w:top w:val="none" w:sz="0" w:space="0" w:color="auto"/>
                    <w:left w:val="none" w:sz="0" w:space="0" w:color="auto"/>
                    <w:bottom w:val="none" w:sz="0" w:space="0" w:color="auto"/>
                    <w:right w:val="none" w:sz="0" w:space="0" w:color="auto"/>
                  </w:divBdr>
                  <w:divsChild>
                    <w:div w:id="1797720180">
                      <w:marLeft w:val="0"/>
                      <w:marRight w:val="0"/>
                      <w:marTop w:val="0"/>
                      <w:marBottom w:val="0"/>
                      <w:divBdr>
                        <w:top w:val="none" w:sz="0" w:space="0" w:color="auto"/>
                        <w:left w:val="none" w:sz="0" w:space="0" w:color="auto"/>
                        <w:bottom w:val="none" w:sz="0" w:space="0" w:color="auto"/>
                        <w:right w:val="none" w:sz="0" w:space="0" w:color="auto"/>
                      </w:divBdr>
                    </w:div>
                  </w:divsChild>
                </w:div>
                <w:div w:id="1155489883">
                  <w:marLeft w:val="0"/>
                  <w:marRight w:val="0"/>
                  <w:marTop w:val="0"/>
                  <w:marBottom w:val="0"/>
                  <w:divBdr>
                    <w:top w:val="none" w:sz="0" w:space="0" w:color="auto"/>
                    <w:left w:val="none" w:sz="0" w:space="0" w:color="auto"/>
                    <w:bottom w:val="none" w:sz="0" w:space="0" w:color="auto"/>
                    <w:right w:val="none" w:sz="0" w:space="0" w:color="auto"/>
                  </w:divBdr>
                  <w:divsChild>
                    <w:div w:id="774325635">
                      <w:marLeft w:val="0"/>
                      <w:marRight w:val="0"/>
                      <w:marTop w:val="0"/>
                      <w:marBottom w:val="0"/>
                      <w:divBdr>
                        <w:top w:val="none" w:sz="0" w:space="0" w:color="auto"/>
                        <w:left w:val="none" w:sz="0" w:space="0" w:color="auto"/>
                        <w:bottom w:val="none" w:sz="0" w:space="0" w:color="auto"/>
                        <w:right w:val="none" w:sz="0" w:space="0" w:color="auto"/>
                      </w:divBdr>
                    </w:div>
                  </w:divsChild>
                </w:div>
                <w:div w:id="552429047">
                  <w:marLeft w:val="0"/>
                  <w:marRight w:val="0"/>
                  <w:marTop w:val="0"/>
                  <w:marBottom w:val="0"/>
                  <w:divBdr>
                    <w:top w:val="none" w:sz="0" w:space="0" w:color="auto"/>
                    <w:left w:val="none" w:sz="0" w:space="0" w:color="auto"/>
                    <w:bottom w:val="none" w:sz="0" w:space="0" w:color="auto"/>
                    <w:right w:val="none" w:sz="0" w:space="0" w:color="auto"/>
                  </w:divBdr>
                  <w:divsChild>
                    <w:div w:id="665741223">
                      <w:marLeft w:val="0"/>
                      <w:marRight w:val="0"/>
                      <w:marTop w:val="0"/>
                      <w:marBottom w:val="0"/>
                      <w:divBdr>
                        <w:top w:val="none" w:sz="0" w:space="0" w:color="auto"/>
                        <w:left w:val="none" w:sz="0" w:space="0" w:color="auto"/>
                        <w:bottom w:val="none" w:sz="0" w:space="0" w:color="auto"/>
                        <w:right w:val="none" w:sz="0" w:space="0" w:color="auto"/>
                      </w:divBdr>
                    </w:div>
                  </w:divsChild>
                </w:div>
                <w:div w:id="255989875">
                  <w:marLeft w:val="0"/>
                  <w:marRight w:val="0"/>
                  <w:marTop w:val="0"/>
                  <w:marBottom w:val="0"/>
                  <w:divBdr>
                    <w:top w:val="none" w:sz="0" w:space="0" w:color="auto"/>
                    <w:left w:val="none" w:sz="0" w:space="0" w:color="auto"/>
                    <w:bottom w:val="none" w:sz="0" w:space="0" w:color="auto"/>
                    <w:right w:val="none" w:sz="0" w:space="0" w:color="auto"/>
                  </w:divBdr>
                  <w:divsChild>
                    <w:div w:id="1526794911">
                      <w:marLeft w:val="0"/>
                      <w:marRight w:val="0"/>
                      <w:marTop w:val="0"/>
                      <w:marBottom w:val="0"/>
                      <w:divBdr>
                        <w:top w:val="none" w:sz="0" w:space="0" w:color="auto"/>
                        <w:left w:val="none" w:sz="0" w:space="0" w:color="auto"/>
                        <w:bottom w:val="none" w:sz="0" w:space="0" w:color="auto"/>
                        <w:right w:val="none" w:sz="0" w:space="0" w:color="auto"/>
                      </w:divBdr>
                    </w:div>
                  </w:divsChild>
                </w:div>
                <w:div w:id="1254320338">
                  <w:marLeft w:val="0"/>
                  <w:marRight w:val="0"/>
                  <w:marTop w:val="0"/>
                  <w:marBottom w:val="0"/>
                  <w:divBdr>
                    <w:top w:val="none" w:sz="0" w:space="0" w:color="auto"/>
                    <w:left w:val="none" w:sz="0" w:space="0" w:color="auto"/>
                    <w:bottom w:val="none" w:sz="0" w:space="0" w:color="auto"/>
                    <w:right w:val="none" w:sz="0" w:space="0" w:color="auto"/>
                  </w:divBdr>
                  <w:divsChild>
                    <w:div w:id="1965303712">
                      <w:marLeft w:val="0"/>
                      <w:marRight w:val="0"/>
                      <w:marTop w:val="0"/>
                      <w:marBottom w:val="0"/>
                      <w:divBdr>
                        <w:top w:val="none" w:sz="0" w:space="0" w:color="auto"/>
                        <w:left w:val="none" w:sz="0" w:space="0" w:color="auto"/>
                        <w:bottom w:val="none" w:sz="0" w:space="0" w:color="auto"/>
                        <w:right w:val="none" w:sz="0" w:space="0" w:color="auto"/>
                      </w:divBdr>
                    </w:div>
                  </w:divsChild>
                </w:div>
                <w:div w:id="1326666111">
                  <w:marLeft w:val="0"/>
                  <w:marRight w:val="0"/>
                  <w:marTop w:val="0"/>
                  <w:marBottom w:val="0"/>
                  <w:divBdr>
                    <w:top w:val="none" w:sz="0" w:space="0" w:color="auto"/>
                    <w:left w:val="none" w:sz="0" w:space="0" w:color="auto"/>
                    <w:bottom w:val="none" w:sz="0" w:space="0" w:color="auto"/>
                    <w:right w:val="none" w:sz="0" w:space="0" w:color="auto"/>
                  </w:divBdr>
                  <w:divsChild>
                    <w:div w:id="1451433534">
                      <w:marLeft w:val="0"/>
                      <w:marRight w:val="0"/>
                      <w:marTop w:val="0"/>
                      <w:marBottom w:val="0"/>
                      <w:divBdr>
                        <w:top w:val="none" w:sz="0" w:space="0" w:color="auto"/>
                        <w:left w:val="none" w:sz="0" w:space="0" w:color="auto"/>
                        <w:bottom w:val="none" w:sz="0" w:space="0" w:color="auto"/>
                        <w:right w:val="none" w:sz="0" w:space="0" w:color="auto"/>
                      </w:divBdr>
                    </w:div>
                  </w:divsChild>
                </w:div>
                <w:div w:id="940141552">
                  <w:marLeft w:val="0"/>
                  <w:marRight w:val="0"/>
                  <w:marTop w:val="0"/>
                  <w:marBottom w:val="0"/>
                  <w:divBdr>
                    <w:top w:val="none" w:sz="0" w:space="0" w:color="auto"/>
                    <w:left w:val="none" w:sz="0" w:space="0" w:color="auto"/>
                    <w:bottom w:val="none" w:sz="0" w:space="0" w:color="auto"/>
                    <w:right w:val="none" w:sz="0" w:space="0" w:color="auto"/>
                  </w:divBdr>
                  <w:divsChild>
                    <w:div w:id="83036612">
                      <w:marLeft w:val="0"/>
                      <w:marRight w:val="0"/>
                      <w:marTop w:val="0"/>
                      <w:marBottom w:val="0"/>
                      <w:divBdr>
                        <w:top w:val="none" w:sz="0" w:space="0" w:color="auto"/>
                        <w:left w:val="none" w:sz="0" w:space="0" w:color="auto"/>
                        <w:bottom w:val="none" w:sz="0" w:space="0" w:color="auto"/>
                        <w:right w:val="none" w:sz="0" w:space="0" w:color="auto"/>
                      </w:divBdr>
                    </w:div>
                  </w:divsChild>
                </w:div>
                <w:div w:id="2032107188">
                  <w:marLeft w:val="0"/>
                  <w:marRight w:val="0"/>
                  <w:marTop w:val="0"/>
                  <w:marBottom w:val="0"/>
                  <w:divBdr>
                    <w:top w:val="none" w:sz="0" w:space="0" w:color="auto"/>
                    <w:left w:val="none" w:sz="0" w:space="0" w:color="auto"/>
                    <w:bottom w:val="none" w:sz="0" w:space="0" w:color="auto"/>
                    <w:right w:val="none" w:sz="0" w:space="0" w:color="auto"/>
                  </w:divBdr>
                  <w:divsChild>
                    <w:div w:id="286278881">
                      <w:marLeft w:val="0"/>
                      <w:marRight w:val="0"/>
                      <w:marTop w:val="0"/>
                      <w:marBottom w:val="0"/>
                      <w:divBdr>
                        <w:top w:val="none" w:sz="0" w:space="0" w:color="auto"/>
                        <w:left w:val="none" w:sz="0" w:space="0" w:color="auto"/>
                        <w:bottom w:val="none" w:sz="0" w:space="0" w:color="auto"/>
                        <w:right w:val="none" w:sz="0" w:space="0" w:color="auto"/>
                      </w:divBdr>
                    </w:div>
                  </w:divsChild>
                </w:div>
                <w:div w:id="1793137160">
                  <w:marLeft w:val="0"/>
                  <w:marRight w:val="0"/>
                  <w:marTop w:val="0"/>
                  <w:marBottom w:val="0"/>
                  <w:divBdr>
                    <w:top w:val="none" w:sz="0" w:space="0" w:color="auto"/>
                    <w:left w:val="none" w:sz="0" w:space="0" w:color="auto"/>
                    <w:bottom w:val="none" w:sz="0" w:space="0" w:color="auto"/>
                    <w:right w:val="none" w:sz="0" w:space="0" w:color="auto"/>
                  </w:divBdr>
                  <w:divsChild>
                    <w:div w:id="1802796213">
                      <w:marLeft w:val="0"/>
                      <w:marRight w:val="0"/>
                      <w:marTop w:val="0"/>
                      <w:marBottom w:val="0"/>
                      <w:divBdr>
                        <w:top w:val="none" w:sz="0" w:space="0" w:color="auto"/>
                        <w:left w:val="none" w:sz="0" w:space="0" w:color="auto"/>
                        <w:bottom w:val="none" w:sz="0" w:space="0" w:color="auto"/>
                        <w:right w:val="none" w:sz="0" w:space="0" w:color="auto"/>
                      </w:divBdr>
                    </w:div>
                  </w:divsChild>
                </w:div>
                <w:div w:id="47188731">
                  <w:marLeft w:val="0"/>
                  <w:marRight w:val="0"/>
                  <w:marTop w:val="0"/>
                  <w:marBottom w:val="0"/>
                  <w:divBdr>
                    <w:top w:val="none" w:sz="0" w:space="0" w:color="auto"/>
                    <w:left w:val="none" w:sz="0" w:space="0" w:color="auto"/>
                    <w:bottom w:val="none" w:sz="0" w:space="0" w:color="auto"/>
                    <w:right w:val="none" w:sz="0" w:space="0" w:color="auto"/>
                  </w:divBdr>
                  <w:divsChild>
                    <w:div w:id="706949851">
                      <w:marLeft w:val="0"/>
                      <w:marRight w:val="0"/>
                      <w:marTop w:val="0"/>
                      <w:marBottom w:val="0"/>
                      <w:divBdr>
                        <w:top w:val="none" w:sz="0" w:space="0" w:color="auto"/>
                        <w:left w:val="none" w:sz="0" w:space="0" w:color="auto"/>
                        <w:bottom w:val="none" w:sz="0" w:space="0" w:color="auto"/>
                        <w:right w:val="none" w:sz="0" w:space="0" w:color="auto"/>
                      </w:divBdr>
                    </w:div>
                  </w:divsChild>
                </w:div>
                <w:div w:id="463696183">
                  <w:marLeft w:val="0"/>
                  <w:marRight w:val="0"/>
                  <w:marTop w:val="0"/>
                  <w:marBottom w:val="0"/>
                  <w:divBdr>
                    <w:top w:val="none" w:sz="0" w:space="0" w:color="auto"/>
                    <w:left w:val="none" w:sz="0" w:space="0" w:color="auto"/>
                    <w:bottom w:val="none" w:sz="0" w:space="0" w:color="auto"/>
                    <w:right w:val="none" w:sz="0" w:space="0" w:color="auto"/>
                  </w:divBdr>
                  <w:divsChild>
                    <w:div w:id="1346979699">
                      <w:marLeft w:val="0"/>
                      <w:marRight w:val="0"/>
                      <w:marTop w:val="0"/>
                      <w:marBottom w:val="0"/>
                      <w:divBdr>
                        <w:top w:val="none" w:sz="0" w:space="0" w:color="auto"/>
                        <w:left w:val="none" w:sz="0" w:space="0" w:color="auto"/>
                        <w:bottom w:val="none" w:sz="0" w:space="0" w:color="auto"/>
                        <w:right w:val="none" w:sz="0" w:space="0" w:color="auto"/>
                      </w:divBdr>
                    </w:div>
                  </w:divsChild>
                </w:div>
                <w:div w:id="1972051226">
                  <w:marLeft w:val="0"/>
                  <w:marRight w:val="0"/>
                  <w:marTop w:val="0"/>
                  <w:marBottom w:val="0"/>
                  <w:divBdr>
                    <w:top w:val="none" w:sz="0" w:space="0" w:color="auto"/>
                    <w:left w:val="none" w:sz="0" w:space="0" w:color="auto"/>
                    <w:bottom w:val="none" w:sz="0" w:space="0" w:color="auto"/>
                    <w:right w:val="none" w:sz="0" w:space="0" w:color="auto"/>
                  </w:divBdr>
                  <w:divsChild>
                    <w:div w:id="2048290727">
                      <w:marLeft w:val="0"/>
                      <w:marRight w:val="0"/>
                      <w:marTop w:val="0"/>
                      <w:marBottom w:val="0"/>
                      <w:divBdr>
                        <w:top w:val="none" w:sz="0" w:space="0" w:color="auto"/>
                        <w:left w:val="none" w:sz="0" w:space="0" w:color="auto"/>
                        <w:bottom w:val="none" w:sz="0" w:space="0" w:color="auto"/>
                        <w:right w:val="none" w:sz="0" w:space="0" w:color="auto"/>
                      </w:divBdr>
                    </w:div>
                  </w:divsChild>
                </w:div>
                <w:div w:id="2102337470">
                  <w:marLeft w:val="0"/>
                  <w:marRight w:val="0"/>
                  <w:marTop w:val="0"/>
                  <w:marBottom w:val="0"/>
                  <w:divBdr>
                    <w:top w:val="none" w:sz="0" w:space="0" w:color="auto"/>
                    <w:left w:val="none" w:sz="0" w:space="0" w:color="auto"/>
                    <w:bottom w:val="none" w:sz="0" w:space="0" w:color="auto"/>
                    <w:right w:val="none" w:sz="0" w:space="0" w:color="auto"/>
                  </w:divBdr>
                  <w:divsChild>
                    <w:div w:id="110101851">
                      <w:marLeft w:val="0"/>
                      <w:marRight w:val="0"/>
                      <w:marTop w:val="0"/>
                      <w:marBottom w:val="0"/>
                      <w:divBdr>
                        <w:top w:val="none" w:sz="0" w:space="0" w:color="auto"/>
                        <w:left w:val="none" w:sz="0" w:space="0" w:color="auto"/>
                        <w:bottom w:val="none" w:sz="0" w:space="0" w:color="auto"/>
                        <w:right w:val="none" w:sz="0" w:space="0" w:color="auto"/>
                      </w:divBdr>
                    </w:div>
                  </w:divsChild>
                </w:div>
                <w:div w:id="457913417">
                  <w:marLeft w:val="0"/>
                  <w:marRight w:val="0"/>
                  <w:marTop w:val="0"/>
                  <w:marBottom w:val="0"/>
                  <w:divBdr>
                    <w:top w:val="none" w:sz="0" w:space="0" w:color="auto"/>
                    <w:left w:val="none" w:sz="0" w:space="0" w:color="auto"/>
                    <w:bottom w:val="none" w:sz="0" w:space="0" w:color="auto"/>
                    <w:right w:val="none" w:sz="0" w:space="0" w:color="auto"/>
                  </w:divBdr>
                  <w:divsChild>
                    <w:div w:id="1537766385">
                      <w:marLeft w:val="0"/>
                      <w:marRight w:val="0"/>
                      <w:marTop w:val="0"/>
                      <w:marBottom w:val="0"/>
                      <w:divBdr>
                        <w:top w:val="none" w:sz="0" w:space="0" w:color="auto"/>
                        <w:left w:val="none" w:sz="0" w:space="0" w:color="auto"/>
                        <w:bottom w:val="none" w:sz="0" w:space="0" w:color="auto"/>
                        <w:right w:val="none" w:sz="0" w:space="0" w:color="auto"/>
                      </w:divBdr>
                    </w:div>
                  </w:divsChild>
                </w:div>
                <w:div w:id="1834681500">
                  <w:marLeft w:val="0"/>
                  <w:marRight w:val="0"/>
                  <w:marTop w:val="0"/>
                  <w:marBottom w:val="0"/>
                  <w:divBdr>
                    <w:top w:val="none" w:sz="0" w:space="0" w:color="auto"/>
                    <w:left w:val="none" w:sz="0" w:space="0" w:color="auto"/>
                    <w:bottom w:val="none" w:sz="0" w:space="0" w:color="auto"/>
                    <w:right w:val="none" w:sz="0" w:space="0" w:color="auto"/>
                  </w:divBdr>
                  <w:divsChild>
                    <w:div w:id="1999189969">
                      <w:marLeft w:val="0"/>
                      <w:marRight w:val="0"/>
                      <w:marTop w:val="0"/>
                      <w:marBottom w:val="0"/>
                      <w:divBdr>
                        <w:top w:val="none" w:sz="0" w:space="0" w:color="auto"/>
                        <w:left w:val="none" w:sz="0" w:space="0" w:color="auto"/>
                        <w:bottom w:val="none" w:sz="0" w:space="0" w:color="auto"/>
                        <w:right w:val="none" w:sz="0" w:space="0" w:color="auto"/>
                      </w:divBdr>
                    </w:div>
                  </w:divsChild>
                </w:div>
                <w:div w:id="522590954">
                  <w:marLeft w:val="0"/>
                  <w:marRight w:val="0"/>
                  <w:marTop w:val="0"/>
                  <w:marBottom w:val="0"/>
                  <w:divBdr>
                    <w:top w:val="none" w:sz="0" w:space="0" w:color="auto"/>
                    <w:left w:val="none" w:sz="0" w:space="0" w:color="auto"/>
                    <w:bottom w:val="none" w:sz="0" w:space="0" w:color="auto"/>
                    <w:right w:val="none" w:sz="0" w:space="0" w:color="auto"/>
                  </w:divBdr>
                  <w:divsChild>
                    <w:div w:id="1469055307">
                      <w:marLeft w:val="0"/>
                      <w:marRight w:val="0"/>
                      <w:marTop w:val="0"/>
                      <w:marBottom w:val="0"/>
                      <w:divBdr>
                        <w:top w:val="none" w:sz="0" w:space="0" w:color="auto"/>
                        <w:left w:val="none" w:sz="0" w:space="0" w:color="auto"/>
                        <w:bottom w:val="none" w:sz="0" w:space="0" w:color="auto"/>
                        <w:right w:val="none" w:sz="0" w:space="0" w:color="auto"/>
                      </w:divBdr>
                    </w:div>
                  </w:divsChild>
                </w:div>
                <w:div w:id="882866396">
                  <w:marLeft w:val="0"/>
                  <w:marRight w:val="0"/>
                  <w:marTop w:val="0"/>
                  <w:marBottom w:val="0"/>
                  <w:divBdr>
                    <w:top w:val="none" w:sz="0" w:space="0" w:color="auto"/>
                    <w:left w:val="none" w:sz="0" w:space="0" w:color="auto"/>
                    <w:bottom w:val="none" w:sz="0" w:space="0" w:color="auto"/>
                    <w:right w:val="none" w:sz="0" w:space="0" w:color="auto"/>
                  </w:divBdr>
                  <w:divsChild>
                    <w:div w:id="27334982">
                      <w:marLeft w:val="0"/>
                      <w:marRight w:val="0"/>
                      <w:marTop w:val="0"/>
                      <w:marBottom w:val="0"/>
                      <w:divBdr>
                        <w:top w:val="none" w:sz="0" w:space="0" w:color="auto"/>
                        <w:left w:val="none" w:sz="0" w:space="0" w:color="auto"/>
                        <w:bottom w:val="none" w:sz="0" w:space="0" w:color="auto"/>
                        <w:right w:val="none" w:sz="0" w:space="0" w:color="auto"/>
                      </w:divBdr>
                    </w:div>
                  </w:divsChild>
                </w:div>
                <w:div w:id="879973738">
                  <w:marLeft w:val="0"/>
                  <w:marRight w:val="0"/>
                  <w:marTop w:val="0"/>
                  <w:marBottom w:val="0"/>
                  <w:divBdr>
                    <w:top w:val="none" w:sz="0" w:space="0" w:color="auto"/>
                    <w:left w:val="none" w:sz="0" w:space="0" w:color="auto"/>
                    <w:bottom w:val="none" w:sz="0" w:space="0" w:color="auto"/>
                    <w:right w:val="none" w:sz="0" w:space="0" w:color="auto"/>
                  </w:divBdr>
                  <w:divsChild>
                    <w:div w:id="1293092168">
                      <w:marLeft w:val="0"/>
                      <w:marRight w:val="0"/>
                      <w:marTop w:val="0"/>
                      <w:marBottom w:val="0"/>
                      <w:divBdr>
                        <w:top w:val="none" w:sz="0" w:space="0" w:color="auto"/>
                        <w:left w:val="none" w:sz="0" w:space="0" w:color="auto"/>
                        <w:bottom w:val="none" w:sz="0" w:space="0" w:color="auto"/>
                        <w:right w:val="none" w:sz="0" w:space="0" w:color="auto"/>
                      </w:divBdr>
                    </w:div>
                  </w:divsChild>
                </w:div>
                <w:div w:id="701050193">
                  <w:marLeft w:val="0"/>
                  <w:marRight w:val="0"/>
                  <w:marTop w:val="0"/>
                  <w:marBottom w:val="0"/>
                  <w:divBdr>
                    <w:top w:val="none" w:sz="0" w:space="0" w:color="auto"/>
                    <w:left w:val="none" w:sz="0" w:space="0" w:color="auto"/>
                    <w:bottom w:val="none" w:sz="0" w:space="0" w:color="auto"/>
                    <w:right w:val="none" w:sz="0" w:space="0" w:color="auto"/>
                  </w:divBdr>
                  <w:divsChild>
                    <w:div w:id="1740593222">
                      <w:marLeft w:val="0"/>
                      <w:marRight w:val="0"/>
                      <w:marTop w:val="0"/>
                      <w:marBottom w:val="0"/>
                      <w:divBdr>
                        <w:top w:val="none" w:sz="0" w:space="0" w:color="auto"/>
                        <w:left w:val="none" w:sz="0" w:space="0" w:color="auto"/>
                        <w:bottom w:val="none" w:sz="0" w:space="0" w:color="auto"/>
                        <w:right w:val="none" w:sz="0" w:space="0" w:color="auto"/>
                      </w:divBdr>
                    </w:div>
                  </w:divsChild>
                </w:div>
                <w:div w:id="2122526822">
                  <w:marLeft w:val="0"/>
                  <w:marRight w:val="0"/>
                  <w:marTop w:val="0"/>
                  <w:marBottom w:val="0"/>
                  <w:divBdr>
                    <w:top w:val="none" w:sz="0" w:space="0" w:color="auto"/>
                    <w:left w:val="none" w:sz="0" w:space="0" w:color="auto"/>
                    <w:bottom w:val="none" w:sz="0" w:space="0" w:color="auto"/>
                    <w:right w:val="none" w:sz="0" w:space="0" w:color="auto"/>
                  </w:divBdr>
                  <w:divsChild>
                    <w:div w:id="135994436">
                      <w:marLeft w:val="0"/>
                      <w:marRight w:val="0"/>
                      <w:marTop w:val="0"/>
                      <w:marBottom w:val="0"/>
                      <w:divBdr>
                        <w:top w:val="none" w:sz="0" w:space="0" w:color="auto"/>
                        <w:left w:val="none" w:sz="0" w:space="0" w:color="auto"/>
                        <w:bottom w:val="none" w:sz="0" w:space="0" w:color="auto"/>
                        <w:right w:val="none" w:sz="0" w:space="0" w:color="auto"/>
                      </w:divBdr>
                    </w:div>
                  </w:divsChild>
                </w:div>
                <w:div w:id="985277144">
                  <w:marLeft w:val="0"/>
                  <w:marRight w:val="0"/>
                  <w:marTop w:val="0"/>
                  <w:marBottom w:val="0"/>
                  <w:divBdr>
                    <w:top w:val="none" w:sz="0" w:space="0" w:color="auto"/>
                    <w:left w:val="none" w:sz="0" w:space="0" w:color="auto"/>
                    <w:bottom w:val="none" w:sz="0" w:space="0" w:color="auto"/>
                    <w:right w:val="none" w:sz="0" w:space="0" w:color="auto"/>
                  </w:divBdr>
                  <w:divsChild>
                    <w:div w:id="1222671630">
                      <w:marLeft w:val="0"/>
                      <w:marRight w:val="0"/>
                      <w:marTop w:val="0"/>
                      <w:marBottom w:val="0"/>
                      <w:divBdr>
                        <w:top w:val="none" w:sz="0" w:space="0" w:color="auto"/>
                        <w:left w:val="none" w:sz="0" w:space="0" w:color="auto"/>
                        <w:bottom w:val="none" w:sz="0" w:space="0" w:color="auto"/>
                        <w:right w:val="none" w:sz="0" w:space="0" w:color="auto"/>
                      </w:divBdr>
                    </w:div>
                  </w:divsChild>
                </w:div>
                <w:div w:id="1525090482">
                  <w:marLeft w:val="0"/>
                  <w:marRight w:val="0"/>
                  <w:marTop w:val="0"/>
                  <w:marBottom w:val="0"/>
                  <w:divBdr>
                    <w:top w:val="none" w:sz="0" w:space="0" w:color="auto"/>
                    <w:left w:val="none" w:sz="0" w:space="0" w:color="auto"/>
                    <w:bottom w:val="none" w:sz="0" w:space="0" w:color="auto"/>
                    <w:right w:val="none" w:sz="0" w:space="0" w:color="auto"/>
                  </w:divBdr>
                  <w:divsChild>
                    <w:div w:id="1207373323">
                      <w:marLeft w:val="0"/>
                      <w:marRight w:val="0"/>
                      <w:marTop w:val="0"/>
                      <w:marBottom w:val="0"/>
                      <w:divBdr>
                        <w:top w:val="none" w:sz="0" w:space="0" w:color="auto"/>
                        <w:left w:val="none" w:sz="0" w:space="0" w:color="auto"/>
                        <w:bottom w:val="none" w:sz="0" w:space="0" w:color="auto"/>
                        <w:right w:val="none" w:sz="0" w:space="0" w:color="auto"/>
                      </w:divBdr>
                    </w:div>
                  </w:divsChild>
                </w:div>
                <w:div w:id="980306635">
                  <w:marLeft w:val="0"/>
                  <w:marRight w:val="0"/>
                  <w:marTop w:val="0"/>
                  <w:marBottom w:val="0"/>
                  <w:divBdr>
                    <w:top w:val="none" w:sz="0" w:space="0" w:color="auto"/>
                    <w:left w:val="none" w:sz="0" w:space="0" w:color="auto"/>
                    <w:bottom w:val="none" w:sz="0" w:space="0" w:color="auto"/>
                    <w:right w:val="none" w:sz="0" w:space="0" w:color="auto"/>
                  </w:divBdr>
                  <w:divsChild>
                    <w:div w:id="216865765">
                      <w:marLeft w:val="0"/>
                      <w:marRight w:val="0"/>
                      <w:marTop w:val="0"/>
                      <w:marBottom w:val="0"/>
                      <w:divBdr>
                        <w:top w:val="none" w:sz="0" w:space="0" w:color="auto"/>
                        <w:left w:val="none" w:sz="0" w:space="0" w:color="auto"/>
                        <w:bottom w:val="none" w:sz="0" w:space="0" w:color="auto"/>
                        <w:right w:val="none" w:sz="0" w:space="0" w:color="auto"/>
                      </w:divBdr>
                    </w:div>
                  </w:divsChild>
                </w:div>
                <w:div w:id="966928821">
                  <w:marLeft w:val="0"/>
                  <w:marRight w:val="0"/>
                  <w:marTop w:val="0"/>
                  <w:marBottom w:val="0"/>
                  <w:divBdr>
                    <w:top w:val="none" w:sz="0" w:space="0" w:color="auto"/>
                    <w:left w:val="none" w:sz="0" w:space="0" w:color="auto"/>
                    <w:bottom w:val="none" w:sz="0" w:space="0" w:color="auto"/>
                    <w:right w:val="none" w:sz="0" w:space="0" w:color="auto"/>
                  </w:divBdr>
                  <w:divsChild>
                    <w:div w:id="1742096304">
                      <w:marLeft w:val="0"/>
                      <w:marRight w:val="0"/>
                      <w:marTop w:val="0"/>
                      <w:marBottom w:val="0"/>
                      <w:divBdr>
                        <w:top w:val="none" w:sz="0" w:space="0" w:color="auto"/>
                        <w:left w:val="none" w:sz="0" w:space="0" w:color="auto"/>
                        <w:bottom w:val="none" w:sz="0" w:space="0" w:color="auto"/>
                        <w:right w:val="none" w:sz="0" w:space="0" w:color="auto"/>
                      </w:divBdr>
                    </w:div>
                  </w:divsChild>
                </w:div>
                <w:div w:id="1582445046">
                  <w:marLeft w:val="0"/>
                  <w:marRight w:val="0"/>
                  <w:marTop w:val="0"/>
                  <w:marBottom w:val="0"/>
                  <w:divBdr>
                    <w:top w:val="none" w:sz="0" w:space="0" w:color="auto"/>
                    <w:left w:val="none" w:sz="0" w:space="0" w:color="auto"/>
                    <w:bottom w:val="none" w:sz="0" w:space="0" w:color="auto"/>
                    <w:right w:val="none" w:sz="0" w:space="0" w:color="auto"/>
                  </w:divBdr>
                  <w:divsChild>
                    <w:div w:id="189337140">
                      <w:marLeft w:val="0"/>
                      <w:marRight w:val="0"/>
                      <w:marTop w:val="0"/>
                      <w:marBottom w:val="0"/>
                      <w:divBdr>
                        <w:top w:val="none" w:sz="0" w:space="0" w:color="auto"/>
                        <w:left w:val="none" w:sz="0" w:space="0" w:color="auto"/>
                        <w:bottom w:val="none" w:sz="0" w:space="0" w:color="auto"/>
                        <w:right w:val="none" w:sz="0" w:space="0" w:color="auto"/>
                      </w:divBdr>
                    </w:div>
                  </w:divsChild>
                </w:div>
                <w:div w:id="231232769">
                  <w:marLeft w:val="0"/>
                  <w:marRight w:val="0"/>
                  <w:marTop w:val="0"/>
                  <w:marBottom w:val="0"/>
                  <w:divBdr>
                    <w:top w:val="none" w:sz="0" w:space="0" w:color="auto"/>
                    <w:left w:val="none" w:sz="0" w:space="0" w:color="auto"/>
                    <w:bottom w:val="none" w:sz="0" w:space="0" w:color="auto"/>
                    <w:right w:val="none" w:sz="0" w:space="0" w:color="auto"/>
                  </w:divBdr>
                  <w:divsChild>
                    <w:div w:id="1132596762">
                      <w:marLeft w:val="0"/>
                      <w:marRight w:val="0"/>
                      <w:marTop w:val="0"/>
                      <w:marBottom w:val="0"/>
                      <w:divBdr>
                        <w:top w:val="none" w:sz="0" w:space="0" w:color="auto"/>
                        <w:left w:val="none" w:sz="0" w:space="0" w:color="auto"/>
                        <w:bottom w:val="none" w:sz="0" w:space="0" w:color="auto"/>
                        <w:right w:val="none" w:sz="0" w:space="0" w:color="auto"/>
                      </w:divBdr>
                    </w:div>
                  </w:divsChild>
                </w:div>
                <w:div w:id="79834279">
                  <w:marLeft w:val="0"/>
                  <w:marRight w:val="0"/>
                  <w:marTop w:val="0"/>
                  <w:marBottom w:val="0"/>
                  <w:divBdr>
                    <w:top w:val="none" w:sz="0" w:space="0" w:color="auto"/>
                    <w:left w:val="none" w:sz="0" w:space="0" w:color="auto"/>
                    <w:bottom w:val="none" w:sz="0" w:space="0" w:color="auto"/>
                    <w:right w:val="none" w:sz="0" w:space="0" w:color="auto"/>
                  </w:divBdr>
                  <w:divsChild>
                    <w:div w:id="776944991">
                      <w:marLeft w:val="0"/>
                      <w:marRight w:val="0"/>
                      <w:marTop w:val="0"/>
                      <w:marBottom w:val="0"/>
                      <w:divBdr>
                        <w:top w:val="none" w:sz="0" w:space="0" w:color="auto"/>
                        <w:left w:val="none" w:sz="0" w:space="0" w:color="auto"/>
                        <w:bottom w:val="none" w:sz="0" w:space="0" w:color="auto"/>
                        <w:right w:val="none" w:sz="0" w:space="0" w:color="auto"/>
                      </w:divBdr>
                    </w:div>
                  </w:divsChild>
                </w:div>
                <w:div w:id="85198108">
                  <w:marLeft w:val="0"/>
                  <w:marRight w:val="0"/>
                  <w:marTop w:val="0"/>
                  <w:marBottom w:val="0"/>
                  <w:divBdr>
                    <w:top w:val="none" w:sz="0" w:space="0" w:color="auto"/>
                    <w:left w:val="none" w:sz="0" w:space="0" w:color="auto"/>
                    <w:bottom w:val="none" w:sz="0" w:space="0" w:color="auto"/>
                    <w:right w:val="none" w:sz="0" w:space="0" w:color="auto"/>
                  </w:divBdr>
                  <w:divsChild>
                    <w:div w:id="671295975">
                      <w:marLeft w:val="0"/>
                      <w:marRight w:val="0"/>
                      <w:marTop w:val="0"/>
                      <w:marBottom w:val="0"/>
                      <w:divBdr>
                        <w:top w:val="none" w:sz="0" w:space="0" w:color="auto"/>
                        <w:left w:val="none" w:sz="0" w:space="0" w:color="auto"/>
                        <w:bottom w:val="none" w:sz="0" w:space="0" w:color="auto"/>
                        <w:right w:val="none" w:sz="0" w:space="0" w:color="auto"/>
                      </w:divBdr>
                    </w:div>
                  </w:divsChild>
                </w:div>
                <w:div w:id="353114036">
                  <w:marLeft w:val="0"/>
                  <w:marRight w:val="0"/>
                  <w:marTop w:val="0"/>
                  <w:marBottom w:val="0"/>
                  <w:divBdr>
                    <w:top w:val="none" w:sz="0" w:space="0" w:color="auto"/>
                    <w:left w:val="none" w:sz="0" w:space="0" w:color="auto"/>
                    <w:bottom w:val="none" w:sz="0" w:space="0" w:color="auto"/>
                    <w:right w:val="none" w:sz="0" w:space="0" w:color="auto"/>
                  </w:divBdr>
                  <w:divsChild>
                    <w:div w:id="423111440">
                      <w:marLeft w:val="0"/>
                      <w:marRight w:val="0"/>
                      <w:marTop w:val="0"/>
                      <w:marBottom w:val="0"/>
                      <w:divBdr>
                        <w:top w:val="none" w:sz="0" w:space="0" w:color="auto"/>
                        <w:left w:val="none" w:sz="0" w:space="0" w:color="auto"/>
                        <w:bottom w:val="none" w:sz="0" w:space="0" w:color="auto"/>
                        <w:right w:val="none" w:sz="0" w:space="0" w:color="auto"/>
                      </w:divBdr>
                    </w:div>
                  </w:divsChild>
                </w:div>
                <w:div w:id="863176874">
                  <w:marLeft w:val="0"/>
                  <w:marRight w:val="0"/>
                  <w:marTop w:val="0"/>
                  <w:marBottom w:val="0"/>
                  <w:divBdr>
                    <w:top w:val="none" w:sz="0" w:space="0" w:color="auto"/>
                    <w:left w:val="none" w:sz="0" w:space="0" w:color="auto"/>
                    <w:bottom w:val="none" w:sz="0" w:space="0" w:color="auto"/>
                    <w:right w:val="none" w:sz="0" w:space="0" w:color="auto"/>
                  </w:divBdr>
                  <w:divsChild>
                    <w:div w:id="1921671496">
                      <w:marLeft w:val="0"/>
                      <w:marRight w:val="0"/>
                      <w:marTop w:val="0"/>
                      <w:marBottom w:val="0"/>
                      <w:divBdr>
                        <w:top w:val="none" w:sz="0" w:space="0" w:color="auto"/>
                        <w:left w:val="none" w:sz="0" w:space="0" w:color="auto"/>
                        <w:bottom w:val="none" w:sz="0" w:space="0" w:color="auto"/>
                        <w:right w:val="none" w:sz="0" w:space="0" w:color="auto"/>
                      </w:divBdr>
                    </w:div>
                  </w:divsChild>
                </w:div>
                <w:div w:id="843588768">
                  <w:marLeft w:val="0"/>
                  <w:marRight w:val="0"/>
                  <w:marTop w:val="0"/>
                  <w:marBottom w:val="0"/>
                  <w:divBdr>
                    <w:top w:val="none" w:sz="0" w:space="0" w:color="auto"/>
                    <w:left w:val="none" w:sz="0" w:space="0" w:color="auto"/>
                    <w:bottom w:val="none" w:sz="0" w:space="0" w:color="auto"/>
                    <w:right w:val="none" w:sz="0" w:space="0" w:color="auto"/>
                  </w:divBdr>
                  <w:divsChild>
                    <w:div w:id="1702823164">
                      <w:marLeft w:val="0"/>
                      <w:marRight w:val="0"/>
                      <w:marTop w:val="0"/>
                      <w:marBottom w:val="0"/>
                      <w:divBdr>
                        <w:top w:val="none" w:sz="0" w:space="0" w:color="auto"/>
                        <w:left w:val="none" w:sz="0" w:space="0" w:color="auto"/>
                        <w:bottom w:val="none" w:sz="0" w:space="0" w:color="auto"/>
                        <w:right w:val="none" w:sz="0" w:space="0" w:color="auto"/>
                      </w:divBdr>
                    </w:div>
                  </w:divsChild>
                </w:div>
                <w:div w:id="2015721410">
                  <w:marLeft w:val="0"/>
                  <w:marRight w:val="0"/>
                  <w:marTop w:val="0"/>
                  <w:marBottom w:val="0"/>
                  <w:divBdr>
                    <w:top w:val="none" w:sz="0" w:space="0" w:color="auto"/>
                    <w:left w:val="none" w:sz="0" w:space="0" w:color="auto"/>
                    <w:bottom w:val="none" w:sz="0" w:space="0" w:color="auto"/>
                    <w:right w:val="none" w:sz="0" w:space="0" w:color="auto"/>
                  </w:divBdr>
                  <w:divsChild>
                    <w:div w:id="406659604">
                      <w:marLeft w:val="0"/>
                      <w:marRight w:val="0"/>
                      <w:marTop w:val="0"/>
                      <w:marBottom w:val="0"/>
                      <w:divBdr>
                        <w:top w:val="none" w:sz="0" w:space="0" w:color="auto"/>
                        <w:left w:val="none" w:sz="0" w:space="0" w:color="auto"/>
                        <w:bottom w:val="none" w:sz="0" w:space="0" w:color="auto"/>
                        <w:right w:val="none" w:sz="0" w:space="0" w:color="auto"/>
                      </w:divBdr>
                    </w:div>
                  </w:divsChild>
                </w:div>
                <w:div w:id="735905887">
                  <w:marLeft w:val="0"/>
                  <w:marRight w:val="0"/>
                  <w:marTop w:val="0"/>
                  <w:marBottom w:val="0"/>
                  <w:divBdr>
                    <w:top w:val="none" w:sz="0" w:space="0" w:color="auto"/>
                    <w:left w:val="none" w:sz="0" w:space="0" w:color="auto"/>
                    <w:bottom w:val="none" w:sz="0" w:space="0" w:color="auto"/>
                    <w:right w:val="none" w:sz="0" w:space="0" w:color="auto"/>
                  </w:divBdr>
                  <w:divsChild>
                    <w:div w:id="128062246">
                      <w:marLeft w:val="0"/>
                      <w:marRight w:val="0"/>
                      <w:marTop w:val="0"/>
                      <w:marBottom w:val="0"/>
                      <w:divBdr>
                        <w:top w:val="none" w:sz="0" w:space="0" w:color="auto"/>
                        <w:left w:val="none" w:sz="0" w:space="0" w:color="auto"/>
                        <w:bottom w:val="none" w:sz="0" w:space="0" w:color="auto"/>
                        <w:right w:val="none" w:sz="0" w:space="0" w:color="auto"/>
                      </w:divBdr>
                    </w:div>
                  </w:divsChild>
                </w:div>
                <w:div w:id="233244310">
                  <w:marLeft w:val="0"/>
                  <w:marRight w:val="0"/>
                  <w:marTop w:val="0"/>
                  <w:marBottom w:val="0"/>
                  <w:divBdr>
                    <w:top w:val="none" w:sz="0" w:space="0" w:color="auto"/>
                    <w:left w:val="none" w:sz="0" w:space="0" w:color="auto"/>
                    <w:bottom w:val="none" w:sz="0" w:space="0" w:color="auto"/>
                    <w:right w:val="none" w:sz="0" w:space="0" w:color="auto"/>
                  </w:divBdr>
                  <w:divsChild>
                    <w:div w:id="1042636990">
                      <w:marLeft w:val="0"/>
                      <w:marRight w:val="0"/>
                      <w:marTop w:val="0"/>
                      <w:marBottom w:val="0"/>
                      <w:divBdr>
                        <w:top w:val="none" w:sz="0" w:space="0" w:color="auto"/>
                        <w:left w:val="none" w:sz="0" w:space="0" w:color="auto"/>
                        <w:bottom w:val="none" w:sz="0" w:space="0" w:color="auto"/>
                        <w:right w:val="none" w:sz="0" w:space="0" w:color="auto"/>
                      </w:divBdr>
                    </w:div>
                  </w:divsChild>
                </w:div>
                <w:div w:id="117573800">
                  <w:marLeft w:val="0"/>
                  <w:marRight w:val="0"/>
                  <w:marTop w:val="0"/>
                  <w:marBottom w:val="0"/>
                  <w:divBdr>
                    <w:top w:val="none" w:sz="0" w:space="0" w:color="auto"/>
                    <w:left w:val="none" w:sz="0" w:space="0" w:color="auto"/>
                    <w:bottom w:val="none" w:sz="0" w:space="0" w:color="auto"/>
                    <w:right w:val="none" w:sz="0" w:space="0" w:color="auto"/>
                  </w:divBdr>
                  <w:divsChild>
                    <w:div w:id="1151949911">
                      <w:marLeft w:val="0"/>
                      <w:marRight w:val="0"/>
                      <w:marTop w:val="0"/>
                      <w:marBottom w:val="0"/>
                      <w:divBdr>
                        <w:top w:val="none" w:sz="0" w:space="0" w:color="auto"/>
                        <w:left w:val="none" w:sz="0" w:space="0" w:color="auto"/>
                        <w:bottom w:val="none" w:sz="0" w:space="0" w:color="auto"/>
                        <w:right w:val="none" w:sz="0" w:space="0" w:color="auto"/>
                      </w:divBdr>
                    </w:div>
                  </w:divsChild>
                </w:div>
                <w:div w:id="889072384">
                  <w:marLeft w:val="0"/>
                  <w:marRight w:val="0"/>
                  <w:marTop w:val="0"/>
                  <w:marBottom w:val="0"/>
                  <w:divBdr>
                    <w:top w:val="none" w:sz="0" w:space="0" w:color="auto"/>
                    <w:left w:val="none" w:sz="0" w:space="0" w:color="auto"/>
                    <w:bottom w:val="none" w:sz="0" w:space="0" w:color="auto"/>
                    <w:right w:val="none" w:sz="0" w:space="0" w:color="auto"/>
                  </w:divBdr>
                  <w:divsChild>
                    <w:div w:id="782187759">
                      <w:marLeft w:val="0"/>
                      <w:marRight w:val="0"/>
                      <w:marTop w:val="0"/>
                      <w:marBottom w:val="0"/>
                      <w:divBdr>
                        <w:top w:val="none" w:sz="0" w:space="0" w:color="auto"/>
                        <w:left w:val="none" w:sz="0" w:space="0" w:color="auto"/>
                        <w:bottom w:val="none" w:sz="0" w:space="0" w:color="auto"/>
                        <w:right w:val="none" w:sz="0" w:space="0" w:color="auto"/>
                      </w:divBdr>
                    </w:div>
                  </w:divsChild>
                </w:div>
                <w:div w:id="1519661026">
                  <w:marLeft w:val="0"/>
                  <w:marRight w:val="0"/>
                  <w:marTop w:val="0"/>
                  <w:marBottom w:val="0"/>
                  <w:divBdr>
                    <w:top w:val="none" w:sz="0" w:space="0" w:color="auto"/>
                    <w:left w:val="none" w:sz="0" w:space="0" w:color="auto"/>
                    <w:bottom w:val="none" w:sz="0" w:space="0" w:color="auto"/>
                    <w:right w:val="none" w:sz="0" w:space="0" w:color="auto"/>
                  </w:divBdr>
                  <w:divsChild>
                    <w:div w:id="830563834">
                      <w:marLeft w:val="0"/>
                      <w:marRight w:val="0"/>
                      <w:marTop w:val="0"/>
                      <w:marBottom w:val="0"/>
                      <w:divBdr>
                        <w:top w:val="none" w:sz="0" w:space="0" w:color="auto"/>
                        <w:left w:val="none" w:sz="0" w:space="0" w:color="auto"/>
                        <w:bottom w:val="none" w:sz="0" w:space="0" w:color="auto"/>
                        <w:right w:val="none" w:sz="0" w:space="0" w:color="auto"/>
                      </w:divBdr>
                    </w:div>
                  </w:divsChild>
                </w:div>
                <w:div w:id="164713757">
                  <w:marLeft w:val="0"/>
                  <w:marRight w:val="0"/>
                  <w:marTop w:val="0"/>
                  <w:marBottom w:val="0"/>
                  <w:divBdr>
                    <w:top w:val="none" w:sz="0" w:space="0" w:color="auto"/>
                    <w:left w:val="none" w:sz="0" w:space="0" w:color="auto"/>
                    <w:bottom w:val="none" w:sz="0" w:space="0" w:color="auto"/>
                    <w:right w:val="none" w:sz="0" w:space="0" w:color="auto"/>
                  </w:divBdr>
                  <w:divsChild>
                    <w:div w:id="387148484">
                      <w:marLeft w:val="0"/>
                      <w:marRight w:val="0"/>
                      <w:marTop w:val="0"/>
                      <w:marBottom w:val="0"/>
                      <w:divBdr>
                        <w:top w:val="none" w:sz="0" w:space="0" w:color="auto"/>
                        <w:left w:val="none" w:sz="0" w:space="0" w:color="auto"/>
                        <w:bottom w:val="none" w:sz="0" w:space="0" w:color="auto"/>
                        <w:right w:val="none" w:sz="0" w:space="0" w:color="auto"/>
                      </w:divBdr>
                    </w:div>
                  </w:divsChild>
                </w:div>
                <w:div w:id="1431005177">
                  <w:marLeft w:val="0"/>
                  <w:marRight w:val="0"/>
                  <w:marTop w:val="0"/>
                  <w:marBottom w:val="0"/>
                  <w:divBdr>
                    <w:top w:val="none" w:sz="0" w:space="0" w:color="auto"/>
                    <w:left w:val="none" w:sz="0" w:space="0" w:color="auto"/>
                    <w:bottom w:val="none" w:sz="0" w:space="0" w:color="auto"/>
                    <w:right w:val="none" w:sz="0" w:space="0" w:color="auto"/>
                  </w:divBdr>
                  <w:divsChild>
                    <w:div w:id="1419906438">
                      <w:marLeft w:val="0"/>
                      <w:marRight w:val="0"/>
                      <w:marTop w:val="0"/>
                      <w:marBottom w:val="0"/>
                      <w:divBdr>
                        <w:top w:val="none" w:sz="0" w:space="0" w:color="auto"/>
                        <w:left w:val="none" w:sz="0" w:space="0" w:color="auto"/>
                        <w:bottom w:val="none" w:sz="0" w:space="0" w:color="auto"/>
                        <w:right w:val="none" w:sz="0" w:space="0" w:color="auto"/>
                      </w:divBdr>
                    </w:div>
                  </w:divsChild>
                </w:div>
                <w:div w:id="1370953645">
                  <w:marLeft w:val="0"/>
                  <w:marRight w:val="0"/>
                  <w:marTop w:val="0"/>
                  <w:marBottom w:val="0"/>
                  <w:divBdr>
                    <w:top w:val="none" w:sz="0" w:space="0" w:color="auto"/>
                    <w:left w:val="none" w:sz="0" w:space="0" w:color="auto"/>
                    <w:bottom w:val="none" w:sz="0" w:space="0" w:color="auto"/>
                    <w:right w:val="none" w:sz="0" w:space="0" w:color="auto"/>
                  </w:divBdr>
                  <w:divsChild>
                    <w:div w:id="1573932443">
                      <w:marLeft w:val="0"/>
                      <w:marRight w:val="0"/>
                      <w:marTop w:val="0"/>
                      <w:marBottom w:val="0"/>
                      <w:divBdr>
                        <w:top w:val="none" w:sz="0" w:space="0" w:color="auto"/>
                        <w:left w:val="none" w:sz="0" w:space="0" w:color="auto"/>
                        <w:bottom w:val="none" w:sz="0" w:space="0" w:color="auto"/>
                        <w:right w:val="none" w:sz="0" w:space="0" w:color="auto"/>
                      </w:divBdr>
                    </w:div>
                  </w:divsChild>
                </w:div>
                <w:div w:id="954796965">
                  <w:marLeft w:val="0"/>
                  <w:marRight w:val="0"/>
                  <w:marTop w:val="0"/>
                  <w:marBottom w:val="0"/>
                  <w:divBdr>
                    <w:top w:val="none" w:sz="0" w:space="0" w:color="auto"/>
                    <w:left w:val="none" w:sz="0" w:space="0" w:color="auto"/>
                    <w:bottom w:val="none" w:sz="0" w:space="0" w:color="auto"/>
                    <w:right w:val="none" w:sz="0" w:space="0" w:color="auto"/>
                  </w:divBdr>
                  <w:divsChild>
                    <w:div w:id="1676346466">
                      <w:marLeft w:val="0"/>
                      <w:marRight w:val="0"/>
                      <w:marTop w:val="0"/>
                      <w:marBottom w:val="0"/>
                      <w:divBdr>
                        <w:top w:val="none" w:sz="0" w:space="0" w:color="auto"/>
                        <w:left w:val="none" w:sz="0" w:space="0" w:color="auto"/>
                        <w:bottom w:val="none" w:sz="0" w:space="0" w:color="auto"/>
                        <w:right w:val="none" w:sz="0" w:space="0" w:color="auto"/>
                      </w:divBdr>
                    </w:div>
                  </w:divsChild>
                </w:div>
                <w:div w:id="421024287">
                  <w:marLeft w:val="0"/>
                  <w:marRight w:val="0"/>
                  <w:marTop w:val="0"/>
                  <w:marBottom w:val="0"/>
                  <w:divBdr>
                    <w:top w:val="none" w:sz="0" w:space="0" w:color="auto"/>
                    <w:left w:val="none" w:sz="0" w:space="0" w:color="auto"/>
                    <w:bottom w:val="none" w:sz="0" w:space="0" w:color="auto"/>
                    <w:right w:val="none" w:sz="0" w:space="0" w:color="auto"/>
                  </w:divBdr>
                  <w:divsChild>
                    <w:div w:id="1334261347">
                      <w:marLeft w:val="0"/>
                      <w:marRight w:val="0"/>
                      <w:marTop w:val="0"/>
                      <w:marBottom w:val="0"/>
                      <w:divBdr>
                        <w:top w:val="none" w:sz="0" w:space="0" w:color="auto"/>
                        <w:left w:val="none" w:sz="0" w:space="0" w:color="auto"/>
                        <w:bottom w:val="none" w:sz="0" w:space="0" w:color="auto"/>
                        <w:right w:val="none" w:sz="0" w:space="0" w:color="auto"/>
                      </w:divBdr>
                    </w:div>
                  </w:divsChild>
                </w:div>
                <w:div w:id="1185903793">
                  <w:marLeft w:val="0"/>
                  <w:marRight w:val="0"/>
                  <w:marTop w:val="0"/>
                  <w:marBottom w:val="0"/>
                  <w:divBdr>
                    <w:top w:val="none" w:sz="0" w:space="0" w:color="auto"/>
                    <w:left w:val="none" w:sz="0" w:space="0" w:color="auto"/>
                    <w:bottom w:val="none" w:sz="0" w:space="0" w:color="auto"/>
                    <w:right w:val="none" w:sz="0" w:space="0" w:color="auto"/>
                  </w:divBdr>
                  <w:divsChild>
                    <w:div w:id="11615902">
                      <w:marLeft w:val="0"/>
                      <w:marRight w:val="0"/>
                      <w:marTop w:val="0"/>
                      <w:marBottom w:val="0"/>
                      <w:divBdr>
                        <w:top w:val="none" w:sz="0" w:space="0" w:color="auto"/>
                        <w:left w:val="none" w:sz="0" w:space="0" w:color="auto"/>
                        <w:bottom w:val="none" w:sz="0" w:space="0" w:color="auto"/>
                        <w:right w:val="none" w:sz="0" w:space="0" w:color="auto"/>
                      </w:divBdr>
                    </w:div>
                  </w:divsChild>
                </w:div>
                <w:div w:id="1567451107">
                  <w:marLeft w:val="0"/>
                  <w:marRight w:val="0"/>
                  <w:marTop w:val="0"/>
                  <w:marBottom w:val="0"/>
                  <w:divBdr>
                    <w:top w:val="none" w:sz="0" w:space="0" w:color="auto"/>
                    <w:left w:val="none" w:sz="0" w:space="0" w:color="auto"/>
                    <w:bottom w:val="none" w:sz="0" w:space="0" w:color="auto"/>
                    <w:right w:val="none" w:sz="0" w:space="0" w:color="auto"/>
                  </w:divBdr>
                  <w:divsChild>
                    <w:div w:id="1683971047">
                      <w:marLeft w:val="0"/>
                      <w:marRight w:val="0"/>
                      <w:marTop w:val="0"/>
                      <w:marBottom w:val="0"/>
                      <w:divBdr>
                        <w:top w:val="none" w:sz="0" w:space="0" w:color="auto"/>
                        <w:left w:val="none" w:sz="0" w:space="0" w:color="auto"/>
                        <w:bottom w:val="none" w:sz="0" w:space="0" w:color="auto"/>
                        <w:right w:val="none" w:sz="0" w:space="0" w:color="auto"/>
                      </w:divBdr>
                    </w:div>
                  </w:divsChild>
                </w:div>
                <w:div w:id="213540714">
                  <w:marLeft w:val="0"/>
                  <w:marRight w:val="0"/>
                  <w:marTop w:val="0"/>
                  <w:marBottom w:val="0"/>
                  <w:divBdr>
                    <w:top w:val="none" w:sz="0" w:space="0" w:color="auto"/>
                    <w:left w:val="none" w:sz="0" w:space="0" w:color="auto"/>
                    <w:bottom w:val="none" w:sz="0" w:space="0" w:color="auto"/>
                    <w:right w:val="none" w:sz="0" w:space="0" w:color="auto"/>
                  </w:divBdr>
                  <w:divsChild>
                    <w:div w:id="186257896">
                      <w:marLeft w:val="0"/>
                      <w:marRight w:val="0"/>
                      <w:marTop w:val="0"/>
                      <w:marBottom w:val="0"/>
                      <w:divBdr>
                        <w:top w:val="none" w:sz="0" w:space="0" w:color="auto"/>
                        <w:left w:val="none" w:sz="0" w:space="0" w:color="auto"/>
                        <w:bottom w:val="none" w:sz="0" w:space="0" w:color="auto"/>
                        <w:right w:val="none" w:sz="0" w:space="0" w:color="auto"/>
                      </w:divBdr>
                    </w:div>
                  </w:divsChild>
                </w:div>
                <w:div w:id="1015185163">
                  <w:marLeft w:val="0"/>
                  <w:marRight w:val="0"/>
                  <w:marTop w:val="0"/>
                  <w:marBottom w:val="0"/>
                  <w:divBdr>
                    <w:top w:val="none" w:sz="0" w:space="0" w:color="auto"/>
                    <w:left w:val="none" w:sz="0" w:space="0" w:color="auto"/>
                    <w:bottom w:val="none" w:sz="0" w:space="0" w:color="auto"/>
                    <w:right w:val="none" w:sz="0" w:space="0" w:color="auto"/>
                  </w:divBdr>
                  <w:divsChild>
                    <w:div w:id="2006668649">
                      <w:marLeft w:val="0"/>
                      <w:marRight w:val="0"/>
                      <w:marTop w:val="0"/>
                      <w:marBottom w:val="0"/>
                      <w:divBdr>
                        <w:top w:val="none" w:sz="0" w:space="0" w:color="auto"/>
                        <w:left w:val="none" w:sz="0" w:space="0" w:color="auto"/>
                        <w:bottom w:val="none" w:sz="0" w:space="0" w:color="auto"/>
                        <w:right w:val="none" w:sz="0" w:space="0" w:color="auto"/>
                      </w:divBdr>
                    </w:div>
                  </w:divsChild>
                </w:div>
                <w:div w:id="628635545">
                  <w:marLeft w:val="0"/>
                  <w:marRight w:val="0"/>
                  <w:marTop w:val="0"/>
                  <w:marBottom w:val="0"/>
                  <w:divBdr>
                    <w:top w:val="none" w:sz="0" w:space="0" w:color="auto"/>
                    <w:left w:val="none" w:sz="0" w:space="0" w:color="auto"/>
                    <w:bottom w:val="none" w:sz="0" w:space="0" w:color="auto"/>
                    <w:right w:val="none" w:sz="0" w:space="0" w:color="auto"/>
                  </w:divBdr>
                  <w:divsChild>
                    <w:div w:id="1723403753">
                      <w:marLeft w:val="0"/>
                      <w:marRight w:val="0"/>
                      <w:marTop w:val="0"/>
                      <w:marBottom w:val="0"/>
                      <w:divBdr>
                        <w:top w:val="none" w:sz="0" w:space="0" w:color="auto"/>
                        <w:left w:val="none" w:sz="0" w:space="0" w:color="auto"/>
                        <w:bottom w:val="none" w:sz="0" w:space="0" w:color="auto"/>
                        <w:right w:val="none" w:sz="0" w:space="0" w:color="auto"/>
                      </w:divBdr>
                    </w:div>
                  </w:divsChild>
                </w:div>
                <w:div w:id="118039645">
                  <w:marLeft w:val="0"/>
                  <w:marRight w:val="0"/>
                  <w:marTop w:val="0"/>
                  <w:marBottom w:val="0"/>
                  <w:divBdr>
                    <w:top w:val="none" w:sz="0" w:space="0" w:color="auto"/>
                    <w:left w:val="none" w:sz="0" w:space="0" w:color="auto"/>
                    <w:bottom w:val="none" w:sz="0" w:space="0" w:color="auto"/>
                    <w:right w:val="none" w:sz="0" w:space="0" w:color="auto"/>
                  </w:divBdr>
                  <w:divsChild>
                    <w:div w:id="98376542">
                      <w:marLeft w:val="0"/>
                      <w:marRight w:val="0"/>
                      <w:marTop w:val="0"/>
                      <w:marBottom w:val="0"/>
                      <w:divBdr>
                        <w:top w:val="none" w:sz="0" w:space="0" w:color="auto"/>
                        <w:left w:val="none" w:sz="0" w:space="0" w:color="auto"/>
                        <w:bottom w:val="none" w:sz="0" w:space="0" w:color="auto"/>
                        <w:right w:val="none" w:sz="0" w:space="0" w:color="auto"/>
                      </w:divBdr>
                    </w:div>
                  </w:divsChild>
                </w:div>
                <w:div w:id="872887013">
                  <w:marLeft w:val="0"/>
                  <w:marRight w:val="0"/>
                  <w:marTop w:val="0"/>
                  <w:marBottom w:val="0"/>
                  <w:divBdr>
                    <w:top w:val="none" w:sz="0" w:space="0" w:color="auto"/>
                    <w:left w:val="none" w:sz="0" w:space="0" w:color="auto"/>
                    <w:bottom w:val="none" w:sz="0" w:space="0" w:color="auto"/>
                    <w:right w:val="none" w:sz="0" w:space="0" w:color="auto"/>
                  </w:divBdr>
                  <w:divsChild>
                    <w:div w:id="568462755">
                      <w:marLeft w:val="0"/>
                      <w:marRight w:val="0"/>
                      <w:marTop w:val="0"/>
                      <w:marBottom w:val="0"/>
                      <w:divBdr>
                        <w:top w:val="none" w:sz="0" w:space="0" w:color="auto"/>
                        <w:left w:val="none" w:sz="0" w:space="0" w:color="auto"/>
                        <w:bottom w:val="none" w:sz="0" w:space="0" w:color="auto"/>
                        <w:right w:val="none" w:sz="0" w:space="0" w:color="auto"/>
                      </w:divBdr>
                    </w:div>
                  </w:divsChild>
                </w:div>
                <w:div w:id="2131314046">
                  <w:marLeft w:val="0"/>
                  <w:marRight w:val="0"/>
                  <w:marTop w:val="0"/>
                  <w:marBottom w:val="0"/>
                  <w:divBdr>
                    <w:top w:val="none" w:sz="0" w:space="0" w:color="auto"/>
                    <w:left w:val="none" w:sz="0" w:space="0" w:color="auto"/>
                    <w:bottom w:val="none" w:sz="0" w:space="0" w:color="auto"/>
                    <w:right w:val="none" w:sz="0" w:space="0" w:color="auto"/>
                  </w:divBdr>
                  <w:divsChild>
                    <w:div w:id="609823573">
                      <w:marLeft w:val="0"/>
                      <w:marRight w:val="0"/>
                      <w:marTop w:val="0"/>
                      <w:marBottom w:val="0"/>
                      <w:divBdr>
                        <w:top w:val="none" w:sz="0" w:space="0" w:color="auto"/>
                        <w:left w:val="none" w:sz="0" w:space="0" w:color="auto"/>
                        <w:bottom w:val="none" w:sz="0" w:space="0" w:color="auto"/>
                        <w:right w:val="none" w:sz="0" w:space="0" w:color="auto"/>
                      </w:divBdr>
                    </w:div>
                  </w:divsChild>
                </w:div>
                <w:div w:id="1790123699">
                  <w:marLeft w:val="0"/>
                  <w:marRight w:val="0"/>
                  <w:marTop w:val="0"/>
                  <w:marBottom w:val="0"/>
                  <w:divBdr>
                    <w:top w:val="none" w:sz="0" w:space="0" w:color="auto"/>
                    <w:left w:val="none" w:sz="0" w:space="0" w:color="auto"/>
                    <w:bottom w:val="none" w:sz="0" w:space="0" w:color="auto"/>
                    <w:right w:val="none" w:sz="0" w:space="0" w:color="auto"/>
                  </w:divBdr>
                  <w:divsChild>
                    <w:div w:id="51929361">
                      <w:marLeft w:val="0"/>
                      <w:marRight w:val="0"/>
                      <w:marTop w:val="0"/>
                      <w:marBottom w:val="0"/>
                      <w:divBdr>
                        <w:top w:val="none" w:sz="0" w:space="0" w:color="auto"/>
                        <w:left w:val="none" w:sz="0" w:space="0" w:color="auto"/>
                        <w:bottom w:val="none" w:sz="0" w:space="0" w:color="auto"/>
                        <w:right w:val="none" w:sz="0" w:space="0" w:color="auto"/>
                      </w:divBdr>
                    </w:div>
                  </w:divsChild>
                </w:div>
                <w:div w:id="1191072636">
                  <w:marLeft w:val="0"/>
                  <w:marRight w:val="0"/>
                  <w:marTop w:val="0"/>
                  <w:marBottom w:val="0"/>
                  <w:divBdr>
                    <w:top w:val="none" w:sz="0" w:space="0" w:color="auto"/>
                    <w:left w:val="none" w:sz="0" w:space="0" w:color="auto"/>
                    <w:bottom w:val="none" w:sz="0" w:space="0" w:color="auto"/>
                    <w:right w:val="none" w:sz="0" w:space="0" w:color="auto"/>
                  </w:divBdr>
                  <w:divsChild>
                    <w:div w:id="1173104227">
                      <w:marLeft w:val="0"/>
                      <w:marRight w:val="0"/>
                      <w:marTop w:val="0"/>
                      <w:marBottom w:val="0"/>
                      <w:divBdr>
                        <w:top w:val="none" w:sz="0" w:space="0" w:color="auto"/>
                        <w:left w:val="none" w:sz="0" w:space="0" w:color="auto"/>
                        <w:bottom w:val="none" w:sz="0" w:space="0" w:color="auto"/>
                        <w:right w:val="none" w:sz="0" w:space="0" w:color="auto"/>
                      </w:divBdr>
                    </w:div>
                  </w:divsChild>
                </w:div>
                <w:div w:id="425737280">
                  <w:marLeft w:val="0"/>
                  <w:marRight w:val="0"/>
                  <w:marTop w:val="0"/>
                  <w:marBottom w:val="0"/>
                  <w:divBdr>
                    <w:top w:val="none" w:sz="0" w:space="0" w:color="auto"/>
                    <w:left w:val="none" w:sz="0" w:space="0" w:color="auto"/>
                    <w:bottom w:val="none" w:sz="0" w:space="0" w:color="auto"/>
                    <w:right w:val="none" w:sz="0" w:space="0" w:color="auto"/>
                  </w:divBdr>
                  <w:divsChild>
                    <w:div w:id="1550527952">
                      <w:marLeft w:val="0"/>
                      <w:marRight w:val="0"/>
                      <w:marTop w:val="0"/>
                      <w:marBottom w:val="0"/>
                      <w:divBdr>
                        <w:top w:val="none" w:sz="0" w:space="0" w:color="auto"/>
                        <w:left w:val="none" w:sz="0" w:space="0" w:color="auto"/>
                        <w:bottom w:val="none" w:sz="0" w:space="0" w:color="auto"/>
                        <w:right w:val="none" w:sz="0" w:space="0" w:color="auto"/>
                      </w:divBdr>
                    </w:div>
                  </w:divsChild>
                </w:div>
                <w:div w:id="1856112918">
                  <w:marLeft w:val="0"/>
                  <w:marRight w:val="0"/>
                  <w:marTop w:val="0"/>
                  <w:marBottom w:val="0"/>
                  <w:divBdr>
                    <w:top w:val="none" w:sz="0" w:space="0" w:color="auto"/>
                    <w:left w:val="none" w:sz="0" w:space="0" w:color="auto"/>
                    <w:bottom w:val="none" w:sz="0" w:space="0" w:color="auto"/>
                    <w:right w:val="none" w:sz="0" w:space="0" w:color="auto"/>
                  </w:divBdr>
                  <w:divsChild>
                    <w:div w:id="160128236">
                      <w:marLeft w:val="0"/>
                      <w:marRight w:val="0"/>
                      <w:marTop w:val="0"/>
                      <w:marBottom w:val="0"/>
                      <w:divBdr>
                        <w:top w:val="none" w:sz="0" w:space="0" w:color="auto"/>
                        <w:left w:val="none" w:sz="0" w:space="0" w:color="auto"/>
                        <w:bottom w:val="none" w:sz="0" w:space="0" w:color="auto"/>
                        <w:right w:val="none" w:sz="0" w:space="0" w:color="auto"/>
                      </w:divBdr>
                    </w:div>
                  </w:divsChild>
                </w:div>
                <w:div w:id="419563987">
                  <w:marLeft w:val="0"/>
                  <w:marRight w:val="0"/>
                  <w:marTop w:val="0"/>
                  <w:marBottom w:val="0"/>
                  <w:divBdr>
                    <w:top w:val="none" w:sz="0" w:space="0" w:color="auto"/>
                    <w:left w:val="none" w:sz="0" w:space="0" w:color="auto"/>
                    <w:bottom w:val="none" w:sz="0" w:space="0" w:color="auto"/>
                    <w:right w:val="none" w:sz="0" w:space="0" w:color="auto"/>
                  </w:divBdr>
                  <w:divsChild>
                    <w:div w:id="604310112">
                      <w:marLeft w:val="0"/>
                      <w:marRight w:val="0"/>
                      <w:marTop w:val="0"/>
                      <w:marBottom w:val="0"/>
                      <w:divBdr>
                        <w:top w:val="none" w:sz="0" w:space="0" w:color="auto"/>
                        <w:left w:val="none" w:sz="0" w:space="0" w:color="auto"/>
                        <w:bottom w:val="none" w:sz="0" w:space="0" w:color="auto"/>
                        <w:right w:val="none" w:sz="0" w:space="0" w:color="auto"/>
                      </w:divBdr>
                    </w:div>
                  </w:divsChild>
                </w:div>
                <w:div w:id="1386564526">
                  <w:marLeft w:val="0"/>
                  <w:marRight w:val="0"/>
                  <w:marTop w:val="0"/>
                  <w:marBottom w:val="0"/>
                  <w:divBdr>
                    <w:top w:val="none" w:sz="0" w:space="0" w:color="auto"/>
                    <w:left w:val="none" w:sz="0" w:space="0" w:color="auto"/>
                    <w:bottom w:val="none" w:sz="0" w:space="0" w:color="auto"/>
                    <w:right w:val="none" w:sz="0" w:space="0" w:color="auto"/>
                  </w:divBdr>
                  <w:divsChild>
                    <w:div w:id="1973486187">
                      <w:marLeft w:val="0"/>
                      <w:marRight w:val="0"/>
                      <w:marTop w:val="0"/>
                      <w:marBottom w:val="0"/>
                      <w:divBdr>
                        <w:top w:val="none" w:sz="0" w:space="0" w:color="auto"/>
                        <w:left w:val="none" w:sz="0" w:space="0" w:color="auto"/>
                        <w:bottom w:val="none" w:sz="0" w:space="0" w:color="auto"/>
                        <w:right w:val="none" w:sz="0" w:space="0" w:color="auto"/>
                      </w:divBdr>
                    </w:div>
                  </w:divsChild>
                </w:div>
                <w:div w:id="1891257752">
                  <w:marLeft w:val="0"/>
                  <w:marRight w:val="0"/>
                  <w:marTop w:val="0"/>
                  <w:marBottom w:val="0"/>
                  <w:divBdr>
                    <w:top w:val="none" w:sz="0" w:space="0" w:color="auto"/>
                    <w:left w:val="none" w:sz="0" w:space="0" w:color="auto"/>
                    <w:bottom w:val="none" w:sz="0" w:space="0" w:color="auto"/>
                    <w:right w:val="none" w:sz="0" w:space="0" w:color="auto"/>
                  </w:divBdr>
                  <w:divsChild>
                    <w:div w:id="1865749308">
                      <w:marLeft w:val="0"/>
                      <w:marRight w:val="0"/>
                      <w:marTop w:val="0"/>
                      <w:marBottom w:val="0"/>
                      <w:divBdr>
                        <w:top w:val="none" w:sz="0" w:space="0" w:color="auto"/>
                        <w:left w:val="none" w:sz="0" w:space="0" w:color="auto"/>
                        <w:bottom w:val="none" w:sz="0" w:space="0" w:color="auto"/>
                        <w:right w:val="none" w:sz="0" w:space="0" w:color="auto"/>
                      </w:divBdr>
                    </w:div>
                  </w:divsChild>
                </w:div>
                <w:div w:id="1530990932">
                  <w:marLeft w:val="0"/>
                  <w:marRight w:val="0"/>
                  <w:marTop w:val="0"/>
                  <w:marBottom w:val="0"/>
                  <w:divBdr>
                    <w:top w:val="none" w:sz="0" w:space="0" w:color="auto"/>
                    <w:left w:val="none" w:sz="0" w:space="0" w:color="auto"/>
                    <w:bottom w:val="none" w:sz="0" w:space="0" w:color="auto"/>
                    <w:right w:val="none" w:sz="0" w:space="0" w:color="auto"/>
                  </w:divBdr>
                  <w:divsChild>
                    <w:div w:id="1445806797">
                      <w:marLeft w:val="0"/>
                      <w:marRight w:val="0"/>
                      <w:marTop w:val="0"/>
                      <w:marBottom w:val="0"/>
                      <w:divBdr>
                        <w:top w:val="none" w:sz="0" w:space="0" w:color="auto"/>
                        <w:left w:val="none" w:sz="0" w:space="0" w:color="auto"/>
                        <w:bottom w:val="none" w:sz="0" w:space="0" w:color="auto"/>
                        <w:right w:val="none" w:sz="0" w:space="0" w:color="auto"/>
                      </w:divBdr>
                    </w:div>
                  </w:divsChild>
                </w:div>
                <w:div w:id="1488285432">
                  <w:marLeft w:val="0"/>
                  <w:marRight w:val="0"/>
                  <w:marTop w:val="0"/>
                  <w:marBottom w:val="0"/>
                  <w:divBdr>
                    <w:top w:val="none" w:sz="0" w:space="0" w:color="auto"/>
                    <w:left w:val="none" w:sz="0" w:space="0" w:color="auto"/>
                    <w:bottom w:val="none" w:sz="0" w:space="0" w:color="auto"/>
                    <w:right w:val="none" w:sz="0" w:space="0" w:color="auto"/>
                  </w:divBdr>
                  <w:divsChild>
                    <w:div w:id="1338654963">
                      <w:marLeft w:val="0"/>
                      <w:marRight w:val="0"/>
                      <w:marTop w:val="0"/>
                      <w:marBottom w:val="0"/>
                      <w:divBdr>
                        <w:top w:val="none" w:sz="0" w:space="0" w:color="auto"/>
                        <w:left w:val="none" w:sz="0" w:space="0" w:color="auto"/>
                        <w:bottom w:val="none" w:sz="0" w:space="0" w:color="auto"/>
                        <w:right w:val="none" w:sz="0" w:space="0" w:color="auto"/>
                      </w:divBdr>
                    </w:div>
                  </w:divsChild>
                </w:div>
                <w:div w:id="1632710451">
                  <w:marLeft w:val="0"/>
                  <w:marRight w:val="0"/>
                  <w:marTop w:val="0"/>
                  <w:marBottom w:val="0"/>
                  <w:divBdr>
                    <w:top w:val="none" w:sz="0" w:space="0" w:color="auto"/>
                    <w:left w:val="none" w:sz="0" w:space="0" w:color="auto"/>
                    <w:bottom w:val="none" w:sz="0" w:space="0" w:color="auto"/>
                    <w:right w:val="none" w:sz="0" w:space="0" w:color="auto"/>
                  </w:divBdr>
                  <w:divsChild>
                    <w:div w:id="1309702075">
                      <w:marLeft w:val="0"/>
                      <w:marRight w:val="0"/>
                      <w:marTop w:val="0"/>
                      <w:marBottom w:val="0"/>
                      <w:divBdr>
                        <w:top w:val="none" w:sz="0" w:space="0" w:color="auto"/>
                        <w:left w:val="none" w:sz="0" w:space="0" w:color="auto"/>
                        <w:bottom w:val="none" w:sz="0" w:space="0" w:color="auto"/>
                        <w:right w:val="none" w:sz="0" w:space="0" w:color="auto"/>
                      </w:divBdr>
                    </w:div>
                  </w:divsChild>
                </w:div>
                <w:div w:id="466238292">
                  <w:marLeft w:val="0"/>
                  <w:marRight w:val="0"/>
                  <w:marTop w:val="0"/>
                  <w:marBottom w:val="0"/>
                  <w:divBdr>
                    <w:top w:val="none" w:sz="0" w:space="0" w:color="auto"/>
                    <w:left w:val="none" w:sz="0" w:space="0" w:color="auto"/>
                    <w:bottom w:val="none" w:sz="0" w:space="0" w:color="auto"/>
                    <w:right w:val="none" w:sz="0" w:space="0" w:color="auto"/>
                  </w:divBdr>
                  <w:divsChild>
                    <w:div w:id="1017193025">
                      <w:marLeft w:val="0"/>
                      <w:marRight w:val="0"/>
                      <w:marTop w:val="0"/>
                      <w:marBottom w:val="0"/>
                      <w:divBdr>
                        <w:top w:val="none" w:sz="0" w:space="0" w:color="auto"/>
                        <w:left w:val="none" w:sz="0" w:space="0" w:color="auto"/>
                        <w:bottom w:val="none" w:sz="0" w:space="0" w:color="auto"/>
                        <w:right w:val="none" w:sz="0" w:space="0" w:color="auto"/>
                      </w:divBdr>
                    </w:div>
                  </w:divsChild>
                </w:div>
                <w:div w:id="1306620303">
                  <w:marLeft w:val="0"/>
                  <w:marRight w:val="0"/>
                  <w:marTop w:val="0"/>
                  <w:marBottom w:val="0"/>
                  <w:divBdr>
                    <w:top w:val="none" w:sz="0" w:space="0" w:color="auto"/>
                    <w:left w:val="none" w:sz="0" w:space="0" w:color="auto"/>
                    <w:bottom w:val="none" w:sz="0" w:space="0" w:color="auto"/>
                    <w:right w:val="none" w:sz="0" w:space="0" w:color="auto"/>
                  </w:divBdr>
                  <w:divsChild>
                    <w:div w:id="469980041">
                      <w:marLeft w:val="0"/>
                      <w:marRight w:val="0"/>
                      <w:marTop w:val="0"/>
                      <w:marBottom w:val="0"/>
                      <w:divBdr>
                        <w:top w:val="none" w:sz="0" w:space="0" w:color="auto"/>
                        <w:left w:val="none" w:sz="0" w:space="0" w:color="auto"/>
                        <w:bottom w:val="none" w:sz="0" w:space="0" w:color="auto"/>
                        <w:right w:val="none" w:sz="0" w:space="0" w:color="auto"/>
                      </w:divBdr>
                    </w:div>
                  </w:divsChild>
                </w:div>
                <w:div w:id="701368330">
                  <w:marLeft w:val="0"/>
                  <w:marRight w:val="0"/>
                  <w:marTop w:val="0"/>
                  <w:marBottom w:val="0"/>
                  <w:divBdr>
                    <w:top w:val="none" w:sz="0" w:space="0" w:color="auto"/>
                    <w:left w:val="none" w:sz="0" w:space="0" w:color="auto"/>
                    <w:bottom w:val="none" w:sz="0" w:space="0" w:color="auto"/>
                    <w:right w:val="none" w:sz="0" w:space="0" w:color="auto"/>
                  </w:divBdr>
                  <w:divsChild>
                    <w:div w:id="677586080">
                      <w:marLeft w:val="0"/>
                      <w:marRight w:val="0"/>
                      <w:marTop w:val="0"/>
                      <w:marBottom w:val="0"/>
                      <w:divBdr>
                        <w:top w:val="none" w:sz="0" w:space="0" w:color="auto"/>
                        <w:left w:val="none" w:sz="0" w:space="0" w:color="auto"/>
                        <w:bottom w:val="none" w:sz="0" w:space="0" w:color="auto"/>
                        <w:right w:val="none" w:sz="0" w:space="0" w:color="auto"/>
                      </w:divBdr>
                    </w:div>
                  </w:divsChild>
                </w:div>
                <w:div w:id="62874014">
                  <w:marLeft w:val="0"/>
                  <w:marRight w:val="0"/>
                  <w:marTop w:val="0"/>
                  <w:marBottom w:val="0"/>
                  <w:divBdr>
                    <w:top w:val="none" w:sz="0" w:space="0" w:color="auto"/>
                    <w:left w:val="none" w:sz="0" w:space="0" w:color="auto"/>
                    <w:bottom w:val="none" w:sz="0" w:space="0" w:color="auto"/>
                    <w:right w:val="none" w:sz="0" w:space="0" w:color="auto"/>
                  </w:divBdr>
                  <w:divsChild>
                    <w:div w:id="45762512">
                      <w:marLeft w:val="0"/>
                      <w:marRight w:val="0"/>
                      <w:marTop w:val="0"/>
                      <w:marBottom w:val="0"/>
                      <w:divBdr>
                        <w:top w:val="none" w:sz="0" w:space="0" w:color="auto"/>
                        <w:left w:val="none" w:sz="0" w:space="0" w:color="auto"/>
                        <w:bottom w:val="none" w:sz="0" w:space="0" w:color="auto"/>
                        <w:right w:val="none" w:sz="0" w:space="0" w:color="auto"/>
                      </w:divBdr>
                    </w:div>
                  </w:divsChild>
                </w:div>
                <w:div w:id="843205887">
                  <w:marLeft w:val="0"/>
                  <w:marRight w:val="0"/>
                  <w:marTop w:val="0"/>
                  <w:marBottom w:val="0"/>
                  <w:divBdr>
                    <w:top w:val="none" w:sz="0" w:space="0" w:color="auto"/>
                    <w:left w:val="none" w:sz="0" w:space="0" w:color="auto"/>
                    <w:bottom w:val="none" w:sz="0" w:space="0" w:color="auto"/>
                    <w:right w:val="none" w:sz="0" w:space="0" w:color="auto"/>
                  </w:divBdr>
                  <w:divsChild>
                    <w:div w:id="16271777">
                      <w:marLeft w:val="0"/>
                      <w:marRight w:val="0"/>
                      <w:marTop w:val="0"/>
                      <w:marBottom w:val="0"/>
                      <w:divBdr>
                        <w:top w:val="none" w:sz="0" w:space="0" w:color="auto"/>
                        <w:left w:val="none" w:sz="0" w:space="0" w:color="auto"/>
                        <w:bottom w:val="none" w:sz="0" w:space="0" w:color="auto"/>
                        <w:right w:val="none" w:sz="0" w:space="0" w:color="auto"/>
                      </w:divBdr>
                    </w:div>
                  </w:divsChild>
                </w:div>
                <w:div w:id="307907082">
                  <w:marLeft w:val="0"/>
                  <w:marRight w:val="0"/>
                  <w:marTop w:val="0"/>
                  <w:marBottom w:val="0"/>
                  <w:divBdr>
                    <w:top w:val="none" w:sz="0" w:space="0" w:color="auto"/>
                    <w:left w:val="none" w:sz="0" w:space="0" w:color="auto"/>
                    <w:bottom w:val="none" w:sz="0" w:space="0" w:color="auto"/>
                    <w:right w:val="none" w:sz="0" w:space="0" w:color="auto"/>
                  </w:divBdr>
                  <w:divsChild>
                    <w:div w:id="32732412">
                      <w:marLeft w:val="0"/>
                      <w:marRight w:val="0"/>
                      <w:marTop w:val="0"/>
                      <w:marBottom w:val="0"/>
                      <w:divBdr>
                        <w:top w:val="none" w:sz="0" w:space="0" w:color="auto"/>
                        <w:left w:val="none" w:sz="0" w:space="0" w:color="auto"/>
                        <w:bottom w:val="none" w:sz="0" w:space="0" w:color="auto"/>
                        <w:right w:val="none" w:sz="0" w:space="0" w:color="auto"/>
                      </w:divBdr>
                    </w:div>
                  </w:divsChild>
                </w:div>
                <w:div w:id="1338771315">
                  <w:marLeft w:val="0"/>
                  <w:marRight w:val="0"/>
                  <w:marTop w:val="0"/>
                  <w:marBottom w:val="0"/>
                  <w:divBdr>
                    <w:top w:val="none" w:sz="0" w:space="0" w:color="auto"/>
                    <w:left w:val="none" w:sz="0" w:space="0" w:color="auto"/>
                    <w:bottom w:val="none" w:sz="0" w:space="0" w:color="auto"/>
                    <w:right w:val="none" w:sz="0" w:space="0" w:color="auto"/>
                  </w:divBdr>
                  <w:divsChild>
                    <w:div w:id="2140760223">
                      <w:marLeft w:val="0"/>
                      <w:marRight w:val="0"/>
                      <w:marTop w:val="0"/>
                      <w:marBottom w:val="0"/>
                      <w:divBdr>
                        <w:top w:val="none" w:sz="0" w:space="0" w:color="auto"/>
                        <w:left w:val="none" w:sz="0" w:space="0" w:color="auto"/>
                        <w:bottom w:val="none" w:sz="0" w:space="0" w:color="auto"/>
                        <w:right w:val="none" w:sz="0" w:space="0" w:color="auto"/>
                      </w:divBdr>
                    </w:div>
                  </w:divsChild>
                </w:div>
                <w:div w:id="1588417334">
                  <w:marLeft w:val="0"/>
                  <w:marRight w:val="0"/>
                  <w:marTop w:val="0"/>
                  <w:marBottom w:val="0"/>
                  <w:divBdr>
                    <w:top w:val="none" w:sz="0" w:space="0" w:color="auto"/>
                    <w:left w:val="none" w:sz="0" w:space="0" w:color="auto"/>
                    <w:bottom w:val="none" w:sz="0" w:space="0" w:color="auto"/>
                    <w:right w:val="none" w:sz="0" w:space="0" w:color="auto"/>
                  </w:divBdr>
                  <w:divsChild>
                    <w:div w:id="1241718792">
                      <w:marLeft w:val="0"/>
                      <w:marRight w:val="0"/>
                      <w:marTop w:val="0"/>
                      <w:marBottom w:val="0"/>
                      <w:divBdr>
                        <w:top w:val="none" w:sz="0" w:space="0" w:color="auto"/>
                        <w:left w:val="none" w:sz="0" w:space="0" w:color="auto"/>
                        <w:bottom w:val="none" w:sz="0" w:space="0" w:color="auto"/>
                        <w:right w:val="none" w:sz="0" w:space="0" w:color="auto"/>
                      </w:divBdr>
                    </w:div>
                  </w:divsChild>
                </w:div>
                <w:div w:id="535316891">
                  <w:marLeft w:val="0"/>
                  <w:marRight w:val="0"/>
                  <w:marTop w:val="0"/>
                  <w:marBottom w:val="0"/>
                  <w:divBdr>
                    <w:top w:val="none" w:sz="0" w:space="0" w:color="auto"/>
                    <w:left w:val="none" w:sz="0" w:space="0" w:color="auto"/>
                    <w:bottom w:val="none" w:sz="0" w:space="0" w:color="auto"/>
                    <w:right w:val="none" w:sz="0" w:space="0" w:color="auto"/>
                  </w:divBdr>
                  <w:divsChild>
                    <w:div w:id="1844005287">
                      <w:marLeft w:val="0"/>
                      <w:marRight w:val="0"/>
                      <w:marTop w:val="0"/>
                      <w:marBottom w:val="0"/>
                      <w:divBdr>
                        <w:top w:val="none" w:sz="0" w:space="0" w:color="auto"/>
                        <w:left w:val="none" w:sz="0" w:space="0" w:color="auto"/>
                        <w:bottom w:val="none" w:sz="0" w:space="0" w:color="auto"/>
                        <w:right w:val="none" w:sz="0" w:space="0" w:color="auto"/>
                      </w:divBdr>
                    </w:div>
                  </w:divsChild>
                </w:div>
                <w:div w:id="2100592636">
                  <w:marLeft w:val="0"/>
                  <w:marRight w:val="0"/>
                  <w:marTop w:val="0"/>
                  <w:marBottom w:val="0"/>
                  <w:divBdr>
                    <w:top w:val="none" w:sz="0" w:space="0" w:color="auto"/>
                    <w:left w:val="none" w:sz="0" w:space="0" w:color="auto"/>
                    <w:bottom w:val="none" w:sz="0" w:space="0" w:color="auto"/>
                    <w:right w:val="none" w:sz="0" w:space="0" w:color="auto"/>
                  </w:divBdr>
                  <w:divsChild>
                    <w:div w:id="1504200642">
                      <w:marLeft w:val="0"/>
                      <w:marRight w:val="0"/>
                      <w:marTop w:val="0"/>
                      <w:marBottom w:val="0"/>
                      <w:divBdr>
                        <w:top w:val="none" w:sz="0" w:space="0" w:color="auto"/>
                        <w:left w:val="none" w:sz="0" w:space="0" w:color="auto"/>
                        <w:bottom w:val="none" w:sz="0" w:space="0" w:color="auto"/>
                        <w:right w:val="none" w:sz="0" w:space="0" w:color="auto"/>
                      </w:divBdr>
                    </w:div>
                  </w:divsChild>
                </w:div>
                <w:div w:id="1867139026">
                  <w:marLeft w:val="0"/>
                  <w:marRight w:val="0"/>
                  <w:marTop w:val="0"/>
                  <w:marBottom w:val="0"/>
                  <w:divBdr>
                    <w:top w:val="none" w:sz="0" w:space="0" w:color="auto"/>
                    <w:left w:val="none" w:sz="0" w:space="0" w:color="auto"/>
                    <w:bottom w:val="none" w:sz="0" w:space="0" w:color="auto"/>
                    <w:right w:val="none" w:sz="0" w:space="0" w:color="auto"/>
                  </w:divBdr>
                  <w:divsChild>
                    <w:div w:id="599526160">
                      <w:marLeft w:val="0"/>
                      <w:marRight w:val="0"/>
                      <w:marTop w:val="0"/>
                      <w:marBottom w:val="0"/>
                      <w:divBdr>
                        <w:top w:val="none" w:sz="0" w:space="0" w:color="auto"/>
                        <w:left w:val="none" w:sz="0" w:space="0" w:color="auto"/>
                        <w:bottom w:val="none" w:sz="0" w:space="0" w:color="auto"/>
                        <w:right w:val="none" w:sz="0" w:space="0" w:color="auto"/>
                      </w:divBdr>
                    </w:div>
                  </w:divsChild>
                </w:div>
                <w:div w:id="1605456726">
                  <w:marLeft w:val="0"/>
                  <w:marRight w:val="0"/>
                  <w:marTop w:val="0"/>
                  <w:marBottom w:val="0"/>
                  <w:divBdr>
                    <w:top w:val="none" w:sz="0" w:space="0" w:color="auto"/>
                    <w:left w:val="none" w:sz="0" w:space="0" w:color="auto"/>
                    <w:bottom w:val="none" w:sz="0" w:space="0" w:color="auto"/>
                    <w:right w:val="none" w:sz="0" w:space="0" w:color="auto"/>
                  </w:divBdr>
                  <w:divsChild>
                    <w:div w:id="1664239346">
                      <w:marLeft w:val="0"/>
                      <w:marRight w:val="0"/>
                      <w:marTop w:val="0"/>
                      <w:marBottom w:val="0"/>
                      <w:divBdr>
                        <w:top w:val="none" w:sz="0" w:space="0" w:color="auto"/>
                        <w:left w:val="none" w:sz="0" w:space="0" w:color="auto"/>
                        <w:bottom w:val="none" w:sz="0" w:space="0" w:color="auto"/>
                        <w:right w:val="none" w:sz="0" w:space="0" w:color="auto"/>
                      </w:divBdr>
                    </w:div>
                  </w:divsChild>
                </w:div>
                <w:div w:id="842551827">
                  <w:marLeft w:val="0"/>
                  <w:marRight w:val="0"/>
                  <w:marTop w:val="0"/>
                  <w:marBottom w:val="0"/>
                  <w:divBdr>
                    <w:top w:val="none" w:sz="0" w:space="0" w:color="auto"/>
                    <w:left w:val="none" w:sz="0" w:space="0" w:color="auto"/>
                    <w:bottom w:val="none" w:sz="0" w:space="0" w:color="auto"/>
                    <w:right w:val="none" w:sz="0" w:space="0" w:color="auto"/>
                  </w:divBdr>
                  <w:divsChild>
                    <w:div w:id="997264159">
                      <w:marLeft w:val="0"/>
                      <w:marRight w:val="0"/>
                      <w:marTop w:val="0"/>
                      <w:marBottom w:val="0"/>
                      <w:divBdr>
                        <w:top w:val="none" w:sz="0" w:space="0" w:color="auto"/>
                        <w:left w:val="none" w:sz="0" w:space="0" w:color="auto"/>
                        <w:bottom w:val="none" w:sz="0" w:space="0" w:color="auto"/>
                        <w:right w:val="none" w:sz="0" w:space="0" w:color="auto"/>
                      </w:divBdr>
                    </w:div>
                  </w:divsChild>
                </w:div>
                <w:div w:id="2118795487">
                  <w:marLeft w:val="0"/>
                  <w:marRight w:val="0"/>
                  <w:marTop w:val="0"/>
                  <w:marBottom w:val="0"/>
                  <w:divBdr>
                    <w:top w:val="none" w:sz="0" w:space="0" w:color="auto"/>
                    <w:left w:val="none" w:sz="0" w:space="0" w:color="auto"/>
                    <w:bottom w:val="none" w:sz="0" w:space="0" w:color="auto"/>
                    <w:right w:val="none" w:sz="0" w:space="0" w:color="auto"/>
                  </w:divBdr>
                  <w:divsChild>
                    <w:div w:id="1244607768">
                      <w:marLeft w:val="0"/>
                      <w:marRight w:val="0"/>
                      <w:marTop w:val="0"/>
                      <w:marBottom w:val="0"/>
                      <w:divBdr>
                        <w:top w:val="none" w:sz="0" w:space="0" w:color="auto"/>
                        <w:left w:val="none" w:sz="0" w:space="0" w:color="auto"/>
                        <w:bottom w:val="none" w:sz="0" w:space="0" w:color="auto"/>
                        <w:right w:val="none" w:sz="0" w:space="0" w:color="auto"/>
                      </w:divBdr>
                    </w:div>
                  </w:divsChild>
                </w:div>
                <w:div w:id="1953704987">
                  <w:marLeft w:val="0"/>
                  <w:marRight w:val="0"/>
                  <w:marTop w:val="0"/>
                  <w:marBottom w:val="0"/>
                  <w:divBdr>
                    <w:top w:val="none" w:sz="0" w:space="0" w:color="auto"/>
                    <w:left w:val="none" w:sz="0" w:space="0" w:color="auto"/>
                    <w:bottom w:val="none" w:sz="0" w:space="0" w:color="auto"/>
                    <w:right w:val="none" w:sz="0" w:space="0" w:color="auto"/>
                  </w:divBdr>
                  <w:divsChild>
                    <w:div w:id="905646905">
                      <w:marLeft w:val="0"/>
                      <w:marRight w:val="0"/>
                      <w:marTop w:val="0"/>
                      <w:marBottom w:val="0"/>
                      <w:divBdr>
                        <w:top w:val="none" w:sz="0" w:space="0" w:color="auto"/>
                        <w:left w:val="none" w:sz="0" w:space="0" w:color="auto"/>
                        <w:bottom w:val="none" w:sz="0" w:space="0" w:color="auto"/>
                        <w:right w:val="none" w:sz="0" w:space="0" w:color="auto"/>
                      </w:divBdr>
                    </w:div>
                  </w:divsChild>
                </w:div>
                <w:div w:id="1105806815">
                  <w:marLeft w:val="0"/>
                  <w:marRight w:val="0"/>
                  <w:marTop w:val="0"/>
                  <w:marBottom w:val="0"/>
                  <w:divBdr>
                    <w:top w:val="none" w:sz="0" w:space="0" w:color="auto"/>
                    <w:left w:val="none" w:sz="0" w:space="0" w:color="auto"/>
                    <w:bottom w:val="none" w:sz="0" w:space="0" w:color="auto"/>
                    <w:right w:val="none" w:sz="0" w:space="0" w:color="auto"/>
                  </w:divBdr>
                  <w:divsChild>
                    <w:div w:id="594285998">
                      <w:marLeft w:val="0"/>
                      <w:marRight w:val="0"/>
                      <w:marTop w:val="0"/>
                      <w:marBottom w:val="0"/>
                      <w:divBdr>
                        <w:top w:val="none" w:sz="0" w:space="0" w:color="auto"/>
                        <w:left w:val="none" w:sz="0" w:space="0" w:color="auto"/>
                        <w:bottom w:val="none" w:sz="0" w:space="0" w:color="auto"/>
                        <w:right w:val="none" w:sz="0" w:space="0" w:color="auto"/>
                      </w:divBdr>
                    </w:div>
                  </w:divsChild>
                </w:div>
                <w:div w:id="482887891">
                  <w:marLeft w:val="0"/>
                  <w:marRight w:val="0"/>
                  <w:marTop w:val="0"/>
                  <w:marBottom w:val="0"/>
                  <w:divBdr>
                    <w:top w:val="none" w:sz="0" w:space="0" w:color="auto"/>
                    <w:left w:val="none" w:sz="0" w:space="0" w:color="auto"/>
                    <w:bottom w:val="none" w:sz="0" w:space="0" w:color="auto"/>
                    <w:right w:val="none" w:sz="0" w:space="0" w:color="auto"/>
                  </w:divBdr>
                  <w:divsChild>
                    <w:div w:id="214659247">
                      <w:marLeft w:val="0"/>
                      <w:marRight w:val="0"/>
                      <w:marTop w:val="0"/>
                      <w:marBottom w:val="0"/>
                      <w:divBdr>
                        <w:top w:val="none" w:sz="0" w:space="0" w:color="auto"/>
                        <w:left w:val="none" w:sz="0" w:space="0" w:color="auto"/>
                        <w:bottom w:val="none" w:sz="0" w:space="0" w:color="auto"/>
                        <w:right w:val="none" w:sz="0" w:space="0" w:color="auto"/>
                      </w:divBdr>
                    </w:div>
                  </w:divsChild>
                </w:div>
                <w:div w:id="619072193">
                  <w:marLeft w:val="0"/>
                  <w:marRight w:val="0"/>
                  <w:marTop w:val="0"/>
                  <w:marBottom w:val="0"/>
                  <w:divBdr>
                    <w:top w:val="none" w:sz="0" w:space="0" w:color="auto"/>
                    <w:left w:val="none" w:sz="0" w:space="0" w:color="auto"/>
                    <w:bottom w:val="none" w:sz="0" w:space="0" w:color="auto"/>
                    <w:right w:val="none" w:sz="0" w:space="0" w:color="auto"/>
                  </w:divBdr>
                  <w:divsChild>
                    <w:div w:id="1895197120">
                      <w:marLeft w:val="0"/>
                      <w:marRight w:val="0"/>
                      <w:marTop w:val="0"/>
                      <w:marBottom w:val="0"/>
                      <w:divBdr>
                        <w:top w:val="none" w:sz="0" w:space="0" w:color="auto"/>
                        <w:left w:val="none" w:sz="0" w:space="0" w:color="auto"/>
                        <w:bottom w:val="none" w:sz="0" w:space="0" w:color="auto"/>
                        <w:right w:val="none" w:sz="0" w:space="0" w:color="auto"/>
                      </w:divBdr>
                    </w:div>
                  </w:divsChild>
                </w:div>
                <w:div w:id="141428666">
                  <w:marLeft w:val="0"/>
                  <w:marRight w:val="0"/>
                  <w:marTop w:val="0"/>
                  <w:marBottom w:val="0"/>
                  <w:divBdr>
                    <w:top w:val="none" w:sz="0" w:space="0" w:color="auto"/>
                    <w:left w:val="none" w:sz="0" w:space="0" w:color="auto"/>
                    <w:bottom w:val="none" w:sz="0" w:space="0" w:color="auto"/>
                    <w:right w:val="none" w:sz="0" w:space="0" w:color="auto"/>
                  </w:divBdr>
                  <w:divsChild>
                    <w:div w:id="1659923407">
                      <w:marLeft w:val="0"/>
                      <w:marRight w:val="0"/>
                      <w:marTop w:val="0"/>
                      <w:marBottom w:val="0"/>
                      <w:divBdr>
                        <w:top w:val="none" w:sz="0" w:space="0" w:color="auto"/>
                        <w:left w:val="none" w:sz="0" w:space="0" w:color="auto"/>
                        <w:bottom w:val="none" w:sz="0" w:space="0" w:color="auto"/>
                        <w:right w:val="none" w:sz="0" w:space="0" w:color="auto"/>
                      </w:divBdr>
                    </w:div>
                  </w:divsChild>
                </w:div>
                <w:div w:id="1652446845">
                  <w:marLeft w:val="0"/>
                  <w:marRight w:val="0"/>
                  <w:marTop w:val="0"/>
                  <w:marBottom w:val="0"/>
                  <w:divBdr>
                    <w:top w:val="none" w:sz="0" w:space="0" w:color="auto"/>
                    <w:left w:val="none" w:sz="0" w:space="0" w:color="auto"/>
                    <w:bottom w:val="none" w:sz="0" w:space="0" w:color="auto"/>
                    <w:right w:val="none" w:sz="0" w:space="0" w:color="auto"/>
                  </w:divBdr>
                  <w:divsChild>
                    <w:div w:id="1683237036">
                      <w:marLeft w:val="0"/>
                      <w:marRight w:val="0"/>
                      <w:marTop w:val="0"/>
                      <w:marBottom w:val="0"/>
                      <w:divBdr>
                        <w:top w:val="none" w:sz="0" w:space="0" w:color="auto"/>
                        <w:left w:val="none" w:sz="0" w:space="0" w:color="auto"/>
                        <w:bottom w:val="none" w:sz="0" w:space="0" w:color="auto"/>
                        <w:right w:val="none" w:sz="0" w:space="0" w:color="auto"/>
                      </w:divBdr>
                    </w:div>
                  </w:divsChild>
                </w:div>
                <w:div w:id="573012140">
                  <w:marLeft w:val="0"/>
                  <w:marRight w:val="0"/>
                  <w:marTop w:val="0"/>
                  <w:marBottom w:val="0"/>
                  <w:divBdr>
                    <w:top w:val="none" w:sz="0" w:space="0" w:color="auto"/>
                    <w:left w:val="none" w:sz="0" w:space="0" w:color="auto"/>
                    <w:bottom w:val="none" w:sz="0" w:space="0" w:color="auto"/>
                    <w:right w:val="none" w:sz="0" w:space="0" w:color="auto"/>
                  </w:divBdr>
                  <w:divsChild>
                    <w:div w:id="724917722">
                      <w:marLeft w:val="0"/>
                      <w:marRight w:val="0"/>
                      <w:marTop w:val="0"/>
                      <w:marBottom w:val="0"/>
                      <w:divBdr>
                        <w:top w:val="none" w:sz="0" w:space="0" w:color="auto"/>
                        <w:left w:val="none" w:sz="0" w:space="0" w:color="auto"/>
                        <w:bottom w:val="none" w:sz="0" w:space="0" w:color="auto"/>
                        <w:right w:val="none" w:sz="0" w:space="0" w:color="auto"/>
                      </w:divBdr>
                    </w:div>
                  </w:divsChild>
                </w:div>
                <w:div w:id="1595437551">
                  <w:marLeft w:val="0"/>
                  <w:marRight w:val="0"/>
                  <w:marTop w:val="0"/>
                  <w:marBottom w:val="0"/>
                  <w:divBdr>
                    <w:top w:val="none" w:sz="0" w:space="0" w:color="auto"/>
                    <w:left w:val="none" w:sz="0" w:space="0" w:color="auto"/>
                    <w:bottom w:val="none" w:sz="0" w:space="0" w:color="auto"/>
                    <w:right w:val="none" w:sz="0" w:space="0" w:color="auto"/>
                  </w:divBdr>
                  <w:divsChild>
                    <w:div w:id="302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30038">
          <w:marLeft w:val="0"/>
          <w:marRight w:val="0"/>
          <w:marTop w:val="0"/>
          <w:marBottom w:val="0"/>
          <w:divBdr>
            <w:top w:val="none" w:sz="0" w:space="0" w:color="auto"/>
            <w:left w:val="none" w:sz="0" w:space="0" w:color="auto"/>
            <w:bottom w:val="none" w:sz="0" w:space="0" w:color="auto"/>
            <w:right w:val="none" w:sz="0" w:space="0" w:color="auto"/>
          </w:divBdr>
        </w:div>
      </w:divsChild>
    </w:div>
    <w:div w:id="1285230431">
      <w:bodyDiv w:val="1"/>
      <w:marLeft w:val="0"/>
      <w:marRight w:val="0"/>
      <w:marTop w:val="0"/>
      <w:marBottom w:val="0"/>
      <w:divBdr>
        <w:top w:val="none" w:sz="0" w:space="0" w:color="auto"/>
        <w:left w:val="none" w:sz="0" w:space="0" w:color="auto"/>
        <w:bottom w:val="none" w:sz="0" w:space="0" w:color="auto"/>
        <w:right w:val="none" w:sz="0" w:space="0" w:color="auto"/>
      </w:divBdr>
      <w:divsChild>
        <w:div w:id="1061950319">
          <w:marLeft w:val="0"/>
          <w:marRight w:val="0"/>
          <w:marTop w:val="0"/>
          <w:marBottom w:val="0"/>
          <w:divBdr>
            <w:top w:val="none" w:sz="0" w:space="0" w:color="auto"/>
            <w:left w:val="none" w:sz="0" w:space="0" w:color="auto"/>
            <w:bottom w:val="none" w:sz="0" w:space="0" w:color="auto"/>
            <w:right w:val="none" w:sz="0" w:space="0" w:color="auto"/>
          </w:divBdr>
          <w:divsChild>
            <w:div w:id="5347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83700">
      <w:bodyDiv w:val="1"/>
      <w:marLeft w:val="0"/>
      <w:marRight w:val="0"/>
      <w:marTop w:val="0"/>
      <w:marBottom w:val="0"/>
      <w:divBdr>
        <w:top w:val="none" w:sz="0" w:space="0" w:color="auto"/>
        <w:left w:val="none" w:sz="0" w:space="0" w:color="auto"/>
        <w:bottom w:val="none" w:sz="0" w:space="0" w:color="auto"/>
        <w:right w:val="none" w:sz="0" w:space="0" w:color="auto"/>
      </w:divBdr>
    </w:div>
    <w:div w:id="18691773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78184">
      <w:bodyDiv w:val="1"/>
      <w:marLeft w:val="0"/>
      <w:marRight w:val="0"/>
      <w:marTop w:val="0"/>
      <w:marBottom w:val="0"/>
      <w:divBdr>
        <w:top w:val="none" w:sz="0" w:space="0" w:color="auto"/>
        <w:left w:val="none" w:sz="0" w:space="0" w:color="auto"/>
        <w:bottom w:val="none" w:sz="0" w:space="0" w:color="auto"/>
        <w:right w:val="none" w:sz="0" w:space="0" w:color="auto"/>
      </w:divBdr>
      <w:divsChild>
        <w:div w:id="1214080344">
          <w:marLeft w:val="0"/>
          <w:marRight w:val="0"/>
          <w:marTop w:val="0"/>
          <w:marBottom w:val="0"/>
          <w:divBdr>
            <w:top w:val="none" w:sz="0" w:space="0" w:color="auto"/>
            <w:left w:val="none" w:sz="0" w:space="0" w:color="auto"/>
            <w:bottom w:val="none" w:sz="0" w:space="0" w:color="auto"/>
            <w:right w:val="none" w:sz="0" w:space="0" w:color="auto"/>
          </w:divBdr>
        </w:div>
        <w:div w:id="2044478716">
          <w:marLeft w:val="0"/>
          <w:marRight w:val="0"/>
          <w:marTop w:val="0"/>
          <w:marBottom w:val="0"/>
          <w:divBdr>
            <w:top w:val="none" w:sz="0" w:space="0" w:color="auto"/>
            <w:left w:val="none" w:sz="0" w:space="0" w:color="auto"/>
            <w:bottom w:val="none" w:sz="0" w:space="0" w:color="auto"/>
            <w:right w:val="none" w:sz="0" w:space="0" w:color="auto"/>
          </w:divBdr>
        </w:div>
        <w:div w:id="601377468">
          <w:marLeft w:val="0"/>
          <w:marRight w:val="0"/>
          <w:marTop w:val="0"/>
          <w:marBottom w:val="0"/>
          <w:divBdr>
            <w:top w:val="none" w:sz="0" w:space="0" w:color="auto"/>
            <w:left w:val="none" w:sz="0" w:space="0" w:color="auto"/>
            <w:bottom w:val="none" w:sz="0" w:space="0" w:color="auto"/>
            <w:right w:val="none" w:sz="0" w:space="0" w:color="auto"/>
          </w:divBdr>
          <w:divsChild>
            <w:div w:id="485325266">
              <w:marLeft w:val="-75"/>
              <w:marRight w:val="0"/>
              <w:marTop w:val="30"/>
              <w:marBottom w:val="30"/>
              <w:divBdr>
                <w:top w:val="none" w:sz="0" w:space="0" w:color="auto"/>
                <w:left w:val="none" w:sz="0" w:space="0" w:color="auto"/>
                <w:bottom w:val="none" w:sz="0" w:space="0" w:color="auto"/>
                <w:right w:val="none" w:sz="0" w:space="0" w:color="auto"/>
              </w:divBdr>
              <w:divsChild>
                <w:div w:id="419061121">
                  <w:marLeft w:val="0"/>
                  <w:marRight w:val="0"/>
                  <w:marTop w:val="0"/>
                  <w:marBottom w:val="0"/>
                  <w:divBdr>
                    <w:top w:val="none" w:sz="0" w:space="0" w:color="auto"/>
                    <w:left w:val="none" w:sz="0" w:space="0" w:color="auto"/>
                    <w:bottom w:val="none" w:sz="0" w:space="0" w:color="auto"/>
                    <w:right w:val="none" w:sz="0" w:space="0" w:color="auto"/>
                  </w:divBdr>
                  <w:divsChild>
                    <w:div w:id="291601247">
                      <w:marLeft w:val="0"/>
                      <w:marRight w:val="0"/>
                      <w:marTop w:val="0"/>
                      <w:marBottom w:val="0"/>
                      <w:divBdr>
                        <w:top w:val="none" w:sz="0" w:space="0" w:color="auto"/>
                        <w:left w:val="none" w:sz="0" w:space="0" w:color="auto"/>
                        <w:bottom w:val="none" w:sz="0" w:space="0" w:color="auto"/>
                        <w:right w:val="none" w:sz="0" w:space="0" w:color="auto"/>
                      </w:divBdr>
                    </w:div>
                  </w:divsChild>
                </w:div>
                <w:div w:id="1202789146">
                  <w:marLeft w:val="0"/>
                  <w:marRight w:val="0"/>
                  <w:marTop w:val="0"/>
                  <w:marBottom w:val="0"/>
                  <w:divBdr>
                    <w:top w:val="none" w:sz="0" w:space="0" w:color="auto"/>
                    <w:left w:val="none" w:sz="0" w:space="0" w:color="auto"/>
                    <w:bottom w:val="none" w:sz="0" w:space="0" w:color="auto"/>
                    <w:right w:val="none" w:sz="0" w:space="0" w:color="auto"/>
                  </w:divBdr>
                  <w:divsChild>
                    <w:div w:id="1204512887">
                      <w:marLeft w:val="0"/>
                      <w:marRight w:val="0"/>
                      <w:marTop w:val="0"/>
                      <w:marBottom w:val="0"/>
                      <w:divBdr>
                        <w:top w:val="none" w:sz="0" w:space="0" w:color="auto"/>
                        <w:left w:val="none" w:sz="0" w:space="0" w:color="auto"/>
                        <w:bottom w:val="none" w:sz="0" w:space="0" w:color="auto"/>
                        <w:right w:val="none" w:sz="0" w:space="0" w:color="auto"/>
                      </w:divBdr>
                    </w:div>
                  </w:divsChild>
                </w:div>
                <w:div w:id="1425036559">
                  <w:marLeft w:val="0"/>
                  <w:marRight w:val="0"/>
                  <w:marTop w:val="0"/>
                  <w:marBottom w:val="0"/>
                  <w:divBdr>
                    <w:top w:val="none" w:sz="0" w:space="0" w:color="auto"/>
                    <w:left w:val="none" w:sz="0" w:space="0" w:color="auto"/>
                    <w:bottom w:val="none" w:sz="0" w:space="0" w:color="auto"/>
                    <w:right w:val="none" w:sz="0" w:space="0" w:color="auto"/>
                  </w:divBdr>
                  <w:divsChild>
                    <w:div w:id="904490764">
                      <w:marLeft w:val="0"/>
                      <w:marRight w:val="0"/>
                      <w:marTop w:val="0"/>
                      <w:marBottom w:val="0"/>
                      <w:divBdr>
                        <w:top w:val="none" w:sz="0" w:space="0" w:color="auto"/>
                        <w:left w:val="none" w:sz="0" w:space="0" w:color="auto"/>
                        <w:bottom w:val="none" w:sz="0" w:space="0" w:color="auto"/>
                        <w:right w:val="none" w:sz="0" w:space="0" w:color="auto"/>
                      </w:divBdr>
                    </w:div>
                  </w:divsChild>
                </w:div>
                <w:div w:id="77333765">
                  <w:marLeft w:val="0"/>
                  <w:marRight w:val="0"/>
                  <w:marTop w:val="0"/>
                  <w:marBottom w:val="0"/>
                  <w:divBdr>
                    <w:top w:val="none" w:sz="0" w:space="0" w:color="auto"/>
                    <w:left w:val="none" w:sz="0" w:space="0" w:color="auto"/>
                    <w:bottom w:val="none" w:sz="0" w:space="0" w:color="auto"/>
                    <w:right w:val="none" w:sz="0" w:space="0" w:color="auto"/>
                  </w:divBdr>
                  <w:divsChild>
                    <w:div w:id="951473959">
                      <w:marLeft w:val="0"/>
                      <w:marRight w:val="0"/>
                      <w:marTop w:val="0"/>
                      <w:marBottom w:val="0"/>
                      <w:divBdr>
                        <w:top w:val="none" w:sz="0" w:space="0" w:color="auto"/>
                        <w:left w:val="none" w:sz="0" w:space="0" w:color="auto"/>
                        <w:bottom w:val="none" w:sz="0" w:space="0" w:color="auto"/>
                        <w:right w:val="none" w:sz="0" w:space="0" w:color="auto"/>
                      </w:divBdr>
                    </w:div>
                  </w:divsChild>
                </w:div>
                <w:div w:id="1827239023">
                  <w:marLeft w:val="0"/>
                  <w:marRight w:val="0"/>
                  <w:marTop w:val="0"/>
                  <w:marBottom w:val="0"/>
                  <w:divBdr>
                    <w:top w:val="none" w:sz="0" w:space="0" w:color="auto"/>
                    <w:left w:val="none" w:sz="0" w:space="0" w:color="auto"/>
                    <w:bottom w:val="none" w:sz="0" w:space="0" w:color="auto"/>
                    <w:right w:val="none" w:sz="0" w:space="0" w:color="auto"/>
                  </w:divBdr>
                  <w:divsChild>
                    <w:div w:id="400175127">
                      <w:marLeft w:val="0"/>
                      <w:marRight w:val="0"/>
                      <w:marTop w:val="0"/>
                      <w:marBottom w:val="0"/>
                      <w:divBdr>
                        <w:top w:val="none" w:sz="0" w:space="0" w:color="auto"/>
                        <w:left w:val="none" w:sz="0" w:space="0" w:color="auto"/>
                        <w:bottom w:val="none" w:sz="0" w:space="0" w:color="auto"/>
                        <w:right w:val="none" w:sz="0" w:space="0" w:color="auto"/>
                      </w:divBdr>
                    </w:div>
                  </w:divsChild>
                </w:div>
                <w:div w:id="1271161006">
                  <w:marLeft w:val="0"/>
                  <w:marRight w:val="0"/>
                  <w:marTop w:val="0"/>
                  <w:marBottom w:val="0"/>
                  <w:divBdr>
                    <w:top w:val="none" w:sz="0" w:space="0" w:color="auto"/>
                    <w:left w:val="none" w:sz="0" w:space="0" w:color="auto"/>
                    <w:bottom w:val="none" w:sz="0" w:space="0" w:color="auto"/>
                    <w:right w:val="none" w:sz="0" w:space="0" w:color="auto"/>
                  </w:divBdr>
                  <w:divsChild>
                    <w:div w:id="2009014703">
                      <w:marLeft w:val="0"/>
                      <w:marRight w:val="0"/>
                      <w:marTop w:val="0"/>
                      <w:marBottom w:val="0"/>
                      <w:divBdr>
                        <w:top w:val="none" w:sz="0" w:space="0" w:color="auto"/>
                        <w:left w:val="none" w:sz="0" w:space="0" w:color="auto"/>
                        <w:bottom w:val="none" w:sz="0" w:space="0" w:color="auto"/>
                        <w:right w:val="none" w:sz="0" w:space="0" w:color="auto"/>
                      </w:divBdr>
                    </w:div>
                  </w:divsChild>
                </w:div>
                <w:div w:id="1614900957">
                  <w:marLeft w:val="0"/>
                  <w:marRight w:val="0"/>
                  <w:marTop w:val="0"/>
                  <w:marBottom w:val="0"/>
                  <w:divBdr>
                    <w:top w:val="none" w:sz="0" w:space="0" w:color="auto"/>
                    <w:left w:val="none" w:sz="0" w:space="0" w:color="auto"/>
                    <w:bottom w:val="none" w:sz="0" w:space="0" w:color="auto"/>
                    <w:right w:val="none" w:sz="0" w:space="0" w:color="auto"/>
                  </w:divBdr>
                  <w:divsChild>
                    <w:div w:id="131145863">
                      <w:marLeft w:val="0"/>
                      <w:marRight w:val="0"/>
                      <w:marTop w:val="0"/>
                      <w:marBottom w:val="0"/>
                      <w:divBdr>
                        <w:top w:val="none" w:sz="0" w:space="0" w:color="auto"/>
                        <w:left w:val="none" w:sz="0" w:space="0" w:color="auto"/>
                        <w:bottom w:val="none" w:sz="0" w:space="0" w:color="auto"/>
                        <w:right w:val="none" w:sz="0" w:space="0" w:color="auto"/>
                      </w:divBdr>
                    </w:div>
                  </w:divsChild>
                </w:div>
                <w:div w:id="131560211">
                  <w:marLeft w:val="0"/>
                  <w:marRight w:val="0"/>
                  <w:marTop w:val="0"/>
                  <w:marBottom w:val="0"/>
                  <w:divBdr>
                    <w:top w:val="none" w:sz="0" w:space="0" w:color="auto"/>
                    <w:left w:val="none" w:sz="0" w:space="0" w:color="auto"/>
                    <w:bottom w:val="none" w:sz="0" w:space="0" w:color="auto"/>
                    <w:right w:val="none" w:sz="0" w:space="0" w:color="auto"/>
                  </w:divBdr>
                  <w:divsChild>
                    <w:div w:id="1253707590">
                      <w:marLeft w:val="0"/>
                      <w:marRight w:val="0"/>
                      <w:marTop w:val="0"/>
                      <w:marBottom w:val="0"/>
                      <w:divBdr>
                        <w:top w:val="none" w:sz="0" w:space="0" w:color="auto"/>
                        <w:left w:val="none" w:sz="0" w:space="0" w:color="auto"/>
                        <w:bottom w:val="none" w:sz="0" w:space="0" w:color="auto"/>
                        <w:right w:val="none" w:sz="0" w:space="0" w:color="auto"/>
                      </w:divBdr>
                    </w:div>
                  </w:divsChild>
                </w:div>
                <w:div w:id="1379280239">
                  <w:marLeft w:val="0"/>
                  <w:marRight w:val="0"/>
                  <w:marTop w:val="0"/>
                  <w:marBottom w:val="0"/>
                  <w:divBdr>
                    <w:top w:val="none" w:sz="0" w:space="0" w:color="auto"/>
                    <w:left w:val="none" w:sz="0" w:space="0" w:color="auto"/>
                    <w:bottom w:val="none" w:sz="0" w:space="0" w:color="auto"/>
                    <w:right w:val="none" w:sz="0" w:space="0" w:color="auto"/>
                  </w:divBdr>
                  <w:divsChild>
                    <w:div w:id="1422991541">
                      <w:marLeft w:val="0"/>
                      <w:marRight w:val="0"/>
                      <w:marTop w:val="0"/>
                      <w:marBottom w:val="0"/>
                      <w:divBdr>
                        <w:top w:val="none" w:sz="0" w:space="0" w:color="auto"/>
                        <w:left w:val="none" w:sz="0" w:space="0" w:color="auto"/>
                        <w:bottom w:val="none" w:sz="0" w:space="0" w:color="auto"/>
                        <w:right w:val="none" w:sz="0" w:space="0" w:color="auto"/>
                      </w:divBdr>
                    </w:div>
                  </w:divsChild>
                </w:div>
                <w:div w:id="1066493251">
                  <w:marLeft w:val="0"/>
                  <w:marRight w:val="0"/>
                  <w:marTop w:val="0"/>
                  <w:marBottom w:val="0"/>
                  <w:divBdr>
                    <w:top w:val="none" w:sz="0" w:space="0" w:color="auto"/>
                    <w:left w:val="none" w:sz="0" w:space="0" w:color="auto"/>
                    <w:bottom w:val="none" w:sz="0" w:space="0" w:color="auto"/>
                    <w:right w:val="none" w:sz="0" w:space="0" w:color="auto"/>
                  </w:divBdr>
                  <w:divsChild>
                    <w:div w:id="516427739">
                      <w:marLeft w:val="0"/>
                      <w:marRight w:val="0"/>
                      <w:marTop w:val="0"/>
                      <w:marBottom w:val="0"/>
                      <w:divBdr>
                        <w:top w:val="none" w:sz="0" w:space="0" w:color="auto"/>
                        <w:left w:val="none" w:sz="0" w:space="0" w:color="auto"/>
                        <w:bottom w:val="none" w:sz="0" w:space="0" w:color="auto"/>
                        <w:right w:val="none" w:sz="0" w:space="0" w:color="auto"/>
                      </w:divBdr>
                    </w:div>
                  </w:divsChild>
                </w:div>
                <w:div w:id="1852835148">
                  <w:marLeft w:val="0"/>
                  <w:marRight w:val="0"/>
                  <w:marTop w:val="0"/>
                  <w:marBottom w:val="0"/>
                  <w:divBdr>
                    <w:top w:val="none" w:sz="0" w:space="0" w:color="auto"/>
                    <w:left w:val="none" w:sz="0" w:space="0" w:color="auto"/>
                    <w:bottom w:val="none" w:sz="0" w:space="0" w:color="auto"/>
                    <w:right w:val="none" w:sz="0" w:space="0" w:color="auto"/>
                  </w:divBdr>
                  <w:divsChild>
                    <w:div w:id="1496804819">
                      <w:marLeft w:val="0"/>
                      <w:marRight w:val="0"/>
                      <w:marTop w:val="0"/>
                      <w:marBottom w:val="0"/>
                      <w:divBdr>
                        <w:top w:val="none" w:sz="0" w:space="0" w:color="auto"/>
                        <w:left w:val="none" w:sz="0" w:space="0" w:color="auto"/>
                        <w:bottom w:val="none" w:sz="0" w:space="0" w:color="auto"/>
                        <w:right w:val="none" w:sz="0" w:space="0" w:color="auto"/>
                      </w:divBdr>
                    </w:div>
                  </w:divsChild>
                </w:div>
                <w:div w:id="1044136387">
                  <w:marLeft w:val="0"/>
                  <w:marRight w:val="0"/>
                  <w:marTop w:val="0"/>
                  <w:marBottom w:val="0"/>
                  <w:divBdr>
                    <w:top w:val="none" w:sz="0" w:space="0" w:color="auto"/>
                    <w:left w:val="none" w:sz="0" w:space="0" w:color="auto"/>
                    <w:bottom w:val="none" w:sz="0" w:space="0" w:color="auto"/>
                    <w:right w:val="none" w:sz="0" w:space="0" w:color="auto"/>
                  </w:divBdr>
                  <w:divsChild>
                    <w:div w:id="1151096699">
                      <w:marLeft w:val="0"/>
                      <w:marRight w:val="0"/>
                      <w:marTop w:val="0"/>
                      <w:marBottom w:val="0"/>
                      <w:divBdr>
                        <w:top w:val="none" w:sz="0" w:space="0" w:color="auto"/>
                        <w:left w:val="none" w:sz="0" w:space="0" w:color="auto"/>
                        <w:bottom w:val="none" w:sz="0" w:space="0" w:color="auto"/>
                        <w:right w:val="none" w:sz="0" w:space="0" w:color="auto"/>
                      </w:divBdr>
                    </w:div>
                  </w:divsChild>
                </w:div>
                <w:div w:id="1868911477">
                  <w:marLeft w:val="0"/>
                  <w:marRight w:val="0"/>
                  <w:marTop w:val="0"/>
                  <w:marBottom w:val="0"/>
                  <w:divBdr>
                    <w:top w:val="none" w:sz="0" w:space="0" w:color="auto"/>
                    <w:left w:val="none" w:sz="0" w:space="0" w:color="auto"/>
                    <w:bottom w:val="none" w:sz="0" w:space="0" w:color="auto"/>
                    <w:right w:val="none" w:sz="0" w:space="0" w:color="auto"/>
                  </w:divBdr>
                  <w:divsChild>
                    <w:div w:id="64837517">
                      <w:marLeft w:val="0"/>
                      <w:marRight w:val="0"/>
                      <w:marTop w:val="0"/>
                      <w:marBottom w:val="0"/>
                      <w:divBdr>
                        <w:top w:val="none" w:sz="0" w:space="0" w:color="auto"/>
                        <w:left w:val="none" w:sz="0" w:space="0" w:color="auto"/>
                        <w:bottom w:val="none" w:sz="0" w:space="0" w:color="auto"/>
                        <w:right w:val="none" w:sz="0" w:space="0" w:color="auto"/>
                      </w:divBdr>
                    </w:div>
                  </w:divsChild>
                </w:div>
                <w:div w:id="208541100">
                  <w:marLeft w:val="0"/>
                  <w:marRight w:val="0"/>
                  <w:marTop w:val="0"/>
                  <w:marBottom w:val="0"/>
                  <w:divBdr>
                    <w:top w:val="none" w:sz="0" w:space="0" w:color="auto"/>
                    <w:left w:val="none" w:sz="0" w:space="0" w:color="auto"/>
                    <w:bottom w:val="none" w:sz="0" w:space="0" w:color="auto"/>
                    <w:right w:val="none" w:sz="0" w:space="0" w:color="auto"/>
                  </w:divBdr>
                  <w:divsChild>
                    <w:div w:id="1147942766">
                      <w:marLeft w:val="0"/>
                      <w:marRight w:val="0"/>
                      <w:marTop w:val="0"/>
                      <w:marBottom w:val="0"/>
                      <w:divBdr>
                        <w:top w:val="none" w:sz="0" w:space="0" w:color="auto"/>
                        <w:left w:val="none" w:sz="0" w:space="0" w:color="auto"/>
                        <w:bottom w:val="none" w:sz="0" w:space="0" w:color="auto"/>
                        <w:right w:val="none" w:sz="0" w:space="0" w:color="auto"/>
                      </w:divBdr>
                    </w:div>
                  </w:divsChild>
                </w:div>
                <w:div w:id="270362872">
                  <w:marLeft w:val="0"/>
                  <w:marRight w:val="0"/>
                  <w:marTop w:val="0"/>
                  <w:marBottom w:val="0"/>
                  <w:divBdr>
                    <w:top w:val="none" w:sz="0" w:space="0" w:color="auto"/>
                    <w:left w:val="none" w:sz="0" w:space="0" w:color="auto"/>
                    <w:bottom w:val="none" w:sz="0" w:space="0" w:color="auto"/>
                    <w:right w:val="none" w:sz="0" w:space="0" w:color="auto"/>
                  </w:divBdr>
                  <w:divsChild>
                    <w:div w:id="1707831878">
                      <w:marLeft w:val="0"/>
                      <w:marRight w:val="0"/>
                      <w:marTop w:val="0"/>
                      <w:marBottom w:val="0"/>
                      <w:divBdr>
                        <w:top w:val="none" w:sz="0" w:space="0" w:color="auto"/>
                        <w:left w:val="none" w:sz="0" w:space="0" w:color="auto"/>
                        <w:bottom w:val="none" w:sz="0" w:space="0" w:color="auto"/>
                        <w:right w:val="none" w:sz="0" w:space="0" w:color="auto"/>
                      </w:divBdr>
                    </w:div>
                  </w:divsChild>
                </w:div>
                <w:div w:id="1117022331">
                  <w:marLeft w:val="0"/>
                  <w:marRight w:val="0"/>
                  <w:marTop w:val="0"/>
                  <w:marBottom w:val="0"/>
                  <w:divBdr>
                    <w:top w:val="none" w:sz="0" w:space="0" w:color="auto"/>
                    <w:left w:val="none" w:sz="0" w:space="0" w:color="auto"/>
                    <w:bottom w:val="none" w:sz="0" w:space="0" w:color="auto"/>
                    <w:right w:val="none" w:sz="0" w:space="0" w:color="auto"/>
                  </w:divBdr>
                  <w:divsChild>
                    <w:div w:id="515001428">
                      <w:marLeft w:val="0"/>
                      <w:marRight w:val="0"/>
                      <w:marTop w:val="0"/>
                      <w:marBottom w:val="0"/>
                      <w:divBdr>
                        <w:top w:val="none" w:sz="0" w:space="0" w:color="auto"/>
                        <w:left w:val="none" w:sz="0" w:space="0" w:color="auto"/>
                        <w:bottom w:val="none" w:sz="0" w:space="0" w:color="auto"/>
                        <w:right w:val="none" w:sz="0" w:space="0" w:color="auto"/>
                      </w:divBdr>
                    </w:div>
                  </w:divsChild>
                </w:div>
                <w:div w:id="883753326">
                  <w:marLeft w:val="0"/>
                  <w:marRight w:val="0"/>
                  <w:marTop w:val="0"/>
                  <w:marBottom w:val="0"/>
                  <w:divBdr>
                    <w:top w:val="none" w:sz="0" w:space="0" w:color="auto"/>
                    <w:left w:val="none" w:sz="0" w:space="0" w:color="auto"/>
                    <w:bottom w:val="none" w:sz="0" w:space="0" w:color="auto"/>
                    <w:right w:val="none" w:sz="0" w:space="0" w:color="auto"/>
                  </w:divBdr>
                  <w:divsChild>
                    <w:div w:id="1543787627">
                      <w:marLeft w:val="0"/>
                      <w:marRight w:val="0"/>
                      <w:marTop w:val="0"/>
                      <w:marBottom w:val="0"/>
                      <w:divBdr>
                        <w:top w:val="none" w:sz="0" w:space="0" w:color="auto"/>
                        <w:left w:val="none" w:sz="0" w:space="0" w:color="auto"/>
                        <w:bottom w:val="none" w:sz="0" w:space="0" w:color="auto"/>
                        <w:right w:val="none" w:sz="0" w:space="0" w:color="auto"/>
                      </w:divBdr>
                    </w:div>
                  </w:divsChild>
                </w:div>
                <w:div w:id="1421834114">
                  <w:marLeft w:val="0"/>
                  <w:marRight w:val="0"/>
                  <w:marTop w:val="0"/>
                  <w:marBottom w:val="0"/>
                  <w:divBdr>
                    <w:top w:val="none" w:sz="0" w:space="0" w:color="auto"/>
                    <w:left w:val="none" w:sz="0" w:space="0" w:color="auto"/>
                    <w:bottom w:val="none" w:sz="0" w:space="0" w:color="auto"/>
                    <w:right w:val="none" w:sz="0" w:space="0" w:color="auto"/>
                  </w:divBdr>
                  <w:divsChild>
                    <w:div w:id="1878355037">
                      <w:marLeft w:val="0"/>
                      <w:marRight w:val="0"/>
                      <w:marTop w:val="0"/>
                      <w:marBottom w:val="0"/>
                      <w:divBdr>
                        <w:top w:val="none" w:sz="0" w:space="0" w:color="auto"/>
                        <w:left w:val="none" w:sz="0" w:space="0" w:color="auto"/>
                        <w:bottom w:val="none" w:sz="0" w:space="0" w:color="auto"/>
                        <w:right w:val="none" w:sz="0" w:space="0" w:color="auto"/>
                      </w:divBdr>
                    </w:div>
                  </w:divsChild>
                </w:div>
                <w:div w:id="1548756275">
                  <w:marLeft w:val="0"/>
                  <w:marRight w:val="0"/>
                  <w:marTop w:val="0"/>
                  <w:marBottom w:val="0"/>
                  <w:divBdr>
                    <w:top w:val="none" w:sz="0" w:space="0" w:color="auto"/>
                    <w:left w:val="none" w:sz="0" w:space="0" w:color="auto"/>
                    <w:bottom w:val="none" w:sz="0" w:space="0" w:color="auto"/>
                    <w:right w:val="none" w:sz="0" w:space="0" w:color="auto"/>
                  </w:divBdr>
                  <w:divsChild>
                    <w:div w:id="1702166830">
                      <w:marLeft w:val="0"/>
                      <w:marRight w:val="0"/>
                      <w:marTop w:val="0"/>
                      <w:marBottom w:val="0"/>
                      <w:divBdr>
                        <w:top w:val="none" w:sz="0" w:space="0" w:color="auto"/>
                        <w:left w:val="none" w:sz="0" w:space="0" w:color="auto"/>
                        <w:bottom w:val="none" w:sz="0" w:space="0" w:color="auto"/>
                        <w:right w:val="none" w:sz="0" w:space="0" w:color="auto"/>
                      </w:divBdr>
                    </w:div>
                  </w:divsChild>
                </w:div>
                <w:div w:id="1502157617">
                  <w:marLeft w:val="0"/>
                  <w:marRight w:val="0"/>
                  <w:marTop w:val="0"/>
                  <w:marBottom w:val="0"/>
                  <w:divBdr>
                    <w:top w:val="none" w:sz="0" w:space="0" w:color="auto"/>
                    <w:left w:val="none" w:sz="0" w:space="0" w:color="auto"/>
                    <w:bottom w:val="none" w:sz="0" w:space="0" w:color="auto"/>
                    <w:right w:val="none" w:sz="0" w:space="0" w:color="auto"/>
                  </w:divBdr>
                  <w:divsChild>
                    <w:div w:id="968629152">
                      <w:marLeft w:val="0"/>
                      <w:marRight w:val="0"/>
                      <w:marTop w:val="0"/>
                      <w:marBottom w:val="0"/>
                      <w:divBdr>
                        <w:top w:val="none" w:sz="0" w:space="0" w:color="auto"/>
                        <w:left w:val="none" w:sz="0" w:space="0" w:color="auto"/>
                        <w:bottom w:val="none" w:sz="0" w:space="0" w:color="auto"/>
                        <w:right w:val="none" w:sz="0" w:space="0" w:color="auto"/>
                      </w:divBdr>
                    </w:div>
                  </w:divsChild>
                </w:div>
                <w:div w:id="994340986">
                  <w:marLeft w:val="0"/>
                  <w:marRight w:val="0"/>
                  <w:marTop w:val="0"/>
                  <w:marBottom w:val="0"/>
                  <w:divBdr>
                    <w:top w:val="none" w:sz="0" w:space="0" w:color="auto"/>
                    <w:left w:val="none" w:sz="0" w:space="0" w:color="auto"/>
                    <w:bottom w:val="none" w:sz="0" w:space="0" w:color="auto"/>
                    <w:right w:val="none" w:sz="0" w:space="0" w:color="auto"/>
                  </w:divBdr>
                  <w:divsChild>
                    <w:div w:id="868417701">
                      <w:marLeft w:val="0"/>
                      <w:marRight w:val="0"/>
                      <w:marTop w:val="0"/>
                      <w:marBottom w:val="0"/>
                      <w:divBdr>
                        <w:top w:val="none" w:sz="0" w:space="0" w:color="auto"/>
                        <w:left w:val="none" w:sz="0" w:space="0" w:color="auto"/>
                        <w:bottom w:val="none" w:sz="0" w:space="0" w:color="auto"/>
                        <w:right w:val="none" w:sz="0" w:space="0" w:color="auto"/>
                      </w:divBdr>
                    </w:div>
                  </w:divsChild>
                </w:div>
                <w:div w:id="1792359950">
                  <w:marLeft w:val="0"/>
                  <w:marRight w:val="0"/>
                  <w:marTop w:val="0"/>
                  <w:marBottom w:val="0"/>
                  <w:divBdr>
                    <w:top w:val="none" w:sz="0" w:space="0" w:color="auto"/>
                    <w:left w:val="none" w:sz="0" w:space="0" w:color="auto"/>
                    <w:bottom w:val="none" w:sz="0" w:space="0" w:color="auto"/>
                    <w:right w:val="none" w:sz="0" w:space="0" w:color="auto"/>
                  </w:divBdr>
                  <w:divsChild>
                    <w:div w:id="389965500">
                      <w:marLeft w:val="0"/>
                      <w:marRight w:val="0"/>
                      <w:marTop w:val="0"/>
                      <w:marBottom w:val="0"/>
                      <w:divBdr>
                        <w:top w:val="none" w:sz="0" w:space="0" w:color="auto"/>
                        <w:left w:val="none" w:sz="0" w:space="0" w:color="auto"/>
                        <w:bottom w:val="none" w:sz="0" w:space="0" w:color="auto"/>
                        <w:right w:val="none" w:sz="0" w:space="0" w:color="auto"/>
                      </w:divBdr>
                    </w:div>
                  </w:divsChild>
                </w:div>
                <w:div w:id="833767885">
                  <w:marLeft w:val="0"/>
                  <w:marRight w:val="0"/>
                  <w:marTop w:val="0"/>
                  <w:marBottom w:val="0"/>
                  <w:divBdr>
                    <w:top w:val="none" w:sz="0" w:space="0" w:color="auto"/>
                    <w:left w:val="none" w:sz="0" w:space="0" w:color="auto"/>
                    <w:bottom w:val="none" w:sz="0" w:space="0" w:color="auto"/>
                    <w:right w:val="none" w:sz="0" w:space="0" w:color="auto"/>
                  </w:divBdr>
                  <w:divsChild>
                    <w:div w:id="879440971">
                      <w:marLeft w:val="0"/>
                      <w:marRight w:val="0"/>
                      <w:marTop w:val="0"/>
                      <w:marBottom w:val="0"/>
                      <w:divBdr>
                        <w:top w:val="none" w:sz="0" w:space="0" w:color="auto"/>
                        <w:left w:val="none" w:sz="0" w:space="0" w:color="auto"/>
                        <w:bottom w:val="none" w:sz="0" w:space="0" w:color="auto"/>
                        <w:right w:val="none" w:sz="0" w:space="0" w:color="auto"/>
                      </w:divBdr>
                    </w:div>
                  </w:divsChild>
                </w:div>
                <w:div w:id="520818539">
                  <w:marLeft w:val="0"/>
                  <w:marRight w:val="0"/>
                  <w:marTop w:val="0"/>
                  <w:marBottom w:val="0"/>
                  <w:divBdr>
                    <w:top w:val="none" w:sz="0" w:space="0" w:color="auto"/>
                    <w:left w:val="none" w:sz="0" w:space="0" w:color="auto"/>
                    <w:bottom w:val="none" w:sz="0" w:space="0" w:color="auto"/>
                    <w:right w:val="none" w:sz="0" w:space="0" w:color="auto"/>
                  </w:divBdr>
                  <w:divsChild>
                    <w:div w:id="1855680637">
                      <w:marLeft w:val="0"/>
                      <w:marRight w:val="0"/>
                      <w:marTop w:val="0"/>
                      <w:marBottom w:val="0"/>
                      <w:divBdr>
                        <w:top w:val="none" w:sz="0" w:space="0" w:color="auto"/>
                        <w:left w:val="none" w:sz="0" w:space="0" w:color="auto"/>
                        <w:bottom w:val="none" w:sz="0" w:space="0" w:color="auto"/>
                        <w:right w:val="none" w:sz="0" w:space="0" w:color="auto"/>
                      </w:divBdr>
                    </w:div>
                  </w:divsChild>
                </w:div>
                <w:div w:id="1146822671">
                  <w:marLeft w:val="0"/>
                  <w:marRight w:val="0"/>
                  <w:marTop w:val="0"/>
                  <w:marBottom w:val="0"/>
                  <w:divBdr>
                    <w:top w:val="none" w:sz="0" w:space="0" w:color="auto"/>
                    <w:left w:val="none" w:sz="0" w:space="0" w:color="auto"/>
                    <w:bottom w:val="none" w:sz="0" w:space="0" w:color="auto"/>
                    <w:right w:val="none" w:sz="0" w:space="0" w:color="auto"/>
                  </w:divBdr>
                  <w:divsChild>
                    <w:div w:id="328600455">
                      <w:marLeft w:val="0"/>
                      <w:marRight w:val="0"/>
                      <w:marTop w:val="0"/>
                      <w:marBottom w:val="0"/>
                      <w:divBdr>
                        <w:top w:val="none" w:sz="0" w:space="0" w:color="auto"/>
                        <w:left w:val="none" w:sz="0" w:space="0" w:color="auto"/>
                        <w:bottom w:val="none" w:sz="0" w:space="0" w:color="auto"/>
                        <w:right w:val="none" w:sz="0" w:space="0" w:color="auto"/>
                      </w:divBdr>
                    </w:div>
                  </w:divsChild>
                </w:div>
                <w:div w:id="379791769">
                  <w:marLeft w:val="0"/>
                  <w:marRight w:val="0"/>
                  <w:marTop w:val="0"/>
                  <w:marBottom w:val="0"/>
                  <w:divBdr>
                    <w:top w:val="none" w:sz="0" w:space="0" w:color="auto"/>
                    <w:left w:val="none" w:sz="0" w:space="0" w:color="auto"/>
                    <w:bottom w:val="none" w:sz="0" w:space="0" w:color="auto"/>
                    <w:right w:val="none" w:sz="0" w:space="0" w:color="auto"/>
                  </w:divBdr>
                  <w:divsChild>
                    <w:div w:id="1933201114">
                      <w:marLeft w:val="0"/>
                      <w:marRight w:val="0"/>
                      <w:marTop w:val="0"/>
                      <w:marBottom w:val="0"/>
                      <w:divBdr>
                        <w:top w:val="none" w:sz="0" w:space="0" w:color="auto"/>
                        <w:left w:val="none" w:sz="0" w:space="0" w:color="auto"/>
                        <w:bottom w:val="none" w:sz="0" w:space="0" w:color="auto"/>
                        <w:right w:val="none" w:sz="0" w:space="0" w:color="auto"/>
                      </w:divBdr>
                    </w:div>
                  </w:divsChild>
                </w:div>
                <w:div w:id="1655912719">
                  <w:marLeft w:val="0"/>
                  <w:marRight w:val="0"/>
                  <w:marTop w:val="0"/>
                  <w:marBottom w:val="0"/>
                  <w:divBdr>
                    <w:top w:val="none" w:sz="0" w:space="0" w:color="auto"/>
                    <w:left w:val="none" w:sz="0" w:space="0" w:color="auto"/>
                    <w:bottom w:val="none" w:sz="0" w:space="0" w:color="auto"/>
                    <w:right w:val="none" w:sz="0" w:space="0" w:color="auto"/>
                  </w:divBdr>
                  <w:divsChild>
                    <w:div w:id="2033921537">
                      <w:marLeft w:val="0"/>
                      <w:marRight w:val="0"/>
                      <w:marTop w:val="0"/>
                      <w:marBottom w:val="0"/>
                      <w:divBdr>
                        <w:top w:val="none" w:sz="0" w:space="0" w:color="auto"/>
                        <w:left w:val="none" w:sz="0" w:space="0" w:color="auto"/>
                        <w:bottom w:val="none" w:sz="0" w:space="0" w:color="auto"/>
                        <w:right w:val="none" w:sz="0" w:space="0" w:color="auto"/>
                      </w:divBdr>
                    </w:div>
                  </w:divsChild>
                </w:div>
                <w:div w:id="190807924">
                  <w:marLeft w:val="0"/>
                  <w:marRight w:val="0"/>
                  <w:marTop w:val="0"/>
                  <w:marBottom w:val="0"/>
                  <w:divBdr>
                    <w:top w:val="none" w:sz="0" w:space="0" w:color="auto"/>
                    <w:left w:val="none" w:sz="0" w:space="0" w:color="auto"/>
                    <w:bottom w:val="none" w:sz="0" w:space="0" w:color="auto"/>
                    <w:right w:val="none" w:sz="0" w:space="0" w:color="auto"/>
                  </w:divBdr>
                  <w:divsChild>
                    <w:div w:id="493255375">
                      <w:marLeft w:val="0"/>
                      <w:marRight w:val="0"/>
                      <w:marTop w:val="0"/>
                      <w:marBottom w:val="0"/>
                      <w:divBdr>
                        <w:top w:val="none" w:sz="0" w:space="0" w:color="auto"/>
                        <w:left w:val="none" w:sz="0" w:space="0" w:color="auto"/>
                        <w:bottom w:val="none" w:sz="0" w:space="0" w:color="auto"/>
                        <w:right w:val="none" w:sz="0" w:space="0" w:color="auto"/>
                      </w:divBdr>
                    </w:div>
                  </w:divsChild>
                </w:div>
                <w:div w:id="1432432087">
                  <w:marLeft w:val="0"/>
                  <w:marRight w:val="0"/>
                  <w:marTop w:val="0"/>
                  <w:marBottom w:val="0"/>
                  <w:divBdr>
                    <w:top w:val="none" w:sz="0" w:space="0" w:color="auto"/>
                    <w:left w:val="none" w:sz="0" w:space="0" w:color="auto"/>
                    <w:bottom w:val="none" w:sz="0" w:space="0" w:color="auto"/>
                    <w:right w:val="none" w:sz="0" w:space="0" w:color="auto"/>
                  </w:divBdr>
                  <w:divsChild>
                    <w:div w:id="795878675">
                      <w:marLeft w:val="0"/>
                      <w:marRight w:val="0"/>
                      <w:marTop w:val="0"/>
                      <w:marBottom w:val="0"/>
                      <w:divBdr>
                        <w:top w:val="none" w:sz="0" w:space="0" w:color="auto"/>
                        <w:left w:val="none" w:sz="0" w:space="0" w:color="auto"/>
                        <w:bottom w:val="none" w:sz="0" w:space="0" w:color="auto"/>
                        <w:right w:val="none" w:sz="0" w:space="0" w:color="auto"/>
                      </w:divBdr>
                    </w:div>
                  </w:divsChild>
                </w:div>
                <w:div w:id="852650880">
                  <w:marLeft w:val="0"/>
                  <w:marRight w:val="0"/>
                  <w:marTop w:val="0"/>
                  <w:marBottom w:val="0"/>
                  <w:divBdr>
                    <w:top w:val="none" w:sz="0" w:space="0" w:color="auto"/>
                    <w:left w:val="none" w:sz="0" w:space="0" w:color="auto"/>
                    <w:bottom w:val="none" w:sz="0" w:space="0" w:color="auto"/>
                    <w:right w:val="none" w:sz="0" w:space="0" w:color="auto"/>
                  </w:divBdr>
                  <w:divsChild>
                    <w:div w:id="391268648">
                      <w:marLeft w:val="0"/>
                      <w:marRight w:val="0"/>
                      <w:marTop w:val="0"/>
                      <w:marBottom w:val="0"/>
                      <w:divBdr>
                        <w:top w:val="none" w:sz="0" w:space="0" w:color="auto"/>
                        <w:left w:val="none" w:sz="0" w:space="0" w:color="auto"/>
                        <w:bottom w:val="none" w:sz="0" w:space="0" w:color="auto"/>
                        <w:right w:val="none" w:sz="0" w:space="0" w:color="auto"/>
                      </w:divBdr>
                    </w:div>
                  </w:divsChild>
                </w:div>
                <w:div w:id="831025583">
                  <w:marLeft w:val="0"/>
                  <w:marRight w:val="0"/>
                  <w:marTop w:val="0"/>
                  <w:marBottom w:val="0"/>
                  <w:divBdr>
                    <w:top w:val="none" w:sz="0" w:space="0" w:color="auto"/>
                    <w:left w:val="none" w:sz="0" w:space="0" w:color="auto"/>
                    <w:bottom w:val="none" w:sz="0" w:space="0" w:color="auto"/>
                    <w:right w:val="none" w:sz="0" w:space="0" w:color="auto"/>
                  </w:divBdr>
                  <w:divsChild>
                    <w:div w:id="1181817812">
                      <w:marLeft w:val="0"/>
                      <w:marRight w:val="0"/>
                      <w:marTop w:val="0"/>
                      <w:marBottom w:val="0"/>
                      <w:divBdr>
                        <w:top w:val="none" w:sz="0" w:space="0" w:color="auto"/>
                        <w:left w:val="none" w:sz="0" w:space="0" w:color="auto"/>
                        <w:bottom w:val="none" w:sz="0" w:space="0" w:color="auto"/>
                        <w:right w:val="none" w:sz="0" w:space="0" w:color="auto"/>
                      </w:divBdr>
                    </w:div>
                  </w:divsChild>
                </w:div>
                <w:div w:id="1924534286">
                  <w:marLeft w:val="0"/>
                  <w:marRight w:val="0"/>
                  <w:marTop w:val="0"/>
                  <w:marBottom w:val="0"/>
                  <w:divBdr>
                    <w:top w:val="none" w:sz="0" w:space="0" w:color="auto"/>
                    <w:left w:val="none" w:sz="0" w:space="0" w:color="auto"/>
                    <w:bottom w:val="none" w:sz="0" w:space="0" w:color="auto"/>
                    <w:right w:val="none" w:sz="0" w:space="0" w:color="auto"/>
                  </w:divBdr>
                  <w:divsChild>
                    <w:div w:id="21320823">
                      <w:marLeft w:val="0"/>
                      <w:marRight w:val="0"/>
                      <w:marTop w:val="0"/>
                      <w:marBottom w:val="0"/>
                      <w:divBdr>
                        <w:top w:val="none" w:sz="0" w:space="0" w:color="auto"/>
                        <w:left w:val="none" w:sz="0" w:space="0" w:color="auto"/>
                        <w:bottom w:val="none" w:sz="0" w:space="0" w:color="auto"/>
                        <w:right w:val="none" w:sz="0" w:space="0" w:color="auto"/>
                      </w:divBdr>
                    </w:div>
                  </w:divsChild>
                </w:div>
                <w:div w:id="88505438">
                  <w:marLeft w:val="0"/>
                  <w:marRight w:val="0"/>
                  <w:marTop w:val="0"/>
                  <w:marBottom w:val="0"/>
                  <w:divBdr>
                    <w:top w:val="none" w:sz="0" w:space="0" w:color="auto"/>
                    <w:left w:val="none" w:sz="0" w:space="0" w:color="auto"/>
                    <w:bottom w:val="none" w:sz="0" w:space="0" w:color="auto"/>
                    <w:right w:val="none" w:sz="0" w:space="0" w:color="auto"/>
                  </w:divBdr>
                  <w:divsChild>
                    <w:div w:id="90973440">
                      <w:marLeft w:val="0"/>
                      <w:marRight w:val="0"/>
                      <w:marTop w:val="0"/>
                      <w:marBottom w:val="0"/>
                      <w:divBdr>
                        <w:top w:val="none" w:sz="0" w:space="0" w:color="auto"/>
                        <w:left w:val="none" w:sz="0" w:space="0" w:color="auto"/>
                        <w:bottom w:val="none" w:sz="0" w:space="0" w:color="auto"/>
                        <w:right w:val="none" w:sz="0" w:space="0" w:color="auto"/>
                      </w:divBdr>
                    </w:div>
                  </w:divsChild>
                </w:div>
                <w:div w:id="292716514">
                  <w:marLeft w:val="0"/>
                  <w:marRight w:val="0"/>
                  <w:marTop w:val="0"/>
                  <w:marBottom w:val="0"/>
                  <w:divBdr>
                    <w:top w:val="none" w:sz="0" w:space="0" w:color="auto"/>
                    <w:left w:val="none" w:sz="0" w:space="0" w:color="auto"/>
                    <w:bottom w:val="none" w:sz="0" w:space="0" w:color="auto"/>
                    <w:right w:val="none" w:sz="0" w:space="0" w:color="auto"/>
                  </w:divBdr>
                  <w:divsChild>
                    <w:div w:id="1422486940">
                      <w:marLeft w:val="0"/>
                      <w:marRight w:val="0"/>
                      <w:marTop w:val="0"/>
                      <w:marBottom w:val="0"/>
                      <w:divBdr>
                        <w:top w:val="none" w:sz="0" w:space="0" w:color="auto"/>
                        <w:left w:val="none" w:sz="0" w:space="0" w:color="auto"/>
                        <w:bottom w:val="none" w:sz="0" w:space="0" w:color="auto"/>
                        <w:right w:val="none" w:sz="0" w:space="0" w:color="auto"/>
                      </w:divBdr>
                    </w:div>
                  </w:divsChild>
                </w:div>
                <w:div w:id="1741752000">
                  <w:marLeft w:val="0"/>
                  <w:marRight w:val="0"/>
                  <w:marTop w:val="0"/>
                  <w:marBottom w:val="0"/>
                  <w:divBdr>
                    <w:top w:val="none" w:sz="0" w:space="0" w:color="auto"/>
                    <w:left w:val="none" w:sz="0" w:space="0" w:color="auto"/>
                    <w:bottom w:val="none" w:sz="0" w:space="0" w:color="auto"/>
                    <w:right w:val="none" w:sz="0" w:space="0" w:color="auto"/>
                  </w:divBdr>
                  <w:divsChild>
                    <w:div w:id="665396963">
                      <w:marLeft w:val="0"/>
                      <w:marRight w:val="0"/>
                      <w:marTop w:val="0"/>
                      <w:marBottom w:val="0"/>
                      <w:divBdr>
                        <w:top w:val="none" w:sz="0" w:space="0" w:color="auto"/>
                        <w:left w:val="none" w:sz="0" w:space="0" w:color="auto"/>
                        <w:bottom w:val="none" w:sz="0" w:space="0" w:color="auto"/>
                        <w:right w:val="none" w:sz="0" w:space="0" w:color="auto"/>
                      </w:divBdr>
                    </w:div>
                  </w:divsChild>
                </w:div>
                <w:div w:id="1094976186">
                  <w:marLeft w:val="0"/>
                  <w:marRight w:val="0"/>
                  <w:marTop w:val="0"/>
                  <w:marBottom w:val="0"/>
                  <w:divBdr>
                    <w:top w:val="none" w:sz="0" w:space="0" w:color="auto"/>
                    <w:left w:val="none" w:sz="0" w:space="0" w:color="auto"/>
                    <w:bottom w:val="none" w:sz="0" w:space="0" w:color="auto"/>
                    <w:right w:val="none" w:sz="0" w:space="0" w:color="auto"/>
                  </w:divBdr>
                  <w:divsChild>
                    <w:div w:id="158624233">
                      <w:marLeft w:val="0"/>
                      <w:marRight w:val="0"/>
                      <w:marTop w:val="0"/>
                      <w:marBottom w:val="0"/>
                      <w:divBdr>
                        <w:top w:val="none" w:sz="0" w:space="0" w:color="auto"/>
                        <w:left w:val="none" w:sz="0" w:space="0" w:color="auto"/>
                        <w:bottom w:val="none" w:sz="0" w:space="0" w:color="auto"/>
                        <w:right w:val="none" w:sz="0" w:space="0" w:color="auto"/>
                      </w:divBdr>
                    </w:div>
                  </w:divsChild>
                </w:div>
                <w:div w:id="1482040594">
                  <w:marLeft w:val="0"/>
                  <w:marRight w:val="0"/>
                  <w:marTop w:val="0"/>
                  <w:marBottom w:val="0"/>
                  <w:divBdr>
                    <w:top w:val="none" w:sz="0" w:space="0" w:color="auto"/>
                    <w:left w:val="none" w:sz="0" w:space="0" w:color="auto"/>
                    <w:bottom w:val="none" w:sz="0" w:space="0" w:color="auto"/>
                    <w:right w:val="none" w:sz="0" w:space="0" w:color="auto"/>
                  </w:divBdr>
                  <w:divsChild>
                    <w:div w:id="412046211">
                      <w:marLeft w:val="0"/>
                      <w:marRight w:val="0"/>
                      <w:marTop w:val="0"/>
                      <w:marBottom w:val="0"/>
                      <w:divBdr>
                        <w:top w:val="none" w:sz="0" w:space="0" w:color="auto"/>
                        <w:left w:val="none" w:sz="0" w:space="0" w:color="auto"/>
                        <w:bottom w:val="none" w:sz="0" w:space="0" w:color="auto"/>
                        <w:right w:val="none" w:sz="0" w:space="0" w:color="auto"/>
                      </w:divBdr>
                    </w:div>
                  </w:divsChild>
                </w:div>
                <w:div w:id="2084908355">
                  <w:marLeft w:val="0"/>
                  <w:marRight w:val="0"/>
                  <w:marTop w:val="0"/>
                  <w:marBottom w:val="0"/>
                  <w:divBdr>
                    <w:top w:val="none" w:sz="0" w:space="0" w:color="auto"/>
                    <w:left w:val="none" w:sz="0" w:space="0" w:color="auto"/>
                    <w:bottom w:val="none" w:sz="0" w:space="0" w:color="auto"/>
                    <w:right w:val="none" w:sz="0" w:space="0" w:color="auto"/>
                  </w:divBdr>
                  <w:divsChild>
                    <w:div w:id="1235891327">
                      <w:marLeft w:val="0"/>
                      <w:marRight w:val="0"/>
                      <w:marTop w:val="0"/>
                      <w:marBottom w:val="0"/>
                      <w:divBdr>
                        <w:top w:val="none" w:sz="0" w:space="0" w:color="auto"/>
                        <w:left w:val="none" w:sz="0" w:space="0" w:color="auto"/>
                        <w:bottom w:val="none" w:sz="0" w:space="0" w:color="auto"/>
                        <w:right w:val="none" w:sz="0" w:space="0" w:color="auto"/>
                      </w:divBdr>
                    </w:div>
                  </w:divsChild>
                </w:div>
                <w:div w:id="1673288982">
                  <w:marLeft w:val="0"/>
                  <w:marRight w:val="0"/>
                  <w:marTop w:val="0"/>
                  <w:marBottom w:val="0"/>
                  <w:divBdr>
                    <w:top w:val="none" w:sz="0" w:space="0" w:color="auto"/>
                    <w:left w:val="none" w:sz="0" w:space="0" w:color="auto"/>
                    <w:bottom w:val="none" w:sz="0" w:space="0" w:color="auto"/>
                    <w:right w:val="none" w:sz="0" w:space="0" w:color="auto"/>
                  </w:divBdr>
                  <w:divsChild>
                    <w:div w:id="2055231974">
                      <w:marLeft w:val="0"/>
                      <w:marRight w:val="0"/>
                      <w:marTop w:val="0"/>
                      <w:marBottom w:val="0"/>
                      <w:divBdr>
                        <w:top w:val="none" w:sz="0" w:space="0" w:color="auto"/>
                        <w:left w:val="none" w:sz="0" w:space="0" w:color="auto"/>
                        <w:bottom w:val="none" w:sz="0" w:space="0" w:color="auto"/>
                        <w:right w:val="none" w:sz="0" w:space="0" w:color="auto"/>
                      </w:divBdr>
                    </w:div>
                  </w:divsChild>
                </w:div>
                <w:div w:id="1310596405">
                  <w:marLeft w:val="0"/>
                  <w:marRight w:val="0"/>
                  <w:marTop w:val="0"/>
                  <w:marBottom w:val="0"/>
                  <w:divBdr>
                    <w:top w:val="none" w:sz="0" w:space="0" w:color="auto"/>
                    <w:left w:val="none" w:sz="0" w:space="0" w:color="auto"/>
                    <w:bottom w:val="none" w:sz="0" w:space="0" w:color="auto"/>
                    <w:right w:val="none" w:sz="0" w:space="0" w:color="auto"/>
                  </w:divBdr>
                  <w:divsChild>
                    <w:div w:id="929117290">
                      <w:marLeft w:val="0"/>
                      <w:marRight w:val="0"/>
                      <w:marTop w:val="0"/>
                      <w:marBottom w:val="0"/>
                      <w:divBdr>
                        <w:top w:val="none" w:sz="0" w:space="0" w:color="auto"/>
                        <w:left w:val="none" w:sz="0" w:space="0" w:color="auto"/>
                        <w:bottom w:val="none" w:sz="0" w:space="0" w:color="auto"/>
                        <w:right w:val="none" w:sz="0" w:space="0" w:color="auto"/>
                      </w:divBdr>
                    </w:div>
                  </w:divsChild>
                </w:div>
                <w:div w:id="113714345">
                  <w:marLeft w:val="0"/>
                  <w:marRight w:val="0"/>
                  <w:marTop w:val="0"/>
                  <w:marBottom w:val="0"/>
                  <w:divBdr>
                    <w:top w:val="none" w:sz="0" w:space="0" w:color="auto"/>
                    <w:left w:val="none" w:sz="0" w:space="0" w:color="auto"/>
                    <w:bottom w:val="none" w:sz="0" w:space="0" w:color="auto"/>
                    <w:right w:val="none" w:sz="0" w:space="0" w:color="auto"/>
                  </w:divBdr>
                  <w:divsChild>
                    <w:div w:id="264316053">
                      <w:marLeft w:val="0"/>
                      <w:marRight w:val="0"/>
                      <w:marTop w:val="0"/>
                      <w:marBottom w:val="0"/>
                      <w:divBdr>
                        <w:top w:val="none" w:sz="0" w:space="0" w:color="auto"/>
                        <w:left w:val="none" w:sz="0" w:space="0" w:color="auto"/>
                        <w:bottom w:val="none" w:sz="0" w:space="0" w:color="auto"/>
                        <w:right w:val="none" w:sz="0" w:space="0" w:color="auto"/>
                      </w:divBdr>
                    </w:div>
                  </w:divsChild>
                </w:div>
                <w:div w:id="1754080302">
                  <w:marLeft w:val="0"/>
                  <w:marRight w:val="0"/>
                  <w:marTop w:val="0"/>
                  <w:marBottom w:val="0"/>
                  <w:divBdr>
                    <w:top w:val="none" w:sz="0" w:space="0" w:color="auto"/>
                    <w:left w:val="none" w:sz="0" w:space="0" w:color="auto"/>
                    <w:bottom w:val="none" w:sz="0" w:space="0" w:color="auto"/>
                    <w:right w:val="none" w:sz="0" w:space="0" w:color="auto"/>
                  </w:divBdr>
                  <w:divsChild>
                    <w:div w:id="74515412">
                      <w:marLeft w:val="0"/>
                      <w:marRight w:val="0"/>
                      <w:marTop w:val="0"/>
                      <w:marBottom w:val="0"/>
                      <w:divBdr>
                        <w:top w:val="none" w:sz="0" w:space="0" w:color="auto"/>
                        <w:left w:val="none" w:sz="0" w:space="0" w:color="auto"/>
                        <w:bottom w:val="none" w:sz="0" w:space="0" w:color="auto"/>
                        <w:right w:val="none" w:sz="0" w:space="0" w:color="auto"/>
                      </w:divBdr>
                    </w:div>
                  </w:divsChild>
                </w:div>
                <w:div w:id="1532498666">
                  <w:marLeft w:val="0"/>
                  <w:marRight w:val="0"/>
                  <w:marTop w:val="0"/>
                  <w:marBottom w:val="0"/>
                  <w:divBdr>
                    <w:top w:val="none" w:sz="0" w:space="0" w:color="auto"/>
                    <w:left w:val="none" w:sz="0" w:space="0" w:color="auto"/>
                    <w:bottom w:val="none" w:sz="0" w:space="0" w:color="auto"/>
                    <w:right w:val="none" w:sz="0" w:space="0" w:color="auto"/>
                  </w:divBdr>
                  <w:divsChild>
                    <w:div w:id="316107409">
                      <w:marLeft w:val="0"/>
                      <w:marRight w:val="0"/>
                      <w:marTop w:val="0"/>
                      <w:marBottom w:val="0"/>
                      <w:divBdr>
                        <w:top w:val="none" w:sz="0" w:space="0" w:color="auto"/>
                        <w:left w:val="none" w:sz="0" w:space="0" w:color="auto"/>
                        <w:bottom w:val="none" w:sz="0" w:space="0" w:color="auto"/>
                        <w:right w:val="none" w:sz="0" w:space="0" w:color="auto"/>
                      </w:divBdr>
                    </w:div>
                  </w:divsChild>
                </w:div>
                <w:div w:id="1172913726">
                  <w:marLeft w:val="0"/>
                  <w:marRight w:val="0"/>
                  <w:marTop w:val="0"/>
                  <w:marBottom w:val="0"/>
                  <w:divBdr>
                    <w:top w:val="none" w:sz="0" w:space="0" w:color="auto"/>
                    <w:left w:val="none" w:sz="0" w:space="0" w:color="auto"/>
                    <w:bottom w:val="none" w:sz="0" w:space="0" w:color="auto"/>
                    <w:right w:val="none" w:sz="0" w:space="0" w:color="auto"/>
                  </w:divBdr>
                  <w:divsChild>
                    <w:div w:id="444544519">
                      <w:marLeft w:val="0"/>
                      <w:marRight w:val="0"/>
                      <w:marTop w:val="0"/>
                      <w:marBottom w:val="0"/>
                      <w:divBdr>
                        <w:top w:val="none" w:sz="0" w:space="0" w:color="auto"/>
                        <w:left w:val="none" w:sz="0" w:space="0" w:color="auto"/>
                        <w:bottom w:val="none" w:sz="0" w:space="0" w:color="auto"/>
                        <w:right w:val="none" w:sz="0" w:space="0" w:color="auto"/>
                      </w:divBdr>
                    </w:div>
                  </w:divsChild>
                </w:div>
                <w:div w:id="537351266">
                  <w:marLeft w:val="0"/>
                  <w:marRight w:val="0"/>
                  <w:marTop w:val="0"/>
                  <w:marBottom w:val="0"/>
                  <w:divBdr>
                    <w:top w:val="none" w:sz="0" w:space="0" w:color="auto"/>
                    <w:left w:val="none" w:sz="0" w:space="0" w:color="auto"/>
                    <w:bottom w:val="none" w:sz="0" w:space="0" w:color="auto"/>
                    <w:right w:val="none" w:sz="0" w:space="0" w:color="auto"/>
                  </w:divBdr>
                  <w:divsChild>
                    <w:div w:id="1822769030">
                      <w:marLeft w:val="0"/>
                      <w:marRight w:val="0"/>
                      <w:marTop w:val="0"/>
                      <w:marBottom w:val="0"/>
                      <w:divBdr>
                        <w:top w:val="none" w:sz="0" w:space="0" w:color="auto"/>
                        <w:left w:val="none" w:sz="0" w:space="0" w:color="auto"/>
                        <w:bottom w:val="none" w:sz="0" w:space="0" w:color="auto"/>
                        <w:right w:val="none" w:sz="0" w:space="0" w:color="auto"/>
                      </w:divBdr>
                    </w:div>
                  </w:divsChild>
                </w:div>
                <w:div w:id="1467774521">
                  <w:marLeft w:val="0"/>
                  <w:marRight w:val="0"/>
                  <w:marTop w:val="0"/>
                  <w:marBottom w:val="0"/>
                  <w:divBdr>
                    <w:top w:val="none" w:sz="0" w:space="0" w:color="auto"/>
                    <w:left w:val="none" w:sz="0" w:space="0" w:color="auto"/>
                    <w:bottom w:val="none" w:sz="0" w:space="0" w:color="auto"/>
                    <w:right w:val="none" w:sz="0" w:space="0" w:color="auto"/>
                  </w:divBdr>
                  <w:divsChild>
                    <w:div w:id="1480001202">
                      <w:marLeft w:val="0"/>
                      <w:marRight w:val="0"/>
                      <w:marTop w:val="0"/>
                      <w:marBottom w:val="0"/>
                      <w:divBdr>
                        <w:top w:val="none" w:sz="0" w:space="0" w:color="auto"/>
                        <w:left w:val="none" w:sz="0" w:space="0" w:color="auto"/>
                        <w:bottom w:val="none" w:sz="0" w:space="0" w:color="auto"/>
                        <w:right w:val="none" w:sz="0" w:space="0" w:color="auto"/>
                      </w:divBdr>
                    </w:div>
                  </w:divsChild>
                </w:div>
                <w:div w:id="1450197722">
                  <w:marLeft w:val="0"/>
                  <w:marRight w:val="0"/>
                  <w:marTop w:val="0"/>
                  <w:marBottom w:val="0"/>
                  <w:divBdr>
                    <w:top w:val="none" w:sz="0" w:space="0" w:color="auto"/>
                    <w:left w:val="none" w:sz="0" w:space="0" w:color="auto"/>
                    <w:bottom w:val="none" w:sz="0" w:space="0" w:color="auto"/>
                    <w:right w:val="none" w:sz="0" w:space="0" w:color="auto"/>
                  </w:divBdr>
                  <w:divsChild>
                    <w:div w:id="159783606">
                      <w:marLeft w:val="0"/>
                      <w:marRight w:val="0"/>
                      <w:marTop w:val="0"/>
                      <w:marBottom w:val="0"/>
                      <w:divBdr>
                        <w:top w:val="none" w:sz="0" w:space="0" w:color="auto"/>
                        <w:left w:val="none" w:sz="0" w:space="0" w:color="auto"/>
                        <w:bottom w:val="none" w:sz="0" w:space="0" w:color="auto"/>
                        <w:right w:val="none" w:sz="0" w:space="0" w:color="auto"/>
                      </w:divBdr>
                    </w:div>
                  </w:divsChild>
                </w:div>
                <w:div w:id="403530160">
                  <w:marLeft w:val="0"/>
                  <w:marRight w:val="0"/>
                  <w:marTop w:val="0"/>
                  <w:marBottom w:val="0"/>
                  <w:divBdr>
                    <w:top w:val="none" w:sz="0" w:space="0" w:color="auto"/>
                    <w:left w:val="none" w:sz="0" w:space="0" w:color="auto"/>
                    <w:bottom w:val="none" w:sz="0" w:space="0" w:color="auto"/>
                    <w:right w:val="none" w:sz="0" w:space="0" w:color="auto"/>
                  </w:divBdr>
                  <w:divsChild>
                    <w:div w:id="1296638432">
                      <w:marLeft w:val="0"/>
                      <w:marRight w:val="0"/>
                      <w:marTop w:val="0"/>
                      <w:marBottom w:val="0"/>
                      <w:divBdr>
                        <w:top w:val="none" w:sz="0" w:space="0" w:color="auto"/>
                        <w:left w:val="none" w:sz="0" w:space="0" w:color="auto"/>
                        <w:bottom w:val="none" w:sz="0" w:space="0" w:color="auto"/>
                        <w:right w:val="none" w:sz="0" w:space="0" w:color="auto"/>
                      </w:divBdr>
                    </w:div>
                  </w:divsChild>
                </w:div>
                <w:div w:id="1234971127">
                  <w:marLeft w:val="0"/>
                  <w:marRight w:val="0"/>
                  <w:marTop w:val="0"/>
                  <w:marBottom w:val="0"/>
                  <w:divBdr>
                    <w:top w:val="none" w:sz="0" w:space="0" w:color="auto"/>
                    <w:left w:val="none" w:sz="0" w:space="0" w:color="auto"/>
                    <w:bottom w:val="none" w:sz="0" w:space="0" w:color="auto"/>
                    <w:right w:val="none" w:sz="0" w:space="0" w:color="auto"/>
                  </w:divBdr>
                  <w:divsChild>
                    <w:div w:id="913010881">
                      <w:marLeft w:val="0"/>
                      <w:marRight w:val="0"/>
                      <w:marTop w:val="0"/>
                      <w:marBottom w:val="0"/>
                      <w:divBdr>
                        <w:top w:val="none" w:sz="0" w:space="0" w:color="auto"/>
                        <w:left w:val="none" w:sz="0" w:space="0" w:color="auto"/>
                        <w:bottom w:val="none" w:sz="0" w:space="0" w:color="auto"/>
                        <w:right w:val="none" w:sz="0" w:space="0" w:color="auto"/>
                      </w:divBdr>
                    </w:div>
                  </w:divsChild>
                </w:div>
                <w:div w:id="1810127362">
                  <w:marLeft w:val="0"/>
                  <w:marRight w:val="0"/>
                  <w:marTop w:val="0"/>
                  <w:marBottom w:val="0"/>
                  <w:divBdr>
                    <w:top w:val="none" w:sz="0" w:space="0" w:color="auto"/>
                    <w:left w:val="none" w:sz="0" w:space="0" w:color="auto"/>
                    <w:bottom w:val="none" w:sz="0" w:space="0" w:color="auto"/>
                    <w:right w:val="none" w:sz="0" w:space="0" w:color="auto"/>
                  </w:divBdr>
                  <w:divsChild>
                    <w:div w:id="1877813677">
                      <w:marLeft w:val="0"/>
                      <w:marRight w:val="0"/>
                      <w:marTop w:val="0"/>
                      <w:marBottom w:val="0"/>
                      <w:divBdr>
                        <w:top w:val="none" w:sz="0" w:space="0" w:color="auto"/>
                        <w:left w:val="none" w:sz="0" w:space="0" w:color="auto"/>
                        <w:bottom w:val="none" w:sz="0" w:space="0" w:color="auto"/>
                        <w:right w:val="none" w:sz="0" w:space="0" w:color="auto"/>
                      </w:divBdr>
                    </w:div>
                  </w:divsChild>
                </w:div>
                <w:div w:id="1647201030">
                  <w:marLeft w:val="0"/>
                  <w:marRight w:val="0"/>
                  <w:marTop w:val="0"/>
                  <w:marBottom w:val="0"/>
                  <w:divBdr>
                    <w:top w:val="none" w:sz="0" w:space="0" w:color="auto"/>
                    <w:left w:val="none" w:sz="0" w:space="0" w:color="auto"/>
                    <w:bottom w:val="none" w:sz="0" w:space="0" w:color="auto"/>
                    <w:right w:val="none" w:sz="0" w:space="0" w:color="auto"/>
                  </w:divBdr>
                  <w:divsChild>
                    <w:div w:id="290479200">
                      <w:marLeft w:val="0"/>
                      <w:marRight w:val="0"/>
                      <w:marTop w:val="0"/>
                      <w:marBottom w:val="0"/>
                      <w:divBdr>
                        <w:top w:val="none" w:sz="0" w:space="0" w:color="auto"/>
                        <w:left w:val="none" w:sz="0" w:space="0" w:color="auto"/>
                        <w:bottom w:val="none" w:sz="0" w:space="0" w:color="auto"/>
                        <w:right w:val="none" w:sz="0" w:space="0" w:color="auto"/>
                      </w:divBdr>
                    </w:div>
                  </w:divsChild>
                </w:div>
                <w:div w:id="1529835165">
                  <w:marLeft w:val="0"/>
                  <w:marRight w:val="0"/>
                  <w:marTop w:val="0"/>
                  <w:marBottom w:val="0"/>
                  <w:divBdr>
                    <w:top w:val="none" w:sz="0" w:space="0" w:color="auto"/>
                    <w:left w:val="none" w:sz="0" w:space="0" w:color="auto"/>
                    <w:bottom w:val="none" w:sz="0" w:space="0" w:color="auto"/>
                    <w:right w:val="none" w:sz="0" w:space="0" w:color="auto"/>
                  </w:divBdr>
                  <w:divsChild>
                    <w:div w:id="945845545">
                      <w:marLeft w:val="0"/>
                      <w:marRight w:val="0"/>
                      <w:marTop w:val="0"/>
                      <w:marBottom w:val="0"/>
                      <w:divBdr>
                        <w:top w:val="none" w:sz="0" w:space="0" w:color="auto"/>
                        <w:left w:val="none" w:sz="0" w:space="0" w:color="auto"/>
                        <w:bottom w:val="none" w:sz="0" w:space="0" w:color="auto"/>
                        <w:right w:val="none" w:sz="0" w:space="0" w:color="auto"/>
                      </w:divBdr>
                    </w:div>
                  </w:divsChild>
                </w:div>
                <w:div w:id="133528694">
                  <w:marLeft w:val="0"/>
                  <w:marRight w:val="0"/>
                  <w:marTop w:val="0"/>
                  <w:marBottom w:val="0"/>
                  <w:divBdr>
                    <w:top w:val="none" w:sz="0" w:space="0" w:color="auto"/>
                    <w:left w:val="none" w:sz="0" w:space="0" w:color="auto"/>
                    <w:bottom w:val="none" w:sz="0" w:space="0" w:color="auto"/>
                    <w:right w:val="none" w:sz="0" w:space="0" w:color="auto"/>
                  </w:divBdr>
                  <w:divsChild>
                    <w:div w:id="897127369">
                      <w:marLeft w:val="0"/>
                      <w:marRight w:val="0"/>
                      <w:marTop w:val="0"/>
                      <w:marBottom w:val="0"/>
                      <w:divBdr>
                        <w:top w:val="none" w:sz="0" w:space="0" w:color="auto"/>
                        <w:left w:val="none" w:sz="0" w:space="0" w:color="auto"/>
                        <w:bottom w:val="none" w:sz="0" w:space="0" w:color="auto"/>
                        <w:right w:val="none" w:sz="0" w:space="0" w:color="auto"/>
                      </w:divBdr>
                    </w:div>
                  </w:divsChild>
                </w:div>
                <w:div w:id="892159382">
                  <w:marLeft w:val="0"/>
                  <w:marRight w:val="0"/>
                  <w:marTop w:val="0"/>
                  <w:marBottom w:val="0"/>
                  <w:divBdr>
                    <w:top w:val="none" w:sz="0" w:space="0" w:color="auto"/>
                    <w:left w:val="none" w:sz="0" w:space="0" w:color="auto"/>
                    <w:bottom w:val="none" w:sz="0" w:space="0" w:color="auto"/>
                    <w:right w:val="none" w:sz="0" w:space="0" w:color="auto"/>
                  </w:divBdr>
                  <w:divsChild>
                    <w:div w:id="1923221522">
                      <w:marLeft w:val="0"/>
                      <w:marRight w:val="0"/>
                      <w:marTop w:val="0"/>
                      <w:marBottom w:val="0"/>
                      <w:divBdr>
                        <w:top w:val="none" w:sz="0" w:space="0" w:color="auto"/>
                        <w:left w:val="none" w:sz="0" w:space="0" w:color="auto"/>
                        <w:bottom w:val="none" w:sz="0" w:space="0" w:color="auto"/>
                        <w:right w:val="none" w:sz="0" w:space="0" w:color="auto"/>
                      </w:divBdr>
                    </w:div>
                  </w:divsChild>
                </w:div>
                <w:div w:id="891959630">
                  <w:marLeft w:val="0"/>
                  <w:marRight w:val="0"/>
                  <w:marTop w:val="0"/>
                  <w:marBottom w:val="0"/>
                  <w:divBdr>
                    <w:top w:val="none" w:sz="0" w:space="0" w:color="auto"/>
                    <w:left w:val="none" w:sz="0" w:space="0" w:color="auto"/>
                    <w:bottom w:val="none" w:sz="0" w:space="0" w:color="auto"/>
                    <w:right w:val="none" w:sz="0" w:space="0" w:color="auto"/>
                  </w:divBdr>
                  <w:divsChild>
                    <w:div w:id="727266195">
                      <w:marLeft w:val="0"/>
                      <w:marRight w:val="0"/>
                      <w:marTop w:val="0"/>
                      <w:marBottom w:val="0"/>
                      <w:divBdr>
                        <w:top w:val="none" w:sz="0" w:space="0" w:color="auto"/>
                        <w:left w:val="none" w:sz="0" w:space="0" w:color="auto"/>
                        <w:bottom w:val="none" w:sz="0" w:space="0" w:color="auto"/>
                        <w:right w:val="none" w:sz="0" w:space="0" w:color="auto"/>
                      </w:divBdr>
                    </w:div>
                  </w:divsChild>
                </w:div>
                <w:div w:id="1577548825">
                  <w:marLeft w:val="0"/>
                  <w:marRight w:val="0"/>
                  <w:marTop w:val="0"/>
                  <w:marBottom w:val="0"/>
                  <w:divBdr>
                    <w:top w:val="none" w:sz="0" w:space="0" w:color="auto"/>
                    <w:left w:val="none" w:sz="0" w:space="0" w:color="auto"/>
                    <w:bottom w:val="none" w:sz="0" w:space="0" w:color="auto"/>
                    <w:right w:val="none" w:sz="0" w:space="0" w:color="auto"/>
                  </w:divBdr>
                  <w:divsChild>
                    <w:div w:id="179776988">
                      <w:marLeft w:val="0"/>
                      <w:marRight w:val="0"/>
                      <w:marTop w:val="0"/>
                      <w:marBottom w:val="0"/>
                      <w:divBdr>
                        <w:top w:val="none" w:sz="0" w:space="0" w:color="auto"/>
                        <w:left w:val="none" w:sz="0" w:space="0" w:color="auto"/>
                        <w:bottom w:val="none" w:sz="0" w:space="0" w:color="auto"/>
                        <w:right w:val="none" w:sz="0" w:space="0" w:color="auto"/>
                      </w:divBdr>
                    </w:div>
                  </w:divsChild>
                </w:div>
                <w:div w:id="969825973">
                  <w:marLeft w:val="0"/>
                  <w:marRight w:val="0"/>
                  <w:marTop w:val="0"/>
                  <w:marBottom w:val="0"/>
                  <w:divBdr>
                    <w:top w:val="none" w:sz="0" w:space="0" w:color="auto"/>
                    <w:left w:val="none" w:sz="0" w:space="0" w:color="auto"/>
                    <w:bottom w:val="none" w:sz="0" w:space="0" w:color="auto"/>
                    <w:right w:val="none" w:sz="0" w:space="0" w:color="auto"/>
                  </w:divBdr>
                  <w:divsChild>
                    <w:div w:id="96216438">
                      <w:marLeft w:val="0"/>
                      <w:marRight w:val="0"/>
                      <w:marTop w:val="0"/>
                      <w:marBottom w:val="0"/>
                      <w:divBdr>
                        <w:top w:val="none" w:sz="0" w:space="0" w:color="auto"/>
                        <w:left w:val="none" w:sz="0" w:space="0" w:color="auto"/>
                        <w:bottom w:val="none" w:sz="0" w:space="0" w:color="auto"/>
                        <w:right w:val="none" w:sz="0" w:space="0" w:color="auto"/>
                      </w:divBdr>
                    </w:div>
                  </w:divsChild>
                </w:div>
                <w:div w:id="1643002744">
                  <w:marLeft w:val="0"/>
                  <w:marRight w:val="0"/>
                  <w:marTop w:val="0"/>
                  <w:marBottom w:val="0"/>
                  <w:divBdr>
                    <w:top w:val="none" w:sz="0" w:space="0" w:color="auto"/>
                    <w:left w:val="none" w:sz="0" w:space="0" w:color="auto"/>
                    <w:bottom w:val="none" w:sz="0" w:space="0" w:color="auto"/>
                    <w:right w:val="none" w:sz="0" w:space="0" w:color="auto"/>
                  </w:divBdr>
                  <w:divsChild>
                    <w:div w:id="1460027252">
                      <w:marLeft w:val="0"/>
                      <w:marRight w:val="0"/>
                      <w:marTop w:val="0"/>
                      <w:marBottom w:val="0"/>
                      <w:divBdr>
                        <w:top w:val="none" w:sz="0" w:space="0" w:color="auto"/>
                        <w:left w:val="none" w:sz="0" w:space="0" w:color="auto"/>
                        <w:bottom w:val="none" w:sz="0" w:space="0" w:color="auto"/>
                        <w:right w:val="none" w:sz="0" w:space="0" w:color="auto"/>
                      </w:divBdr>
                    </w:div>
                  </w:divsChild>
                </w:div>
                <w:div w:id="496653016">
                  <w:marLeft w:val="0"/>
                  <w:marRight w:val="0"/>
                  <w:marTop w:val="0"/>
                  <w:marBottom w:val="0"/>
                  <w:divBdr>
                    <w:top w:val="none" w:sz="0" w:space="0" w:color="auto"/>
                    <w:left w:val="none" w:sz="0" w:space="0" w:color="auto"/>
                    <w:bottom w:val="none" w:sz="0" w:space="0" w:color="auto"/>
                    <w:right w:val="none" w:sz="0" w:space="0" w:color="auto"/>
                  </w:divBdr>
                  <w:divsChild>
                    <w:div w:id="2973196">
                      <w:marLeft w:val="0"/>
                      <w:marRight w:val="0"/>
                      <w:marTop w:val="0"/>
                      <w:marBottom w:val="0"/>
                      <w:divBdr>
                        <w:top w:val="none" w:sz="0" w:space="0" w:color="auto"/>
                        <w:left w:val="none" w:sz="0" w:space="0" w:color="auto"/>
                        <w:bottom w:val="none" w:sz="0" w:space="0" w:color="auto"/>
                        <w:right w:val="none" w:sz="0" w:space="0" w:color="auto"/>
                      </w:divBdr>
                    </w:div>
                  </w:divsChild>
                </w:div>
                <w:div w:id="207500114">
                  <w:marLeft w:val="0"/>
                  <w:marRight w:val="0"/>
                  <w:marTop w:val="0"/>
                  <w:marBottom w:val="0"/>
                  <w:divBdr>
                    <w:top w:val="none" w:sz="0" w:space="0" w:color="auto"/>
                    <w:left w:val="none" w:sz="0" w:space="0" w:color="auto"/>
                    <w:bottom w:val="none" w:sz="0" w:space="0" w:color="auto"/>
                    <w:right w:val="none" w:sz="0" w:space="0" w:color="auto"/>
                  </w:divBdr>
                  <w:divsChild>
                    <w:div w:id="1509562917">
                      <w:marLeft w:val="0"/>
                      <w:marRight w:val="0"/>
                      <w:marTop w:val="0"/>
                      <w:marBottom w:val="0"/>
                      <w:divBdr>
                        <w:top w:val="none" w:sz="0" w:space="0" w:color="auto"/>
                        <w:left w:val="none" w:sz="0" w:space="0" w:color="auto"/>
                        <w:bottom w:val="none" w:sz="0" w:space="0" w:color="auto"/>
                        <w:right w:val="none" w:sz="0" w:space="0" w:color="auto"/>
                      </w:divBdr>
                    </w:div>
                  </w:divsChild>
                </w:div>
                <w:div w:id="1799104843">
                  <w:marLeft w:val="0"/>
                  <w:marRight w:val="0"/>
                  <w:marTop w:val="0"/>
                  <w:marBottom w:val="0"/>
                  <w:divBdr>
                    <w:top w:val="none" w:sz="0" w:space="0" w:color="auto"/>
                    <w:left w:val="none" w:sz="0" w:space="0" w:color="auto"/>
                    <w:bottom w:val="none" w:sz="0" w:space="0" w:color="auto"/>
                    <w:right w:val="none" w:sz="0" w:space="0" w:color="auto"/>
                  </w:divBdr>
                  <w:divsChild>
                    <w:div w:id="1977948725">
                      <w:marLeft w:val="0"/>
                      <w:marRight w:val="0"/>
                      <w:marTop w:val="0"/>
                      <w:marBottom w:val="0"/>
                      <w:divBdr>
                        <w:top w:val="none" w:sz="0" w:space="0" w:color="auto"/>
                        <w:left w:val="none" w:sz="0" w:space="0" w:color="auto"/>
                        <w:bottom w:val="none" w:sz="0" w:space="0" w:color="auto"/>
                        <w:right w:val="none" w:sz="0" w:space="0" w:color="auto"/>
                      </w:divBdr>
                    </w:div>
                  </w:divsChild>
                </w:div>
                <w:div w:id="1565868415">
                  <w:marLeft w:val="0"/>
                  <w:marRight w:val="0"/>
                  <w:marTop w:val="0"/>
                  <w:marBottom w:val="0"/>
                  <w:divBdr>
                    <w:top w:val="none" w:sz="0" w:space="0" w:color="auto"/>
                    <w:left w:val="none" w:sz="0" w:space="0" w:color="auto"/>
                    <w:bottom w:val="none" w:sz="0" w:space="0" w:color="auto"/>
                    <w:right w:val="none" w:sz="0" w:space="0" w:color="auto"/>
                  </w:divBdr>
                  <w:divsChild>
                    <w:div w:id="994529668">
                      <w:marLeft w:val="0"/>
                      <w:marRight w:val="0"/>
                      <w:marTop w:val="0"/>
                      <w:marBottom w:val="0"/>
                      <w:divBdr>
                        <w:top w:val="none" w:sz="0" w:space="0" w:color="auto"/>
                        <w:left w:val="none" w:sz="0" w:space="0" w:color="auto"/>
                        <w:bottom w:val="none" w:sz="0" w:space="0" w:color="auto"/>
                        <w:right w:val="none" w:sz="0" w:space="0" w:color="auto"/>
                      </w:divBdr>
                    </w:div>
                  </w:divsChild>
                </w:div>
                <w:div w:id="1392389599">
                  <w:marLeft w:val="0"/>
                  <w:marRight w:val="0"/>
                  <w:marTop w:val="0"/>
                  <w:marBottom w:val="0"/>
                  <w:divBdr>
                    <w:top w:val="none" w:sz="0" w:space="0" w:color="auto"/>
                    <w:left w:val="none" w:sz="0" w:space="0" w:color="auto"/>
                    <w:bottom w:val="none" w:sz="0" w:space="0" w:color="auto"/>
                    <w:right w:val="none" w:sz="0" w:space="0" w:color="auto"/>
                  </w:divBdr>
                  <w:divsChild>
                    <w:div w:id="949238770">
                      <w:marLeft w:val="0"/>
                      <w:marRight w:val="0"/>
                      <w:marTop w:val="0"/>
                      <w:marBottom w:val="0"/>
                      <w:divBdr>
                        <w:top w:val="none" w:sz="0" w:space="0" w:color="auto"/>
                        <w:left w:val="none" w:sz="0" w:space="0" w:color="auto"/>
                        <w:bottom w:val="none" w:sz="0" w:space="0" w:color="auto"/>
                        <w:right w:val="none" w:sz="0" w:space="0" w:color="auto"/>
                      </w:divBdr>
                    </w:div>
                  </w:divsChild>
                </w:div>
                <w:div w:id="1025447307">
                  <w:marLeft w:val="0"/>
                  <w:marRight w:val="0"/>
                  <w:marTop w:val="0"/>
                  <w:marBottom w:val="0"/>
                  <w:divBdr>
                    <w:top w:val="none" w:sz="0" w:space="0" w:color="auto"/>
                    <w:left w:val="none" w:sz="0" w:space="0" w:color="auto"/>
                    <w:bottom w:val="none" w:sz="0" w:space="0" w:color="auto"/>
                    <w:right w:val="none" w:sz="0" w:space="0" w:color="auto"/>
                  </w:divBdr>
                  <w:divsChild>
                    <w:div w:id="1570919154">
                      <w:marLeft w:val="0"/>
                      <w:marRight w:val="0"/>
                      <w:marTop w:val="0"/>
                      <w:marBottom w:val="0"/>
                      <w:divBdr>
                        <w:top w:val="none" w:sz="0" w:space="0" w:color="auto"/>
                        <w:left w:val="none" w:sz="0" w:space="0" w:color="auto"/>
                        <w:bottom w:val="none" w:sz="0" w:space="0" w:color="auto"/>
                        <w:right w:val="none" w:sz="0" w:space="0" w:color="auto"/>
                      </w:divBdr>
                    </w:div>
                  </w:divsChild>
                </w:div>
                <w:div w:id="1888486653">
                  <w:marLeft w:val="0"/>
                  <w:marRight w:val="0"/>
                  <w:marTop w:val="0"/>
                  <w:marBottom w:val="0"/>
                  <w:divBdr>
                    <w:top w:val="none" w:sz="0" w:space="0" w:color="auto"/>
                    <w:left w:val="none" w:sz="0" w:space="0" w:color="auto"/>
                    <w:bottom w:val="none" w:sz="0" w:space="0" w:color="auto"/>
                    <w:right w:val="none" w:sz="0" w:space="0" w:color="auto"/>
                  </w:divBdr>
                  <w:divsChild>
                    <w:div w:id="1934052654">
                      <w:marLeft w:val="0"/>
                      <w:marRight w:val="0"/>
                      <w:marTop w:val="0"/>
                      <w:marBottom w:val="0"/>
                      <w:divBdr>
                        <w:top w:val="none" w:sz="0" w:space="0" w:color="auto"/>
                        <w:left w:val="none" w:sz="0" w:space="0" w:color="auto"/>
                        <w:bottom w:val="none" w:sz="0" w:space="0" w:color="auto"/>
                        <w:right w:val="none" w:sz="0" w:space="0" w:color="auto"/>
                      </w:divBdr>
                    </w:div>
                  </w:divsChild>
                </w:div>
                <w:div w:id="157040578">
                  <w:marLeft w:val="0"/>
                  <w:marRight w:val="0"/>
                  <w:marTop w:val="0"/>
                  <w:marBottom w:val="0"/>
                  <w:divBdr>
                    <w:top w:val="none" w:sz="0" w:space="0" w:color="auto"/>
                    <w:left w:val="none" w:sz="0" w:space="0" w:color="auto"/>
                    <w:bottom w:val="none" w:sz="0" w:space="0" w:color="auto"/>
                    <w:right w:val="none" w:sz="0" w:space="0" w:color="auto"/>
                  </w:divBdr>
                  <w:divsChild>
                    <w:div w:id="1890460731">
                      <w:marLeft w:val="0"/>
                      <w:marRight w:val="0"/>
                      <w:marTop w:val="0"/>
                      <w:marBottom w:val="0"/>
                      <w:divBdr>
                        <w:top w:val="none" w:sz="0" w:space="0" w:color="auto"/>
                        <w:left w:val="none" w:sz="0" w:space="0" w:color="auto"/>
                        <w:bottom w:val="none" w:sz="0" w:space="0" w:color="auto"/>
                        <w:right w:val="none" w:sz="0" w:space="0" w:color="auto"/>
                      </w:divBdr>
                    </w:div>
                  </w:divsChild>
                </w:div>
                <w:div w:id="2036228784">
                  <w:marLeft w:val="0"/>
                  <w:marRight w:val="0"/>
                  <w:marTop w:val="0"/>
                  <w:marBottom w:val="0"/>
                  <w:divBdr>
                    <w:top w:val="none" w:sz="0" w:space="0" w:color="auto"/>
                    <w:left w:val="none" w:sz="0" w:space="0" w:color="auto"/>
                    <w:bottom w:val="none" w:sz="0" w:space="0" w:color="auto"/>
                    <w:right w:val="none" w:sz="0" w:space="0" w:color="auto"/>
                  </w:divBdr>
                  <w:divsChild>
                    <w:div w:id="455953677">
                      <w:marLeft w:val="0"/>
                      <w:marRight w:val="0"/>
                      <w:marTop w:val="0"/>
                      <w:marBottom w:val="0"/>
                      <w:divBdr>
                        <w:top w:val="none" w:sz="0" w:space="0" w:color="auto"/>
                        <w:left w:val="none" w:sz="0" w:space="0" w:color="auto"/>
                        <w:bottom w:val="none" w:sz="0" w:space="0" w:color="auto"/>
                        <w:right w:val="none" w:sz="0" w:space="0" w:color="auto"/>
                      </w:divBdr>
                    </w:div>
                  </w:divsChild>
                </w:div>
                <w:div w:id="1748990255">
                  <w:marLeft w:val="0"/>
                  <w:marRight w:val="0"/>
                  <w:marTop w:val="0"/>
                  <w:marBottom w:val="0"/>
                  <w:divBdr>
                    <w:top w:val="none" w:sz="0" w:space="0" w:color="auto"/>
                    <w:left w:val="none" w:sz="0" w:space="0" w:color="auto"/>
                    <w:bottom w:val="none" w:sz="0" w:space="0" w:color="auto"/>
                    <w:right w:val="none" w:sz="0" w:space="0" w:color="auto"/>
                  </w:divBdr>
                  <w:divsChild>
                    <w:div w:id="356855173">
                      <w:marLeft w:val="0"/>
                      <w:marRight w:val="0"/>
                      <w:marTop w:val="0"/>
                      <w:marBottom w:val="0"/>
                      <w:divBdr>
                        <w:top w:val="none" w:sz="0" w:space="0" w:color="auto"/>
                        <w:left w:val="none" w:sz="0" w:space="0" w:color="auto"/>
                        <w:bottom w:val="none" w:sz="0" w:space="0" w:color="auto"/>
                        <w:right w:val="none" w:sz="0" w:space="0" w:color="auto"/>
                      </w:divBdr>
                    </w:div>
                  </w:divsChild>
                </w:div>
                <w:div w:id="2109763767">
                  <w:marLeft w:val="0"/>
                  <w:marRight w:val="0"/>
                  <w:marTop w:val="0"/>
                  <w:marBottom w:val="0"/>
                  <w:divBdr>
                    <w:top w:val="none" w:sz="0" w:space="0" w:color="auto"/>
                    <w:left w:val="none" w:sz="0" w:space="0" w:color="auto"/>
                    <w:bottom w:val="none" w:sz="0" w:space="0" w:color="auto"/>
                    <w:right w:val="none" w:sz="0" w:space="0" w:color="auto"/>
                  </w:divBdr>
                  <w:divsChild>
                    <w:div w:id="496382509">
                      <w:marLeft w:val="0"/>
                      <w:marRight w:val="0"/>
                      <w:marTop w:val="0"/>
                      <w:marBottom w:val="0"/>
                      <w:divBdr>
                        <w:top w:val="none" w:sz="0" w:space="0" w:color="auto"/>
                        <w:left w:val="none" w:sz="0" w:space="0" w:color="auto"/>
                        <w:bottom w:val="none" w:sz="0" w:space="0" w:color="auto"/>
                        <w:right w:val="none" w:sz="0" w:space="0" w:color="auto"/>
                      </w:divBdr>
                    </w:div>
                  </w:divsChild>
                </w:div>
                <w:div w:id="1563952448">
                  <w:marLeft w:val="0"/>
                  <w:marRight w:val="0"/>
                  <w:marTop w:val="0"/>
                  <w:marBottom w:val="0"/>
                  <w:divBdr>
                    <w:top w:val="none" w:sz="0" w:space="0" w:color="auto"/>
                    <w:left w:val="none" w:sz="0" w:space="0" w:color="auto"/>
                    <w:bottom w:val="none" w:sz="0" w:space="0" w:color="auto"/>
                    <w:right w:val="none" w:sz="0" w:space="0" w:color="auto"/>
                  </w:divBdr>
                  <w:divsChild>
                    <w:div w:id="1109465863">
                      <w:marLeft w:val="0"/>
                      <w:marRight w:val="0"/>
                      <w:marTop w:val="0"/>
                      <w:marBottom w:val="0"/>
                      <w:divBdr>
                        <w:top w:val="none" w:sz="0" w:space="0" w:color="auto"/>
                        <w:left w:val="none" w:sz="0" w:space="0" w:color="auto"/>
                        <w:bottom w:val="none" w:sz="0" w:space="0" w:color="auto"/>
                        <w:right w:val="none" w:sz="0" w:space="0" w:color="auto"/>
                      </w:divBdr>
                    </w:div>
                  </w:divsChild>
                </w:div>
                <w:div w:id="1722560816">
                  <w:marLeft w:val="0"/>
                  <w:marRight w:val="0"/>
                  <w:marTop w:val="0"/>
                  <w:marBottom w:val="0"/>
                  <w:divBdr>
                    <w:top w:val="none" w:sz="0" w:space="0" w:color="auto"/>
                    <w:left w:val="none" w:sz="0" w:space="0" w:color="auto"/>
                    <w:bottom w:val="none" w:sz="0" w:space="0" w:color="auto"/>
                    <w:right w:val="none" w:sz="0" w:space="0" w:color="auto"/>
                  </w:divBdr>
                  <w:divsChild>
                    <w:div w:id="1762331882">
                      <w:marLeft w:val="0"/>
                      <w:marRight w:val="0"/>
                      <w:marTop w:val="0"/>
                      <w:marBottom w:val="0"/>
                      <w:divBdr>
                        <w:top w:val="none" w:sz="0" w:space="0" w:color="auto"/>
                        <w:left w:val="none" w:sz="0" w:space="0" w:color="auto"/>
                        <w:bottom w:val="none" w:sz="0" w:space="0" w:color="auto"/>
                        <w:right w:val="none" w:sz="0" w:space="0" w:color="auto"/>
                      </w:divBdr>
                    </w:div>
                  </w:divsChild>
                </w:div>
                <w:div w:id="324942663">
                  <w:marLeft w:val="0"/>
                  <w:marRight w:val="0"/>
                  <w:marTop w:val="0"/>
                  <w:marBottom w:val="0"/>
                  <w:divBdr>
                    <w:top w:val="none" w:sz="0" w:space="0" w:color="auto"/>
                    <w:left w:val="none" w:sz="0" w:space="0" w:color="auto"/>
                    <w:bottom w:val="none" w:sz="0" w:space="0" w:color="auto"/>
                    <w:right w:val="none" w:sz="0" w:space="0" w:color="auto"/>
                  </w:divBdr>
                  <w:divsChild>
                    <w:div w:id="180553729">
                      <w:marLeft w:val="0"/>
                      <w:marRight w:val="0"/>
                      <w:marTop w:val="0"/>
                      <w:marBottom w:val="0"/>
                      <w:divBdr>
                        <w:top w:val="none" w:sz="0" w:space="0" w:color="auto"/>
                        <w:left w:val="none" w:sz="0" w:space="0" w:color="auto"/>
                        <w:bottom w:val="none" w:sz="0" w:space="0" w:color="auto"/>
                        <w:right w:val="none" w:sz="0" w:space="0" w:color="auto"/>
                      </w:divBdr>
                    </w:div>
                  </w:divsChild>
                </w:div>
                <w:div w:id="1505317250">
                  <w:marLeft w:val="0"/>
                  <w:marRight w:val="0"/>
                  <w:marTop w:val="0"/>
                  <w:marBottom w:val="0"/>
                  <w:divBdr>
                    <w:top w:val="none" w:sz="0" w:space="0" w:color="auto"/>
                    <w:left w:val="none" w:sz="0" w:space="0" w:color="auto"/>
                    <w:bottom w:val="none" w:sz="0" w:space="0" w:color="auto"/>
                    <w:right w:val="none" w:sz="0" w:space="0" w:color="auto"/>
                  </w:divBdr>
                  <w:divsChild>
                    <w:div w:id="722291579">
                      <w:marLeft w:val="0"/>
                      <w:marRight w:val="0"/>
                      <w:marTop w:val="0"/>
                      <w:marBottom w:val="0"/>
                      <w:divBdr>
                        <w:top w:val="none" w:sz="0" w:space="0" w:color="auto"/>
                        <w:left w:val="none" w:sz="0" w:space="0" w:color="auto"/>
                        <w:bottom w:val="none" w:sz="0" w:space="0" w:color="auto"/>
                        <w:right w:val="none" w:sz="0" w:space="0" w:color="auto"/>
                      </w:divBdr>
                    </w:div>
                  </w:divsChild>
                </w:div>
                <w:div w:id="2144151656">
                  <w:marLeft w:val="0"/>
                  <w:marRight w:val="0"/>
                  <w:marTop w:val="0"/>
                  <w:marBottom w:val="0"/>
                  <w:divBdr>
                    <w:top w:val="none" w:sz="0" w:space="0" w:color="auto"/>
                    <w:left w:val="none" w:sz="0" w:space="0" w:color="auto"/>
                    <w:bottom w:val="none" w:sz="0" w:space="0" w:color="auto"/>
                    <w:right w:val="none" w:sz="0" w:space="0" w:color="auto"/>
                  </w:divBdr>
                  <w:divsChild>
                    <w:div w:id="263073939">
                      <w:marLeft w:val="0"/>
                      <w:marRight w:val="0"/>
                      <w:marTop w:val="0"/>
                      <w:marBottom w:val="0"/>
                      <w:divBdr>
                        <w:top w:val="none" w:sz="0" w:space="0" w:color="auto"/>
                        <w:left w:val="none" w:sz="0" w:space="0" w:color="auto"/>
                        <w:bottom w:val="none" w:sz="0" w:space="0" w:color="auto"/>
                        <w:right w:val="none" w:sz="0" w:space="0" w:color="auto"/>
                      </w:divBdr>
                    </w:div>
                  </w:divsChild>
                </w:div>
                <w:div w:id="1904413686">
                  <w:marLeft w:val="0"/>
                  <w:marRight w:val="0"/>
                  <w:marTop w:val="0"/>
                  <w:marBottom w:val="0"/>
                  <w:divBdr>
                    <w:top w:val="none" w:sz="0" w:space="0" w:color="auto"/>
                    <w:left w:val="none" w:sz="0" w:space="0" w:color="auto"/>
                    <w:bottom w:val="none" w:sz="0" w:space="0" w:color="auto"/>
                    <w:right w:val="none" w:sz="0" w:space="0" w:color="auto"/>
                  </w:divBdr>
                  <w:divsChild>
                    <w:div w:id="548810922">
                      <w:marLeft w:val="0"/>
                      <w:marRight w:val="0"/>
                      <w:marTop w:val="0"/>
                      <w:marBottom w:val="0"/>
                      <w:divBdr>
                        <w:top w:val="none" w:sz="0" w:space="0" w:color="auto"/>
                        <w:left w:val="none" w:sz="0" w:space="0" w:color="auto"/>
                        <w:bottom w:val="none" w:sz="0" w:space="0" w:color="auto"/>
                        <w:right w:val="none" w:sz="0" w:space="0" w:color="auto"/>
                      </w:divBdr>
                    </w:div>
                  </w:divsChild>
                </w:div>
                <w:div w:id="887031156">
                  <w:marLeft w:val="0"/>
                  <w:marRight w:val="0"/>
                  <w:marTop w:val="0"/>
                  <w:marBottom w:val="0"/>
                  <w:divBdr>
                    <w:top w:val="none" w:sz="0" w:space="0" w:color="auto"/>
                    <w:left w:val="none" w:sz="0" w:space="0" w:color="auto"/>
                    <w:bottom w:val="none" w:sz="0" w:space="0" w:color="auto"/>
                    <w:right w:val="none" w:sz="0" w:space="0" w:color="auto"/>
                  </w:divBdr>
                  <w:divsChild>
                    <w:div w:id="1872109038">
                      <w:marLeft w:val="0"/>
                      <w:marRight w:val="0"/>
                      <w:marTop w:val="0"/>
                      <w:marBottom w:val="0"/>
                      <w:divBdr>
                        <w:top w:val="none" w:sz="0" w:space="0" w:color="auto"/>
                        <w:left w:val="none" w:sz="0" w:space="0" w:color="auto"/>
                        <w:bottom w:val="none" w:sz="0" w:space="0" w:color="auto"/>
                        <w:right w:val="none" w:sz="0" w:space="0" w:color="auto"/>
                      </w:divBdr>
                    </w:div>
                  </w:divsChild>
                </w:div>
                <w:div w:id="723408278">
                  <w:marLeft w:val="0"/>
                  <w:marRight w:val="0"/>
                  <w:marTop w:val="0"/>
                  <w:marBottom w:val="0"/>
                  <w:divBdr>
                    <w:top w:val="none" w:sz="0" w:space="0" w:color="auto"/>
                    <w:left w:val="none" w:sz="0" w:space="0" w:color="auto"/>
                    <w:bottom w:val="none" w:sz="0" w:space="0" w:color="auto"/>
                    <w:right w:val="none" w:sz="0" w:space="0" w:color="auto"/>
                  </w:divBdr>
                  <w:divsChild>
                    <w:div w:id="1191990316">
                      <w:marLeft w:val="0"/>
                      <w:marRight w:val="0"/>
                      <w:marTop w:val="0"/>
                      <w:marBottom w:val="0"/>
                      <w:divBdr>
                        <w:top w:val="none" w:sz="0" w:space="0" w:color="auto"/>
                        <w:left w:val="none" w:sz="0" w:space="0" w:color="auto"/>
                        <w:bottom w:val="none" w:sz="0" w:space="0" w:color="auto"/>
                        <w:right w:val="none" w:sz="0" w:space="0" w:color="auto"/>
                      </w:divBdr>
                    </w:div>
                  </w:divsChild>
                </w:div>
                <w:div w:id="1625577562">
                  <w:marLeft w:val="0"/>
                  <w:marRight w:val="0"/>
                  <w:marTop w:val="0"/>
                  <w:marBottom w:val="0"/>
                  <w:divBdr>
                    <w:top w:val="none" w:sz="0" w:space="0" w:color="auto"/>
                    <w:left w:val="none" w:sz="0" w:space="0" w:color="auto"/>
                    <w:bottom w:val="none" w:sz="0" w:space="0" w:color="auto"/>
                    <w:right w:val="none" w:sz="0" w:space="0" w:color="auto"/>
                  </w:divBdr>
                  <w:divsChild>
                    <w:div w:id="1883327426">
                      <w:marLeft w:val="0"/>
                      <w:marRight w:val="0"/>
                      <w:marTop w:val="0"/>
                      <w:marBottom w:val="0"/>
                      <w:divBdr>
                        <w:top w:val="none" w:sz="0" w:space="0" w:color="auto"/>
                        <w:left w:val="none" w:sz="0" w:space="0" w:color="auto"/>
                        <w:bottom w:val="none" w:sz="0" w:space="0" w:color="auto"/>
                        <w:right w:val="none" w:sz="0" w:space="0" w:color="auto"/>
                      </w:divBdr>
                    </w:div>
                  </w:divsChild>
                </w:div>
                <w:div w:id="1477339064">
                  <w:marLeft w:val="0"/>
                  <w:marRight w:val="0"/>
                  <w:marTop w:val="0"/>
                  <w:marBottom w:val="0"/>
                  <w:divBdr>
                    <w:top w:val="none" w:sz="0" w:space="0" w:color="auto"/>
                    <w:left w:val="none" w:sz="0" w:space="0" w:color="auto"/>
                    <w:bottom w:val="none" w:sz="0" w:space="0" w:color="auto"/>
                    <w:right w:val="none" w:sz="0" w:space="0" w:color="auto"/>
                  </w:divBdr>
                  <w:divsChild>
                    <w:div w:id="317000150">
                      <w:marLeft w:val="0"/>
                      <w:marRight w:val="0"/>
                      <w:marTop w:val="0"/>
                      <w:marBottom w:val="0"/>
                      <w:divBdr>
                        <w:top w:val="none" w:sz="0" w:space="0" w:color="auto"/>
                        <w:left w:val="none" w:sz="0" w:space="0" w:color="auto"/>
                        <w:bottom w:val="none" w:sz="0" w:space="0" w:color="auto"/>
                        <w:right w:val="none" w:sz="0" w:space="0" w:color="auto"/>
                      </w:divBdr>
                    </w:div>
                  </w:divsChild>
                </w:div>
                <w:div w:id="555774143">
                  <w:marLeft w:val="0"/>
                  <w:marRight w:val="0"/>
                  <w:marTop w:val="0"/>
                  <w:marBottom w:val="0"/>
                  <w:divBdr>
                    <w:top w:val="none" w:sz="0" w:space="0" w:color="auto"/>
                    <w:left w:val="none" w:sz="0" w:space="0" w:color="auto"/>
                    <w:bottom w:val="none" w:sz="0" w:space="0" w:color="auto"/>
                    <w:right w:val="none" w:sz="0" w:space="0" w:color="auto"/>
                  </w:divBdr>
                  <w:divsChild>
                    <w:div w:id="427510046">
                      <w:marLeft w:val="0"/>
                      <w:marRight w:val="0"/>
                      <w:marTop w:val="0"/>
                      <w:marBottom w:val="0"/>
                      <w:divBdr>
                        <w:top w:val="none" w:sz="0" w:space="0" w:color="auto"/>
                        <w:left w:val="none" w:sz="0" w:space="0" w:color="auto"/>
                        <w:bottom w:val="none" w:sz="0" w:space="0" w:color="auto"/>
                        <w:right w:val="none" w:sz="0" w:space="0" w:color="auto"/>
                      </w:divBdr>
                    </w:div>
                  </w:divsChild>
                </w:div>
                <w:div w:id="1846282751">
                  <w:marLeft w:val="0"/>
                  <w:marRight w:val="0"/>
                  <w:marTop w:val="0"/>
                  <w:marBottom w:val="0"/>
                  <w:divBdr>
                    <w:top w:val="none" w:sz="0" w:space="0" w:color="auto"/>
                    <w:left w:val="none" w:sz="0" w:space="0" w:color="auto"/>
                    <w:bottom w:val="none" w:sz="0" w:space="0" w:color="auto"/>
                    <w:right w:val="none" w:sz="0" w:space="0" w:color="auto"/>
                  </w:divBdr>
                  <w:divsChild>
                    <w:div w:id="53554702">
                      <w:marLeft w:val="0"/>
                      <w:marRight w:val="0"/>
                      <w:marTop w:val="0"/>
                      <w:marBottom w:val="0"/>
                      <w:divBdr>
                        <w:top w:val="none" w:sz="0" w:space="0" w:color="auto"/>
                        <w:left w:val="none" w:sz="0" w:space="0" w:color="auto"/>
                        <w:bottom w:val="none" w:sz="0" w:space="0" w:color="auto"/>
                        <w:right w:val="none" w:sz="0" w:space="0" w:color="auto"/>
                      </w:divBdr>
                    </w:div>
                  </w:divsChild>
                </w:div>
                <w:div w:id="508569688">
                  <w:marLeft w:val="0"/>
                  <w:marRight w:val="0"/>
                  <w:marTop w:val="0"/>
                  <w:marBottom w:val="0"/>
                  <w:divBdr>
                    <w:top w:val="none" w:sz="0" w:space="0" w:color="auto"/>
                    <w:left w:val="none" w:sz="0" w:space="0" w:color="auto"/>
                    <w:bottom w:val="none" w:sz="0" w:space="0" w:color="auto"/>
                    <w:right w:val="none" w:sz="0" w:space="0" w:color="auto"/>
                  </w:divBdr>
                  <w:divsChild>
                    <w:div w:id="284392230">
                      <w:marLeft w:val="0"/>
                      <w:marRight w:val="0"/>
                      <w:marTop w:val="0"/>
                      <w:marBottom w:val="0"/>
                      <w:divBdr>
                        <w:top w:val="none" w:sz="0" w:space="0" w:color="auto"/>
                        <w:left w:val="none" w:sz="0" w:space="0" w:color="auto"/>
                        <w:bottom w:val="none" w:sz="0" w:space="0" w:color="auto"/>
                        <w:right w:val="none" w:sz="0" w:space="0" w:color="auto"/>
                      </w:divBdr>
                    </w:div>
                  </w:divsChild>
                </w:div>
                <w:div w:id="774398177">
                  <w:marLeft w:val="0"/>
                  <w:marRight w:val="0"/>
                  <w:marTop w:val="0"/>
                  <w:marBottom w:val="0"/>
                  <w:divBdr>
                    <w:top w:val="none" w:sz="0" w:space="0" w:color="auto"/>
                    <w:left w:val="none" w:sz="0" w:space="0" w:color="auto"/>
                    <w:bottom w:val="none" w:sz="0" w:space="0" w:color="auto"/>
                    <w:right w:val="none" w:sz="0" w:space="0" w:color="auto"/>
                  </w:divBdr>
                  <w:divsChild>
                    <w:div w:id="1366128760">
                      <w:marLeft w:val="0"/>
                      <w:marRight w:val="0"/>
                      <w:marTop w:val="0"/>
                      <w:marBottom w:val="0"/>
                      <w:divBdr>
                        <w:top w:val="none" w:sz="0" w:space="0" w:color="auto"/>
                        <w:left w:val="none" w:sz="0" w:space="0" w:color="auto"/>
                        <w:bottom w:val="none" w:sz="0" w:space="0" w:color="auto"/>
                        <w:right w:val="none" w:sz="0" w:space="0" w:color="auto"/>
                      </w:divBdr>
                    </w:div>
                  </w:divsChild>
                </w:div>
                <w:div w:id="975721607">
                  <w:marLeft w:val="0"/>
                  <w:marRight w:val="0"/>
                  <w:marTop w:val="0"/>
                  <w:marBottom w:val="0"/>
                  <w:divBdr>
                    <w:top w:val="none" w:sz="0" w:space="0" w:color="auto"/>
                    <w:left w:val="none" w:sz="0" w:space="0" w:color="auto"/>
                    <w:bottom w:val="none" w:sz="0" w:space="0" w:color="auto"/>
                    <w:right w:val="none" w:sz="0" w:space="0" w:color="auto"/>
                  </w:divBdr>
                  <w:divsChild>
                    <w:div w:id="1308776422">
                      <w:marLeft w:val="0"/>
                      <w:marRight w:val="0"/>
                      <w:marTop w:val="0"/>
                      <w:marBottom w:val="0"/>
                      <w:divBdr>
                        <w:top w:val="none" w:sz="0" w:space="0" w:color="auto"/>
                        <w:left w:val="none" w:sz="0" w:space="0" w:color="auto"/>
                        <w:bottom w:val="none" w:sz="0" w:space="0" w:color="auto"/>
                        <w:right w:val="none" w:sz="0" w:space="0" w:color="auto"/>
                      </w:divBdr>
                    </w:div>
                  </w:divsChild>
                </w:div>
                <w:div w:id="615794298">
                  <w:marLeft w:val="0"/>
                  <w:marRight w:val="0"/>
                  <w:marTop w:val="0"/>
                  <w:marBottom w:val="0"/>
                  <w:divBdr>
                    <w:top w:val="none" w:sz="0" w:space="0" w:color="auto"/>
                    <w:left w:val="none" w:sz="0" w:space="0" w:color="auto"/>
                    <w:bottom w:val="none" w:sz="0" w:space="0" w:color="auto"/>
                    <w:right w:val="none" w:sz="0" w:space="0" w:color="auto"/>
                  </w:divBdr>
                  <w:divsChild>
                    <w:div w:id="1847863570">
                      <w:marLeft w:val="0"/>
                      <w:marRight w:val="0"/>
                      <w:marTop w:val="0"/>
                      <w:marBottom w:val="0"/>
                      <w:divBdr>
                        <w:top w:val="none" w:sz="0" w:space="0" w:color="auto"/>
                        <w:left w:val="none" w:sz="0" w:space="0" w:color="auto"/>
                        <w:bottom w:val="none" w:sz="0" w:space="0" w:color="auto"/>
                        <w:right w:val="none" w:sz="0" w:space="0" w:color="auto"/>
                      </w:divBdr>
                    </w:div>
                  </w:divsChild>
                </w:div>
                <w:div w:id="1679963787">
                  <w:marLeft w:val="0"/>
                  <w:marRight w:val="0"/>
                  <w:marTop w:val="0"/>
                  <w:marBottom w:val="0"/>
                  <w:divBdr>
                    <w:top w:val="none" w:sz="0" w:space="0" w:color="auto"/>
                    <w:left w:val="none" w:sz="0" w:space="0" w:color="auto"/>
                    <w:bottom w:val="none" w:sz="0" w:space="0" w:color="auto"/>
                    <w:right w:val="none" w:sz="0" w:space="0" w:color="auto"/>
                  </w:divBdr>
                  <w:divsChild>
                    <w:div w:id="1316835456">
                      <w:marLeft w:val="0"/>
                      <w:marRight w:val="0"/>
                      <w:marTop w:val="0"/>
                      <w:marBottom w:val="0"/>
                      <w:divBdr>
                        <w:top w:val="none" w:sz="0" w:space="0" w:color="auto"/>
                        <w:left w:val="none" w:sz="0" w:space="0" w:color="auto"/>
                        <w:bottom w:val="none" w:sz="0" w:space="0" w:color="auto"/>
                        <w:right w:val="none" w:sz="0" w:space="0" w:color="auto"/>
                      </w:divBdr>
                    </w:div>
                  </w:divsChild>
                </w:div>
                <w:div w:id="1943872462">
                  <w:marLeft w:val="0"/>
                  <w:marRight w:val="0"/>
                  <w:marTop w:val="0"/>
                  <w:marBottom w:val="0"/>
                  <w:divBdr>
                    <w:top w:val="none" w:sz="0" w:space="0" w:color="auto"/>
                    <w:left w:val="none" w:sz="0" w:space="0" w:color="auto"/>
                    <w:bottom w:val="none" w:sz="0" w:space="0" w:color="auto"/>
                    <w:right w:val="none" w:sz="0" w:space="0" w:color="auto"/>
                  </w:divBdr>
                  <w:divsChild>
                    <w:div w:id="240599054">
                      <w:marLeft w:val="0"/>
                      <w:marRight w:val="0"/>
                      <w:marTop w:val="0"/>
                      <w:marBottom w:val="0"/>
                      <w:divBdr>
                        <w:top w:val="none" w:sz="0" w:space="0" w:color="auto"/>
                        <w:left w:val="none" w:sz="0" w:space="0" w:color="auto"/>
                        <w:bottom w:val="none" w:sz="0" w:space="0" w:color="auto"/>
                        <w:right w:val="none" w:sz="0" w:space="0" w:color="auto"/>
                      </w:divBdr>
                    </w:div>
                  </w:divsChild>
                </w:div>
                <w:div w:id="1797749420">
                  <w:marLeft w:val="0"/>
                  <w:marRight w:val="0"/>
                  <w:marTop w:val="0"/>
                  <w:marBottom w:val="0"/>
                  <w:divBdr>
                    <w:top w:val="none" w:sz="0" w:space="0" w:color="auto"/>
                    <w:left w:val="none" w:sz="0" w:space="0" w:color="auto"/>
                    <w:bottom w:val="none" w:sz="0" w:space="0" w:color="auto"/>
                    <w:right w:val="none" w:sz="0" w:space="0" w:color="auto"/>
                  </w:divBdr>
                  <w:divsChild>
                    <w:div w:id="554240710">
                      <w:marLeft w:val="0"/>
                      <w:marRight w:val="0"/>
                      <w:marTop w:val="0"/>
                      <w:marBottom w:val="0"/>
                      <w:divBdr>
                        <w:top w:val="none" w:sz="0" w:space="0" w:color="auto"/>
                        <w:left w:val="none" w:sz="0" w:space="0" w:color="auto"/>
                        <w:bottom w:val="none" w:sz="0" w:space="0" w:color="auto"/>
                        <w:right w:val="none" w:sz="0" w:space="0" w:color="auto"/>
                      </w:divBdr>
                    </w:div>
                  </w:divsChild>
                </w:div>
                <w:div w:id="1142774971">
                  <w:marLeft w:val="0"/>
                  <w:marRight w:val="0"/>
                  <w:marTop w:val="0"/>
                  <w:marBottom w:val="0"/>
                  <w:divBdr>
                    <w:top w:val="none" w:sz="0" w:space="0" w:color="auto"/>
                    <w:left w:val="none" w:sz="0" w:space="0" w:color="auto"/>
                    <w:bottom w:val="none" w:sz="0" w:space="0" w:color="auto"/>
                    <w:right w:val="none" w:sz="0" w:space="0" w:color="auto"/>
                  </w:divBdr>
                  <w:divsChild>
                    <w:div w:id="1115178668">
                      <w:marLeft w:val="0"/>
                      <w:marRight w:val="0"/>
                      <w:marTop w:val="0"/>
                      <w:marBottom w:val="0"/>
                      <w:divBdr>
                        <w:top w:val="none" w:sz="0" w:space="0" w:color="auto"/>
                        <w:left w:val="none" w:sz="0" w:space="0" w:color="auto"/>
                        <w:bottom w:val="none" w:sz="0" w:space="0" w:color="auto"/>
                        <w:right w:val="none" w:sz="0" w:space="0" w:color="auto"/>
                      </w:divBdr>
                    </w:div>
                  </w:divsChild>
                </w:div>
                <w:div w:id="157423378">
                  <w:marLeft w:val="0"/>
                  <w:marRight w:val="0"/>
                  <w:marTop w:val="0"/>
                  <w:marBottom w:val="0"/>
                  <w:divBdr>
                    <w:top w:val="none" w:sz="0" w:space="0" w:color="auto"/>
                    <w:left w:val="none" w:sz="0" w:space="0" w:color="auto"/>
                    <w:bottom w:val="none" w:sz="0" w:space="0" w:color="auto"/>
                    <w:right w:val="none" w:sz="0" w:space="0" w:color="auto"/>
                  </w:divBdr>
                  <w:divsChild>
                    <w:div w:id="318965110">
                      <w:marLeft w:val="0"/>
                      <w:marRight w:val="0"/>
                      <w:marTop w:val="0"/>
                      <w:marBottom w:val="0"/>
                      <w:divBdr>
                        <w:top w:val="none" w:sz="0" w:space="0" w:color="auto"/>
                        <w:left w:val="none" w:sz="0" w:space="0" w:color="auto"/>
                        <w:bottom w:val="none" w:sz="0" w:space="0" w:color="auto"/>
                        <w:right w:val="none" w:sz="0" w:space="0" w:color="auto"/>
                      </w:divBdr>
                    </w:div>
                  </w:divsChild>
                </w:div>
                <w:div w:id="1910654481">
                  <w:marLeft w:val="0"/>
                  <w:marRight w:val="0"/>
                  <w:marTop w:val="0"/>
                  <w:marBottom w:val="0"/>
                  <w:divBdr>
                    <w:top w:val="none" w:sz="0" w:space="0" w:color="auto"/>
                    <w:left w:val="none" w:sz="0" w:space="0" w:color="auto"/>
                    <w:bottom w:val="none" w:sz="0" w:space="0" w:color="auto"/>
                    <w:right w:val="none" w:sz="0" w:space="0" w:color="auto"/>
                  </w:divBdr>
                  <w:divsChild>
                    <w:div w:id="614753333">
                      <w:marLeft w:val="0"/>
                      <w:marRight w:val="0"/>
                      <w:marTop w:val="0"/>
                      <w:marBottom w:val="0"/>
                      <w:divBdr>
                        <w:top w:val="none" w:sz="0" w:space="0" w:color="auto"/>
                        <w:left w:val="none" w:sz="0" w:space="0" w:color="auto"/>
                        <w:bottom w:val="none" w:sz="0" w:space="0" w:color="auto"/>
                        <w:right w:val="none" w:sz="0" w:space="0" w:color="auto"/>
                      </w:divBdr>
                    </w:div>
                  </w:divsChild>
                </w:div>
                <w:div w:id="861631210">
                  <w:marLeft w:val="0"/>
                  <w:marRight w:val="0"/>
                  <w:marTop w:val="0"/>
                  <w:marBottom w:val="0"/>
                  <w:divBdr>
                    <w:top w:val="none" w:sz="0" w:space="0" w:color="auto"/>
                    <w:left w:val="none" w:sz="0" w:space="0" w:color="auto"/>
                    <w:bottom w:val="none" w:sz="0" w:space="0" w:color="auto"/>
                    <w:right w:val="none" w:sz="0" w:space="0" w:color="auto"/>
                  </w:divBdr>
                  <w:divsChild>
                    <w:div w:id="281109449">
                      <w:marLeft w:val="0"/>
                      <w:marRight w:val="0"/>
                      <w:marTop w:val="0"/>
                      <w:marBottom w:val="0"/>
                      <w:divBdr>
                        <w:top w:val="none" w:sz="0" w:space="0" w:color="auto"/>
                        <w:left w:val="none" w:sz="0" w:space="0" w:color="auto"/>
                        <w:bottom w:val="none" w:sz="0" w:space="0" w:color="auto"/>
                        <w:right w:val="none" w:sz="0" w:space="0" w:color="auto"/>
                      </w:divBdr>
                    </w:div>
                  </w:divsChild>
                </w:div>
                <w:div w:id="449906510">
                  <w:marLeft w:val="0"/>
                  <w:marRight w:val="0"/>
                  <w:marTop w:val="0"/>
                  <w:marBottom w:val="0"/>
                  <w:divBdr>
                    <w:top w:val="none" w:sz="0" w:space="0" w:color="auto"/>
                    <w:left w:val="none" w:sz="0" w:space="0" w:color="auto"/>
                    <w:bottom w:val="none" w:sz="0" w:space="0" w:color="auto"/>
                    <w:right w:val="none" w:sz="0" w:space="0" w:color="auto"/>
                  </w:divBdr>
                  <w:divsChild>
                    <w:div w:id="591939389">
                      <w:marLeft w:val="0"/>
                      <w:marRight w:val="0"/>
                      <w:marTop w:val="0"/>
                      <w:marBottom w:val="0"/>
                      <w:divBdr>
                        <w:top w:val="none" w:sz="0" w:space="0" w:color="auto"/>
                        <w:left w:val="none" w:sz="0" w:space="0" w:color="auto"/>
                        <w:bottom w:val="none" w:sz="0" w:space="0" w:color="auto"/>
                        <w:right w:val="none" w:sz="0" w:space="0" w:color="auto"/>
                      </w:divBdr>
                    </w:div>
                  </w:divsChild>
                </w:div>
                <w:div w:id="2006469551">
                  <w:marLeft w:val="0"/>
                  <w:marRight w:val="0"/>
                  <w:marTop w:val="0"/>
                  <w:marBottom w:val="0"/>
                  <w:divBdr>
                    <w:top w:val="none" w:sz="0" w:space="0" w:color="auto"/>
                    <w:left w:val="none" w:sz="0" w:space="0" w:color="auto"/>
                    <w:bottom w:val="none" w:sz="0" w:space="0" w:color="auto"/>
                    <w:right w:val="none" w:sz="0" w:space="0" w:color="auto"/>
                  </w:divBdr>
                  <w:divsChild>
                    <w:div w:id="1428306564">
                      <w:marLeft w:val="0"/>
                      <w:marRight w:val="0"/>
                      <w:marTop w:val="0"/>
                      <w:marBottom w:val="0"/>
                      <w:divBdr>
                        <w:top w:val="none" w:sz="0" w:space="0" w:color="auto"/>
                        <w:left w:val="none" w:sz="0" w:space="0" w:color="auto"/>
                        <w:bottom w:val="none" w:sz="0" w:space="0" w:color="auto"/>
                        <w:right w:val="none" w:sz="0" w:space="0" w:color="auto"/>
                      </w:divBdr>
                    </w:div>
                  </w:divsChild>
                </w:div>
                <w:div w:id="323508180">
                  <w:marLeft w:val="0"/>
                  <w:marRight w:val="0"/>
                  <w:marTop w:val="0"/>
                  <w:marBottom w:val="0"/>
                  <w:divBdr>
                    <w:top w:val="none" w:sz="0" w:space="0" w:color="auto"/>
                    <w:left w:val="none" w:sz="0" w:space="0" w:color="auto"/>
                    <w:bottom w:val="none" w:sz="0" w:space="0" w:color="auto"/>
                    <w:right w:val="none" w:sz="0" w:space="0" w:color="auto"/>
                  </w:divBdr>
                  <w:divsChild>
                    <w:div w:id="370955227">
                      <w:marLeft w:val="0"/>
                      <w:marRight w:val="0"/>
                      <w:marTop w:val="0"/>
                      <w:marBottom w:val="0"/>
                      <w:divBdr>
                        <w:top w:val="none" w:sz="0" w:space="0" w:color="auto"/>
                        <w:left w:val="none" w:sz="0" w:space="0" w:color="auto"/>
                        <w:bottom w:val="none" w:sz="0" w:space="0" w:color="auto"/>
                        <w:right w:val="none" w:sz="0" w:space="0" w:color="auto"/>
                      </w:divBdr>
                    </w:div>
                  </w:divsChild>
                </w:div>
                <w:div w:id="1497720409">
                  <w:marLeft w:val="0"/>
                  <w:marRight w:val="0"/>
                  <w:marTop w:val="0"/>
                  <w:marBottom w:val="0"/>
                  <w:divBdr>
                    <w:top w:val="none" w:sz="0" w:space="0" w:color="auto"/>
                    <w:left w:val="none" w:sz="0" w:space="0" w:color="auto"/>
                    <w:bottom w:val="none" w:sz="0" w:space="0" w:color="auto"/>
                    <w:right w:val="none" w:sz="0" w:space="0" w:color="auto"/>
                  </w:divBdr>
                  <w:divsChild>
                    <w:div w:id="125507665">
                      <w:marLeft w:val="0"/>
                      <w:marRight w:val="0"/>
                      <w:marTop w:val="0"/>
                      <w:marBottom w:val="0"/>
                      <w:divBdr>
                        <w:top w:val="none" w:sz="0" w:space="0" w:color="auto"/>
                        <w:left w:val="none" w:sz="0" w:space="0" w:color="auto"/>
                        <w:bottom w:val="none" w:sz="0" w:space="0" w:color="auto"/>
                        <w:right w:val="none" w:sz="0" w:space="0" w:color="auto"/>
                      </w:divBdr>
                    </w:div>
                  </w:divsChild>
                </w:div>
                <w:div w:id="1998073056">
                  <w:marLeft w:val="0"/>
                  <w:marRight w:val="0"/>
                  <w:marTop w:val="0"/>
                  <w:marBottom w:val="0"/>
                  <w:divBdr>
                    <w:top w:val="none" w:sz="0" w:space="0" w:color="auto"/>
                    <w:left w:val="none" w:sz="0" w:space="0" w:color="auto"/>
                    <w:bottom w:val="none" w:sz="0" w:space="0" w:color="auto"/>
                    <w:right w:val="none" w:sz="0" w:space="0" w:color="auto"/>
                  </w:divBdr>
                  <w:divsChild>
                    <w:div w:id="134296492">
                      <w:marLeft w:val="0"/>
                      <w:marRight w:val="0"/>
                      <w:marTop w:val="0"/>
                      <w:marBottom w:val="0"/>
                      <w:divBdr>
                        <w:top w:val="none" w:sz="0" w:space="0" w:color="auto"/>
                        <w:left w:val="none" w:sz="0" w:space="0" w:color="auto"/>
                        <w:bottom w:val="none" w:sz="0" w:space="0" w:color="auto"/>
                        <w:right w:val="none" w:sz="0" w:space="0" w:color="auto"/>
                      </w:divBdr>
                    </w:div>
                  </w:divsChild>
                </w:div>
                <w:div w:id="586421115">
                  <w:marLeft w:val="0"/>
                  <w:marRight w:val="0"/>
                  <w:marTop w:val="0"/>
                  <w:marBottom w:val="0"/>
                  <w:divBdr>
                    <w:top w:val="none" w:sz="0" w:space="0" w:color="auto"/>
                    <w:left w:val="none" w:sz="0" w:space="0" w:color="auto"/>
                    <w:bottom w:val="none" w:sz="0" w:space="0" w:color="auto"/>
                    <w:right w:val="none" w:sz="0" w:space="0" w:color="auto"/>
                  </w:divBdr>
                  <w:divsChild>
                    <w:div w:id="861020537">
                      <w:marLeft w:val="0"/>
                      <w:marRight w:val="0"/>
                      <w:marTop w:val="0"/>
                      <w:marBottom w:val="0"/>
                      <w:divBdr>
                        <w:top w:val="none" w:sz="0" w:space="0" w:color="auto"/>
                        <w:left w:val="none" w:sz="0" w:space="0" w:color="auto"/>
                        <w:bottom w:val="none" w:sz="0" w:space="0" w:color="auto"/>
                        <w:right w:val="none" w:sz="0" w:space="0" w:color="auto"/>
                      </w:divBdr>
                    </w:div>
                  </w:divsChild>
                </w:div>
                <w:div w:id="1424690447">
                  <w:marLeft w:val="0"/>
                  <w:marRight w:val="0"/>
                  <w:marTop w:val="0"/>
                  <w:marBottom w:val="0"/>
                  <w:divBdr>
                    <w:top w:val="none" w:sz="0" w:space="0" w:color="auto"/>
                    <w:left w:val="none" w:sz="0" w:space="0" w:color="auto"/>
                    <w:bottom w:val="none" w:sz="0" w:space="0" w:color="auto"/>
                    <w:right w:val="none" w:sz="0" w:space="0" w:color="auto"/>
                  </w:divBdr>
                  <w:divsChild>
                    <w:div w:id="1612586812">
                      <w:marLeft w:val="0"/>
                      <w:marRight w:val="0"/>
                      <w:marTop w:val="0"/>
                      <w:marBottom w:val="0"/>
                      <w:divBdr>
                        <w:top w:val="none" w:sz="0" w:space="0" w:color="auto"/>
                        <w:left w:val="none" w:sz="0" w:space="0" w:color="auto"/>
                        <w:bottom w:val="none" w:sz="0" w:space="0" w:color="auto"/>
                        <w:right w:val="none" w:sz="0" w:space="0" w:color="auto"/>
                      </w:divBdr>
                    </w:div>
                  </w:divsChild>
                </w:div>
                <w:div w:id="898518613">
                  <w:marLeft w:val="0"/>
                  <w:marRight w:val="0"/>
                  <w:marTop w:val="0"/>
                  <w:marBottom w:val="0"/>
                  <w:divBdr>
                    <w:top w:val="none" w:sz="0" w:space="0" w:color="auto"/>
                    <w:left w:val="none" w:sz="0" w:space="0" w:color="auto"/>
                    <w:bottom w:val="none" w:sz="0" w:space="0" w:color="auto"/>
                    <w:right w:val="none" w:sz="0" w:space="0" w:color="auto"/>
                  </w:divBdr>
                  <w:divsChild>
                    <w:div w:id="2037266604">
                      <w:marLeft w:val="0"/>
                      <w:marRight w:val="0"/>
                      <w:marTop w:val="0"/>
                      <w:marBottom w:val="0"/>
                      <w:divBdr>
                        <w:top w:val="none" w:sz="0" w:space="0" w:color="auto"/>
                        <w:left w:val="none" w:sz="0" w:space="0" w:color="auto"/>
                        <w:bottom w:val="none" w:sz="0" w:space="0" w:color="auto"/>
                        <w:right w:val="none" w:sz="0" w:space="0" w:color="auto"/>
                      </w:divBdr>
                    </w:div>
                  </w:divsChild>
                </w:div>
                <w:div w:id="395010503">
                  <w:marLeft w:val="0"/>
                  <w:marRight w:val="0"/>
                  <w:marTop w:val="0"/>
                  <w:marBottom w:val="0"/>
                  <w:divBdr>
                    <w:top w:val="none" w:sz="0" w:space="0" w:color="auto"/>
                    <w:left w:val="none" w:sz="0" w:space="0" w:color="auto"/>
                    <w:bottom w:val="none" w:sz="0" w:space="0" w:color="auto"/>
                    <w:right w:val="none" w:sz="0" w:space="0" w:color="auto"/>
                  </w:divBdr>
                  <w:divsChild>
                    <w:div w:id="758480362">
                      <w:marLeft w:val="0"/>
                      <w:marRight w:val="0"/>
                      <w:marTop w:val="0"/>
                      <w:marBottom w:val="0"/>
                      <w:divBdr>
                        <w:top w:val="none" w:sz="0" w:space="0" w:color="auto"/>
                        <w:left w:val="none" w:sz="0" w:space="0" w:color="auto"/>
                        <w:bottom w:val="none" w:sz="0" w:space="0" w:color="auto"/>
                        <w:right w:val="none" w:sz="0" w:space="0" w:color="auto"/>
                      </w:divBdr>
                    </w:div>
                  </w:divsChild>
                </w:div>
                <w:div w:id="137108992">
                  <w:marLeft w:val="0"/>
                  <w:marRight w:val="0"/>
                  <w:marTop w:val="0"/>
                  <w:marBottom w:val="0"/>
                  <w:divBdr>
                    <w:top w:val="none" w:sz="0" w:space="0" w:color="auto"/>
                    <w:left w:val="none" w:sz="0" w:space="0" w:color="auto"/>
                    <w:bottom w:val="none" w:sz="0" w:space="0" w:color="auto"/>
                    <w:right w:val="none" w:sz="0" w:space="0" w:color="auto"/>
                  </w:divBdr>
                  <w:divsChild>
                    <w:div w:id="604193997">
                      <w:marLeft w:val="0"/>
                      <w:marRight w:val="0"/>
                      <w:marTop w:val="0"/>
                      <w:marBottom w:val="0"/>
                      <w:divBdr>
                        <w:top w:val="none" w:sz="0" w:space="0" w:color="auto"/>
                        <w:left w:val="none" w:sz="0" w:space="0" w:color="auto"/>
                        <w:bottom w:val="none" w:sz="0" w:space="0" w:color="auto"/>
                        <w:right w:val="none" w:sz="0" w:space="0" w:color="auto"/>
                      </w:divBdr>
                    </w:div>
                  </w:divsChild>
                </w:div>
                <w:div w:id="429817705">
                  <w:marLeft w:val="0"/>
                  <w:marRight w:val="0"/>
                  <w:marTop w:val="0"/>
                  <w:marBottom w:val="0"/>
                  <w:divBdr>
                    <w:top w:val="none" w:sz="0" w:space="0" w:color="auto"/>
                    <w:left w:val="none" w:sz="0" w:space="0" w:color="auto"/>
                    <w:bottom w:val="none" w:sz="0" w:space="0" w:color="auto"/>
                    <w:right w:val="none" w:sz="0" w:space="0" w:color="auto"/>
                  </w:divBdr>
                  <w:divsChild>
                    <w:div w:id="2061593635">
                      <w:marLeft w:val="0"/>
                      <w:marRight w:val="0"/>
                      <w:marTop w:val="0"/>
                      <w:marBottom w:val="0"/>
                      <w:divBdr>
                        <w:top w:val="none" w:sz="0" w:space="0" w:color="auto"/>
                        <w:left w:val="none" w:sz="0" w:space="0" w:color="auto"/>
                        <w:bottom w:val="none" w:sz="0" w:space="0" w:color="auto"/>
                        <w:right w:val="none" w:sz="0" w:space="0" w:color="auto"/>
                      </w:divBdr>
                    </w:div>
                  </w:divsChild>
                </w:div>
                <w:div w:id="1251281872">
                  <w:marLeft w:val="0"/>
                  <w:marRight w:val="0"/>
                  <w:marTop w:val="0"/>
                  <w:marBottom w:val="0"/>
                  <w:divBdr>
                    <w:top w:val="none" w:sz="0" w:space="0" w:color="auto"/>
                    <w:left w:val="none" w:sz="0" w:space="0" w:color="auto"/>
                    <w:bottom w:val="none" w:sz="0" w:space="0" w:color="auto"/>
                    <w:right w:val="none" w:sz="0" w:space="0" w:color="auto"/>
                  </w:divBdr>
                  <w:divsChild>
                    <w:div w:id="226843863">
                      <w:marLeft w:val="0"/>
                      <w:marRight w:val="0"/>
                      <w:marTop w:val="0"/>
                      <w:marBottom w:val="0"/>
                      <w:divBdr>
                        <w:top w:val="none" w:sz="0" w:space="0" w:color="auto"/>
                        <w:left w:val="none" w:sz="0" w:space="0" w:color="auto"/>
                        <w:bottom w:val="none" w:sz="0" w:space="0" w:color="auto"/>
                        <w:right w:val="none" w:sz="0" w:space="0" w:color="auto"/>
                      </w:divBdr>
                    </w:div>
                  </w:divsChild>
                </w:div>
                <w:div w:id="2141025193">
                  <w:marLeft w:val="0"/>
                  <w:marRight w:val="0"/>
                  <w:marTop w:val="0"/>
                  <w:marBottom w:val="0"/>
                  <w:divBdr>
                    <w:top w:val="none" w:sz="0" w:space="0" w:color="auto"/>
                    <w:left w:val="none" w:sz="0" w:space="0" w:color="auto"/>
                    <w:bottom w:val="none" w:sz="0" w:space="0" w:color="auto"/>
                    <w:right w:val="none" w:sz="0" w:space="0" w:color="auto"/>
                  </w:divBdr>
                  <w:divsChild>
                    <w:div w:id="887103687">
                      <w:marLeft w:val="0"/>
                      <w:marRight w:val="0"/>
                      <w:marTop w:val="0"/>
                      <w:marBottom w:val="0"/>
                      <w:divBdr>
                        <w:top w:val="none" w:sz="0" w:space="0" w:color="auto"/>
                        <w:left w:val="none" w:sz="0" w:space="0" w:color="auto"/>
                        <w:bottom w:val="none" w:sz="0" w:space="0" w:color="auto"/>
                        <w:right w:val="none" w:sz="0" w:space="0" w:color="auto"/>
                      </w:divBdr>
                    </w:div>
                  </w:divsChild>
                </w:div>
                <w:div w:id="747732167">
                  <w:marLeft w:val="0"/>
                  <w:marRight w:val="0"/>
                  <w:marTop w:val="0"/>
                  <w:marBottom w:val="0"/>
                  <w:divBdr>
                    <w:top w:val="none" w:sz="0" w:space="0" w:color="auto"/>
                    <w:left w:val="none" w:sz="0" w:space="0" w:color="auto"/>
                    <w:bottom w:val="none" w:sz="0" w:space="0" w:color="auto"/>
                    <w:right w:val="none" w:sz="0" w:space="0" w:color="auto"/>
                  </w:divBdr>
                  <w:divsChild>
                    <w:div w:id="90688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20226">
          <w:marLeft w:val="0"/>
          <w:marRight w:val="0"/>
          <w:marTop w:val="0"/>
          <w:marBottom w:val="0"/>
          <w:divBdr>
            <w:top w:val="none" w:sz="0" w:space="0" w:color="auto"/>
            <w:left w:val="none" w:sz="0" w:space="0" w:color="auto"/>
            <w:bottom w:val="none" w:sz="0" w:space="0" w:color="auto"/>
            <w:right w:val="none" w:sz="0" w:space="0" w:color="auto"/>
          </w:divBdr>
        </w:div>
      </w:divsChild>
    </w:div>
    <w:div w:id="2011054915">
      <w:bodyDiv w:val="1"/>
      <w:marLeft w:val="0"/>
      <w:marRight w:val="0"/>
      <w:marTop w:val="0"/>
      <w:marBottom w:val="0"/>
      <w:divBdr>
        <w:top w:val="none" w:sz="0" w:space="0" w:color="auto"/>
        <w:left w:val="none" w:sz="0" w:space="0" w:color="auto"/>
        <w:bottom w:val="none" w:sz="0" w:space="0" w:color="auto"/>
        <w:right w:val="none" w:sz="0" w:space="0" w:color="auto"/>
      </w:divBdr>
      <w:divsChild>
        <w:div w:id="2146118637">
          <w:marLeft w:val="0"/>
          <w:marRight w:val="0"/>
          <w:marTop w:val="0"/>
          <w:marBottom w:val="0"/>
          <w:divBdr>
            <w:top w:val="none" w:sz="0" w:space="0" w:color="auto"/>
            <w:left w:val="none" w:sz="0" w:space="0" w:color="auto"/>
            <w:bottom w:val="none" w:sz="0" w:space="0" w:color="auto"/>
            <w:right w:val="none" w:sz="0" w:space="0" w:color="auto"/>
          </w:divBdr>
          <w:divsChild>
            <w:div w:id="7519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xx_Georgia%20-HPMP-tranche%20%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29B7C-27EC-1A40-AB56-D4FF31B75413}">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C:\Users\mvega\Downloads\95xx_Georgia -HPMP-tranche  (1).dotm</Template>
  <TotalTime>50</TotalTime>
  <Pages>10</Pages>
  <Words>4799</Words>
  <Characters>25531</Characters>
  <Application>Microsoft Office Word</Application>
  <DocSecurity>0</DocSecurity>
  <Lines>607</Lines>
  <Paragraphs>306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Géorgie</vt:lpstr>
      <vt:lpstr>Project proposal(s): [country]</vt:lpstr>
    </vt:vector>
  </TitlesOfParts>
  <Manager/>
  <Company>UNMFS</Company>
  <LinksUpToDate>false</LinksUpToDate>
  <CharactersWithSpaces>30024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Géorgie</dc:title>
  <dc:subject/>
  <dc:creator>Mirian Vega</dc:creator>
  <cp:keywords>95th ExCom</cp:keywords>
  <dc:description/>
  <cp:lastModifiedBy>Renato Delcò</cp:lastModifiedBy>
  <cp:revision>189</cp:revision>
  <cp:lastPrinted>2024-11-16T17:55:00Z</cp:lastPrinted>
  <dcterms:created xsi:type="dcterms:W3CDTF">2024-11-16T19:29:00Z</dcterms:created>
  <dcterms:modified xsi:type="dcterms:W3CDTF">2024-11-19T20:44:00Z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UNEP/OzL.Pro/ExCom/95/53</vt:lpwstr>
  </property>
  <property fmtid="{D5CDD505-2E9C-101B-9397-08002B2CF9AE}" pid="3" name="Revision date">
    <vt:lpwstr>11/16/2024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