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58E7D7DA" w14:textId="77777777" w:rsidTr="00103AB1">
        <w:trPr>
          <w:trHeight w:val="720"/>
        </w:trPr>
        <w:tc>
          <w:tcPr>
            <w:tcW w:w="5922" w:type="dxa"/>
            <w:gridSpan w:val="2"/>
            <w:tcBorders>
              <w:bottom w:val="single" w:sz="18" w:space="0" w:color="auto"/>
            </w:tcBorders>
          </w:tcPr>
          <w:p w14:paraId="5BDFA6D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E115C2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6B092546"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103AB1" w14:paraId="4EB7FF5A"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150B5EA"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5DC73E37" wp14:editId="3FAAA89C">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1134057" wp14:editId="2A981104">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05FA52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050A10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03DDEFD" w14:textId="77777777" w:rsidR="00103AB1" w:rsidRDefault="00103AB1" w:rsidP="00AA523A">
            <w:pPr>
              <w:rPr>
                <w:rFonts w:ascii="Univers" w:hAnsi="Univers"/>
                <w:b/>
                <w:sz w:val="32"/>
                <w:lang w:val="fr-CA"/>
              </w:rPr>
            </w:pPr>
            <w:r>
              <w:rPr>
                <w:rFonts w:ascii="Univers" w:hAnsi="Univers"/>
                <w:b/>
                <w:sz w:val="32"/>
                <w:lang w:val="fr-CA"/>
              </w:rPr>
              <w:t>Nations Unies pour</w:t>
            </w:r>
          </w:p>
          <w:p w14:paraId="60A03CCA"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7E490A04" w14:textId="77777777" w:rsidR="00103AB1" w:rsidRDefault="00103AB1" w:rsidP="00AA523A">
            <w:pPr>
              <w:rPr>
                <w:lang w:val="fr-FR"/>
              </w:rPr>
            </w:pPr>
          </w:p>
          <w:p w14:paraId="5312349D"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7C7939EE" w14:textId="77777777" w:rsidR="00103AB1" w:rsidRPr="00DD3433" w:rsidRDefault="00103AB1" w:rsidP="00AA523A">
            <w:pPr>
              <w:rPr>
                <w:lang w:val="fr-FR"/>
              </w:rPr>
            </w:pPr>
            <w:r w:rsidRPr="00DD3433">
              <w:rPr>
                <w:lang w:val="fr-FR"/>
              </w:rPr>
              <w:t>GÉNÉRALE</w:t>
            </w:r>
          </w:p>
          <w:p w14:paraId="51B069ED" w14:textId="77777777" w:rsidR="00103AB1" w:rsidRPr="00DD3433" w:rsidRDefault="00103AB1" w:rsidP="00AA523A">
            <w:pPr>
              <w:rPr>
                <w:lang w:val="fr-FR"/>
              </w:rPr>
            </w:pPr>
          </w:p>
          <w:p w14:paraId="77DC9CB5" w14:textId="4E73AEA6"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C62024">
              <w:rPr>
                <w:lang w:val="fr-CA"/>
              </w:rPr>
              <w:t>UNEP/</w:t>
            </w:r>
            <w:proofErr w:type="spellStart"/>
            <w:r w:rsidR="00C62024">
              <w:rPr>
                <w:lang w:val="fr-CA"/>
              </w:rPr>
              <w:t>OzL.Pro</w:t>
            </w:r>
            <w:proofErr w:type="spellEnd"/>
            <w:r w:rsidR="00C62024">
              <w:rPr>
                <w:lang w:val="fr-CA"/>
              </w:rPr>
              <w:t>/</w:t>
            </w:r>
            <w:proofErr w:type="spellStart"/>
            <w:r w:rsidR="00C62024">
              <w:rPr>
                <w:lang w:val="fr-CA"/>
              </w:rPr>
              <w:t>ExCom</w:t>
            </w:r>
            <w:proofErr w:type="spellEnd"/>
            <w:r w:rsidR="00C62024">
              <w:rPr>
                <w:lang w:val="fr-CA"/>
              </w:rPr>
              <w:t>/95/62</w:t>
            </w:r>
            <w:r>
              <w:fldChar w:fldCharType="end"/>
            </w:r>
          </w:p>
          <w:p w14:paraId="6574D65F" w14:textId="258FBB86" w:rsidR="00103AB1" w:rsidRPr="00DB2922" w:rsidRDefault="00103AB1" w:rsidP="00AA523A">
            <w:pPr>
              <w:rPr>
                <w:lang w:val="fr-CA"/>
              </w:rPr>
            </w:pPr>
            <w:r>
              <w:rPr>
                <w:lang w:val="fr-CA"/>
              </w:rPr>
              <w:t>1</w:t>
            </w:r>
            <w:r w:rsidR="00C60CDB">
              <w:rPr>
                <w:lang w:val="fr-CA"/>
              </w:rPr>
              <w:t>8 novembre</w:t>
            </w:r>
            <w:r w:rsidRPr="007778F9">
              <w:rPr>
                <w:lang w:val="fr-CA"/>
              </w:rPr>
              <w:t xml:space="preserve"> 2024</w:t>
            </w:r>
          </w:p>
          <w:p w14:paraId="4E50D5D9" w14:textId="77777777" w:rsidR="00103AB1" w:rsidRDefault="00103AB1" w:rsidP="00AA523A">
            <w:pPr>
              <w:rPr>
                <w:caps/>
                <w:lang w:val="fr-FR"/>
              </w:rPr>
            </w:pPr>
            <w:r w:rsidRPr="00DB2922">
              <w:rPr>
                <w:caps/>
                <w:lang w:val="fr-CA"/>
              </w:rPr>
              <w:br/>
            </w:r>
            <w:r>
              <w:rPr>
                <w:caps/>
                <w:lang w:val="fr-FR"/>
              </w:rPr>
              <w:t>FRANÇAIS</w:t>
            </w:r>
          </w:p>
          <w:p w14:paraId="0E28CFC9" w14:textId="51F768EE" w:rsidR="00103AB1" w:rsidRPr="00E5237E" w:rsidRDefault="00103AB1" w:rsidP="00AA523A">
            <w:pPr>
              <w:rPr>
                <w:lang w:val="fr-CA"/>
              </w:rPr>
            </w:pPr>
            <w:r w:rsidRPr="00E5237E">
              <w:rPr>
                <w:lang w:val="fr-CA"/>
              </w:rPr>
              <w:t>ORIGINAL</w:t>
            </w:r>
            <w:r w:rsidR="00FB1027">
              <w:rPr>
                <w:lang w:val="fr-CA"/>
              </w:rPr>
              <w:t> </w:t>
            </w:r>
            <w:r w:rsidRPr="00E5237E">
              <w:rPr>
                <w:lang w:val="fr-CA"/>
              </w:rPr>
              <w:t>: ANGLAIS</w:t>
            </w:r>
          </w:p>
        </w:tc>
      </w:tr>
    </w:tbl>
    <w:p w14:paraId="03CBF56B"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4292B58E"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114BDE75" w14:textId="463B74F6" w:rsidR="00103AB1" w:rsidRPr="00550019" w:rsidRDefault="00103AB1" w:rsidP="00103AB1">
      <w:pPr>
        <w:jc w:val="left"/>
        <w:rPr>
          <w:lang w:val="fr-FR"/>
        </w:rPr>
      </w:pPr>
      <w:r w:rsidRPr="00550019">
        <w:rPr>
          <w:lang w:val="fr-FR"/>
        </w:rPr>
        <w:t>Point</w:t>
      </w:r>
      <w:r w:rsidR="00C62024">
        <w:rPr>
          <w:lang w:val="fr-FR"/>
        </w:rPr>
        <w:t> 9(c)</w:t>
      </w:r>
      <w:r w:rsidRPr="00550019">
        <w:rPr>
          <w:lang w:val="fr-FR"/>
        </w:rPr>
        <w:t xml:space="preserve"> de l'ordre du jour provisoire</w:t>
      </w:r>
      <w:r w:rsidRPr="00550019">
        <w:rPr>
          <w:rStyle w:val="FootnoteReference"/>
          <w:lang w:val="fr-FR"/>
        </w:rPr>
        <w:footnoteReference w:id="1"/>
      </w:r>
    </w:p>
    <w:p w14:paraId="26A1E820" w14:textId="77777777" w:rsidR="00C15867" w:rsidRPr="00103AB1" w:rsidRDefault="00C15867" w:rsidP="00CA59FB">
      <w:pPr>
        <w:jc w:val="left"/>
        <w:rPr>
          <w:lang w:val="fr-FR"/>
        </w:rPr>
      </w:pPr>
    </w:p>
    <w:p w14:paraId="2C52E141" w14:textId="77777777" w:rsidR="009145E4" w:rsidRPr="00103AB1" w:rsidRDefault="009145E4" w:rsidP="009145E4">
      <w:pPr>
        <w:pStyle w:val="Heading1"/>
        <w:numPr>
          <w:ilvl w:val="0"/>
          <w:numId w:val="0"/>
        </w:numPr>
        <w:rPr>
          <w:lang w:val="fr-CA"/>
        </w:rPr>
      </w:pPr>
    </w:p>
    <w:p w14:paraId="029834FD" w14:textId="77777777" w:rsidR="00066CE8" w:rsidRPr="00103AB1" w:rsidRDefault="00066CE8" w:rsidP="00857077">
      <w:pPr>
        <w:jc w:val="left"/>
        <w:rPr>
          <w:lang w:val="fr-CA"/>
        </w:rPr>
      </w:pPr>
    </w:p>
    <w:p w14:paraId="24356E22" w14:textId="77777777" w:rsidR="004E7F9C" w:rsidRPr="00103AB1" w:rsidRDefault="004E7F9C" w:rsidP="005C670D">
      <w:pPr>
        <w:pStyle w:val="Title1"/>
        <w:jc w:val="right"/>
        <w:rPr>
          <w:b w:val="0"/>
          <w:lang w:val="fr-CA"/>
        </w:rPr>
      </w:pPr>
    </w:p>
    <w:p w14:paraId="304720B8" w14:textId="72731FB1" w:rsidR="00C62024" w:rsidRPr="00C62024" w:rsidRDefault="00C62024" w:rsidP="00C62024">
      <w:pPr>
        <w:jc w:val="center"/>
        <w:rPr>
          <w:b/>
          <w:lang w:val="fr-FR"/>
        </w:rPr>
      </w:pPr>
      <w:r>
        <w:rPr>
          <w:b/>
          <w:bCs/>
          <w:lang w:val="fr"/>
        </w:rPr>
        <w:t>PROPOSITION DE PROJET : KOWEÏT</w:t>
      </w:r>
      <w:r w:rsidR="00487FD2">
        <w:rPr>
          <w:b/>
          <w:bCs/>
          <w:lang w:val="fr"/>
        </w:rPr>
        <w:t xml:space="preserve"> (LE)</w:t>
      </w:r>
    </w:p>
    <w:p w14:paraId="33BEEECA" w14:textId="77777777" w:rsidR="00C62024" w:rsidRPr="00C62024" w:rsidRDefault="00C62024" w:rsidP="00C62024">
      <w:pPr>
        <w:rPr>
          <w:lang w:val="fr-FR"/>
        </w:rPr>
      </w:pPr>
    </w:p>
    <w:p w14:paraId="3EDB7AD9" w14:textId="77777777" w:rsidR="00C62024" w:rsidRPr="00C62024" w:rsidRDefault="00C62024" w:rsidP="00C62024">
      <w:pPr>
        <w:rPr>
          <w:lang w:val="fr-FR"/>
        </w:rPr>
      </w:pPr>
    </w:p>
    <w:p w14:paraId="0504AAE8" w14:textId="77777777" w:rsidR="00C62024" w:rsidRPr="00C62024" w:rsidRDefault="00C62024" w:rsidP="00C62024">
      <w:pPr>
        <w:ind w:firstLine="720"/>
        <w:rPr>
          <w:lang w:val="fr-FR"/>
        </w:rPr>
      </w:pPr>
      <w:r>
        <w:rPr>
          <w:lang w:val="fr"/>
        </w:rPr>
        <w:t>Le présent document contient les commentaires et la recommandation du Secrétariat du Fonds sur la proposition de projet suivante :</w:t>
      </w:r>
    </w:p>
    <w:p w14:paraId="1F1D321E" w14:textId="77777777" w:rsidR="00C62024" w:rsidRPr="00C62024" w:rsidRDefault="00C62024" w:rsidP="00C62024">
      <w:pPr>
        <w:rPr>
          <w:lang w:val="fr-FR"/>
        </w:rPr>
      </w:pPr>
    </w:p>
    <w:p w14:paraId="3E186657" w14:textId="77777777" w:rsidR="00C62024" w:rsidRPr="0034371D" w:rsidRDefault="00C62024" w:rsidP="00C62024">
      <w:pPr>
        <w:rPr>
          <w:u w:val="single"/>
        </w:rPr>
      </w:pPr>
      <w:r>
        <w:rPr>
          <w:u w:val="single"/>
          <w:lang w:val="fr"/>
        </w:rPr>
        <w:t>Élimination</w:t>
      </w:r>
    </w:p>
    <w:p w14:paraId="491AEF59" w14:textId="77777777" w:rsidR="00C62024" w:rsidRPr="0034371D" w:rsidRDefault="00C62024" w:rsidP="00C6202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1"/>
        <w:gridCol w:w="1823"/>
        <w:gridCol w:w="1676"/>
      </w:tblGrid>
      <w:tr w:rsidR="00C62024" w:rsidRPr="00814516" w14:paraId="0420BC71" w14:textId="77777777" w:rsidTr="0002744E">
        <w:tc>
          <w:tcPr>
            <w:tcW w:w="5954" w:type="dxa"/>
          </w:tcPr>
          <w:p w14:paraId="295CF7B5" w14:textId="77777777" w:rsidR="00C62024" w:rsidRPr="00C62024" w:rsidRDefault="00C62024" w:rsidP="00C62024">
            <w:pPr>
              <w:pStyle w:val="ListParagraph"/>
              <w:numPr>
                <w:ilvl w:val="0"/>
                <w:numId w:val="21"/>
              </w:numPr>
              <w:ind w:left="337" w:hanging="447"/>
              <w:rPr>
                <w:lang w:val="fr-FR"/>
              </w:rPr>
            </w:pPr>
            <w:r>
              <w:rPr>
                <w:lang w:val="fr"/>
              </w:rPr>
              <w:t>Plan de gestion de l’élimination des HCFC (phase II, deuxième tranche)</w:t>
            </w:r>
          </w:p>
        </w:tc>
        <w:tc>
          <w:tcPr>
            <w:tcW w:w="1843" w:type="dxa"/>
          </w:tcPr>
          <w:p w14:paraId="6E97B471" w14:textId="77777777" w:rsidR="00C62024" w:rsidRPr="003410CC" w:rsidRDefault="00C62024" w:rsidP="0002744E">
            <w:pPr>
              <w:jc w:val="center"/>
            </w:pPr>
            <w:r>
              <w:rPr>
                <w:lang w:val="fr"/>
              </w:rPr>
              <w:t>PNUE et ONUDI</w:t>
            </w:r>
          </w:p>
        </w:tc>
        <w:tc>
          <w:tcPr>
            <w:tcW w:w="1563" w:type="dxa"/>
          </w:tcPr>
          <w:p w14:paraId="4CF23D26" w14:textId="77777777" w:rsidR="00C62024" w:rsidRPr="003410CC" w:rsidRDefault="00C62024" w:rsidP="0002744E">
            <w:pPr>
              <w:ind w:left="347"/>
              <w:jc w:val="center"/>
            </w:pPr>
            <w:r>
              <w:rPr>
                <w:lang w:val="fr"/>
              </w:rPr>
              <w:t>Approbation globale</w:t>
            </w:r>
          </w:p>
        </w:tc>
      </w:tr>
    </w:tbl>
    <w:p w14:paraId="30CEC5E1" w14:textId="77777777" w:rsidR="004E7F9C" w:rsidRPr="00103AB1" w:rsidRDefault="004E7F9C" w:rsidP="004E7F9C">
      <w:pPr>
        <w:pStyle w:val="Title1"/>
        <w:rPr>
          <w:lang w:val="fr-CA"/>
        </w:rPr>
      </w:pPr>
    </w:p>
    <w:p w14:paraId="078A03B6" w14:textId="77777777" w:rsidR="008C5738" w:rsidRPr="00103AB1" w:rsidRDefault="008C5738" w:rsidP="0066768F">
      <w:pPr>
        <w:pStyle w:val="StyleHeader4Para4Left0Firstline0"/>
        <w:numPr>
          <w:ilvl w:val="0"/>
          <w:numId w:val="0"/>
        </w:numPr>
        <w:jc w:val="right"/>
        <w:rPr>
          <w:b/>
          <w:sz w:val="22"/>
          <w:lang w:val="fr-CA"/>
        </w:rPr>
      </w:pPr>
    </w:p>
    <w:p w14:paraId="54BD0EB8" w14:textId="77777777" w:rsidR="00BB2764" w:rsidRPr="00103AB1" w:rsidRDefault="00BB2764" w:rsidP="00BB2764">
      <w:pPr>
        <w:rPr>
          <w:lang w:val="fr-CA"/>
        </w:rPr>
      </w:pPr>
    </w:p>
    <w:p w14:paraId="73EA8C1F" w14:textId="77777777" w:rsidR="008C5738" w:rsidRPr="00103AB1" w:rsidRDefault="004E7F9C" w:rsidP="00BB2764">
      <w:pPr>
        <w:pStyle w:val="StyleHeader4Para4Left0Firstline0"/>
        <w:numPr>
          <w:ilvl w:val="0"/>
          <w:numId w:val="0"/>
        </w:numPr>
        <w:tabs>
          <w:tab w:val="clear" w:pos="2880"/>
          <w:tab w:val="clear" w:pos="5760"/>
        </w:tabs>
        <w:jc w:val="center"/>
        <w:rPr>
          <w:b/>
          <w:sz w:val="22"/>
          <w:lang w:val="fr-CA"/>
        </w:rPr>
      </w:pPr>
      <w:r w:rsidRPr="00103AB1">
        <w:rPr>
          <w:b/>
          <w:sz w:val="22"/>
          <w:lang w:val="fr-CA"/>
        </w:rPr>
        <w:br w:type="page"/>
      </w:r>
    </w:p>
    <w:p w14:paraId="64C67B38" w14:textId="77777777" w:rsidR="00C62024" w:rsidRPr="00C62024" w:rsidRDefault="00C62024" w:rsidP="00C62024">
      <w:pPr>
        <w:spacing w:after="120"/>
        <w:jc w:val="center"/>
        <w:rPr>
          <w:b/>
          <w:lang w:val="fr-FR"/>
        </w:rPr>
      </w:pPr>
      <w:r>
        <w:rPr>
          <w:b/>
          <w:bCs/>
          <w:lang w:val="fr"/>
        </w:rPr>
        <w:lastRenderedPageBreak/>
        <w:t>FICHE D’ÉVALUATION DU PROJET – PROJETS PLURIANNUELS</w:t>
      </w:r>
    </w:p>
    <w:p w14:paraId="2D71FDD1" w14:textId="199B9A9C" w:rsidR="00C62024" w:rsidRDefault="00C62024" w:rsidP="00C62024">
      <w:pPr>
        <w:spacing w:after="200"/>
        <w:jc w:val="center"/>
      </w:pPr>
      <w:r>
        <w:rPr>
          <w:b/>
          <w:bCs/>
          <w:lang w:val="fr"/>
        </w:rPr>
        <w:t>Koweït</w:t>
      </w:r>
      <w:r w:rsidR="00487FD2">
        <w:rPr>
          <w:b/>
          <w:bCs/>
          <w:lang w:val="fr"/>
        </w:rPr>
        <w:t xml:space="preserve"> (</w:t>
      </w:r>
      <w:r w:rsidR="005B0490">
        <w:rPr>
          <w:b/>
          <w:bCs/>
          <w:lang w:val="fr"/>
        </w:rPr>
        <w:t>l</w:t>
      </w:r>
      <w:r w:rsidR="00487FD2">
        <w:rPr>
          <w:b/>
          <w:bCs/>
          <w:lang w:val="fr"/>
        </w:rPr>
        <w:t>e)</w:t>
      </w:r>
    </w:p>
    <w:tbl>
      <w:tblPr>
        <w:tblStyle w:val="TableGrid"/>
        <w:tblW w:w="11155" w:type="dxa"/>
        <w:jc w:val="center"/>
        <w:tblLook w:val="04A0" w:firstRow="1" w:lastRow="0" w:firstColumn="1" w:lastColumn="0" w:noHBand="0" w:noVBand="1"/>
      </w:tblPr>
      <w:tblGrid>
        <w:gridCol w:w="3539"/>
        <w:gridCol w:w="2410"/>
        <w:gridCol w:w="1984"/>
        <w:gridCol w:w="3222"/>
      </w:tblGrid>
      <w:tr w:rsidR="00C62024" w:rsidRPr="00830019" w14:paraId="07A312C0" w14:textId="77777777" w:rsidTr="00C03EC7">
        <w:trPr>
          <w:trHeight w:val="240"/>
          <w:jc w:val="center"/>
        </w:trPr>
        <w:tc>
          <w:tcPr>
            <w:tcW w:w="3539" w:type="dxa"/>
            <w:hideMark/>
          </w:tcPr>
          <w:p w14:paraId="0923190A" w14:textId="77777777" w:rsidR="00C62024" w:rsidRPr="00830019" w:rsidRDefault="00C62024" w:rsidP="0002744E">
            <w:pPr>
              <w:jc w:val="left"/>
              <w:rPr>
                <w:b/>
                <w:sz w:val="20"/>
                <w:szCs w:val="20"/>
              </w:rPr>
            </w:pPr>
            <w:r>
              <w:rPr>
                <w:b/>
                <w:bCs/>
                <w:sz w:val="20"/>
                <w:szCs w:val="20"/>
                <w:lang w:val="fr"/>
              </w:rPr>
              <w:t>(I) TITRE DU PROJET</w:t>
            </w:r>
          </w:p>
        </w:tc>
        <w:tc>
          <w:tcPr>
            <w:tcW w:w="2410" w:type="dxa"/>
            <w:hideMark/>
          </w:tcPr>
          <w:p w14:paraId="22844D81" w14:textId="77777777" w:rsidR="00C62024" w:rsidRPr="00830019" w:rsidRDefault="00C62024" w:rsidP="0002744E">
            <w:pPr>
              <w:jc w:val="center"/>
              <w:rPr>
                <w:b/>
                <w:sz w:val="20"/>
                <w:szCs w:val="20"/>
              </w:rPr>
            </w:pPr>
            <w:r>
              <w:rPr>
                <w:b/>
                <w:bCs/>
                <w:sz w:val="20"/>
                <w:szCs w:val="20"/>
                <w:lang w:val="fr"/>
              </w:rPr>
              <w:t>AGENCE</w:t>
            </w:r>
          </w:p>
        </w:tc>
        <w:tc>
          <w:tcPr>
            <w:tcW w:w="1984" w:type="dxa"/>
            <w:hideMark/>
          </w:tcPr>
          <w:p w14:paraId="489E2288" w14:textId="77777777" w:rsidR="00C62024" w:rsidRPr="00830019" w:rsidRDefault="00C62024" w:rsidP="0002744E">
            <w:pPr>
              <w:jc w:val="center"/>
              <w:rPr>
                <w:b/>
                <w:sz w:val="20"/>
                <w:szCs w:val="20"/>
              </w:rPr>
            </w:pPr>
            <w:r>
              <w:rPr>
                <w:b/>
                <w:bCs/>
                <w:sz w:val="20"/>
                <w:szCs w:val="20"/>
                <w:lang w:val="fr"/>
              </w:rPr>
              <w:t>RÉUNION D’APPROBATION</w:t>
            </w:r>
          </w:p>
        </w:tc>
        <w:tc>
          <w:tcPr>
            <w:tcW w:w="3222" w:type="dxa"/>
            <w:hideMark/>
          </w:tcPr>
          <w:p w14:paraId="759F9EFC" w14:textId="77777777" w:rsidR="00C62024" w:rsidRPr="00830019" w:rsidRDefault="00C62024" w:rsidP="0002744E">
            <w:pPr>
              <w:jc w:val="center"/>
              <w:rPr>
                <w:b/>
                <w:sz w:val="20"/>
                <w:szCs w:val="20"/>
              </w:rPr>
            </w:pPr>
            <w:r>
              <w:rPr>
                <w:b/>
                <w:bCs/>
                <w:sz w:val="20"/>
                <w:szCs w:val="20"/>
                <w:lang w:val="fr"/>
              </w:rPr>
              <w:t>MESURE DE RÉGLEMENTATION</w:t>
            </w:r>
          </w:p>
        </w:tc>
      </w:tr>
      <w:tr w:rsidR="00C62024" w:rsidRPr="00830019" w14:paraId="0FF33F5A" w14:textId="77777777" w:rsidTr="00C03EC7">
        <w:trPr>
          <w:trHeight w:val="240"/>
          <w:jc w:val="center"/>
        </w:trPr>
        <w:tc>
          <w:tcPr>
            <w:tcW w:w="3539" w:type="dxa"/>
            <w:vAlign w:val="center"/>
            <w:hideMark/>
          </w:tcPr>
          <w:p w14:paraId="16130421" w14:textId="77777777" w:rsidR="00C62024" w:rsidRPr="00C62024" w:rsidRDefault="00C62024" w:rsidP="0002744E">
            <w:pPr>
              <w:jc w:val="center"/>
              <w:rPr>
                <w:sz w:val="20"/>
                <w:szCs w:val="20"/>
                <w:lang w:val="fr-FR"/>
              </w:rPr>
            </w:pPr>
            <w:r>
              <w:rPr>
                <w:sz w:val="20"/>
                <w:szCs w:val="20"/>
                <w:lang w:val="fr"/>
              </w:rPr>
              <w:t>Plan d’élimination des HCFC (phase II)</w:t>
            </w:r>
          </w:p>
        </w:tc>
        <w:tc>
          <w:tcPr>
            <w:tcW w:w="2410" w:type="dxa"/>
            <w:vAlign w:val="center"/>
          </w:tcPr>
          <w:p w14:paraId="72921830" w14:textId="77777777" w:rsidR="00C62024" w:rsidRPr="00830019" w:rsidRDefault="00C62024" w:rsidP="0002744E">
            <w:pPr>
              <w:jc w:val="center"/>
              <w:rPr>
                <w:sz w:val="20"/>
                <w:szCs w:val="20"/>
              </w:rPr>
            </w:pPr>
            <w:r>
              <w:rPr>
                <w:lang w:val="fr"/>
              </w:rPr>
              <w:t xml:space="preserve">PNUE </w:t>
            </w:r>
            <w:r>
              <w:rPr>
                <w:color w:val="000000" w:themeColor="text1"/>
                <w:sz w:val="20"/>
                <w:szCs w:val="20"/>
                <w:lang w:val="fr"/>
              </w:rPr>
              <w:t>(agence principale), ONUDI</w:t>
            </w:r>
          </w:p>
        </w:tc>
        <w:tc>
          <w:tcPr>
            <w:tcW w:w="1984" w:type="dxa"/>
            <w:vAlign w:val="center"/>
          </w:tcPr>
          <w:p w14:paraId="69B6DE19" w14:textId="77777777" w:rsidR="00C62024" w:rsidRPr="00830019" w:rsidRDefault="00C62024" w:rsidP="0002744E">
            <w:pPr>
              <w:jc w:val="center"/>
              <w:rPr>
                <w:sz w:val="20"/>
                <w:szCs w:val="20"/>
              </w:rPr>
            </w:pPr>
            <w:r>
              <w:rPr>
                <w:sz w:val="20"/>
                <w:szCs w:val="20"/>
                <w:lang w:val="fr"/>
              </w:rPr>
              <w:t>88</w:t>
            </w:r>
            <w:r>
              <w:rPr>
                <w:sz w:val="20"/>
                <w:szCs w:val="20"/>
                <w:vertAlign w:val="superscript"/>
                <w:lang w:val="fr"/>
              </w:rPr>
              <w:t>e</w:t>
            </w:r>
          </w:p>
        </w:tc>
        <w:tc>
          <w:tcPr>
            <w:tcW w:w="3222" w:type="dxa"/>
            <w:vAlign w:val="center"/>
          </w:tcPr>
          <w:p w14:paraId="27735E3E" w14:textId="77777777" w:rsidR="00C62024" w:rsidRPr="00830019" w:rsidRDefault="00C62024" w:rsidP="0002744E">
            <w:pPr>
              <w:jc w:val="center"/>
              <w:rPr>
                <w:sz w:val="20"/>
                <w:szCs w:val="20"/>
              </w:rPr>
            </w:pPr>
            <w:r>
              <w:rPr>
                <w:sz w:val="20"/>
                <w:szCs w:val="20"/>
                <w:lang w:val="fr"/>
              </w:rPr>
              <w:t>67,5 % d’élimination d’ici 2025</w:t>
            </w:r>
          </w:p>
        </w:tc>
      </w:tr>
    </w:tbl>
    <w:p w14:paraId="01D21679" w14:textId="77777777" w:rsidR="00C62024" w:rsidRPr="00862FA7" w:rsidRDefault="00C62024" w:rsidP="00C62024">
      <w:pPr>
        <w:jc w:val="center"/>
        <w:rPr>
          <w:sz w:val="18"/>
          <w:szCs w:val="18"/>
        </w:rPr>
      </w:pPr>
    </w:p>
    <w:tbl>
      <w:tblPr>
        <w:tblStyle w:val="TableGrid"/>
        <w:tblW w:w="11155" w:type="dxa"/>
        <w:jc w:val="center"/>
        <w:tblLook w:val="04A0" w:firstRow="1" w:lastRow="0" w:firstColumn="1" w:lastColumn="0" w:noHBand="0" w:noVBand="1"/>
      </w:tblPr>
      <w:tblGrid>
        <w:gridCol w:w="6056"/>
        <w:gridCol w:w="2400"/>
        <w:gridCol w:w="2699"/>
      </w:tblGrid>
      <w:tr w:rsidR="00C62024" w:rsidRPr="00830019" w14:paraId="6524263A" w14:textId="77777777" w:rsidTr="00C03EC7">
        <w:trPr>
          <w:trHeight w:val="43"/>
          <w:jc w:val="center"/>
        </w:trPr>
        <w:tc>
          <w:tcPr>
            <w:tcW w:w="6056" w:type="dxa"/>
            <w:hideMark/>
          </w:tcPr>
          <w:p w14:paraId="73B4CAF7" w14:textId="77777777" w:rsidR="00C62024" w:rsidRPr="00C62024" w:rsidRDefault="00C62024" w:rsidP="0002744E">
            <w:pPr>
              <w:jc w:val="left"/>
              <w:rPr>
                <w:b/>
                <w:sz w:val="20"/>
                <w:szCs w:val="20"/>
                <w:lang w:val="fr-FR"/>
              </w:rPr>
            </w:pPr>
            <w:r>
              <w:rPr>
                <w:b/>
                <w:bCs/>
                <w:sz w:val="20"/>
                <w:szCs w:val="20"/>
                <w:lang w:val="fr"/>
              </w:rPr>
              <w:t>(II) DERNIÈRES DONNÉES COMMUNIQUÉES EN VERTU DE L’ARTICLE 7 (Annexe C Groupe l)</w:t>
            </w:r>
          </w:p>
        </w:tc>
        <w:tc>
          <w:tcPr>
            <w:tcW w:w="2400" w:type="dxa"/>
            <w:hideMark/>
          </w:tcPr>
          <w:p w14:paraId="79DB499C" w14:textId="77777777" w:rsidR="00C62024" w:rsidRPr="00830019" w:rsidRDefault="00C62024" w:rsidP="0002744E">
            <w:pPr>
              <w:jc w:val="center"/>
              <w:rPr>
                <w:sz w:val="20"/>
                <w:szCs w:val="20"/>
              </w:rPr>
            </w:pPr>
            <w:r>
              <w:rPr>
                <w:sz w:val="20"/>
                <w:szCs w:val="20"/>
                <w:lang w:val="fr"/>
              </w:rPr>
              <w:t>Année : 2023</w:t>
            </w:r>
          </w:p>
        </w:tc>
        <w:tc>
          <w:tcPr>
            <w:tcW w:w="2699" w:type="dxa"/>
            <w:hideMark/>
          </w:tcPr>
          <w:p w14:paraId="6CA3DB62" w14:textId="77777777" w:rsidR="00C62024" w:rsidRPr="00830019" w:rsidRDefault="00C62024" w:rsidP="0002744E">
            <w:pPr>
              <w:jc w:val="right"/>
              <w:rPr>
                <w:sz w:val="20"/>
                <w:szCs w:val="20"/>
              </w:rPr>
            </w:pPr>
            <w:r>
              <w:rPr>
                <w:color w:val="000000" w:themeColor="text1"/>
                <w:sz w:val="20"/>
                <w:szCs w:val="20"/>
                <w:lang w:val="fr"/>
              </w:rPr>
              <w:t>147,03</w:t>
            </w:r>
            <w:r>
              <w:rPr>
                <w:sz w:val="20"/>
                <w:szCs w:val="20"/>
                <w:lang w:val="fr"/>
              </w:rPr>
              <w:t> tonnes PAO</w:t>
            </w:r>
          </w:p>
        </w:tc>
      </w:tr>
    </w:tbl>
    <w:p w14:paraId="36DB6101" w14:textId="77777777" w:rsidR="00C62024" w:rsidRPr="00862FA7" w:rsidRDefault="00C62024" w:rsidP="00C62024">
      <w:pPr>
        <w:jc w:val="center"/>
        <w:rPr>
          <w:sz w:val="18"/>
          <w:szCs w:val="18"/>
        </w:rPr>
      </w:pPr>
    </w:p>
    <w:tbl>
      <w:tblPr>
        <w:tblStyle w:val="TableGrid"/>
        <w:tblW w:w="11121" w:type="dxa"/>
        <w:jc w:val="center"/>
        <w:tblLayout w:type="fixed"/>
        <w:tblLook w:val="04A0" w:firstRow="1" w:lastRow="0" w:firstColumn="1" w:lastColumn="0" w:noHBand="0" w:noVBand="1"/>
      </w:tblPr>
      <w:tblGrid>
        <w:gridCol w:w="1165"/>
        <w:gridCol w:w="810"/>
        <w:gridCol w:w="990"/>
        <w:gridCol w:w="1170"/>
        <w:gridCol w:w="1126"/>
        <w:gridCol w:w="944"/>
        <w:gridCol w:w="900"/>
        <w:gridCol w:w="1350"/>
        <w:gridCol w:w="1260"/>
        <w:gridCol w:w="1406"/>
      </w:tblGrid>
      <w:tr w:rsidR="00C62024" w:rsidRPr="00830019" w14:paraId="5E28D60C" w14:textId="77777777" w:rsidTr="0072079B">
        <w:trPr>
          <w:trHeight w:val="249"/>
          <w:jc w:val="center"/>
        </w:trPr>
        <w:tc>
          <w:tcPr>
            <w:tcW w:w="8455" w:type="dxa"/>
            <w:gridSpan w:val="8"/>
            <w:hideMark/>
          </w:tcPr>
          <w:p w14:paraId="1925265A" w14:textId="77777777" w:rsidR="00C62024" w:rsidRPr="00C62024" w:rsidRDefault="00C62024" w:rsidP="0002744E">
            <w:pPr>
              <w:jc w:val="left"/>
              <w:rPr>
                <w:b/>
                <w:sz w:val="20"/>
                <w:szCs w:val="20"/>
                <w:lang w:val="fr-FR"/>
              </w:rPr>
            </w:pPr>
            <w:r>
              <w:rPr>
                <w:b/>
                <w:bCs/>
                <w:sz w:val="20"/>
                <w:szCs w:val="20"/>
                <w:lang w:val="fr"/>
              </w:rPr>
              <w:t>(III) DERNIÈRES DONNÉES SECTORIELLES DU PROGRAMME DU PAYS (tonnes PAO)</w:t>
            </w:r>
          </w:p>
        </w:tc>
        <w:tc>
          <w:tcPr>
            <w:tcW w:w="2666" w:type="dxa"/>
            <w:gridSpan w:val="2"/>
            <w:hideMark/>
          </w:tcPr>
          <w:p w14:paraId="413D0D02" w14:textId="77777777" w:rsidR="00C62024" w:rsidRPr="00830019" w:rsidRDefault="00C62024" w:rsidP="0002744E">
            <w:pPr>
              <w:jc w:val="right"/>
              <w:rPr>
                <w:b/>
                <w:sz w:val="20"/>
                <w:szCs w:val="20"/>
              </w:rPr>
            </w:pPr>
            <w:r>
              <w:rPr>
                <w:b/>
                <w:bCs/>
                <w:sz w:val="20"/>
                <w:szCs w:val="20"/>
                <w:lang w:val="fr"/>
              </w:rPr>
              <w:t>Année : 2023</w:t>
            </w:r>
          </w:p>
        </w:tc>
      </w:tr>
      <w:tr w:rsidR="0072079B" w:rsidRPr="00830019" w14:paraId="40E02FC5" w14:textId="77777777" w:rsidTr="0072079B">
        <w:trPr>
          <w:trHeight w:val="249"/>
          <w:jc w:val="center"/>
        </w:trPr>
        <w:tc>
          <w:tcPr>
            <w:tcW w:w="1165" w:type="dxa"/>
            <w:vAlign w:val="center"/>
            <w:hideMark/>
          </w:tcPr>
          <w:p w14:paraId="5FA87FC5" w14:textId="77777777" w:rsidR="00C62024" w:rsidRPr="0072079B" w:rsidRDefault="00C62024" w:rsidP="0002744E">
            <w:pPr>
              <w:jc w:val="center"/>
              <w:rPr>
                <w:sz w:val="18"/>
                <w:szCs w:val="18"/>
              </w:rPr>
            </w:pPr>
            <w:r w:rsidRPr="0072079B">
              <w:rPr>
                <w:sz w:val="18"/>
                <w:szCs w:val="18"/>
                <w:lang w:val="fr"/>
              </w:rPr>
              <w:t>Produits chimiques</w:t>
            </w:r>
          </w:p>
        </w:tc>
        <w:tc>
          <w:tcPr>
            <w:tcW w:w="810" w:type="dxa"/>
            <w:vAlign w:val="center"/>
            <w:hideMark/>
          </w:tcPr>
          <w:p w14:paraId="5E3A9A9B" w14:textId="77777777" w:rsidR="00C62024" w:rsidRPr="0072079B" w:rsidRDefault="00C62024" w:rsidP="0002744E">
            <w:pPr>
              <w:jc w:val="center"/>
              <w:rPr>
                <w:sz w:val="18"/>
                <w:szCs w:val="18"/>
              </w:rPr>
            </w:pPr>
            <w:r w:rsidRPr="0072079B">
              <w:rPr>
                <w:sz w:val="18"/>
                <w:szCs w:val="18"/>
                <w:lang w:val="fr"/>
              </w:rPr>
              <w:t>Aérosol</w:t>
            </w:r>
          </w:p>
        </w:tc>
        <w:tc>
          <w:tcPr>
            <w:tcW w:w="990" w:type="dxa"/>
            <w:vAlign w:val="center"/>
            <w:hideMark/>
          </w:tcPr>
          <w:p w14:paraId="094A17AF" w14:textId="77777777" w:rsidR="00C62024" w:rsidRPr="0072079B" w:rsidRDefault="00C62024" w:rsidP="0002744E">
            <w:pPr>
              <w:jc w:val="center"/>
              <w:rPr>
                <w:sz w:val="18"/>
                <w:szCs w:val="18"/>
              </w:rPr>
            </w:pPr>
            <w:r w:rsidRPr="0072079B">
              <w:rPr>
                <w:sz w:val="18"/>
                <w:szCs w:val="18"/>
                <w:lang w:val="fr"/>
              </w:rPr>
              <w:t>Mousses</w:t>
            </w:r>
          </w:p>
        </w:tc>
        <w:tc>
          <w:tcPr>
            <w:tcW w:w="1170" w:type="dxa"/>
            <w:vAlign w:val="center"/>
            <w:hideMark/>
          </w:tcPr>
          <w:p w14:paraId="7A7B5336" w14:textId="77777777" w:rsidR="00C62024" w:rsidRPr="0072079B" w:rsidRDefault="00C62024" w:rsidP="0002744E">
            <w:pPr>
              <w:jc w:val="center"/>
              <w:rPr>
                <w:sz w:val="18"/>
                <w:szCs w:val="18"/>
              </w:rPr>
            </w:pPr>
            <w:r w:rsidRPr="0072079B">
              <w:rPr>
                <w:sz w:val="18"/>
                <w:szCs w:val="18"/>
                <w:lang w:val="fr"/>
              </w:rPr>
              <w:t>Lutte contre l’incendie</w:t>
            </w:r>
          </w:p>
        </w:tc>
        <w:tc>
          <w:tcPr>
            <w:tcW w:w="2070" w:type="dxa"/>
            <w:gridSpan w:val="2"/>
            <w:vAlign w:val="center"/>
            <w:hideMark/>
          </w:tcPr>
          <w:p w14:paraId="6834391F" w14:textId="77777777" w:rsidR="00C62024" w:rsidRPr="0072079B" w:rsidRDefault="00C62024" w:rsidP="0002744E">
            <w:pPr>
              <w:jc w:val="center"/>
              <w:rPr>
                <w:sz w:val="18"/>
                <w:szCs w:val="18"/>
              </w:rPr>
            </w:pPr>
            <w:r w:rsidRPr="0072079B">
              <w:rPr>
                <w:sz w:val="18"/>
                <w:szCs w:val="18"/>
                <w:lang w:val="fr"/>
              </w:rPr>
              <w:t>Réfrigération</w:t>
            </w:r>
          </w:p>
        </w:tc>
        <w:tc>
          <w:tcPr>
            <w:tcW w:w="900" w:type="dxa"/>
            <w:vAlign w:val="center"/>
            <w:hideMark/>
          </w:tcPr>
          <w:p w14:paraId="368059DE" w14:textId="77777777" w:rsidR="00C62024" w:rsidRPr="0072079B" w:rsidRDefault="00C62024" w:rsidP="0002744E">
            <w:pPr>
              <w:jc w:val="center"/>
              <w:rPr>
                <w:sz w:val="18"/>
                <w:szCs w:val="18"/>
              </w:rPr>
            </w:pPr>
            <w:r w:rsidRPr="0072079B">
              <w:rPr>
                <w:sz w:val="18"/>
                <w:szCs w:val="18"/>
                <w:lang w:val="fr"/>
              </w:rPr>
              <w:t>Solvants</w:t>
            </w:r>
          </w:p>
        </w:tc>
        <w:tc>
          <w:tcPr>
            <w:tcW w:w="1350" w:type="dxa"/>
            <w:vAlign w:val="center"/>
            <w:hideMark/>
          </w:tcPr>
          <w:p w14:paraId="750459EF" w14:textId="77777777" w:rsidR="00C62024" w:rsidRPr="0072079B" w:rsidRDefault="00C62024" w:rsidP="0002744E">
            <w:pPr>
              <w:jc w:val="center"/>
              <w:rPr>
                <w:sz w:val="18"/>
                <w:szCs w:val="18"/>
              </w:rPr>
            </w:pPr>
            <w:r w:rsidRPr="0072079B">
              <w:rPr>
                <w:sz w:val="18"/>
                <w:szCs w:val="18"/>
                <w:lang w:val="fr"/>
              </w:rPr>
              <w:t>Agent de transformation</w:t>
            </w:r>
          </w:p>
        </w:tc>
        <w:tc>
          <w:tcPr>
            <w:tcW w:w="1260" w:type="dxa"/>
            <w:vAlign w:val="center"/>
            <w:hideMark/>
          </w:tcPr>
          <w:p w14:paraId="42FB202F" w14:textId="77777777" w:rsidR="00C62024" w:rsidRPr="0072079B" w:rsidRDefault="00C62024" w:rsidP="0002744E">
            <w:pPr>
              <w:jc w:val="center"/>
              <w:rPr>
                <w:sz w:val="18"/>
                <w:szCs w:val="18"/>
              </w:rPr>
            </w:pPr>
            <w:r w:rsidRPr="0072079B">
              <w:rPr>
                <w:sz w:val="18"/>
                <w:szCs w:val="18"/>
                <w:lang w:val="fr"/>
              </w:rPr>
              <w:t>Utilisation en laboratoire</w:t>
            </w:r>
          </w:p>
        </w:tc>
        <w:tc>
          <w:tcPr>
            <w:tcW w:w="1406" w:type="dxa"/>
            <w:vAlign w:val="center"/>
            <w:hideMark/>
          </w:tcPr>
          <w:p w14:paraId="370E7661" w14:textId="77777777" w:rsidR="00C62024" w:rsidRPr="0072079B" w:rsidRDefault="00C62024" w:rsidP="0002744E">
            <w:pPr>
              <w:jc w:val="center"/>
              <w:rPr>
                <w:sz w:val="18"/>
                <w:szCs w:val="18"/>
              </w:rPr>
            </w:pPr>
            <w:r w:rsidRPr="0072079B">
              <w:rPr>
                <w:sz w:val="18"/>
                <w:szCs w:val="18"/>
                <w:lang w:val="fr"/>
              </w:rPr>
              <w:t>Consommation totale du secteur</w:t>
            </w:r>
          </w:p>
        </w:tc>
      </w:tr>
      <w:tr w:rsidR="00C62024" w:rsidRPr="00830019" w14:paraId="74A158E9" w14:textId="77777777" w:rsidTr="0072079B">
        <w:trPr>
          <w:trHeight w:val="249"/>
          <w:jc w:val="center"/>
        </w:trPr>
        <w:tc>
          <w:tcPr>
            <w:tcW w:w="4135" w:type="dxa"/>
            <w:gridSpan w:val="4"/>
            <w:hideMark/>
          </w:tcPr>
          <w:p w14:paraId="73956BCF" w14:textId="77777777" w:rsidR="00C62024" w:rsidRPr="0072079B" w:rsidRDefault="00C62024" w:rsidP="0002744E">
            <w:pPr>
              <w:jc w:val="center"/>
              <w:rPr>
                <w:sz w:val="18"/>
                <w:szCs w:val="18"/>
              </w:rPr>
            </w:pPr>
          </w:p>
        </w:tc>
        <w:tc>
          <w:tcPr>
            <w:tcW w:w="1126" w:type="dxa"/>
            <w:hideMark/>
          </w:tcPr>
          <w:p w14:paraId="4655DCD5" w14:textId="77777777" w:rsidR="00C62024" w:rsidRPr="0072079B" w:rsidRDefault="00C62024" w:rsidP="0002744E">
            <w:pPr>
              <w:jc w:val="center"/>
              <w:rPr>
                <w:sz w:val="18"/>
                <w:szCs w:val="18"/>
              </w:rPr>
            </w:pPr>
            <w:r w:rsidRPr="0072079B">
              <w:rPr>
                <w:sz w:val="18"/>
                <w:szCs w:val="18"/>
                <w:lang w:val="fr"/>
              </w:rPr>
              <w:t>Fabrication</w:t>
            </w:r>
          </w:p>
        </w:tc>
        <w:tc>
          <w:tcPr>
            <w:tcW w:w="944" w:type="dxa"/>
            <w:hideMark/>
          </w:tcPr>
          <w:p w14:paraId="6705C24D" w14:textId="77777777" w:rsidR="00C62024" w:rsidRPr="0072079B" w:rsidRDefault="00C62024" w:rsidP="0002744E">
            <w:pPr>
              <w:jc w:val="center"/>
              <w:rPr>
                <w:sz w:val="18"/>
                <w:szCs w:val="18"/>
              </w:rPr>
            </w:pPr>
            <w:r w:rsidRPr="0072079B">
              <w:rPr>
                <w:sz w:val="18"/>
                <w:szCs w:val="18"/>
                <w:lang w:val="fr"/>
              </w:rPr>
              <w:t>Entretien</w:t>
            </w:r>
          </w:p>
        </w:tc>
        <w:tc>
          <w:tcPr>
            <w:tcW w:w="4916" w:type="dxa"/>
            <w:gridSpan w:val="4"/>
          </w:tcPr>
          <w:p w14:paraId="62FBE587" w14:textId="77777777" w:rsidR="00C62024" w:rsidRPr="0072079B" w:rsidRDefault="00C62024" w:rsidP="0002744E">
            <w:pPr>
              <w:jc w:val="center"/>
              <w:rPr>
                <w:sz w:val="18"/>
                <w:szCs w:val="18"/>
              </w:rPr>
            </w:pPr>
          </w:p>
        </w:tc>
      </w:tr>
      <w:tr w:rsidR="0072079B" w:rsidRPr="00830019" w14:paraId="6FA60B8F" w14:textId="77777777" w:rsidTr="0072079B">
        <w:trPr>
          <w:trHeight w:val="249"/>
          <w:jc w:val="center"/>
        </w:trPr>
        <w:tc>
          <w:tcPr>
            <w:tcW w:w="1165" w:type="dxa"/>
            <w:hideMark/>
          </w:tcPr>
          <w:p w14:paraId="6CDCDFEC" w14:textId="77777777" w:rsidR="00C62024" w:rsidRPr="0072079B" w:rsidRDefault="00C62024" w:rsidP="0002744E">
            <w:pPr>
              <w:ind w:left="32"/>
              <w:jc w:val="left"/>
              <w:rPr>
                <w:sz w:val="18"/>
                <w:szCs w:val="18"/>
              </w:rPr>
            </w:pPr>
            <w:r w:rsidRPr="0072079B">
              <w:rPr>
                <w:sz w:val="18"/>
                <w:szCs w:val="18"/>
                <w:lang w:val="fr"/>
              </w:rPr>
              <w:t>HCFC-22</w:t>
            </w:r>
          </w:p>
        </w:tc>
        <w:tc>
          <w:tcPr>
            <w:tcW w:w="810" w:type="dxa"/>
          </w:tcPr>
          <w:p w14:paraId="7087558C" w14:textId="77777777" w:rsidR="00C62024" w:rsidRPr="0072079B" w:rsidRDefault="00C62024" w:rsidP="0002744E">
            <w:pPr>
              <w:jc w:val="right"/>
              <w:rPr>
                <w:sz w:val="18"/>
                <w:szCs w:val="18"/>
              </w:rPr>
            </w:pPr>
          </w:p>
        </w:tc>
        <w:tc>
          <w:tcPr>
            <w:tcW w:w="990" w:type="dxa"/>
          </w:tcPr>
          <w:p w14:paraId="12E9BC98" w14:textId="77777777" w:rsidR="00C62024" w:rsidRPr="0072079B" w:rsidRDefault="00C62024" w:rsidP="0002744E">
            <w:pPr>
              <w:jc w:val="right"/>
              <w:rPr>
                <w:sz w:val="18"/>
                <w:szCs w:val="18"/>
              </w:rPr>
            </w:pPr>
          </w:p>
        </w:tc>
        <w:tc>
          <w:tcPr>
            <w:tcW w:w="1170" w:type="dxa"/>
          </w:tcPr>
          <w:p w14:paraId="2BF4D9E1" w14:textId="77777777" w:rsidR="00C62024" w:rsidRPr="0072079B" w:rsidRDefault="00C62024" w:rsidP="0002744E">
            <w:pPr>
              <w:jc w:val="right"/>
              <w:rPr>
                <w:sz w:val="18"/>
                <w:szCs w:val="18"/>
              </w:rPr>
            </w:pPr>
          </w:p>
        </w:tc>
        <w:tc>
          <w:tcPr>
            <w:tcW w:w="1126" w:type="dxa"/>
          </w:tcPr>
          <w:p w14:paraId="6B574B3A" w14:textId="77777777" w:rsidR="00C62024" w:rsidRPr="0072079B" w:rsidRDefault="00C62024" w:rsidP="0002744E">
            <w:pPr>
              <w:jc w:val="right"/>
              <w:rPr>
                <w:sz w:val="18"/>
                <w:szCs w:val="18"/>
              </w:rPr>
            </w:pPr>
            <w:r w:rsidRPr="0072079B">
              <w:rPr>
                <w:sz w:val="18"/>
                <w:szCs w:val="18"/>
                <w:lang w:val="fr"/>
              </w:rPr>
              <w:t>3,36</w:t>
            </w:r>
          </w:p>
        </w:tc>
        <w:tc>
          <w:tcPr>
            <w:tcW w:w="944" w:type="dxa"/>
          </w:tcPr>
          <w:p w14:paraId="0EEDDCA5" w14:textId="77777777" w:rsidR="00C62024" w:rsidRPr="0072079B" w:rsidRDefault="00C62024" w:rsidP="0002744E">
            <w:pPr>
              <w:jc w:val="right"/>
              <w:rPr>
                <w:sz w:val="18"/>
                <w:szCs w:val="18"/>
              </w:rPr>
            </w:pPr>
            <w:r w:rsidRPr="0072079B">
              <w:rPr>
                <w:sz w:val="18"/>
                <w:szCs w:val="18"/>
                <w:lang w:val="fr"/>
              </w:rPr>
              <w:t>143,61</w:t>
            </w:r>
          </w:p>
        </w:tc>
        <w:tc>
          <w:tcPr>
            <w:tcW w:w="900" w:type="dxa"/>
          </w:tcPr>
          <w:p w14:paraId="5636610F" w14:textId="77777777" w:rsidR="00C62024" w:rsidRPr="0072079B" w:rsidRDefault="00C62024" w:rsidP="0002744E">
            <w:pPr>
              <w:jc w:val="right"/>
              <w:rPr>
                <w:sz w:val="18"/>
                <w:szCs w:val="18"/>
              </w:rPr>
            </w:pPr>
          </w:p>
        </w:tc>
        <w:tc>
          <w:tcPr>
            <w:tcW w:w="1350" w:type="dxa"/>
          </w:tcPr>
          <w:p w14:paraId="7F366259" w14:textId="77777777" w:rsidR="00C62024" w:rsidRPr="0072079B" w:rsidRDefault="00C62024" w:rsidP="0002744E">
            <w:pPr>
              <w:jc w:val="right"/>
              <w:rPr>
                <w:sz w:val="18"/>
                <w:szCs w:val="18"/>
              </w:rPr>
            </w:pPr>
          </w:p>
        </w:tc>
        <w:tc>
          <w:tcPr>
            <w:tcW w:w="1260" w:type="dxa"/>
          </w:tcPr>
          <w:p w14:paraId="6467F1BB" w14:textId="77777777" w:rsidR="00C62024" w:rsidRPr="0072079B" w:rsidRDefault="00C62024" w:rsidP="0002744E">
            <w:pPr>
              <w:jc w:val="right"/>
              <w:rPr>
                <w:sz w:val="18"/>
                <w:szCs w:val="18"/>
              </w:rPr>
            </w:pPr>
          </w:p>
        </w:tc>
        <w:tc>
          <w:tcPr>
            <w:tcW w:w="1406" w:type="dxa"/>
          </w:tcPr>
          <w:p w14:paraId="02B18773" w14:textId="77777777" w:rsidR="00C62024" w:rsidRPr="0072079B" w:rsidRDefault="00C62024" w:rsidP="0002744E">
            <w:pPr>
              <w:jc w:val="right"/>
              <w:rPr>
                <w:sz w:val="18"/>
                <w:szCs w:val="18"/>
              </w:rPr>
            </w:pPr>
            <w:r w:rsidRPr="0072079B">
              <w:rPr>
                <w:color w:val="000000" w:themeColor="text1"/>
                <w:sz w:val="18"/>
                <w:szCs w:val="18"/>
                <w:lang w:val="fr"/>
              </w:rPr>
              <w:t>146,96</w:t>
            </w:r>
          </w:p>
        </w:tc>
      </w:tr>
      <w:tr w:rsidR="0072079B" w:rsidRPr="00830019" w14:paraId="4331D824" w14:textId="77777777" w:rsidTr="0072079B">
        <w:trPr>
          <w:trHeight w:val="249"/>
          <w:jc w:val="center"/>
        </w:trPr>
        <w:tc>
          <w:tcPr>
            <w:tcW w:w="1165" w:type="dxa"/>
            <w:hideMark/>
          </w:tcPr>
          <w:p w14:paraId="5016636A" w14:textId="77777777" w:rsidR="00C62024" w:rsidRPr="0072079B" w:rsidRDefault="00C62024" w:rsidP="0002744E">
            <w:pPr>
              <w:ind w:left="32"/>
              <w:jc w:val="left"/>
              <w:rPr>
                <w:sz w:val="18"/>
                <w:szCs w:val="18"/>
              </w:rPr>
            </w:pPr>
            <w:r w:rsidRPr="0072079B">
              <w:rPr>
                <w:sz w:val="18"/>
                <w:szCs w:val="18"/>
                <w:lang w:val="fr"/>
              </w:rPr>
              <w:t>HCFC-123</w:t>
            </w:r>
          </w:p>
        </w:tc>
        <w:tc>
          <w:tcPr>
            <w:tcW w:w="810" w:type="dxa"/>
          </w:tcPr>
          <w:p w14:paraId="05F0AAA9" w14:textId="77777777" w:rsidR="00C62024" w:rsidRPr="0072079B" w:rsidRDefault="00C62024" w:rsidP="0002744E">
            <w:pPr>
              <w:jc w:val="right"/>
              <w:rPr>
                <w:sz w:val="18"/>
                <w:szCs w:val="18"/>
              </w:rPr>
            </w:pPr>
          </w:p>
        </w:tc>
        <w:tc>
          <w:tcPr>
            <w:tcW w:w="990" w:type="dxa"/>
          </w:tcPr>
          <w:p w14:paraId="7CCFBE01" w14:textId="77777777" w:rsidR="00C62024" w:rsidRPr="0072079B" w:rsidRDefault="00C62024" w:rsidP="0002744E">
            <w:pPr>
              <w:jc w:val="right"/>
              <w:rPr>
                <w:sz w:val="18"/>
                <w:szCs w:val="18"/>
              </w:rPr>
            </w:pPr>
          </w:p>
        </w:tc>
        <w:tc>
          <w:tcPr>
            <w:tcW w:w="1170" w:type="dxa"/>
          </w:tcPr>
          <w:p w14:paraId="48B91770" w14:textId="77777777" w:rsidR="00C62024" w:rsidRPr="0072079B" w:rsidRDefault="00C62024" w:rsidP="0002744E">
            <w:pPr>
              <w:jc w:val="right"/>
              <w:rPr>
                <w:sz w:val="18"/>
                <w:szCs w:val="18"/>
              </w:rPr>
            </w:pPr>
          </w:p>
        </w:tc>
        <w:tc>
          <w:tcPr>
            <w:tcW w:w="1126" w:type="dxa"/>
          </w:tcPr>
          <w:p w14:paraId="7FC4ECE4" w14:textId="77777777" w:rsidR="00C62024" w:rsidRPr="0072079B" w:rsidRDefault="00C62024" w:rsidP="0002744E">
            <w:pPr>
              <w:jc w:val="right"/>
              <w:rPr>
                <w:sz w:val="18"/>
                <w:szCs w:val="18"/>
              </w:rPr>
            </w:pPr>
          </w:p>
        </w:tc>
        <w:tc>
          <w:tcPr>
            <w:tcW w:w="944" w:type="dxa"/>
          </w:tcPr>
          <w:p w14:paraId="40C0D26D" w14:textId="77777777" w:rsidR="00C62024" w:rsidRPr="0072079B" w:rsidRDefault="00C62024" w:rsidP="0002744E">
            <w:pPr>
              <w:jc w:val="right"/>
              <w:rPr>
                <w:sz w:val="18"/>
                <w:szCs w:val="18"/>
              </w:rPr>
            </w:pPr>
            <w:r w:rsidRPr="0072079B">
              <w:rPr>
                <w:sz w:val="18"/>
                <w:szCs w:val="18"/>
                <w:lang w:val="fr"/>
              </w:rPr>
              <w:t>0,07</w:t>
            </w:r>
          </w:p>
        </w:tc>
        <w:tc>
          <w:tcPr>
            <w:tcW w:w="900" w:type="dxa"/>
          </w:tcPr>
          <w:p w14:paraId="40557325" w14:textId="77777777" w:rsidR="00C62024" w:rsidRPr="0072079B" w:rsidRDefault="00C62024" w:rsidP="0002744E">
            <w:pPr>
              <w:jc w:val="right"/>
              <w:rPr>
                <w:sz w:val="18"/>
                <w:szCs w:val="18"/>
              </w:rPr>
            </w:pPr>
          </w:p>
        </w:tc>
        <w:tc>
          <w:tcPr>
            <w:tcW w:w="1350" w:type="dxa"/>
          </w:tcPr>
          <w:p w14:paraId="292F1A39" w14:textId="77777777" w:rsidR="00C62024" w:rsidRPr="0072079B" w:rsidRDefault="00C62024" w:rsidP="0002744E">
            <w:pPr>
              <w:jc w:val="right"/>
              <w:rPr>
                <w:sz w:val="18"/>
                <w:szCs w:val="18"/>
              </w:rPr>
            </w:pPr>
          </w:p>
        </w:tc>
        <w:tc>
          <w:tcPr>
            <w:tcW w:w="1260" w:type="dxa"/>
          </w:tcPr>
          <w:p w14:paraId="0F0DD700" w14:textId="77777777" w:rsidR="00C62024" w:rsidRPr="0072079B" w:rsidRDefault="00C62024" w:rsidP="0002744E">
            <w:pPr>
              <w:jc w:val="right"/>
              <w:rPr>
                <w:sz w:val="18"/>
                <w:szCs w:val="18"/>
              </w:rPr>
            </w:pPr>
          </w:p>
        </w:tc>
        <w:tc>
          <w:tcPr>
            <w:tcW w:w="1406" w:type="dxa"/>
          </w:tcPr>
          <w:p w14:paraId="20FDC9C2" w14:textId="77777777" w:rsidR="00C62024" w:rsidRPr="0072079B" w:rsidRDefault="00C62024" w:rsidP="0002744E">
            <w:pPr>
              <w:jc w:val="right"/>
              <w:rPr>
                <w:sz w:val="18"/>
                <w:szCs w:val="18"/>
              </w:rPr>
            </w:pPr>
            <w:r w:rsidRPr="0072079B">
              <w:rPr>
                <w:sz w:val="18"/>
                <w:szCs w:val="18"/>
                <w:lang w:val="fr"/>
              </w:rPr>
              <w:t>0,07</w:t>
            </w:r>
          </w:p>
        </w:tc>
      </w:tr>
      <w:tr w:rsidR="0072079B" w:rsidRPr="00830019" w14:paraId="7909EC87" w14:textId="77777777" w:rsidTr="0072079B">
        <w:trPr>
          <w:trHeight w:val="249"/>
          <w:jc w:val="center"/>
        </w:trPr>
        <w:tc>
          <w:tcPr>
            <w:tcW w:w="1165" w:type="dxa"/>
            <w:hideMark/>
          </w:tcPr>
          <w:p w14:paraId="6A3DAD8D" w14:textId="77777777" w:rsidR="00C62024" w:rsidRPr="0072079B" w:rsidRDefault="00C62024" w:rsidP="0002744E">
            <w:pPr>
              <w:ind w:left="32"/>
              <w:jc w:val="left"/>
              <w:rPr>
                <w:sz w:val="18"/>
                <w:szCs w:val="18"/>
                <w:lang w:val="fr-FR"/>
              </w:rPr>
            </w:pPr>
            <w:r w:rsidRPr="0072079B">
              <w:rPr>
                <w:sz w:val="18"/>
                <w:szCs w:val="18"/>
                <w:lang w:val="fr"/>
              </w:rPr>
              <w:t xml:space="preserve">HCFC-141b dans les polyols </w:t>
            </w:r>
            <w:proofErr w:type="spellStart"/>
            <w:r w:rsidRPr="0072079B">
              <w:rPr>
                <w:sz w:val="18"/>
                <w:szCs w:val="18"/>
                <w:lang w:val="fr"/>
              </w:rPr>
              <w:t>prémélangés</w:t>
            </w:r>
            <w:proofErr w:type="spellEnd"/>
            <w:r w:rsidRPr="0072079B">
              <w:rPr>
                <w:sz w:val="18"/>
                <w:szCs w:val="18"/>
                <w:lang w:val="fr"/>
              </w:rPr>
              <w:t xml:space="preserve"> importés</w:t>
            </w:r>
          </w:p>
        </w:tc>
        <w:tc>
          <w:tcPr>
            <w:tcW w:w="810" w:type="dxa"/>
          </w:tcPr>
          <w:p w14:paraId="5B37D735" w14:textId="77777777" w:rsidR="00C62024" w:rsidRPr="0072079B" w:rsidRDefault="00C62024" w:rsidP="0002744E">
            <w:pPr>
              <w:jc w:val="right"/>
              <w:rPr>
                <w:sz w:val="18"/>
                <w:szCs w:val="18"/>
                <w:lang w:val="fr-FR"/>
              </w:rPr>
            </w:pPr>
          </w:p>
        </w:tc>
        <w:tc>
          <w:tcPr>
            <w:tcW w:w="990" w:type="dxa"/>
          </w:tcPr>
          <w:p w14:paraId="0847F60E" w14:textId="77777777" w:rsidR="00C62024" w:rsidRPr="0072079B" w:rsidRDefault="00C62024" w:rsidP="0002744E">
            <w:pPr>
              <w:jc w:val="right"/>
              <w:rPr>
                <w:sz w:val="18"/>
                <w:szCs w:val="18"/>
              </w:rPr>
            </w:pPr>
            <w:r w:rsidRPr="0072079B">
              <w:rPr>
                <w:sz w:val="18"/>
                <w:szCs w:val="18"/>
                <w:lang w:val="fr"/>
              </w:rPr>
              <w:t>19,80</w:t>
            </w:r>
          </w:p>
        </w:tc>
        <w:tc>
          <w:tcPr>
            <w:tcW w:w="1170" w:type="dxa"/>
          </w:tcPr>
          <w:p w14:paraId="4BB73CD8" w14:textId="77777777" w:rsidR="00C62024" w:rsidRPr="0072079B" w:rsidRDefault="00C62024" w:rsidP="0002744E">
            <w:pPr>
              <w:jc w:val="right"/>
              <w:rPr>
                <w:sz w:val="18"/>
                <w:szCs w:val="18"/>
              </w:rPr>
            </w:pPr>
          </w:p>
        </w:tc>
        <w:tc>
          <w:tcPr>
            <w:tcW w:w="1126" w:type="dxa"/>
          </w:tcPr>
          <w:p w14:paraId="4FA6086E" w14:textId="77777777" w:rsidR="00C62024" w:rsidRPr="0072079B" w:rsidRDefault="00C62024" w:rsidP="0002744E">
            <w:pPr>
              <w:jc w:val="right"/>
              <w:rPr>
                <w:sz w:val="18"/>
                <w:szCs w:val="18"/>
              </w:rPr>
            </w:pPr>
          </w:p>
        </w:tc>
        <w:tc>
          <w:tcPr>
            <w:tcW w:w="944" w:type="dxa"/>
          </w:tcPr>
          <w:p w14:paraId="2F9E3542" w14:textId="77777777" w:rsidR="00C62024" w:rsidRPr="0072079B" w:rsidRDefault="00C62024" w:rsidP="0002744E">
            <w:pPr>
              <w:jc w:val="right"/>
              <w:rPr>
                <w:sz w:val="18"/>
                <w:szCs w:val="18"/>
              </w:rPr>
            </w:pPr>
          </w:p>
        </w:tc>
        <w:tc>
          <w:tcPr>
            <w:tcW w:w="900" w:type="dxa"/>
          </w:tcPr>
          <w:p w14:paraId="636E01E3" w14:textId="77777777" w:rsidR="00C62024" w:rsidRPr="0072079B" w:rsidRDefault="00C62024" w:rsidP="0002744E">
            <w:pPr>
              <w:jc w:val="right"/>
              <w:rPr>
                <w:sz w:val="18"/>
                <w:szCs w:val="18"/>
              </w:rPr>
            </w:pPr>
          </w:p>
        </w:tc>
        <w:tc>
          <w:tcPr>
            <w:tcW w:w="1350" w:type="dxa"/>
          </w:tcPr>
          <w:p w14:paraId="0E4B444C" w14:textId="77777777" w:rsidR="00C62024" w:rsidRPr="0072079B" w:rsidRDefault="00C62024" w:rsidP="0002744E">
            <w:pPr>
              <w:jc w:val="right"/>
              <w:rPr>
                <w:sz w:val="18"/>
                <w:szCs w:val="18"/>
              </w:rPr>
            </w:pPr>
          </w:p>
        </w:tc>
        <w:tc>
          <w:tcPr>
            <w:tcW w:w="1260" w:type="dxa"/>
          </w:tcPr>
          <w:p w14:paraId="7887E17C" w14:textId="77777777" w:rsidR="00C62024" w:rsidRPr="0072079B" w:rsidRDefault="00C62024" w:rsidP="0002744E">
            <w:pPr>
              <w:jc w:val="right"/>
              <w:rPr>
                <w:sz w:val="18"/>
                <w:szCs w:val="18"/>
              </w:rPr>
            </w:pPr>
          </w:p>
        </w:tc>
        <w:tc>
          <w:tcPr>
            <w:tcW w:w="1406" w:type="dxa"/>
          </w:tcPr>
          <w:p w14:paraId="0FE25600" w14:textId="77777777" w:rsidR="00C62024" w:rsidRPr="0072079B" w:rsidRDefault="00C62024" w:rsidP="0002744E">
            <w:pPr>
              <w:jc w:val="right"/>
              <w:rPr>
                <w:sz w:val="18"/>
                <w:szCs w:val="18"/>
              </w:rPr>
            </w:pPr>
            <w:r w:rsidRPr="0072079B">
              <w:rPr>
                <w:sz w:val="18"/>
                <w:szCs w:val="18"/>
                <w:lang w:val="fr"/>
              </w:rPr>
              <w:t>19,80</w:t>
            </w:r>
          </w:p>
        </w:tc>
      </w:tr>
    </w:tbl>
    <w:p w14:paraId="0CC3EF88" w14:textId="77777777" w:rsidR="00C62024" w:rsidRPr="00862FA7" w:rsidRDefault="00C62024" w:rsidP="00C62024">
      <w:pPr>
        <w:jc w:val="center"/>
        <w:rPr>
          <w:sz w:val="18"/>
          <w:szCs w:val="18"/>
        </w:rPr>
      </w:pPr>
    </w:p>
    <w:tbl>
      <w:tblPr>
        <w:tblStyle w:val="TableGrid"/>
        <w:tblW w:w="11114" w:type="dxa"/>
        <w:jc w:val="center"/>
        <w:tblLook w:val="04A0" w:firstRow="1" w:lastRow="0" w:firstColumn="1" w:lastColumn="0" w:noHBand="0" w:noVBand="1"/>
      </w:tblPr>
      <w:tblGrid>
        <w:gridCol w:w="3956"/>
        <w:gridCol w:w="1281"/>
        <w:gridCol w:w="4394"/>
        <w:gridCol w:w="1483"/>
      </w:tblGrid>
      <w:tr w:rsidR="00C62024" w:rsidRPr="00D43F7D" w14:paraId="5DE79599" w14:textId="77777777" w:rsidTr="00397366">
        <w:trPr>
          <w:trHeight w:val="276"/>
          <w:jc w:val="center"/>
        </w:trPr>
        <w:tc>
          <w:tcPr>
            <w:tcW w:w="11114" w:type="dxa"/>
            <w:gridSpan w:val="4"/>
            <w:hideMark/>
          </w:tcPr>
          <w:p w14:paraId="53C8EAE1" w14:textId="77777777" w:rsidR="00C62024" w:rsidRPr="00C62024" w:rsidRDefault="00C62024" w:rsidP="0002744E">
            <w:pPr>
              <w:jc w:val="left"/>
              <w:rPr>
                <w:b/>
                <w:sz w:val="20"/>
                <w:szCs w:val="20"/>
                <w:lang w:val="fr-FR"/>
              </w:rPr>
            </w:pPr>
            <w:r>
              <w:rPr>
                <w:b/>
                <w:bCs/>
                <w:sz w:val="20"/>
                <w:szCs w:val="20"/>
                <w:lang w:val="fr"/>
              </w:rPr>
              <w:t>(IV) DONNÉES SUR LA CONSOMMATION (tonnes PAO)</w:t>
            </w:r>
          </w:p>
        </w:tc>
      </w:tr>
      <w:tr w:rsidR="00C62024" w:rsidRPr="00830019" w14:paraId="6281537F" w14:textId="77777777" w:rsidTr="00397366">
        <w:trPr>
          <w:trHeight w:val="276"/>
          <w:jc w:val="center"/>
        </w:trPr>
        <w:tc>
          <w:tcPr>
            <w:tcW w:w="3956" w:type="dxa"/>
            <w:hideMark/>
          </w:tcPr>
          <w:p w14:paraId="186302F3" w14:textId="77777777" w:rsidR="00C62024" w:rsidRPr="00830019" w:rsidRDefault="00C62024" w:rsidP="0002744E">
            <w:pPr>
              <w:jc w:val="center"/>
              <w:rPr>
                <w:sz w:val="20"/>
                <w:szCs w:val="20"/>
              </w:rPr>
            </w:pPr>
            <w:r>
              <w:rPr>
                <w:sz w:val="20"/>
                <w:szCs w:val="20"/>
                <w:lang w:val="fr"/>
              </w:rPr>
              <w:t>Consommation de référence 2009-2010 :</w:t>
            </w:r>
          </w:p>
        </w:tc>
        <w:tc>
          <w:tcPr>
            <w:tcW w:w="1281" w:type="dxa"/>
            <w:hideMark/>
          </w:tcPr>
          <w:p w14:paraId="2974DB20" w14:textId="77777777" w:rsidR="00C62024" w:rsidRPr="00830019" w:rsidRDefault="00C62024" w:rsidP="0002744E">
            <w:pPr>
              <w:jc w:val="right"/>
              <w:rPr>
                <w:sz w:val="20"/>
                <w:szCs w:val="20"/>
              </w:rPr>
            </w:pPr>
            <w:r>
              <w:rPr>
                <w:color w:val="000000" w:themeColor="text1"/>
                <w:sz w:val="20"/>
                <w:szCs w:val="20"/>
                <w:lang w:val="fr"/>
              </w:rPr>
              <w:t>418,60</w:t>
            </w:r>
          </w:p>
        </w:tc>
        <w:tc>
          <w:tcPr>
            <w:tcW w:w="4394" w:type="dxa"/>
            <w:hideMark/>
          </w:tcPr>
          <w:p w14:paraId="030732F8" w14:textId="77777777" w:rsidR="00C62024" w:rsidRPr="00C62024" w:rsidRDefault="00C62024" w:rsidP="0002744E">
            <w:pPr>
              <w:jc w:val="center"/>
              <w:rPr>
                <w:sz w:val="20"/>
                <w:szCs w:val="20"/>
                <w:lang w:val="fr-FR"/>
              </w:rPr>
            </w:pPr>
            <w:r>
              <w:rPr>
                <w:sz w:val="20"/>
                <w:szCs w:val="20"/>
                <w:lang w:val="fr"/>
              </w:rPr>
              <w:t>Point de départ des réductions globales durables :</w:t>
            </w:r>
          </w:p>
        </w:tc>
        <w:tc>
          <w:tcPr>
            <w:tcW w:w="1483" w:type="dxa"/>
            <w:hideMark/>
          </w:tcPr>
          <w:p w14:paraId="463B0D7D" w14:textId="77777777" w:rsidR="00C62024" w:rsidRPr="00830019" w:rsidRDefault="00C62024" w:rsidP="0002744E">
            <w:pPr>
              <w:jc w:val="right"/>
              <w:rPr>
                <w:sz w:val="20"/>
                <w:szCs w:val="20"/>
              </w:rPr>
            </w:pPr>
            <w:r>
              <w:rPr>
                <w:color w:val="000000" w:themeColor="text1"/>
                <w:sz w:val="20"/>
                <w:szCs w:val="20"/>
                <w:lang w:val="fr"/>
              </w:rPr>
              <w:t>429,24</w:t>
            </w:r>
          </w:p>
        </w:tc>
      </w:tr>
      <w:tr w:rsidR="00C62024" w:rsidRPr="00830019" w14:paraId="7093A9C4" w14:textId="77777777" w:rsidTr="00397366">
        <w:trPr>
          <w:trHeight w:val="276"/>
          <w:jc w:val="center"/>
        </w:trPr>
        <w:tc>
          <w:tcPr>
            <w:tcW w:w="11114" w:type="dxa"/>
            <w:gridSpan w:val="4"/>
            <w:hideMark/>
          </w:tcPr>
          <w:p w14:paraId="166D0CE0" w14:textId="77777777" w:rsidR="00C62024" w:rsidRPr="00830019" w:rsidRDefault="00C62024" w:rsidP="0002744E">
            <w:pPr>
              <w:ind w:left="316"/>
              <w:rPr>
                <w:b/>
                <w:sz w:val="20"/>
                <w:szCs w:val="20"/>
              </w:rPr>
            </w:pPr>
            <w:r>
              <w:rPr>
                <w:b/>
                <w:bCs/>
                <w:sz w:val="20"/>
                <w:szCs w:val="20"/>
                <w:lang w:val="fr"/>
              </w:rPr>
              <w:t>CONSOMMATION ADMISSIBLE AU FINANCEMENT</w:t>
            </w:r>
          </w:p>
        </w:tc>
      </w:tr>
      <w:tr w:rsidR="00C62024" w:rsidRPr="00830019" w14:paraId="476FCAC9" w14:textId="77777777" w:rsidTr="00397366">
        <w:trPr>
          <w:trHeight w:val="276"/>
          <w:jc w:val="center"/>
        </w:trPr>
        <w:tc>
          <w:tcPr>
            <w:tcW w:w="3956" w:type="dxa"/>
            <w:hideMark/>
          </w:tcPr>
          <w:p w14:paraId="6BE4AD7A" w14:textId="77777777" w:rsidR="00C62024" w:rsidRPr="00830019" w:rsidRDefault="00C62024" w:rsidP="0002744E">
            <w:pPr>
              <w:jc w:val="center"/>
              <w:rPr>
                <w:sz w:val="20"/>
                <w:szCs w:val="20"/>
              </w:rPr>
            </w:pPr>
            <w:r>
              <w:rPr>
                <w:sz w:val="20"/>
                <w:szCs w:val="20"/>
                <w:lang w:val="fr"/>
              </w:rPr>
              <w:t>Déjà approuvée :</w:t>
            </w:r>
          </w:p>
        </w:tc>
        <w:tc>
          <w:tcPr>
            <w:tcW w:w="1281" w:type="dxa"/>
            <w:hideMark/>
          </w:tcPr>
          <w:p w14:paraId="3EE0031A" w14:textId="77777777" w:rsidR="00C62024" w:rsidRPr="00830019" w:rsidRDefault="00C62024" w:rsidP="0002744E">
            <w:pPr>
              <w:jc w:val="right"/>
              <w:rPr>
                <w:sz w:val="20"/>
                <w:szCs w:val="20"/>
              </w:rPr>
            </w:pPr>
            <w:r>
              <w:rPr>
                <w:color w:val="000000" w:themeColor="text1"/>
                <w:sz w:val="20"/>
                <w:szCs w:val="20"/>
                <w:lang w:val="fr"/>
              </w:rPr>
              <w:t>334,90</w:t>
            </w:r>
          </w:p>
        </w:tc>
        <w:tc>
          <w:tcPr>
            <w:tcW w:w="4394" w:type="dxa"/>
            <w:hideMark/>
          </w:tcPr>
          <w:p w14:paraId="32E3D7EF" w14:textId="77777777" w:rsidR="00C62024" w:rsidRPr="00830019" w:rsidRDefault="00C62024" w:rsidP="0002744E">
            <w:pPr>
              <w:jc w:val="center"/>
              <w:rPr>
                <w:i/>
                <w:sz w:val="20"/>
                <w:szCs w:val="20"/>
              </w:rPr>
            </w:pPr>
            <w:r>
              <w:rPr>
                <w:sz w:val="20"/>
                <w:szCs w:val="20"/>
                <w:lang w:val="fr"/>
              </w:rPr>
              <w:t>Restante :</w:t>
            </w:r>
          </w:p>
        </w:tc>
        <w:tc>
          <w:tcPr>
            <w:tcW w:w="1483" w:type="dxa"/>
            <w:hideMark/>
          </w:tcPr>
          <w:p w14:paraId="69DFBD58" w14:textId="77777777" w:rsidR="00C62024" w:rsidRPr="00830019" w:rsidRDefault="00C62024" w:rsidP="0002744E">
            <w:pPr>
              <w:jc w:val="right"/>
              <w:rPr>
                <w:sz w:val="20"/>
                <w:szCs w:val="20"/>
              </w:rPr>
            </w:pPr>
            <w:r>
              <w:rPr>
                <w:color w:val="000000" w:themeColor="text1"/>
                <w:sz w:val="20"/>
                <w:szCs w:val="20"/>
                <w:lang w:val="fr"/>
              </w:rPr>
              <w:t>94,34</w:t>
            </w:r>
          </w:p>
        </w:tc>
      </w:tr>
    </w:tbl>
    <w:p w14:paraId="26C3577D" w14:textId="77777777" w:rsidR="00C62024" w:rsidRPr="00862FA7" w:rsidRDefault="00C62024" w:rsidP="00C62024">
      <w:pPr>
        <w:jc w:val="center"/>
        <w:rPr>
          <w:sz w:val="18"/>
          <w:szCs w:val="18"/>
        </w:rPr>
      </w:pPr>
    </w:p>
    <w:tbl>
      <w:tblPr>
        <w:tblStyle w:val="TableGrid"/>
        <w:tblW w:w="5941" w:type="pct"/>
        <w:jc w:val="center"/>
        <w:tblLook w:val="04A0" w:firstRow="1" w:lastRow="0" w:firstColumn="1" w:lastColumn="0" w:noHBand="0" w:noVBand="1"/>
      </w:tblPr>
      <w:tblGrid>
        <w:gridCol w:w="2121"/>
        <w:gridCol w:w="3084"/>
        <w:gridCol w:w="1458"/>
        <w:gridCol w:w="1458"/>
        <w:gridCol w:w="1458"/>
        <w:gridCol w:w="1531"/>
      </w:tblGrid>
      <w:tr w:rsidR="00C62024" w:rsidRPr="00830019" w14:paraId="105FE0C8" w14:textId="77777777" w:rsidTr="00397366">
        <w:trPr>
          <w:trHeight w:val="264"/>
          <w:jc w:val="center"/>
        </w:trPr>
        <w:tc>
          <w:tcPr>
            <w:tcW w:w="2342" w:type="pct"/>
            <w:gridSpan w:val="2"/>
            <w:hideMark/>
          </w:tcPr>
          <w:p w14:paraId="2F00216A" w14:textId="77777777" w:rsidR="00C62024" w:rsidRPr="00830019" w:rsidRDefault="00C62024" w:rsidP="0002744E">
            <w:pPr>
              <w:jc w:val="left"/>
              <w:rPr>
                <w:b/>
                <w:sz w:val="20"/>
                <w:szCs w:val="20"/>
              </w:rPr>
            </w:pPr>
            <w:r>
              <w:rPr>
                <w:b/>
                <w:bCs/>
                <w:sz w:val="20"/>
                <w:szCs w:val="20"/>
                <w:lang w:val="fr"/>
              </w:rPr>
              <w:t>(V) PLAN D’ACTIVITÉS ENTÉRINÉ</w:t>
            </w:r>
          </w:p>
        </w:tc>
        <w:tc>
          <w:tcPr>
            <w:tcW w:w="656" w:type="pct"/>
            <w:vAlign w:val="center"/>
            <w:hideMark/>
          </w:tcPr>
          <w:p w14:paraId="330EB288" w14:textId="77777777" w:rsidR="00C62024" w:rsidRPr="00830019" w:rsidRDefault="00C62024" w:rsidP="0002744E">
            <w:pPr>
              <w:jc w:val="center"/>
              <w:rPr>
                <w:b/>
                <w:sz w:val="20"/>
                <w:szCs w:val="20"/>
              </w:rPr>
            </w:pPr>
            <w:r>
              <w:rPr>
                <w:b/>
                <w:bCs/>
                <w:sz w:val="20"/>
                <w:szCs w:val="20"/>
                <w:lang w:val="fr"/>
              </w:rPr>
              <w:t>2024</w:t>
            </w:r>
          </w:p>
        </w:tc>
        <w:tc>
          <w:tcPr>
            <w:tcW w:w="656" w:type="pct"/>
            <w:vAlign w:val="center"/>
            <w:hideMark/>
          </w:tcPr>
          <w:p w14:paraId="55E3C8C6" w14:textId="77777777" w:rsidR="00C62024" w:rsidRPr="00830019" w:rsidRDefault="00C62024" w:rsidP="0002744E">
            <w:pPr>
              <w:jc w:val="center"/>
              <w:rPr>
                <w:b/>
                <w:sz w:val="20"/>
                <w:szCs w:val="20"/>
              </w:rPr>
            </w:pPr>
            <w:r>
              <w:rPr>
                <w:b/>
                <w:bCs/>
                <w:sz w:val="20"/>
                <w:szCs w:val="20"/>
                <w:lang w:val="fr"/>
              </w:rPr>
              <w:t>2025</w:t>
            </w:r>
          </w:p>
        </w:tc>
        <w:tc>
          <w:tcPr>
            <w:tcW w:w="656" w:type="pct"/>
            <w:vAlign w:val="center"/>
            <w:hideMark/>
          </w:tcPr>
          <w:p w14:paraId="1E9A24B4" w14:textId="77777777" w:rsidR="00C62024" w:rsidRPr="00830019" w:rsidRDefault="00C62024" w:rsidP="0002744E">
            <w:pPr>
              <w:jc w:val="center"/>
              <w:rPr>
                <w:b/>
                <w:sz w:val="20"/>
                <w:szCs w:val="20"/>
              </w:rPr>
            </w:pPr>
            <w:r>
              <w:rPr>
                <w:b/>
                <w:bCs/>
                <w:sz w:val="20"/>
                <w:szCs w:val="20"/>
                <w:lang w:val="fr"/>
              </w:rPr>
              <w:t>2026</w:t>
            </w:r>
          </w:p>
        </w:tc>
        <w:tc>
          <w:tcPr>
            <w:tcW w:w="689" w:type="pct"/>
            <w:vAlign w:val="center"/>
            <w:hideMark/>
          </w:tcPr>
          <w:p w14:paraId="1A7EDFE4" w14:textId="77777777" w:rsidR="00C62024" w:rsidRPr="00830019" w:rsidRDefault="00C62024" w:rsidP="0002744E">
            <w:pPr>
              <w:jc w:val="center"/>
              <w:rPr>
                <w:b/>
                <w:sz w:val="20"/>
                <w:szCs w:val="20"/>
              </w:rPr>
            </w:pPr>
            <w:r>
              <w:rPr>
                <w:b/>
                <w:bCs/>
                <w:sz w:val="20"/>
                <w:szCs w:val="20"/>
                <w:lang w:val="fr"/>
              </w:rPr>
              <w:t>Total</w:t>
            </w:r>
          </w:p>
        </w:tc>
      </w:tr>
      <w:tr w:rsidR="00C62024" w:rsidRPr="00830019" w14:paraId="5FE70057" w14:textId="77777777" w:rsidTr="00397366">
        <w:trPr>
          <w:trHeight w:val="187"/>
          <w:jc w:val="center"/>
        </w:trPr>
        <w:tc>
          <w:tcPr>
            <w:tcW w:w="954" w:type="pct"/>
            <w:vMerge w:val="restart"/>
            <w:vAlign w:val="center"/>
            <w:hideMark/>
          </w:tcPr>
          <w:p w14:paraId="493F1FEA" w14:textId="77777777" w:rsidR="00C62024" w:rsidRPr="00120AC2" w:rsidRDefault="00C62024" w:rsidP="0002744E">
            <w:pPr>
              <w:jc w:val="center"/>
              <w:rPr>
                <w:sz w:val="20"/>
                <w:szCs w:val="20"/>
              </w:rPr>
            </w:pPr>
            <w:r>
              <w:rPr>
                <w:color w:val="000000" w:themeColor="text1"/>
                <w:sz w:val="20"/>
                <w:szCs w:val="20"/>
                <w:lang w:val="fr"/>
              </w:rPr>
              <w:t>PNUE</w:t>
            </w:r>
          </w:p>
        </w:tc>
        <w:tc>
          <w:tcPr>
            <w:tcW w:w="1388" w:type="pct"/>
            <w:hideMark/>
          </w:tcPr>
          <w:p w14:paraId="15B823E2" w14:textId="77777777" w:rsidR="00C62024" w:rsidRPr="00C62024" w:rsidRDefault="00C62024" w:rsidP="0002744E">
            <w:pPr>
              <w:jc w:val="left"/>
              <w:rPr>
                <w:sz w:val="20"/>
                <w:szCs w:val="20"/>
                <w:lang w:val="fr-FR"/>
              </w:rPr>
            </w:pPr>
            <w:r>
              <w:rPr>
                <w:sz w:val="20"/>
                <w:szCs w:val="20"/>
                <w:lang w:val="fr"/>
              </w:rPr>
              <w:t>Élimination des SAO (tonnes PAO)</w:t>
            </w:r>
          </w:p>
        </w:tc>
        <w:tc>
          <w:tcPr>
            <w:tcW w:w="656" w:type="pct"/>
          </w:tcPr>
          <w:p w14:paraId="544560B4" w14:textId="77777777" w:rsidR="00C62024" w:rsidRPr="00830019" w:rsidRDefault="00C62024" w:rsidP="0002744E">
            <w:pPr>
              <w:jc w:val="right"/>
              <w:rPr>
                <w:sz w:val="20"/>
                <w:szCs w:val="20"/>
              </w:rPr>
            </w:pPr>
            <w:r>
              <w:rPr>
                <w:sz w:val="20"/>
                <w:szCs w:val="20"/>
                <w:lang w:val="fr"/>
              </w:rPr>
              <w:t>38,07</w:t>
            </w:r>
          </w:p>
        </w:tc>
        <w:tc>
          <w:tcPr>
            <w:tcW w:w="656" w:type="pct"/>
          </w:tcPr>
          <w:p w14:paraId="049BBDCC" w14:textId="77777777" w:rsidR="00C62024" w:rsidRPr="00830019" w:rsidRDefault="00C62024" w:rsidP="0002744E">
            <w:pPr>
              <w:jc w:val="right"/>
              <w:rPr>
                <w:sz w:val="20"/>
                <w:szCs w:val="20"/>
              </w:rPr>
            </w:pPr>
            <w:r>
              <w:rPr>
                <w:sz w:val="20"/>
                <w:szCs w:val="20"/>
                <w:lang w:val="fr"/>
              </w:rPr>
              <w:t>10,08</w:t>
            </w:r>
          </w:p>
        </w:tc>
        <w:tc>
          <w:tcPr>
            <w:tcW w:w="656" w:type="pct"/>
          </w:tcPr>
          <w:p w14:paraId="65CCFDDE" w14:textId="77777777" w:rsidR="00C62024" w:rsidRPr="00830019" w:rsidRDefault="00C62024" w:rsidP="0002744E">
            <w:pPr>
              <w:jc w:val="right"/>
              <w:rPr>
                <w:sz w:val="20"/>
                <w:szCs w:val="20"/>
              </w:rPr>
            </w:pPr>
            <w:r>
              <w:rPr>
                <w:sz w:val="20"/>
                <w:szCs w:val="20"/>
                <w:lang w:val="fr"/>
              </w:rPr>
              <w:t>0,00</w:t>
            </w:r>
          </w:p>
        </w:tc>
        <w:tc>
          <w:tcPr>
            <w:tcW w:w="689" w:type="pct"/>
          </w:tcPr>
          <w:p w14:paraId="043427C9" w14:textId="77777777" w:rsidR="00C62024" w:rsidRPr="00830019" w:rsidRDefault="00C62024" w:rsidP="0002744E">
            <w:pPr>
              <w:jc w:val="right"/>
              <w:rPr>
                <w:sz w:val="20"/>
                <w:szCs w:val="20"/>
              </w:rPr>
            </w:pPr>
            <w:r>
              <w:rPr>
                <w:sz w:val="20"/>
                <w:szCs w:val="20"/>
                <w:lang w:val="fr"/>
              </w:rPr>
              <w:t>48,15</w:t>
            </w:r>
          </w:p>
        </w:tc>
      </w:tr>
      <w:tr w:rsidR="00C62024" w:rsidRPr="00830019" w14:paraId="3AF0D4E7" w14:textId="77777777" w:rsidTr="00397366">
        <w:trPr>
          <w:trHeight w:val="55"/>
          <w:jc w:val="center"/>
        </w:trPr>
        <w:tc>
          <w:tcPr>
            <w:tcW w:w="954" w:type="pct"/>
            <w:vMerge/>
            <w:vAlign w:val="center"/>
            <w:hideMark/>
          </w:tcPr>
          <w:p w14:paraId="3C04FDE5" w14:textId="77777777" w:rsidR="00C62024" w:rsidRPr="00120AC2" w:rsidRDefault="00C62024" w:rsidP="0002744E">
            <w:pPr>
              <w:rPr>
                <w:sz w:val="20"/>
                <w:szCs w:val="20"/>
              </w:rPr>
            </w:pPr>
          </w:p>
        </w:tc>
        <w:tc>
          <w:tcPr>
            <w:tcW w:w="1388" w:type="pct"/>
            <w:hideMark/>
          </w:tcPr>
          <w:p w14:paraId="268D1070" w14:textId="3FE2ED15" w:rsidR="00C62024" w:rsidRPr="00830019" w:rsidRDefault="00C62024" w:rsidP="0002744E">
            <w:pPr>
              <w:jc w:val="left"/>
              <w:rPr>
                <w:sz w:val="20"/>
                <w:szCs w:val="20"/>
              </w:rPr>
            </w:pPr>
            <w:r>
              <w:rPr>
                <w:sz w:val="20"/>
                <w:szCs w:val="20"/>
                <w:lang w:val="fr"/>
              </w:rPr>
              <w:t>Financement ($</w:t>
            </w:r>
            <w:r w:rsidR="00621288">
              <w:rPr>
                <w:sz w:val="20"/>
                <w:szCs w:val="20"/>
                <w:lang w:val="fr"/>
              </w:rPr>
              <w:t> </w:t>
            </w:r>
            <w:r>
              <w:rPr>
                <w:sz w:val="20"/>
                <w:szCs w:val="20"/>
                <w:lang w:val="fr"/>
              </w:rPr>
              <w:t>US)</w:t>
            </w:r>
          </w:p>
        </w:tc>
        <w:tc>
          <w:tcPr>
            <w:tcW w:w="656" w:type="pct"/>
          </w:tcPr>
          <w:p w14:paraId="0CBC4ECA" w14:textId="77777777" w:rsidR="00C62024" w:rsidRPr="00830019" w:rsidRDefault="00C62024" w:rsidP="0002744E">
            <w:pPr>
              <w:jc w:val="right"/>
              <w:rPr>
                <w:sz w:val="20"/>
                <w:szCs w:val="20"/>
              </w:rPr>
            </w:pPr>
            <w:r>
              <w:rPr>
                <w:sz w:val="20"/>
                <w:szCs w:val="20"/>
                <w:lang w:val="fr"/>
              </w:rPr>
              <w:t>1 130 242</w:t>
            </w:r>
          </w:p>
        </w:tc>
        <w:tc>
          <w:tcPr>
            <w:tcW w:w="656" w:type="pct"/>
          </w:tcPr>
          <w:p w14:paraId="2F275468" w14:textId="77777777" w:rsidR="00C62024" w:rsidRPr="00830019" w:rsidRDefault="00C62024" w:rsidP="0002744E">
            <w:pPr>
              <w:jc w:val="right"/>
              <w:rPr>
                <w:sz w:val="20"/>
                <w:szCs w:val="20"/>
              </w:rPr>
            </w:pPr>
            <w:r>
              <w:rPr>
                <w:sz w:val="20"/>
                <w:szCs w:val="20"/>
                <w:lang w:val="fr"/>
              </w:rPr>
              <w:t>299 298</w:t>
            </w:r>
          </w:p>
        </w:tc>
        <w:tc>
          <w:tcPr>
            <w:tcW w:w="656" w:type="pct"/>
          </w:tcPr>
          <w:p w14:paraId="12DDD607" w14:textId="77777777" w:rsidR="00C62024" w:rsidRPr="00830019" w:rsidRDefault="00C62024" w:rsidP="0002744E">
            <w:pPr>
              <w:jc w:val="right"/>
              <w:rPr>
                <w:sz w:val="20"/>
                <w:szCs w:val="20"/>
              </w:rPr>
            </w:pPr>
            <w:r>
              <w:rPr>
                <w:sz w:val="20"/>
                <w:szCs w:val="20"/>
                <w:lang w:val="fr"/>
              </w:rPr>
              <w:t>0</w:t>
            </w:r>
          </w:p>
        </w:tc>
        <w:tc>
          <w:tcPr>
            <w:tcW w:w="689" w:type="pct"/>
          </w:tcPr>
          <w:p w14:paraId="63687F84" w14:textId="77777777" w:rsidR="00C62024" w:rsidRPr="00830019" w:rsidRDefault="00C62024" w:rsidP="0002744E">
            <w:pPr>
              <w:jc w:val="right"/>
              <w:rPr>
                <w:sz w:val="20"/>
                <w:szCs w:val="20"/>
              </w:rPr>
            </w:pPr>
            <w:r>
              <w:rPr>
                <w:sz w:val="20"/>
                <w:szCs w:val="20"/>
                <w:lang w:val="fr"/>
              </w:rPr>
              <w:t>1 429 540</w:t>
            </w:r>
          </w:p>
        </w:tc>
      </w:tr>
      <w:tr w:rsidR="00C62024" w:rsidRPr="00830019" w14:paraId="6F153186" w14:textId="77777777" w:rsidTr="00397366">
        <w:trPr>
          <w:trHeight w:val="264"/>
          <w:jc w:val="center"/>
        </w:trPr>
        <w:tc>
          <w:tcPr>
            <w:tcW w:w="954" w:type="pct"/>
            <w:vMerge w:val="restart"/>
            <w:vAlign w:val="center"/>
            <w:hideMark/>
          </w:tcPr>
          <w:p w14:paraId="4424759D" w14:textId="77777777" w:rsidR="00C62024" w:rsidRPr="00120AC2" w:rsidRDefault="00C62024" w:rsidP="0002744E">
            <w:pPr>
              <w:jc w:val="center"/>
              <w:rPr>
                <w:sz w:val="20"/>
                <w:szCs w:val="20"/>
              </w:rPr>
            </w:pPr>
            <w:r>
              <w:rPr>
                <w:color w:val="000000" w:themeColor="text1"/>
                <w:sz w:val="20"/>
                <w:szCs w:val="20"/>
                <w:lang w:val="fr"/>
              </w:rPr>
              <w:t>ONUDI</w:t>
            </w:r>
          </w:p>
        </w:tc>
        <w:tc>
          <w:tcPr>
            <w:tcW w:w="1388" w:type="pct"/>
            <w:hideMark/>
          </w:tcPr>
          <w:p w14:paraId="45C0DDC1" w14:textId="77777777" w:rsidR="00C62024" w:rsidRPr="00C62024" w:rsidRDefault="00C62024" w:rsidP="0002744E">
            <w:pPr>
              <w:jc w:val="left"/>
              <w:rPr>
                <w:sz w:val="20"/>
                <w:szCs w:val="20"/>
                <w:lang w:val="fr-FR"/>
              </w:rPr>
            </w:pPr>
            <w:r>
              <w:rPr>
                <w:sz w:val="20"/>
                <w:szCs w:val="20"/>
                <w:lang w:val="fr"/>
              </w:rPr>
              <w:t>Élimination des SAO (tonnes PAO)</w:t>
            </w:r>
          </w:p>
        </w:tc>
        <w:tc>
          <w:tcPr>
            <w:tcW w:w="656" w:type="pct"/>
          </w:tcPr>
          <w:p w14:paraId="1308072A" w14:textId="77777777" w:rsidR="00C62024" w:rsidRPr="00830019" w:rsidRDefault="00C62024" w:rsidP="0002744E">
            <w:pPr>
              <w:jc w:val="right"/>
              <w:rPr>
                <w:sz w:val="20"/>
                <w:szCs w:val="20"/>
              </w:rPr>
            </w:pPr>
            <w:r>
              <w:rPr>
                <w:sz w:val="20"/>
                <w:szCs w:val="20"/>
                <w:lang w:val="fr"/>
              </w:rPr>
              <w:t>10,80</w:t>
            </w:r>
          </w:p>
        </w:tc>
        <w:tc>
          <w:tcPr>
            <w:tcW w:w="656" w:type="pct"/>
          </w:tcPr>
          <w:p w14:paraId="360785C3" w14:textId="77777777" w:rsidR="00C62024" w:rsidRPr="00830019" w:rsidRDefault="00C62024" w:rsidP="0002744E">
            <w:pPr>
              <w:jc w:val="right"/>
              <w:rPr>
                <w:sz w:val="20"/>
                <w:szCs w:val="20"/>
              </w:rPr>
            </w:pPr>
            <w:r>
              <w:rPr>
                <w:sz w:val="20"/>
                <w:szCs w:val="20"/>
                <w:lang w:val="fr"/>
              </w:rPr>
              <w:t>2,25</w:t>
            </w:r>
          </w:p>
        </w:tc>
        <w:tc>
          <w:tcPr>
            <w:tcW w:w="656" w:type="pct"/>
          </w:tcPr>
          <w:p w14:paraId="59A369D2" w14:textId="77777777" w:rsidR="00C62024" w:rsidRPr="00830019" w:rsidRDefault="00C62024" w:rsidP="0002744E">
            <w:pPr>
              <w:jc w:val="right"/>
              <w:rPr>
                <w:sz w:val="20"/>
                <w:szCs w:val="20"/>
              </w:rPr>
            </w:pPr>
            <w:r>
              <w:rPr>
                <w:sz w:val="20"/>
                <w:szCs w:val="20"/>
                <w:lang w:val="fr"/>
              </w:rPr>
              <w:t>0,00</w:t>
            </w:r>
          </w:p>
        </w:tc>
        <w:tc>
          <w:tcPr>
            <w:tcW w:w="689" w:type="pct"/>
          </w:tcPr>
          <w:p w14:paraId="6D1F9147" w14:textId="77777777" w:rsidR="00C62024" w:rsidRPr="00830019" w:rsidRDefault="00C62024" w:rsidP="0002744E">
            <w:pPr>
              <w:jc w:val="right"/>
              <w:rPr>
                <w:sz w:val="20"/>
                <w:szCs w:val="20"/>
              </w:rPr>
            </w:pPr>
            <w:r>
              <w:rPr>
                <w:sz w:val="20"/>
                <w:szCs w:val="20"/>
                <w:lang w:val="fr"/>
              </w:rPr>
              <w:t>13,05</w:t>
            </w:r>
          </w:p>
        </w:tc>
      </w:tr>
      <w:tr w:rsidR="00C62024" w:rsidRPr="00830019" w14:paraId="7EF1D2AE" w14:textId="77777777" w:rsidTr="00397366">
        <w:trPr>
          <w:trHeight w:val="264"/>
          <w:jc w:val="center"/>
        </w:trPr>
        <w:tc>
          <w:tcPr>
            <w:tcW w:w="954" w:type="pct"/>
            <w:vMerge/>
            <w:vAlign w:val="center"/>
            <w:hideMark/>
          </w:tcPr>
          <w:p w14:paraId="1B19CEB4" w14:textId="77777777" w:rsidR="00C62024" w:rsidRPr="00830019" w:rsidRDefault="00C62024" w:rsidP="0002744E">
            <w:pPr>
              <w:rPr>
                <w:sz w:val="20"/>
                <w:szCs w:val="20"/>
              </w:rPr>
            </w:pPr>
          </w:p>
        </w:tc>
        <w:tc>
          <w:tcPr>
            <w:tcW w:w="1388" w:type="pct"/>
            <w:hideMark/>
          </w:tcPr>
          <w:p w14:paraId="481B8DF5" w14:textId="77777777" w:rsidR="00C62024" w:rsidRPr="00830019" w:rsidRDefault="00C62024" w:rsidP="0002744E">
            <w:pPr>
              <w:jc w:val="left"/>
              <w:rPr>
                <w:sz w:val="20"/>
                <w:szCs w:val="20"/>
              </w:rPr>
            </w:pPr>
            <w:r>
              <w:rPr>
                <w:sz w:val="20"/>
                <w:szCs w:val="20"/>
                <w:lang w:val="fr"/>
              </w:rPr>
              <w:t>Financement ($ US)</w:t>
            </w:r>
          </w:p>
        </w:tc>
        <w:tc>
          <w:tcPr>
            <w:tcW w:w="656" w:type="pct"/>
          </w:tcPr>
          <w:p w14:paraId="6421BD2E" w14:textId="77777777" w:rsidR="00C62024" w:rsidRPr="00830019" w:rsidRDefault="00C62024" w:rsidP="0002744E">
            <w:pPr>
              <w:jc w:val="right"/>
              <w:rPr>
                <w:sz w:val="20"/>
                <w:szCs w:val="20"/>
              </w:rPr>
            </w:pPr>
            <w:r>
              <w:rPr>
                <w:sz w:val="20"/>
                <w:szCs w:val="20"/>
                <w:lang w:val="fr"/>
              </w:rPr>
              <w:t>307 732</w:t>
            </w:r>
          </w:p>
        </w:tc>
        <w:tc>
          <w:tcPr>
            <w:tcW w:w="656" w:type="pct"/>
          </w:tcPr>
          <w:p w14:paraId="7D636AFE" w14:textId="77777777" w:rsidR="00C62024" w:rsidRPr="00830019" w:rsidRDefault="00C62024" w:rsidP="0002744E">
            <w:pPr>
              <w:jc w:val="right"/>
              <w:rPr>
                <w:sz w:val="20"/>
                <w:szCs w:val="20"/>
              </w:rPr>
            </w:pPr>
            <w:r>
              <w:rPr>
                <w:sz w:val="20"/>
                <w:szCs w:val="20"/>
                <w:lang w:val="fr"/>
              </w:rPr>
              <w:t>64 200</w:t>
            </w:r>
          </w:p>
        </w:tc>
        <w:tc>
          <w:tcPr>
            <w:tcW w:w="656" w:type="pct"/>
          </w:tcPr>
          <w:p w14:paraId="6A0C97F1" w14:textId="77777777" w:rsidR="00C62024" w:rsidRPr="00830019" w:rsidRDefault="00C62024" w:rsidP="0002744E">
            <w:pPr>
              <w:jc w:val="right"/>
              <w:rPr>
                <w:sz w:val="20"/>
                <w:szCs w:val="20"/>
              </w:rPr>
            </w:pPr>
            <w:r>
              <w:rPr>
                <w:sz w:val="20"/>
                <w:szCs w:val="20"/>
                <w:lang w:val="fr"/>
              </w:rPr>
              <w:t>0</w:t>
            </w:r>
          </w:p>
        </w:tc>
        <w:tc>
          <w:tcPr>
            <w:tcW w:w="689" w:type="pct"/>
          </w:tcPr>
          <w:p w14:paraId="002DFA8E" w14:textId="77777777" w:rsidR="00C62024" w:rsidRPr="00830019" w:rsidRDefault="00C62024" w:rsidP="0002744E">
            <w:pPr>
              <w:jc w:val="right"/>
              <w:rPr>
                <w:sz w:val="20"/>
                <w:szCs w:val="20"/>
              </w:rPr>
            </w:pPr>
            <w:r>
              <w:rPr>
                <w:sz w:val="20"/>
                <w:szCs w:val="20"/>
                <w:lang w:val="fr"/>
              </w:rPr>
              <w:t>371 932</w:t>
            </w:r>
          </w:p>
        </w:tc>
      </w:tr>
    </w:tbl>
    <w:p w14:paraId="1E2C46CA" w14:textId="77777777" w:rsidR="00C62024" w:rsidRPr="00862FA7" w:rsidRDefault="00C62024" w:rsidP="00C62024">
      <w:pPr>
        <w:jc w:val="left"/>
        <w:rPr>
          <w:sz w:val="18"/>
          <w:szCs w:val="18"/>
        </w:rPr>
      </w:pPr>
    </w:p>
    <w:tbl>
      <w:tblPr>
        <w:tblStyle w:val="TableGrid"/>
        <w:tblW w:w="1106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078"/>
        <w:gridCol w:w="1276"/>
        <w:gridCol w:w="1559"/>
        <w:gridCol w:w="1005"/>
        <w:gridCol w:w="1006"/>
        <w:gridCol w:w="1005"/>
        <w:gridCol w:w="1006"/>
        <w:gridCol w:w="1005"/>
        <w:gridCol w:w="1127"/>
      </w:tblGrid>
      <w:tr w:rsidR="00C62024" w:rsidRPr="00E57D0A" w14:paraId="067812AD" w14:textId="77777777" w:rsidTr="00397366">
        <w:trPr>
          <w:trHeight w:val="286"/>
          <w:jc w:val="center"/>
        </w:trPr>
        <w:tc>
          <w:tcPr>
            <w:tcW w:w="4913" w:type="dxa"/>
            <w:gridSpan w:val="3"/>
            <w:tcBorders>
              <w:top w:val="single" w:sz="2" w:space="0" w:color="auto"/>
              <w:left w:val="single" w:sz="2" w:space="0" w:color="auto"/>
              <w:bottom w:val="single" w:sz="2" w:space="0" w:color="auto"/>
              <w:right w:val="single" w:sz="2" w:space="0" w:color="auto"/>
            </w:tcBorders>
            <w:hideMark/>
          </w:tcPr>
          <w:p w14:paraId="23A472B3" w14:textId="77777777" w:rsidR="00C62024" w:rsidRPr="00E57D0A" w:rsidRDefault="00C62024" w:rsidP="0002744E">
            <w:pPr>
              <w:spacing w:afterLines="20" w:after="48"/>
              <w:ind w:left="38"/>
              <w:jc w:val="left"/>
              <w:rPr>
                <w:rFonts w:asciiTheme="majorBidi" w:hAnsiTheme="majorBidi" w:cstheme="majorBidi"/>
                <w:b/>
                <w:sz w:val="20"/>
                <w:szCs w:val="20"/>
              </w:rPr>
            </w:pPr>
            <w:r>
              <w:rPr>
                <w:rFonts w:asciiTheme="majorBidi" w:hAnsiTheme="majorBidi" w:cstheme="majorBidi"/>
                <w:b/>
                <w:bCs/>
                <w:sz w:val="20"/>
                <w:szCs w:val="20"/>
                <w:lang w:val="fr"/>
              </w:rPr>
              <w:t xml:space="preserve">(VI) DONNÉES DU PROJET </w:t>
            </w:r>
          </w:p>
        </w:tc>
        <w:tc>
          <w:tcPr>
            <w:tcW w:w="1005" w:type="dxa"/>
            <w:tcBorders>
              <w:top w:val="single" w:sz="2" w:space="0" w:color="auto"/>
              <w:left w:val="single" w:sz="2" w:space="0" w:color="auto"/>
              <w:bottom w:val="single" w:sz="2" w:space="0" w:color="auto"/>
              <w:right w:val="single" w:sz="2" w:space="0" w:color="auto"/>
            </w:tcBorders>
            <w:hideMark/>
          </w:tcPr>
          <w:p w14:paraId="76D10328" w14:textId="77777777" w:rsidR="00C62024" w:rsidRPr="00E57D0A" w:rsidRDefault="00C62024" w:rsidP="0002744E">
            <w:pPr>
              <w:spacing w:afterLines="20" w:after="48"/>
              <w:ind w:left="38"/>
              <w:jc w:val="center"/>
              <w:rPr>
                <w:rFonts w:asciiTheme="majorBidi" w:hAnsiTheme="majorBidi" w:cstheme="majorBidi"/>
                <w:b/>
                <w:sz w:val="20"/>
                <w:szCs w:val="20"/>
              </w:rPr>
            </w:pPr>
            <w:r>
              <w:rPr>
                <w:rFonts w:asciiTheme="majorBidi" w:hAnsiTheme="majorBidi" w:cstheme="majorBidi"/>
                <w:b/>
                <w:bCs/>
                <w:sz w:val="20"/>
                <w:szCs w:val="20"/>
                <w:lang w:val="fr"/>
              </w:rPr>
              <w:t>2021</w:t>
            </w:r>
          </w:p>
        </w:tc>
        <w:tc>
          <w:tcPr>
            <w:tcW w:w="1006" w:type="dxa"/>
            <w:tcBorders>
              <w:top w:val="single" w:sz="2" w:space="0" w:color="auto"/>
              <w:left w:val="single" w:sz="2" w:space="0" w:color="auto"/>
              <w:bottom w:val="single" w:sz="2" w:space="0" w:color="auto"/>
              <w:right w:val="single" w:sz="2" w:space="0" w:color="auto"/>
            </w:tcBorders>
            <w:hideMark/>
          </w:tcPr>
          <w:p w14:paraId="4B731655" w14:textId="77777777" w:rsidR="00C62024" w:rsidRPr="00E57D0A" w:rsidRDefault="00C62024" w:rsidP="0002744E">
            <w:pPr>
              <w:spacing w:afterLines="20" w:after="48"/>
              <w:jc w:val="center"/>
              <w:rPr>
                <w:rFonts w:asciiTheme="majorBidi" w:hAnsiTheme="majorBidi" w:cstheme="majorBidi"/>
                <w:b/>
                <w:sz w:val="20"/>
                <w:szCs w:val="20"/>
              </w:rPr>
            </w:pPr>
            <w:r>
              <w:rPr>
                <w:rFonts w:asciiTheme="majorBidi" w:hAnsiTheme="majorBidi" w:cstheme="majorBidi"/>
                <w:b/>
                <w:bCs/>
                <w:sz w:val="20"/>
                <w:szCs w:val="20"/>
                <w:lang w:val="fr"/>
              </w:rPr>
              <w:t>2022</w:t>
            </w:r>
          </w:p>
        </w:tc>
        <w:tc>
          <w:tcPr>
            <w:tcW w:w="1005" w:type="dxa"/>
            <w:tcBorders>
              <w:top w:val="single" w:sz="2" w:space="0" w:color="auto"/>
              <w:left w:val="single" w:sz="2" w:space="0" w:color="auto"/>
              <w:bottom w:val="single" w:sz="2" w:space="0" w:color="auto"/>
              <w:right w:val="single" w:sz="2" w:space="0" w:color="auto"/>
            </w:tcBorders>
            <w:hideMark/>
          </w:tcPr>
          <w:p w14:paraId="192C9E03" w14:textId="77777777" w:rsidR="00C62024" w:rsidRPr="00E57D0A" w:rsidRDefault="00C62024" w:rsidP="0002744E">
            <w:pPr>
              <w:spacing w:afterLines="20" w:after="48"/>
              <w:jc w:val="center"/>
              <w:rPr>
                <w:rFonts w:asciiTheme="majorBidi" w:hAnsiTheme="majorBidi" w:cstheme="majorBidi"/>
                <w:b/>
                <w:sz w:val="20"/>
                <w:szCs w:val="20"/>
              </w:rPr>
            </w:pPr>
            <w:r>
              <w:rPr>
                <w:rFonts w:asciiTheme="majorBidi" w:hAnsiTheme="majorBidi" w:cstheme="majorBidi"/>
                <w:b/>
                <w:bCs/>
                <w:sz w:val="20"/>
                <w:szCs w:val="20"/>
                <w:lang w:val="fr"/>
              </w:rPr>
              <w:t>2023</w:t>
            </w:r>
          </w:p>
        </w:tc>
        <w:tc>
          <w:tcPr>
            <w:tcW w:w="1006" w:type="dxa"/>
            <w:tcBorders>
              <w:top w:val="single" w:sz="2" w:space="0" w:color="auto"/>
              <w:left w:val="single" w:sz="2" w:space="0" w:color="auto"/>
              <w:bottom w:val="single" w:sz="2" w:space="0" w:color="auto"/>
              <w:right w:val="single" w:sz="2" w:space="0" w:color="auto"/>
            </w:tcBorders>
            <w:hideMark/>
          </w:tcPr>
          <w:p w14:paraId="5FB6987A" w14:textId="77777777" w:rsidR="00C62024" w:rsidRPr="00E57D0A" w:rsidRDefault="00C62024" w:rsidP="0002744E">
            <w:pPr>
              <w:spacing w:afterLines="20" w:after="48"/>
              <w:jc w:val="center"/>
              <w:rPr>
                <w:rFonts w:asciiTheme="majorBidi" w:hAnsiTheme="majorBidi" w:cstheme="majorBidi"/>
                <w:b/>
                <w:sz w:val="20"/>
                <w:szCs w:val="20"/>
              </w:rPr>
            </w:pPr>
            <w:r>
              <w:rPr>
                <w:rFonts w:asciiTheme="majorBidi" w:hAnsiTheme="majorBidi" w:cstheme="majorBidi"/>
                <w:b/>
                <w:bCs/>
                <w:sz w:val="20"/>
                <w:szCs w:val="20"/>
                <w:lang w:val="fr"/>
              </w:rPr>
              <w:t>2024*</w:t>
            </w:r>
          </w:p>
        </w:tc>
        <w:tc>
          <w:tcPr>
            <w:tcW w:w="1005" w:type="dxa"/>
            <w:tcBorders>
              <w:top w:val="single" w:sz="2" w:space="0" w:color="auto"/>
              <w:left w:val="single" w:sz="2" w:space="0" w:color="auto"/>
              <w:bottom w:val="single" w:sz="2" w:space="0" w:color="auto"/>
              <w:right w:val="single" w:sz="2" w:space="0" w:color="auto"/>
            </w:tcBorders>
            <w:hideMark/>
          </w:tcPr>
          <w:p w14:paraId="7B0473C8" w14:textId="77777777" w:rsidR="00C62024" w:rsidRPr="00E57D0A" w:rsidRDefault="00C62024" w:rsidP="0002744E">
            <w:pPr>
              <w:spacing w:afterLines="20" w:after="48"/>
              <w:jc w:val="center"/>
              <w:rPr>
                <w:rFonts w:asciiTheme="majorBidi" w:hAnsiTheme="majorBidi" w:cstheme="majorBidi"/>
                <w:b/>
                <w:sz w:val="20"/>
                <w:szCs w:val="20"/>
              </w:rPr>
            </w:pPr>
            <w:r>
              <w:rPr>
                <w:rFonts w:asciiTheme="majorBidi" w:hAnsiTheme="majorBidi" w:cstheme="majorBidi"/>
                <w:b/>
                <w:bCs/>
                <w:sz w:val="20"/>
                <w:szCs w:val="20"/>
                <w:lang w:val="fr"/>
              </w:rPr>
              <w:t>2025</w:t>
            </w:r>
          </w:p>
        </w:tc>
        <w:tc>
          <w:tcPr>
            <w:tcW w:w="1127" w:type="dxa"/>
            <w:tcBorders>
              <w:top w:val="single" w:sz="2" w:space="0" w:color="auto"/>
              <w:left w:val="single" w:sz="2" w:space="0" w:color="auto"/>
              <w:bottom w:val="single" w:sz="2" w:space="0" w:color="auto"/>
              <w:right w:val="single" w:sz="2" w:space="0" w:color="auto"/>
            </w:tcBorders>
            <w:hideMark/>
          </w:tcPr>
          <w:p w14:paraId="74DABC56" w14:textId="77777777" w:rsidR="00C62024" w:rsidRPr="00E57D0A" w:rsidRDefault="00C62024" w:rsidP="0002744E">
            <w:pPr>
              <w:spacing w:afterLines="20" w:after="48"/>
              <w:jc w:val="center"/>
              <w:rPr>
                <w:rFonts w:asciiTheme="majorBidi" w:hAnsiTheme="majorBidi" w:cstheme="majorBidi"/>
                <w:b/>
                <w:sz w:val="20"/>
                <w:szCs w:val="20"/>
              </w:rPr>
            </w:pPr>
            <w:r>
              <w:rPr>
                <w:rFonts w:asciiTheme="majorBidi" w:hAnsiTheme="majorBidi" w:cstheme="majorBidi"/>
                <w:b/>
                <w:bCs/>
                <w:sz w:val="20"/>
                <w:szCs w:val="20"/>
                <w:lang w:val="fr"/>
              </w:rPr>
              <w:t>Total</w:t>
            </w:r>
          </w:p>
        </w:tc>
      </w:tr>
      <w:tr w:rsidR="00C62024" w:rsidRPr="00E57D0A" w14:paraId="7401C5AC" w14:textId="77777777" w:rsidTr="00397366">
        <w:trPr>
          <w:trHeight w:val="237"/>
          <w:jc w:val="center"/>
        </w:trPr>
        <w:tc>
          <w:tcPr>
            <w:tcW w:w="4913" w:type="dxa"/>
            <w:gridSpan w:val="3"/>
            <w:tcBorders>
              <w:top w:val="single" w:sz="2" w:space="0" w:color="auto"/>
              <w:left w:val="single" w:sz="2" w:space="0" w:color="auto"/>
              <w:bottom w:val="single" w:sz="2" w:space="0" w:color="auto"/>
              <w:right w:val="single" w:sz="2" w:space="0" w:color="auto"/>
            </w:tcBorders>
            <w:hideMark/>
          </w:tcPr>
          <w:p w14:paraId="47712BD2" w14:textId="77777777" w:rsidR="00C62024" w:rsidRPr="00C62024" w:rsidRDefault="00C62024" w:rsidP="0002744E">
            <w:pPr>
              <w:spacing w:after="60"/>
              <w:ind w:left="38"/>
              <w:jc w:val="left"/>
              <w:rPr>
                <w:rFonts w:asciiTheme="majorBidi" w:hAnsiTheme="majorBidi" w:cstheme="majorBidi"/>
                <w:sz w:val="20"/>
                <w:szCs w:val="20"/>
                <w:lang w:val="fr-FR"/>
              </w:rPr>
            </w:pPr>
            <w:r>
              <w:rPr>
                <w:rFonts w:asciiTheme="majorBidi" w:hAnsiTheme="majorBidi" w:cstheme="majorBidi"/>
                <w:sz w:val="20"/>
                <w:szCs w:val="20"/>
                <w:lang w:val="fr"/>
              </w:rPr>
              <w:t>Limites de consommation du Protocole de Montréal (tonnes PAO)</w:t>
            </w:r>
          </w:p>
        </w:tc>
        <w:tc>
          <w:tcPr>
            <w:tcW w:w="1005" w:type="dxa"/>
            <w:tcBorders>
              <w:top w:val="single" w:sz="2" w:space="0" w:color="auto"/>
              <w:left w:val="single" w:sz="2" w:space="0" w:color="auto"/>
              <w:bottom w:val="single" w:sz="2" w:space="0" w:color="auto"/>
              <w:right w:val="single" w:sz="2" w:space="0" w:color="auto"/>
            </w:tcBorders>
          </w:tcPr>
          <w:p w14:paraId="5BAB013C" w14:textId="77777777" w:rsidR="00C62024" w:rsidRPr="00E57D0A" w:rsidRDefault="00C62024" w:rsidP="0002744E">
            <w:pPr>
              <w:spacing w:after="60"/>
              <w:ind w:left="38"/>
              <w:jc w:val="right"/>
              <w:rPr>
                <w:rFonts w:asciiTheme="majorBidi" w:hAnsiTheme="majorBidi" w:cstheme="majorBidi"/>
                <w:sz w:val="20"/>
                <w:szCs w:val="20"/>
              </w:rPr>
            </w:pPr>
            <w:r>
              <w:rPr>
                <w:rFonts w:asciiTheme="majorBidi" w:hAnsiTheme="majorBidi" w:cstheme="majorBidi"/>
                <w:sz w:val="20"/>
                <w:szCs w:val="20"/>
                <w:lang w:val="fr"/>
              </w:rPr>
              <w:t>272,09</w:t>
            </w:r>
          </w:p>
        </w:tc>
        <w:tc>
          <w:tcPr>
            <w:tcW w:w="1006" w:type="dxa"/>
            <w:tcBorders>
              <w:top w:val="single" w:sz="2" w:space="0" w:color="auto"/>
              <w:left w:val="single" w:sz="2" w:space="0" w:color="auto"/>
              <w:bottom w:val="single" w:sz="2" w:space="0" w:color="auto"/>
              <w:right w:val="single" w:sz="2" w:space="0" w:color="auto"/>
            </w:tcBorders>
          </w:tcPr>
          <w:p w14:paraId="4A5B54DB"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272,09</w:t>
            </w:r>
          </w:p>
        </w:tc>
        <w:tc>
          <w:tcPr>
            <w:tcW w:w="1005" w:type="dxa"/>
            <w:tcBorders>
              <w:top w:val="single" w:sz="2" w:space="0" w:color="auto"/>
              <w:left w:val="single" w:sz="2" w:space="0" w:color="auto"/>
              <w:bottom w:val="single" w:sz="2" w:space="0" w:color="auto"/>
              <w:right w:val="single" w:sz="2" w:space="0" w:color="auto"/>
            </w:tcBorders>
          </w:tcPr>
          <w:p w14:paraId="2CD32B47"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272,09</w:t>
            </w:r>
          </w:p>
        </w:tc>
        <w:tc>
          <w:tcPr>
            <w:tcW w:w="1006" w:type="dxa"/>
            <w:tcBorders>
              <w:top w:val="single" w:sz="2" w:space="0" w:color="auto"/>
              <w:left w:val="single" w:sz="2" w:space="0" w:color="auto"/>
              <w:bottom w:val="single" w:sz="2" w:space="0" w:color="auto"/>
              <w:right w:val="single" w:sz="2" w:space="0" w:color="auto"/>
            </w:tcBorders>
          </w:tcPr>
          <w:p w14:paraId="3C3014D7"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272,09</w:t>
            </w:r>
          </w:p>
        </w:tc>
        <w:tc>
          <w:tcPr>
            <w:tcW w:w="1005" w:type="dxa"/>
            <w:tcBorders>
              <w:top w:val="single" w:sz="2" w:space="0" w:color="auto"/>
              <w:left w:val="single" w:sz="2" w:space="0" w:color="auto"/>
              <w:bottom w:val="single" w:sz="2" w:space="0" w:color="auto"/>
              <w:right w:val="single" w:sz="2" w:space="0" w:color="auto"/>
            </w:tcBorders>
          </w:tcPr>
          <w:p w14:paraId="1B9C51FA"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136,05</w:t>
            </w:r>
          </w:p>
        </w:tc>
        <w:tc>
          <w:tcPr>
            <w:tcW w:w="1127" w:type="dxa"/>
            <w:tcBorders>
              <w:top w:val="single" w:sz="2" w:space="0" w:color="auto"/>
              <w:left w:val="single" w:sz="2" w:space="0" w:color="auto"/>
              <w:bottom w:val="single" w:sz="2" w:space="0" w:color="auto"/>
              <w:right w:val="single" w:sz="2" w:space="0" w:color="auto"/>
            </w:tcBorders>
            <w:hideMark/>
          </w:tcPr>
          <w:p w14:paraId="57019D70" w14:textId="77777777" w:rsidR="00C62024" w:rsidRPr="00E57D0A" w:rsidRDefault="00C62024" w:rsidP="0002744E">
            <w:pPr>
              <w:spacing w:after="60"/>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r>
      <w:tr w:rsidR="00C62024" w:rsidRPr="00E57D0A" w14:paraId="6B5CDA34" w14:textId="77777777" w:rsidTr="00397366">
        <w:trPr>
          <w:trHeight w:val="273"/>
          <w:jc w:val="center"/>
        </w:trPr>
        <w:tc>
          <w:tcPr>
            <w:tcW w:w="4913" w:type="dxa"/>
            <w:gridSpan w:val="3"/>
            <w:tcBorders>
              <w:top w:val="single" w:sz="2" w:space="0" w:color="auto"/>
              <w:left w:val="single" w:sz="2" w:space="0" w:color="auto"/>
              <w:bottom w:val="single" w:sz="2" w:space="0" w:color="auto"/>
              <w:right w:val="single" w:sz="2" w:space="0" w:color="auto"/>
            </w:tcBorders>
            <w:hideMark/>
          </w:tcPr>
          <w:p w14:paraId="03095E96" w14:textId="77777777" w:rsidR="00C62024" w:rsidRPr="00C62024" w:rsidRDefault="00C62024" w:rsidP="0002744E">
            <w:pPr>
              <w:spacing w:after="60"/>
              <w:ind w:left="38"/>
              <w:jc w:val="left"/>
              <w:rPr>
                <w:rFonts w:asciiTheme="majorBidi" w:hAnsiTheme="majorBidi" w:cstheme="majorBidi"/>
                <w:sz w:val="20"/>
                <w:szCs w:val="20"/>
                <w:lang w:val="fr-FR"/>
              </w:rPr>
            </w:pPr>
            <w:r>
              <w:rPr>
                <w:rFonts w:asciiTheme="majorBidi" w:hAnsiTheme="majorBidi" w:cstheme="majorBidi"/>
                <w:sz w:val="20"/>
                <w:szCs w:val="20"/>
                <w:lang w:val="fr"/>
              </w:rPr>
              <w:t>Consommation maximale admissible (tonnes PAO)</w:t>
            </w:r>
          </w:p>
        </w:tc>
        <w:tc>
          <w:tcPr>
            <w:tcW w:w="1005" w:type="dxa"/>
            <w:tcBorders>
              <w:top w:val="single" w:sz="2" w:space="0" w:color="auto"/>
              <w:left w:val="single" w:sz="2" w:space="0" w:color="auto"/>
              <w:bottom w:val="single" w:sz="2" w:space="0" w:color="auto"/>
              <w:right w:val="single" w:sz="2" w:space="0" w:color="auto"/>
            </w:tcBorders>
          </w:tcPr>
          <w:p w14:paraId="197E40CA" w14:textId="77777777" w:rsidR="00C62024" w:rsidRPr="00E57D0A" w:rsidRDefault="00C62024" w:rsidP="0002744E">
            <w:pPr>
              <w:spacing w:after="60"/>
              <w:ind w:left="38"/>
              <w:jc w:val="right"/>
              <w:rPr>
                <w:rFonts w:asciiTheme="majorBidi" w:hAnsiTheme="majorBidi" w:cstheme="majorBidi"/>
                <w:sz w:val="20"/>
                <w:szCs w:val="20"/>
              </w:rPr>
            </w:pPr>
            <w:r>
              <w:rPr>
                <w:rFonts w:asciiTheme="majorBidi" w:hAnsiTheme="majorBidi" w:cstheme="majorBidi"/>
                <w:sz w:val="20"/>
                <w:szCs w:val="20"/>
                <w:lang w:val="fr"/>
              </w:rPr>
              <w:t>254,51</w:t>
            </w:r>
          </w:p>
        </w:tc>
        <w:tc>
          <w:tcPr>
            <w:tcW w:w="1006" w:type="dxa"/>
            <w:tcBorders>
              <w:top w:val="single" w:sz="2" w:space="0" w:color="auto"/>
              <w:left w:val="single" w:sz="2" w:space="0" w:color="auto"/>
              <w:bottom w:val="single" w:sz="2" w:space="0" w:color="auto"/>
              <w:right w:val="single" w:sz="2" w:space="0" w:color="auto"/>
            </w:tcBorders>
          </w:tcPr>
          <w:p w14:paraId="1B8843E1"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254,51</w:t>
            </w:r>
          </w:p>
        </w:tc>
        <w:tc>
          <w:tcPr>
            <w:tcW w:w="1005" w:type="dxa"/>
            <w:tcBorders>
              <w:top w:val="single" w:sz="2" w:space="0" w:color="auto"/>
              <w:left w:val="single" w:sz="2" w:space="0" w:color="auto"/>
              <w:bottom w:val="single" w:sz="2" w:space="0" w:color="auto"/>
              <w:right w:val="single" w:sz="2" w:space="0" w:color="auto"/>
            </w:tcBorders>
          </w:tcPr>
          <w:p w14:paraId="55A0C596"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244,51</w:t>
            </w:r>
          </w:p>
        </w:tc>
        <w:tc>
          <w:tcPr>
            <w:tcW w:w="1006" w:type="dxa"/>
            <w:tcBorders>
              <w:top w:val="single" w:sz="2" w:space="0" w:color="auto"/>
              <w:left w:val="single" w:sz="2" w:space="0" w:color="auto"/>
              <w:bottom w:val="single" w:sz="2" w:space="0" w:color="auto"/>
              <w:right w:val="single" w:sz="2" w:space="0" w:color="auto"/>
            </w:tcBorders>
          </w:tcPr>
          <w:p w14:paraId="13C8E3D6"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234,51</w:t>
            </w:r>
          </w:p>
        </w:tc>
        <w:tc>
          <w:tcPr>
            <w:tcW w:w="1005" w:type="dxa"/>
            <w:tcBorders>
              <w:top w:val="single" w:sz="2" w:space="0" w:color="auto"/>
              <w:left w:val="single" w:sz="2" w:space="0" w:color="auto"/>
              <w:bottom w:val="single" w:sz="2" w:space="0" w:color="auto"/>
              <w:right w:val="single" w:sz="2" w:space="0" w:color="auto"/>
            </w:tcBorders>
          </w:tcPr>
          <w:p w14:paraId="1CD94224" w14:textId="77777777" w:rsidR="00C62024" w:rsidRPr="00E57D0A" w:rsidRDefault="00C62024" w:rsidP="0002744E">
            <w:pPr>
              <w:spacing w:after="60"/>
              <w:jc w:val="right"/>
              <w:rPr>
                <w:rFonts w:asciiTheme="majorBidi" w:hAnsiTheme="majorBidi" w:cstheme="majorBidi"/>
                <w:sz w:val="20"/>
                <w:szCs w:val="20"/>
              </w:rPr>
            </w:pPr>
            <w:r>
              <w:rPr>
                <w:rFonts w:asciiTheme="majorBidi" w:hAnsiTheme="majorBidi" w:cstheme="majorBidi"/>
                <w:sz w:val="20"/>
                <w:szCs w:val="20"/>
                <w:lang w:val="fr"/>
              </w:rPr>
              <w:t>136,05</w:t>
            </w:r>
          </w:p>
        </w:tc>
        <w:tc>
          <w:tcPr>
            <w:tcW w:w="1127" w:type="dxa"/>
            <w:tcBorders>
              <w:top w:val="single" w:sz="2" w:space="0" w:color="auto"/>
              <w:left w:val="single" w:sz="2" w:space="0" w:color="auto"/>
              <w:bottom w:val="single" w:sz="2" w:space="0" w:color="auto"/>
              <w:right w:val="single" w:sz="2" w:space="0" w:color="auto"/>
            </w:tcBorders>
            <w:hideMark/>
          </w:tcPr>
          <w:p w14:paraId="55CB17CC" w14:textId="77777777" w:rsidR="00C62024" w:rsidRPr="00E57D0A" w:rsidRDefault="00C62024" w:rsidP="0002744E">
            <w:pPr>
              <w:spacing w:after="60"/>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r>
      <w:tr w:rsidR="00C62024" w:rsidRPr="00E57D0A" w14:paraId="7D2BCA50" w14:textId="77777777" w:rsidTr="00397366">
        <w:trPr>
          <w:trHeight w:val="237"/>
          <w:jc w:val="center"/>
        </w:trPr>
        <w:tc>
          <w:tcPr>
            <w:tcW w:w="2078" w:type="dxa"/>
            <w:vMerge w:val="restart"/>
            <w:tcBorders>
              <w:top w:val="single" w:sz="2" w:space="0" w:color="auto"/>
              <w:left w:val="single" w:sz="4" w:space="0" w:color="auto"/>
              <w:bottom w:val="single" w:sz="4" w:space="0" w:color="auto"/>
              <w:right w:val="single" w:sz="4" w:space="0" w:color="auto"/>
            </w:tcBorders>
            <w:hideMark/>
          </w:tcPr>
          <w:p w14:paraId="642BE8B6" w14:textId="77777777" w:rsidR="00C62024" w:rsidRPr="00C62024" w:rsidRDefault="00C62024" w:rsidP="0002744E">
            <w:pPr>
              <w:spacing w:after="60"/>
              <w:ind w:left="38"/>
              <w:jc w:val="left"/>
              <w:rPr>
                <w:rFonts w:asciiTheme="majorBidi" w:hAnsiTheme="majorBidi" w:cstheme="majorBidi"/>
                <w:sz w:val="20"/>
                <w:szCs w:val="20"/>
                <w:lang w:val="fr-FR"/>
              </w:rPr>
            </w:pPr>
            <w:r>
              <w:rPr>
                <w:rFonts w:asciiTheme="majorBidi" w:hAnsiTheme="majorBidi" w:cstheme="majorBidi"/>
                <w:sz w:val="20"/>
                <w:szCs w:val="20"/>
                <w:lang w:val="fr"/>
              </w:rPr>
              <w:t>Financement convenu en principe ($ US)</w:t>
            </w:r>
          </w:p>
        </w:tc>
        <w:tc>
          <w:tcPr>
            <w:tcW w:w="1276" w:type="dxa"/>
            <w:vMerge w:val="restart"/>
            <w:tcBorders>
              <w:top w:val="single" w:sz="2" w:space="0" w:color="auto"/>
              <w:left w:val="single" w:sz="4" w:space="0" w:color="auto"/>
              <w:bottom w:val="single" w:sz="4" w:space="0" w:color="auto"/>
              <w:right w:val="single" w:sz="4" w:space="0" w:color="auto"/>
            </w:tcBorders>
            <w:vAlign w:val="center"/>
            <w:hideMark/>
          </w:tcPr>
          <w:p w14:paraId="038B76A5" w14:textId="77777777" w:rsidR="00C62024" w:rsidRPr="00E57D0A" w:rsidRDefault="00C62024" w:rsidP="0002744E">
            <w:pPr>
              <w:spacing w:after="60"/>
              <w:ind w:left="38"/>
              <w:jc w:val="center"/>
              <w:rPr>
                <w:rFonts w:asciiTheme="majorBidi" w:hAnsiTheme="majorBidi" w:cstheme="majorBidi"/>
                <w:sz w:val="20"/>
                <w:szCs w:val="20"/>
              </w:rPr>
            </w:pPr>
            <w:r>
              <w:rPr>
                <w:rFonts w:asciiTheme="majorBidi" w:hAnsiTheme="majorBidi" w:cstheme="majorBidi"/>
                <w:color w:val="000000" w:themeColor="text1"/>
                <w:sz w:val="20"/>
                <w:szCs w:val="20"/>
                <w:lang w:val="fr"/>
              </w:rPr>
              <w:t>PNUE</w:t>
            </w:r>
          </w:p>
        </w:tc>
        <w:tc>
          <w:tcPr>
            <w:tcW w:w="1559" w:type="dxa"/>
            <w:tcBorders>
              <w:top w:val="single" w:sz="2" w:space="0" w:color="auto"/>
              <w:left w:val="single" w:sz="4" w:space="0" w:color="auto"/>
              <w:bottom w:val="single" w:sz="4" w:space="0" w:color="auto"/>
              <w:right w:val="single" w:sz="4" w:space="0" w:color="auto"/>
            </w:tcBorders>
            <w:hideMark/>
          </w:tcPr>
          <w:p w14:paraId="18535A55" w14:textId="77777777" w:rsidR="00C62024" w:rsidRPr="00E57D0A" w:rsidRDefault="00C62024" w:rsidP="0002744E">
            <w:pPr>
              <w:spacing w:after="60"/>
              <w:ind w:left="38"/>
              <w:jc w:val="left"/>
              <w:rPr>
                <w:rFonts w:asciiTheme="majorBidi" w:hAnsiTheme="majorBidi" w:cstheme="majorBidi"/>
                <w:sz w:val="20"/>
                <w:szCs w:val="20"/>
              </w:rPr>
            </w:pPr>
            <w:r>
              <w:rPr>
                <w:rFonts w:asciiTheme="majorBidi" w:hAnsiTheme="majorBidi" w:cstheme="majorBidi"/>
                <w:sz w:val="20"/>
                <w:szCs w:val="20"/>
                <w:lang w:val="fr"/>
              </w:rPr>
              <w:t>Coûts de projet</w:t>
            </w:r>
          </w:p>
        </w:tc>
        <w:tc>
          <w:tcPr>
            <w:tcW w:w="1005" w:type="dxa"/>
            <w:tcBorders>
              <w:top w:val="single" w:sz="2" w:space="0" w:color="auto"/>
              <w:left w:val="single" w:sz="4" w:space="0" w:color="auto"/>
              <w:bottom w:val="single" w:sz="4" w:space="0" w:color="auto"/>
              <w:right w:val="single" w:sz="4" w:space="0" w:color="auto"/>
            </w:tcBorders>
          </w:tcPr>
          <w:p w14:paraId="50BD1FCE"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670 840</w:t>
            </w:r>
          </w:p>
        </w:tc>
        <w:tc>
          <w:tcPr>
            <w:tcW w:w="1006" w:type="dxa"/>
            <w:tcBorders>
              <w:top w:val="single" w:sz="2" w:space="0" w:color="auto"/>
              <w:left w:val="single" w:sz="4" w:space="0" w:color="auto"/>
              <w:bottom w:val="single" w:sz="4" w:space="0" w:color="auto"/>
              <w:right w:val="single" w:sz="4" w:space="0" w:color="auto"/>
            </w:tcBorders>
          </w:tcPr>
          <w:p w14:paraId="027A1322"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2" w:space="0" w:color="auto"/>
              <w:left w:val="single" w:sz="4" w:space="0" w:color="auto"/>
              <w:bottom w:val="single" w:sz="4" w:space="0" w:color="auto"/>
              <w:right w:val="single" w:sz="4" w:space="0" w:color="auto"/>
            </w:tcBorders>
          </w:tcPr>
          <w:p w14:paraId="203CA50B"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1 013 560</w:t>
            </w:r>
          </w:p>
        </w:tc>
        <w:tc>
          <w:tcPr>
            <w:tcW w:w="1006" w:type="dxa"/>
            <w:tcBorders>
              <w:top w:val="single" w:sz="2" w:space="0" w:color="auto"/>
              <w:left w:val="single" w:sz="4" w:space="0" w:color="auto"/>
              <w:bottom w:val="single" w:sz="4" w:space="0" w:color="auto"/>
              <w:right w:val="single" w:sz="4" w:space="0" w:color="auto"/>
            </w:tcBorders>
          </w:tcPr>
          <w:p w14:paraId="5194587C"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2" w:space="0" w:color="auto"/>
              <w:left w:val="single" w:sz="4" w:space="0" w:color="auto"/>
              <w:bottom w:val="single" w:sz="4" w:space="0" w:color="auto"/>
              <w:right w:val="single" w:sz="4" w:space="0" w:color="auto"/>
            </w:tcBorders>
          </w:tcPr>
          <w:p w14:paraId="43137473"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268 400</w:t>
            </w:r>
          </w:p>
        </w:tc>
        <w:tc>
          <w:tcPr>
            <w:tcW w:w="1127" w:type="dxa"/>
            <w:tcBorders>
              <w:top w:val="single" w:sz="2" w:space="0" w:color="auto"/>
              <w:left w:val="single" w:sz="4" w:space="0" w:color="auto"/>
              <w:bottom w:val="single" w:sz="4" w:space="0" w:color="auto"/>
              <w:right w:val="single" w:sz="4" w:space="0" w:color="auto"/>
            </w:tcBorders>
          </w:tcPr>
          <w:p w14:paraId="5C672CBA"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1 952 800</w:t>
            </w:r>
          </w:p>
        </w:tc>
      </w:tr>
      <w:tr w:rsidR="00C62024" w:rsidRPr="00E57D0A" w14:paraId="7E1AF135" w14:textId="77777777" w:rsidTr="00397366">
        <w:trPr>
          <w:trHeight w:val="50"/>
          <w:jc w:val="center"/>
        </w:trPr>
        <w:tc>
          <w:tcPr>
            <w:tcW w:w="2078" w:type="dxa"/>
            <w:vMerge/>
            <w:tcBorders>
              <w:top w:val="single" w:sz="4" w:space="0" w:color="auto"/>
              <w:left w:val="single" w:sz="4" w:space="0" w:color="auto"/>
              <w:bottom w:val="single" w:sz="4" w:space="0" w:color="auto"/>
              <w:right w:val="single" w:sz="4" w:space="0" w:color="auto"/>
            </w:tcBorders>
            <w:vAlign w:val="center"/>
            <w:hideMark/>
          </w:tcPr>
          <w:p w14:paraId="13FD4ABD" w14:textId="77777777" w:rsidR="00C62024" w:rsidRPr="00E57D0A" w:rsidRDefault="00C62024" w:rsidP="0002744E">
            <w:pPr>
              <w:spacing w:after="60"/>
              <w:ind w:left="38"/>
              <w:rPr>
                <w:rFonts w:asciiTheme="majorBidi" w:hAnsiTheme="majorBidi" w:cstheme="majorBidi"/>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728E8E2" w14:textId="77777777" w:rsidR="00C62024" w:rsidRPr="00E57D0A" w:rsidRDefault="00C62024" w:rsidP="0002744E">
            <w:pPr>
              <w:spacing w:after="60"/>
              <w:ind w:left="38"/>
              <w:jc w:val="center"/>
              <w:rPr>
                <w:rFonts w:asciiTheme="majorBid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777B1717" w14:textId="77777777" w:rsidR="00C62024" w:rsidRPr="00E57D0A" w:rsidRDefault="00C62024" w:rsidP="0002744E">
            <w:pPr>
              <w:spacing w:after="60"/>
              <w:ind w:left="38"/>
              <w:jc w:val="left"/>
              <w:rPr>
                <w:rFonts w:asciiTheme="majorBidi" w:hAnsiTheme="majorBidi" w:cstheme="majorBidi"/>
                <w:sz w:val="20"/>
                <w:szCs w:val="20"/>
              </w:rPr>
            </w:pPr>
            <w:r>
              <w:rPr>
                <w:rFonts w:asciiTheme="majorBidi" w:hAnsiTheme="majorBidi" w:cstheme="majorBidi"/>
                <w:sz w:val="20"/>
                <w:szCs w:val="20"/>
                <w:lang w:val="fr"/>
              </w:rPr>
              <w:t>Coûts d’appui</w:t>
            </w:r>
          </w:p>
        </w:tc>
        <w:tc>
          <w:tcPr>
            <w:tcW w:w="1005" w:type="dxa"/>
            <w:tcBorders>
              <w:top w:val="single" w:sz="4" w:space="0" w:color="auto"/>
              <w:left w:val="single" w:sz="4" w:space="0" w:color="auto"/>
              <w:bottom w:val="single" w:sz="4" w:space="0" w:color="auto"/>
              <w:right w:val="single" w:sz="4" w:space="0" w:color="auto"/>
            </w:tcBorders>
          </w:tcPr>
          <w:p w14:paraId="4831CA43"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sz w:val="20"/>
                <w:szCs w:val="20"/>
                <w:lang w:val="fr"/>
              </w:rPr>
              <w:t>77 228</w:t>
            </w:r>
          </w:p>
        </w:tc>
        <w:tc>
          <w:tcPr>
            <w:tcW w:w="1006" w:type="dxa"/>
            <w:tcBorders>
              <w:top w:val="single" w:sz="4" w:space="0" w:color="auto"/>
              <w:left w:val="single" w:sz="4" w:space="0" w:color="auto"/>
              <w:bottom w:val="single" w:sz="4" w:space="0" w:color="auto"/>
              <w:right w:val="single" w:sz="4" w:space="0" w:color="auto"/>
            </w:tcBorders>
          </w:tcPr>
          <w:p w14:paraId="39293E63"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7E4B31D4"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116 682</w:t>
            </w:r>
          </w:p>
        </w:tc>
        <w:tc>
          <w:tcPr>
            <w:tcW w:w="1006" w:type="dxa"/>
            <w:tcBorders>
              <w:top w:val="single" w:sz="4" w:space="0" w:color="auto"/>
              <w:left w:val="single" w:sz="4" w:space="0" w:color="auto"/>
              <w:bottom w:val="single" w:sz="4" w:space="0" w:color="auto"/>
              <w:right w:val="single" w:sz="4" w:space="0" w:color="auto"/>
            </w:tcBorders>
          </w:tcPr>
          <w:p w14:paraId="25C3985D"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5BB8F57C"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30 898</w:t>
            </w:r>
          </w:p>
        </w:tc>
        <w:tc>
          <w:tcPr>
            <w:tcW w:w="1127" w:type="dxa"/>
            <w:tcBorders>
              <w:top w:val="single" w:sz="4" w:space="0" w:color="auto"/>
              <w:left w:val="single" w:sz="4" w:space="0" w:color="auto"/>
              <w:bottom w:val="single" w:sz="4" w:space="0" w:color="auto"/>
              <w:right w:val="single" w:sz="4" w:space="0" w:color="auto"/>
            </w:tcBorders>
          </w:tcPr>
          <w:p w14:paraId="61AE7DBF"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224 808</w:t>
            </w:r>
          </w:p>
        </w:tc>
      </w:tr>
      <w:tr w:rsidR="00C62024" w:rsidRPr="00E57D0A" w14:paraId="36FAC7A7" w14:textId="77777777" w:rsidTr="00397366">
        <w:trPr>
          <w:trHeight w:val="142"/>
          <w:jc w:val="center"/>
        </w:trPr>
        <w:tc>
          <w:tcPr>
            <w:tcW w:w="2078" w:type="dxa"/>
            <w:vMerge/>
            <w:tcBorders>
              <w:top w:val="single" w:sz="4" w:space="0" w:color="auto"/>
              <w:left w:val="single" w:sz="4" w:space="0" w:color="auto"/>
              <w:bottom w:val="single" w:sz="4" w:space="0" w:color="auto"/>
              <w:right w:val="single" w:sz="4" w:space="0" w:color="auto"/>
            </w:tcBorders>
            <w:vAlign w:val="center"/>
            <w:hideMark/>
          </w:tcPr>
          <w:p w14:paraId="6AA482E0" w14:textId="77777777" w:rsidR="00C62024" w:rsidRPr="00E57D0A" w:rsidRDefault="00C62024" w:rsidP="0002744E">
            <w:pPr>
              <w:spacing w:after="60"/>
              <w:ind w:left="38"/>
              <w:rPr>
                <w:rFonts w:asciiTheme="majorBidi" w:hAnsiTheme="majorBidi" w:cstheme="majorBidi"/>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43DB8B2" w14:textId="77777777" w:rsidR="00C62024" w:rsidRPr="00E57D0A" w:rsidRDefault="00C62024" w:rsidP="0002744E">
            <w:pPr>
              <w:spacing w:after="60"/>
              <w:ind w:left="38"/>
              <w:jc w:val="center"/>
              <w:rPr>
                <w:rFonts w:asciiTheme="majorBidi" w:hAnsiTheme="majorBidi" w:cstheme="majorBidi"/>
                <w:caps/>
                <w:sz w:val="20"/>
                <w:szCs w:val="20"/>
              </w:rPr>
            </w:pPr>
            <w:r>
              <w:rPr>
                <w:rFonts w:asciiTheme="majorBidi" w:hAnsiTheme="majorBidi" w:cstheme="majorBidi"/>
                <w:color w:val="000000" w:themeColor="text1"/>
                <w:sz w:val="20"/>
                <w:szCs w:val="20"/>
                <w:lang w:val="fr"/>
              </w:rPr>
              <w:t>ONUDI</w:t>
            </w:r>
          </w:p>
        </w:tc>
        <w:tc>
          <w:tcPr>
            <w:tcW w:w="1559" w:type="dxa"/>
            <w:tcBorders>
              <w:top w:val="single" w:sz="4" w:space="0" w:color="auto"/>
              <w:left w:val="single" w:sz="4" w:space="0" w:color="auto"/>
              <w:bottom w:val="single" w:sz="4" w:space="0" w:color="auto"/>
              <w:right w:val="single" w:sz="4" w:space="0" w:color="auto"/>
            </w:tcBorders>
            <w:hideMark/>
          </w:tcPr>
          <w:p w14:paraId="0EE35F08" w14:textId="77777777" w:rsidR="00C62024" w:rsidRPr="00E57D0A" w:rsidRDefault="00C62024" w:rsidP="0002744E">
            <w:pPr>
              <w:spacing w:after="60"/>
              <w:ind w:left="38"/>
              <w:jc w:val="left"/>
              <w:rPr>
                <w:rFonts w:asciiTheme="majorBidi" w:hAnsiTheme="majorBidi" w:cstheme="majorBidi"/>
                <w:sz w:val="20"/>
                <w:szCs w:val="20"/>
              </w:rPr>
            </w:pPr>
            <w:r>
              <w:rPr>
                <w:rFonts w:asciiTheme="majorBidi" w:hAnsiTheme="majorBidi" w:cstheme="majorBidi"/>
                <w:sz w:val="20"/>
                <w:szCs w:val="20"/>
                <w:lang w:val="fr"/>
              </w:rPr>
              <w:t>Coûts de projet</w:t>
            </w:r>
          </w:p>
        </w:tc>
        <w:tc>
          <w:tcPr>
            <w:tcW w:w="1005" w:type="dxa"/>
            <w:tcBorders>
              <w:top w:val="single" w:sz="4" w:space="0" w:color="auto"/>
              <w:left w:val="single" w:sz="4" w:space="0" w:color="auto"/>
              <w:bottom w:val="single" w:sz="4" w:space="0" w:color="auto"/>
              <w:right w:val="single" w:sz="4" w:space="0" w:color="auto"/>
            </w:tcBorders>
          </w:tcPr>
          <w:p w14:paraId="43C16BA1"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249 600</w:t>
            </w:r>
          </w:p>
        </w:tc>
        <w:tc>
          <w:tcPr>
            <w:tcW w:w="1006" w:type="dxa"/>
            <w:tcBorders>
              <w:top w:val="single" w:sz="4" w:space="0" w:color="auto"/>
              <w:left w:val="single" w:sz="4" w:space="0" w:color="auto"/>
              <w:bottom w:val="single" w:sz="4" w:space="0" w:color="auto"/>
              <w:right w:val="single" w:sz="4" w:space="0" w:color="auto"/>
            </w:tcBorders>
          </w:tcPr>
          <w:p w14:paraId="6E4AE264"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49DC0D8A"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287 600</w:t>
            </w:r>
          </w:p>
        </w:tc>
        <w:tc>
          <w:tcPr>
            <w:tcW w:w="1006" w:type="dxa"/>
            <w:tcBorders>
              <w:top w:val="single" w:sz="4" w:space="0" w:color="auto"/>
              <w:left w:val="single" w:sz="4" w:space="0" w:color="auto"/>
              <w:bottom w:val="single" w:sz="4" w:space="0" w:color="auto"/>
              <w:right w:val="single" w:sz="4" w:space="0" w:color="auto"/>
            </w:tcBorders>
          </w:tcPr>
          <w:p w14:paraId="1A0040AD"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16BDE2A6"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60 000</w:t>
            </w:r>
          </w:p>
        </w:tc>
        <w:tc>
          <w:tcPr>
            <w:tcW w:w="1127" w:type="dxa"/>
            <w:tcBorders>
              <w:top w:val="single" w:sz="4" w:space="0" w:color="auto"/>
              <w:left w:val="single" w:sz="4" w:space="0" w:color="auto"/>
              <w:bottom w:val="single" w:sz="4" w:space="0" w:color="auto"/>
              <w:right w:val="single" w:sz="4" w:space="0" w:color="auto"/>
            </w:tcBorders>
          </w:tcPr>
          <w:p w14:paraId="0DACBDD2"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597 200</w:t>
            </w:r>
          </w:p>
        </w:tc>
      </w:tr>
      <w:tr w:rsidR="00C62024" w:rsidRPr="00E57D0A" w14:paraId="14072D0C" w14:textId="77777777" w:rsidTr="00397366">
        <w:trPr>
          <w:trHeight w:val="133"/>
          <w:jc w:val="center"/>
        </w:trPr>
        <w:tc>
          <w:tcPr>
            <w:tcW w:w="2078" w:type="dxa"/>
            <w:vMerge/>
            <w:tcBorders>
              <w:top w:val="single" w:sz="4" w:space="0" w:color="auto"/>
              <w:left w:val="single" w:sz="4" w:space="0" w:color="auto"/>
              <w:bottom w:val="single" w:sz="4" w:space="0" w:color="auto"/>
              <w:right w:val="single" w:sz="4" w:space="0" w:color="auto"/>
            </w:tcBorders>
            <w:vAlign w:val="center"/>
            <w:hideMark/>
          </w:tcPr>
          <w:p w14:paraId="4DCA2B82" w14:textId="77777777" w:rsidR="00C62024" w:rsidRPr="00E57D0A" w:rsidRDefault="00C62024" w:rsidP="0002744E">
            <w:pPr>
              <w:spacing w:after="60"/>
              <w:ind w:left="38"/>
              <w:rPr>
                <w:rFonts w:asciiTheme="majorBidi" w:hAnsiTheme="majorBidi" w:cstheme="majorBidi"/>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14:paraId="5FF3EBE6" w14:textId="77777777" w:rsidR="00C62024" w:rsidRPr="00E57D0A" w:rsidRDefault="00C62024" w:rsidP="0002744E">
            <w:pPr>
              <w:spacing w:after="60"/>
              <w:ind w:left="38"/>
              <w:rPr>
                <w:rFonts w:asciiTheme="majorBid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BADAFF2" w14:textId="77777777" w:rsidR="00C62024" w:rsidRPr="00E57D0A" w:rsidRDefault="00C62024" w:rsidP="0002744E">
            <w:pPr>
              <w:spacing w:after="60"/>
              <w:ind w:left="38"/>
              <w:jc w:val="left"/>
              <w:rPr>
                <w:rFonts w:asciiTheme="majorBidi" w:hAnsiTheme="majorBidi" w:cstheme="majorBidi"/>
                <w:sz w:val="20"/>
                <w:szCs w:val="20"/>
              </w:rPr>
            </w:pPr>
            <w:r>
              <w:rPr>
                <w:rFonts w:asciiTheme="majorBidi" w:hAnsiTheme="majorBidi" w:cstheme="majorBidi"/>
                <w:sz w:val="20"/>
                <w:szCs w:val="20"/>
                <w:lang w:val="fr"/>
              </w:rPr>
              <w:t>Coûts d’appui</w:t>
            </w:r>
          </w:p>
        </w:tc>
        <w:tc>
          <w:tcPr>
            <w:tcW w:w="1005" w:type="dxa"/>
            <w:tcBorders>
              <w:top w:val="single" w:sz="4" w:space="0" w:color="auto"/>
              <w:left w:val="single" w:sz="4" w:space="0" w:color="auto"/>
              <w:bottom w:val="single" w:sz="4" w:space="0" w:color="auto"/>
              <w:right w:val="single" w:sz="4" w:space="0" w:color="auto"/>
            </w:tcBorders>
          </w:tcPr>
          <w:p w14:paraId="4143A524"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17 472</w:t>
            </w:r>
          </w:p>
        </w:tc>
        <w:tc>
          <w:tcPr>
            <w:tcW w:w="1006" w:type="dxa"/>
            <w:tcBorders>
              <w:top w:val="single" w:sz="4" w:space="0" w:color="auto"/>
              <w:left w:val="single" w:sz="4" w:space="0" w:color="auto"/>
              <w:bottom w:val="single" w:sz="4" w:space="0" w:color="auto"/>
              <w:right w:val="single" w:sz="4" w:space="0" w:color="auto"/>
            </w:tcBorders>
          </w:tcPr>
          <w:p w14:paraId="5B2321D4"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6DD5B45B"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20 132</w:t>
            </w:r>
          </w:p>
        </w:tc>
        <w:tc>
          <w:tcPr>
            <w:tcW w:w="1006" w:type="dxa"/>
            <w:tcBorders>
              <w:top w:val="single" w:sz="4" w:space="0" w:color="auto"/>
              <w:left w:val="single" w:sz="4" w:space="0" w:color="auto"/>
              <w:bottom w:val="single" w:sz="4" w:space="0" w:color="auto"/>
              <w:right w:val="single" w:sz="4" w:space="0" w:color="auto"/>
            </w:tcBorders>
          </w:tcPr>
          <w:p w14:paraId="3A74E7F1"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31F2DD25"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4 200</w:t>
            </w:r>
          </w:p>
        </w:tc>
        <w:tc>
          <w:tcPr>
            <w:tcW w:w="1127" w:type="dxa"/>
            <w:tcBorders>
              <w:top w:val="single" w:sz="4" w:space="0" w:color="auto"/>
              <w:left w:val="single" w:sz="4" w:space="0" w:color="auto"/>
              <w:bottom w:val="single" w:sz="4" w:space="0" w:color="auto"/>
              <w:right w:val="single" w:sz="4" w:space="0" w:color="auto"/>
            </w:tcBorders>
          </w:tcPr>
          <w:p w14:paraId="4D1AB10D"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41 804</w:t>
            </w:r>
          </w:p>
        </w:tc>
      </w:tr>
      <w:tr w:rsidR="00C62024" w:rsidRPr="00E57D0A" w14:paraId="68469B9E" w14:textId="77777777" w:rsidTr="00397366">
        <w:trPr>
          <w:trHeight w:val="108"/>
          <w:jc w:val="center"/>
        </w:trPr>
        <w:tc>
          <w:tcPr>
            <w:tcW w:w="3354" w:type="dxa"/>
            <w:gridSpan w:val="2"/>
            <w:vMerge w:val="restart"/>
            <w:tcBorders>
              <w:top w:val="single" w:sz="4" w:space="0" w:color="auto"/>
              <w:left w:val="single" w:sz="4" w:space="0" w:color="auto"/>
              <w:bottom w:val="single" w:sz="4" w:space="0" w:color="auto"/>
              <w:right w:val="single" w:sz="4" w:space="0" w:color="auto"/>
            </w:tcBorders>
            <w:hideMark/>
          </w:tcPr>
          <w:p w14:paraId="7257D95B" w14:textId="77777777" w:rsidR="00C62024" w:rsidRPr="00C62024" w:rsidRDefault="00C62024" w:rsidP="0002744E">
            <w:pPr>
              <w:spacing w:after="60"/>
              <w:ind w:left="38"/>
              <w:jc w:val="left"/>
              <w:rPr>
                <w:rFonts w:asciiTheme="majorBidi" w:hAnsiTheme="majorBidi" w:cstheme="majorBidi"/>
                <w:sz w:val="20"/>
                <w:szCs w:val="20"/>
                <w:lang w:val="fr-FR"/>
              </w:rPr>
            </w:pPr>
            <w:r>
              <w:rPr>
                <w:rFonts w:asciiTheme="majorBidi" w:hAnsiTheme="majorBidi" w:cstheme="majorBidi"/>
                <w:sz w:val="20"/>
                <w:szCs w:val="20"/>
                <w:lang w:val="fr"/>
              </w:rPr>
              <w:t xml:space="preserve">Financement approuvé par </w:t>
            </w:r>
            <w:proofErr w:type="spellStart"/>
            <w:r>
              <w:rPr>
                <w:rFonts w:asciiTheme="majorBidi" w:hAnsiTheme="majorBidi" w:cstheme="majorBidi"/>
                <w:sz w:val="20"/>
                <w:szCs w:val="20"/>
                <w:lang w:val="fr"/>
              </w:rPr>
              <w:t>ExCom</w:t>
            </w:r>
            <w:proofErr w:type="spellEnd"/>
            <w:r>
              <w:rPr>
                <w:rFonts w:asciiTheme="majorBidi" w:hAnsiTheme="majorBidi" w:cstheme="majorBidi"/>
                <w:sz w:val="20"/>
                <w:szCs w:val="20"/>
                <w:lang w:val="fr"/>
              </w:rPr>
              <w:t xml:space="preserve"> ($ US)</w:t>
            </w:r>
          </w:p>
        </w:tc>
        <w:tc>
          <w:tcPr>
            <w:tcW w:w="1559" w:type="dxa"/>
            <w:tcBorders>
              <w:top w:val="single" w:sz="4" w:space="0" w:color="auto"/>
              <w:left w:val="single" w:sz="4" w:space="0" w:color="auto"/>
              <w:bottom w:val="single" w:sz="4" w:space="0" w:color="auto"/>
              <w:right w:val="single" w:sz="4" w:space="0" w:color="auto"/>
            </w:tcBorders>
            <w:hideMark/>
          </w:tcPr>
          <w:p w14:paraId="2F3A7A83" w14:textId="77777777" w:rsidR="00C62024" w:rsidRPr="00E57D0A" w:rsidRDefault="00C62024" w:rsidP="0002744E">
            <w:pPr>
              <w:spacing w:after="60"/>
              <w:ind w:left="38"/>
              <w:jc w:val="left"/>
              <w:rPr>
                <w:rFonts w:asciiTheme="majorBidi" w:hAnsiTheme="majorBidi" w:cstheme="majorBidi"/>
                <w:sz w:val="20"/>
                <w:szCs w:val="20"/>
              </w:rPr>
            </w:pPr>
            <w:r>
              <w:rPr>
                <w:rFonts w:asciiTheme="majorBidi" w:hAnsiTheme="majorBidi" w:cstheme="majorBidi"/>
                <w:sz w:val="20"/>
                <w:szCs w:val="20"/>
                <w:lang w:val="fr"/>
              </w:rPr>
              <w:t>Coûts de projet</w:t>
            </w:r>
          </w:p>
        </w:tc>
        <w:tc>
          <w:tcPr>
            <w:tcW w:w="1005" w:type="dxa"/>
            <w:tcBorders>
              <w:top w:val="single" w:sz="4" w:space="0" w:color="auto"/>
              <w:left w:val="single" w:sz="4" w:space="0" w:color="auto"/>
              <w:bottom w:val="single" w:sz="4" w:space="0" w:color="auto"/>
              <w:right w:val="single" w:sz="4" w:space="0" w:color="auto"/>
            </w:tcBorders>
          </w:tcPr>
          <w:p w14:paraId="717AB034"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920 440</w:t>
            </w:r>
          </w:p>
        </w:tc>
        <w:tc>
          <w:tcPr>
            <w:tcW w:w="1006" w:type="dxa"/>
            <w:tcBorders>
              <w:top w:val="single" w:sz="4" w:space="0" w:color="auto"/>
              <w:left w:val="single" w:sz="4" w:space="0" w:color="auto"/>
              <w:bottom w:val="single" w:sz="4" w:space="0" w:color="auto"/>
              <w:right w:val="single" w:sz="4" w:space="0" w:color="auto"/>
            </w:tcBorders>
          </w:tcPr>
          <w:p w14:paraId="0AC6B913"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04B6BCE3"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6" w:type="dxa"/>
            <w:tcBorders>
              <w:top w:val="single" w:sz="4" w:space="0" w:color="auto"/>
              <w:left w:val="single" w:sz="4" w:space="0" w:color="auto"/>
              <w:bottom w:val="single" w:sz="4" w:space="0" w:color="auto"/>
              <w:right w:val="single" w:sz="4" w:space="0" w:color="auto"/>
            </w:tcBorders>
          </w:tcPr>
          <w:p w14:paraId="7178FFAB"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49F52D98"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127" w:type="dxa"/>
            <w:tcBorders>
              <w:top w:val="single" w:sz="4" w:space="0" w:color="auto"/>
              <w:left w:val="single" w:sz="4" w:space="0" w:color="auto"/>
              <w:bottom w:val="single" w:sz="4" w:space="0" w:color="auto"/>
              <w:right w:val="single" w:sz="4" w:space="0" w:color="auto"/>
            </w:tcBorders>
          </w:tcPr>
          <w:p w14:paraId="5DE2FE67"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920 440</w:t>
            </w:r>
          </w:p>
        </w:tc>
      </w:tr>
      <w:tr w:rsidR="00C62024" w:rsidRPr="00E57D0A" w14:paraId="5BCBC2A7" w14:textId="77777777" w:rsidTr="00397366">
        <w:trPr>
          <w:trHeight w:val="85"/>
          <w:jc w:val="center"/>
        </w:trPr>
        <w:tc>
          <w:tcPr>
            <w:tcW w:w="3354" w:type="dxa"/>
            <w:gridSpan w:val="2"/>
            <w:vMerge/>
            <w:tcBorders>
              <w:top w:val="single" w:sz="4" w:space="0" w:color="auto"/>
              <w:left w:val="single" w:sz="4" w:space="0" w:color="auto"/>
              <w:bottom w:val="single" w:sz="4" w:space="0" w:color="auto"/>
              <w:right w:val="single" w:sz="4" w:space="0" w:color="auto"/>
            </w:tcBorders>
            <w:hideMark/>
          </w:tcPr>
          <w:p w14:paraId="77CCF34E" w14:textId="77777777" w:rsidR="00C62024" w:rsidRPr="00E57D0A" w:rsidRDefault="00C62024" w:rsidP="0002744E">
            <w:pPr>
              <w:spacing w:after="60"/>
              <w:ind w:left="38"/>
              <w:jc w:val="left"/>
              <w:rPr>
                <w:rFonts w:asciiTheme="majorBid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0C9F01A8" w14:textId="77777777" w:rsidR="00C62024" w:rsidRPr="00E57D0A" w:rsidRDefault="00C62024" w:rsidP="0002744E">
            <w:pPr>
              <w:spacing w:after="60"/>
              <w:ind w:left="38"/>
              <w:jc w:val="left"/>
              <w:rPr>
                <w:rFonts w:asciiTheme="majorBidi" w:hAnsiTheme="majorBidi" w:cstheme="majorBidi"/>
                <w:sz w:val="20"/>
                <w:szCs w:val="20"/>
              </w:rPr>
            </w:pPr>
            <w:r>
              <w:rPr>
                <w:rFonts w:asciiTheme="majorBidi" w:hAnsiTheme="majorBidi" w:cstheme="majorBidi"/>
                <w:sz w:val="20"/>
                <w:szCs w:val="20"/>
                <w:lang w:val="fr"/>
              </w:rPr>
              <w:t>Coûts d’appui</w:t>
            </w:r>
          </w:p>
        </w:tc>
        <w:tc>
          <w:tcPr>
            <w:tcW w:w="1005" w:type="dxa"/>
            <w:tcBorders>
              <w:top w:val="single" w:sz="4" w:space="0" w:color="auto"/>
              <w:left w:val="single" w:sz="4" w:space="0" w:color="auto"/>
              <w:bottom w:val="single" w:sz="4" w:space="0" w:color="auto"/>
              <w:right w:val="single" w:sz="4" w:space="0" w:color="auto"/>
            </w:tcBorders>
          </w:tcPr>
          <w:p w14:paraId="4B0F497F"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94 700</w:t>
            </w:r>
          </w:p>
        </w:tc>
        <w:tc>
          <w:tcPr>
            <w:tcW w:w="1006" w:type="dxa"/>
            <w:tcBorders>
              <w:top w:val="single" w:sz="4" w:space="0" w:color="auto"/>
              <w:left w:val="single" w:sz="4" w:space="0" w:color="auto"/>
              <w:bottom w:val="single" w:sz="4" w:space="0" w:color="auto"/>
              <w:right w:val="single" w:sz="4" w:space="0" w:color="auto"/>
            </w:tcBorders>
          </w:tcPr>
          <w:p w14:paraId="24836135"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5F350073"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6" w:type="dxa"/>
            <w:tcBorders>
              <w:top w:val="single" w:sz="4" w:space="0" w:color="auto"/>
              <w:left w:val="single" w:sz="4" w:space="0" w:color="auto"/>
              <w:bottom w:val="single" w:sz="4" w:space="0" w:color="auto"/>
              <w:right w:val="single" w:sz="4" w:space="0" w:color="auto"/>
            </w:tcBorders>
          </w:tcPr>
          <w:p w14:paraId="0F5F1F96"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4F4B6EDF"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127" w:type="dxa"/>
            <w:tcBorders>
              <w:top w:val="single" w:sz="4" w:space="0" w:color="auto"/>
              <w:left w:val="single" w:sz="4" w:space="0" w:color="auto"/>
              <w:bottom w:val="single" w:sz="4" w:space="0" w:color="auto"/>
              <w:right w:val="single" w:sz="4" w:space="0" w:color="auto"/>
            </w:tcBorders>
          </w:tcPr>
          <w:p w14:paraId="1BE92F64"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94 700</w:t>
            </w:r>
          </w:p>
        </w:tc>
      </w:tr>
      <w:tr w:rsidR="00C62024" w:rsidRPr="00E57D0A" w14:paraId="006D5890" w14:textId="77777777" w:rsidTr="00397366">
        <w:trPr>
          <w:trHeight w:val="364"/>
          <w:jc w:val="center"/>
        </w:trPr>
        <w:tc>
          <w:tcPr>
            <w:tcW w:w="3354" w:type="dxa"/>
            <w:gridSpan w:val="2"/>
            <w:vMerge w:val="restart"/>
            <w:tcBorders>
              <w:top w:val="single" w:sz="4" w:space="0" w:color="auto"/>
              <w:left w:val="single" w:sz="4" w:space="0" w:color="auto"/>
              <w:bottom w:val="single" w:sz="4" w:space="0" w:color="auto"/>
              <w:right w:val="single" w:sz="4" w:space="0" w:color="auto"/>
            </w:tcBorders>
            <w:hideMark/>
          </w:tcPr>
          <w:p w14:paraId="32F76AC4" w14:textId="77777777" w:rsidR="00C62024" w:rsidRPr="00C62024" w:rsidRDefault="00C62024" w:rsidP="0002744E">
            <w:pPr>
              <w:spacing w:after="60"/>
              <w:ind w:left="38" w:right="-85"/>
              <w:jc w:val="left"/>
              <w:rPr>
                <w:rFonts w:asciiTheme="majorBidi" w:hAnsiTheme="majorBidi" w:cstheme="majorBidi"/>
                <w:sz w:val="20"/>
                <w:szCs w:val="20"/>
                <w:lang w:val="fr-FR"/>
              </w:rPr>
            </w:pPr>
            <w:r>
              <w:rPr>
                <w:rFonts w:asciiTheme="majorBidi" w:hAnsiTheme="majorBidi" w:cstheme="majorBidi"/>
                <w:sz w:val="20"/>
                <w:szCs w:val="20"/>
                <w:lang w:val="fr"/>
              </w:rPr>
              <w:t>Total des fonds recommandés aux fins d’approbation lors de la présente réunion ($ US)</w:t>
            </w:r>
          </w:p>
        </w:tc>
        <w:tc>
          <w:tcPr>
            <w:tcW w:w="1559" w:type="dxa"/>
            <w:tcBorders>
              <w:top w:val="single" w:sz="4" w:space="0" w:color="auto"/>
              <w:left w:val="single" w:sz="4" w:space="0" w:color="auto"/>
              <w:bottom w:val="single" w:sz="4" w:space="0" w:color="auto"/>
              <w:right w:val="single" w:sz="4" w:space="0" w:color="auto"/>
            </w:tcBorders>
            <w:hideMark/>
          </w:tcPr>
          <w:p w14:paraId="58C7C2D5" w14:textId="77777777" w:rsidR="00C62024" w:rsidRPr="00E57D0A" w:rsidRDefault="00C62024" w:rsidP="0002744E">
            <w:pPr>
              <w:spacing w:after="60"/>
              <w:ind w:left="38"/>
              <w:jc w:val="left"/>
              <w:rPr>
                <w:rFonts w:asciiTheme="majorBidi" w:hAnsiTheme="majorBidi" w:cstheme="majorBidi"/>
                <w:sz w:val="20"/>
                <w:szCs w:val="20"/>
              </w:rPr>
            </w:pPr>
            <w:r>
              <w:rPr>
                <w:rFonts w:asciiTheme="majorBidi" w:hAnsiTheme="majorBidi" w:cstheme="majorBidi"/>
                <w:sz w:val="20"/>
                <w:szCs w:val="20"/>
                <w:lang w:val="fr"/>
              </w:rPr>
              <w:t>Coûts de projet</w:t>
            </w:r>
          </w:p>
        </w:tc>
        <w:tc>
          <w:tcPr>
            <w:tcW w:w="1005" w:type="dxa"/>
            <w:tcBorders>
              <w:top w:val="single" w:sz="4" w:space="0" w:color="auto"/>
              <w:left w:val="single" w:sz="4" w:space="0" w:color="auto"/>
              <w:bottom w:val="single" w:sz="4" w:space="0" w:color="auto"/>
              <w:right w:val="single" w:sz="4" w:space="0" w:color="auto"/>
            </w:tcBorders>
          </w:tcPr>
          <w:p w14:paraId="028A5939"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6" w:type="dxa"/>
            <w:tcBorders>
              <w:top w:val="single" w:sz="4" w:space="0" w:color="auto"/>
              <w:left w:val="single" w:sz="4" w:space="0" w:color="auto"/>
              <w:bottom w:val="single" w:sz="4" w:space="0" w:color="auto"/>
              <w:right w:val="single" w:sz="4" w:space="0" w:color="auto"/>
            </w:tcBorders>
          </w:tcPr>
          <w:p w14:paraId="108D8C25"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21460FE8"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6" w:type="dxa"/>
            <w:tcBorders>
              <w:top w:val="single" w:sz="4" w:space="0" w:color="auto"/>
              <w:left w:val="single" w:sz="4" w:space="0" w:color="auto"/>
              <w:bottom w:val="single" w:sz="4" w:space="0" w:color="auto"/>
              <w:right w:val="single" w:sz="4" w:space="0" w:color="auto"/>
            </w:tcBorders>
          </w:tcPr>
          <w:p w14:paraId="17DD050F"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1 301 160</w:t>
            </w:r>
          </w:p>
        </w:tc>
        <w:tc>
          <w:tcPr>
            <w:tcW w:w="1005" w:type="dxa"/>
            <w:tcBorders>
              <w:top w:val="single" w:sz="4" w:space="0" w:color="auto"/>
              <w:left w:val="single" w:sz="4" w:space="0" w:color="auto"/>
              <w:bottom w:val="single" w:sz="4" w:space="0" w:color="auto"/>
              <w:right w:val="single" w:sz="4" w:space="0" w:color="auto"/>
            </w:tcBorders>
          </w:tcPr>
          <w:p w14:paraId="1517D8C2"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127" w:type="dxa"/>
            <w:tcBorders>
              <w:top w:val="single" w:sz="4" w:space="0" w:color="auto"/>
              <w:left w:val="single" w:sz="4" w:space="0" w:color="auto"/>
              <w:bottom w:val="single" w:sz="4" w:space="0" w:color="auto"/>
              <w:right w:val="single" w:sz="4" w:space="0" w:color="auto"/>
            </w:tcBorders>
          </w:tcPr>
          <w:p w14:paraId="4EE348D1" w14:textId="77777777" w:rsidR="00C62024" w:rsidRPr="00E57D0A" w:rsidRDefault="00C62024" w:rsidP="0002744E">
            <w:pPr>
              <w:spacing w:after="60"/>
              <w:jc w:val="right"/>
              <w:rPr>
                <w:rFonts w:asciiTheme="majorBidi" w:hAnsiTheme="majorBidi" w:cstheme="majorBidi"/>
                <w:color w:val="000000"/>
                <w:sz w:val="20"/>
                <w:szCs w:val="20"/>
              </w:rPr>
            </w:pPr>
            <w:r>
              <w:rPr>
                <w:rFonts w:asciiTheme="majorBidi" w:hAnsiTheme="majorBidi" w:cstheme="majorBidi"/>
                <w:color w:val="000000"/>
                <w:sz w:val="20"/>
                <w:szCs w:val="20"/>
                <w:lang w:val="fr"/>
              </w:rPr>
              <w:t>1 301 160</w:t>
            </w:r>
          </w:p>
        </w:tc>
      </w:tr>
      <w:tr w:rsidR="00C62024" w:rsidRPr="00E57D0A" w14:paraId="5A2C11BF" w14:textId="77777777" w:rsidTr="00397366">
        <w:trPr>
          <w:trHeight w:val="364"/>
          <w:jc w:val="center"/>
        </w:trPr>
        <w:tc>
          <w:tcPr>
            <w:tcW w:w="3354" w:type="dxa"/>
            <w:gridSpan w:val="2"/>
            <w:vMerge/>
            <w:tcBorders>
              <w:top w:val="single" w:sz="4" w:space="0" w:color="auto"/>
              <w:left w:val="single" w:sz="4" w:space="0" w:color="auto"/>
              <w:bottom w:val="single" w:sz="4" w:space="0" w:color="auto"/>
              <w:right w:val="single" w:sz="4" w:space="0" w:color="auto"/>
            </w:tcBorders>
            <w:vAlign w:val="center"/>
            <w:hideMark/>
          </w:tcPr>
          <w:p w14:paraId="7DEB4F98" w14:textId="77777777" w:rsidR="00C62024" w:rsidRPr="00E57D0A" w:rsidRDefault="00C62024" w:rsidP="0002744E">
            <w:pPr>
              <w:ind w:left="38"/>
              <w:rPr>
                <w:rFonts w:asciiTheme="majorBid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47597EC5" w14:textId="77777777" w:rsidR="00C62024" w:rsidRPr="00E57D0A" w:rsidRDefault="00C62024" w:rsidP="0002744E">
            <w:pPr>
              <w:spacing w:afterLines="20" w:after="48"/>
              <w:ind w:left="38"/>
              <w:jc w:val="left"/>
              <w:rPr>
                <w:rFonts w:asciiTheme="majorBidi" w:hAnsiTheme="majorBidi" w:cstheme="majorBidi"/>
                <w:sz w:val="20"/>
                <w:szCs w:val="20"/>
              </w:rPr>
            </w:pPr>
            <w:r>
              <w:rPr>
                <w:rFonts w:asciiTheme="majorBidi" w:hAnsiTheme="majorBidi" w:cstheme="majorBidi"/>
                <w:sz w:val="20"/>
                <w:szCs w:val="20"/>
                <w:lang w:val="fr"/>
              </w:rPr>
              <w:t>Coûts d’appui</w:t>
            </w:r>
          </w:p>
        </w:tc>
        <w:tc>
          <w:tcPr>
            <w:tcW w:w="1005" w:type="dxa"/>
            <w:tcBorders>
              <w:top w:val="single" w:sz="4" w:space="0" w:color="auto"/>
              <w:left w:val="single" w:sz="4" w:space="0" w:color="auto"/>
              <w:bottom w:val="single" w:sz="4" w:space="0" w:color="auto"/>
              <w:right w:val="single" w:sz="4" w:space="0" w:color="auto"/>
            </w:tcBorders>
          </w:tcPr>
          <w:p w14:paraId="4F611705" w14:textId="77777777" w:rsidR="00C62024" w:rsidRPr="00E57D0A" w:rsidRDefault="00C62024" w:rsidP="0002744E">
            <w:pPr>
              <w:spacing w:afterLines="20" w:after="48"/>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6" w:type="dxa"/>
            <w:tcBorders>
              <w:top w:val="single" w:sz="4" w:space="0" w:color="auto"/>
              <w:left w:val="single" w:sz="4" w:space="0" w:color="auto"/>
              <w:bottom w:val="single" w:sz="4" w:space="0" w:color="auto"/>
              <w:right w:val="single" w:sz="4" w:space="0" w:color="auto"/>
            </w:tcBorders>
          </w:tcPr>
          <w:p w14:paraId="5ABCF148" w14:textId="77777777" w:rsidR="00C62024" w:rsidRPr="00E57D0A" w:rsidRDefault="00C62024" w:rsidP="0002744E">
            <w:pPr>
              <w:spacing w:afterLines="20" w:after="4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5" w:type="dxa"/>
            <w:tcBorders>
              <w:top w:val="single" w:sz="4" w:space="0" w:color="auto"/>
              <w:left w:val="single" w:sz="4" w:space="0" w:color="auto"/>
              <w:bottom w:val="single" w:sz="4" w:space="0" w:color="auto"/>
              <w:right w:val="single" w:sz="4" w:space="0" w:color="auto"/>
            </w:tcBorders>
          </w:tcPr>
          <w:p w14:paraId="1D814886" w14:textId="77777777" w:rsidR="00C62024" w:rsidRPr="00E57D0A" w:rsidRDefault="00C62024" w:rsidP="0002744E">
            <w:pPr>
              <w:spacing w:afterLines="20" w:after="4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006" w:type="dxa"/>
            <w:tcBorders>
              <w:top w:val="single" w:sz="4" w:space="0" w:color="auto"/>
              <w:left w:val="single" w:sz="4" w:space="0" w:color="auto"/>
              <w:bottom w:val="single" w:sz="4" w:space="0" w:color="auto"/>
              <w:right w:val="single" w:sz="4" w:space="0" w:color="auto"/>
            </w:tcBorders>
          </w:tcPr>
          <w:p w14:paraId="03C80FB4" w14:textId="77777777" w:rsidR="00C62024" w:rsidRPr="00E57D0A" w:rsidRDefault="00C62024" w:rsidP="0002744E">
            <w:pPr>
              <w:spacing w:after="60"/>
              <w:ind w:left="38"/>
              <w:jc w:val="right"/>
              <w:rPr>
                <w:rFonts w:asciiTheme="majorBidi" w:hAnsiTheme="majorBidi" w:cstheme="majorBidi"/>
                <w:color w:val="000000"/>
                <w:sz w:val="20"/>
                <w:szCs w:val="20"/>
              </w:rPr>
            </w:pPr>
            <w:r>
              <w:rPr>
                <w:rFonts w:asciiTheme="majorBidi" w:hAnsiTheme="majorBidi" w:cstheme="majorBidi"/>
                <w:color w:val="000000"/>
                <w:sz w:val="20"/>
                <w:szCs w:val="20"/>
                <w:lang w:val="fr"/>
              </w:rPr>
              <w:t>136 814</w:t>
            </w:r>
          </w:p>
        </w:tc>
        <w:tc>
          <w:tcPr>
            <w:tcW w:w="1005" w:type="dxa"/>
            <w:tcBorders>
              <w:top w:val="single" w:sz="4" w:space="0" w:color="auto"/>
              <w:left w:val="single" w:sz="4" w:space="0" w:color="auto"/>
              <w:bottom w:val="single" w:sz="4" w:space="0" w:color="auto"/>
              <w:right w:val="single" w:sz="4" w:space="0" w:color="auto"/>
            </w:tcBorders>
          </w:tcPr>
          <w:p w14:paraId="2D0F29C2" w14:textId="77777777" w:rsidR="00C62024" w:rsidRPr="00E57D0A" w:rsidRDefault="00C62024" w:rsidP="0002744E">
            <w:pPr>
              <w:spacing w:afterLines="20" w:after="48"/>
              <w:jc w:val="right"/>
              <w:rPr>
                <w:rFonts w:asciiTheme="majorBidi" w:hAnsiTheme="majorBidi" w:cstheme="majorBidi"/>
                <w:color w:val="000000"/>
                <w:sz w:val="20"/>
                <w:szCs w:val="20"/>
              </w:rPr>
            </w:pPr>
            <w:r>
              <w:rPr>
                <w:rFonts w:asciiTheme="majorBidi" w:hAnsiTheme="majorBidi" w:cstheme="majorBidi"/>
                <w:color w:val="000000"/>
                <w:sz w:val="20"/>
                <w:szCs w:val="20"/>
                <w:lang w:val="fr"/>
              </w:rPr>
              <w:t>0</w:t>
            </w:r>
          </w:p>
        </w:tc>
        <w:tc>
          <w:tcPr>
            <w:tcW w:w="1127" w:type="dxa"/>
            <w:tcBorders>
              <w:top w:val="single" w:sz="4" w:space="0" w:color="auto"/>
              <w:left w:val="single" w:sz="4" w:space="0" w:color="auto"/>
              <w:bottom w:val="single" w:sz="4" w:space="0" w:color="auto"/>
              <w:right w:val="single" w:sz="4" w:space="0" w:color="auto"/>
            </w:tcBorders>
          </w:tcPr>
          <w:p w14:paraId="39C1C840" w14:textId="77777777" w:rsidR="00C62024" w:rsidRPr="00E57D0A" w:rsidRDefault="00C62024" w:rsidP="0002744E">
            <w:pPr>
              <w:spacing w:afterLines="20" w:after="48"/>
              <w:jc w:val="right"/>
              <w:rPr>
                <w:rFonts w:asciiTheme="majorBidi" w:hAnsiTheme="majorBidi" w:cstheme="majorBidi"/>
                <w:color w:val="000000"/>
                <w:sz w:val="20"/>
                <w:szCs w:val="20"/>
              </w:rPr>
            </w:pPr>
            <w:r>
              <w:rPr>
                <w:rFonts w:asciiTheme="majorBidi" w:hAnsiTheme="majorBidi" w:cstheme="majorBidi"/>
                <w:color w:val="000000"/>
                <w:sz w:val="20"/>
                <w:szCs w:val="20"/>
                <w:lang w:val="fr"/>
              </w:rPr>
              <w:t>136 814</w:t>
            </w:r>
          </w:p>
        </w:tc>
      </w:tr>
    </w:tbl>
    <w:p w14:paraId="67B1A5B3" w14:textId="77777777" w:rsidR="00C62024" w:rsidRPr="00C62024" w:rsidRDefault="00C62024" w:rsidP="0018235C">
      <w:pPr>
        <w:ind w:right="-563" w:hanging="709"/>
        <w:rPr>
          <w:sz w:val="18"/>
          <w:szCs w:val="18"/>
          <w:lang w:val="fr-FR"/>
        </w:rPr>
      </w:pPr>
      <w:r>
        <w:rPr>
          <w:sz w:val="18"/>
          <w:szCs w:val="18"/>
          <w:lang w:val="fr"/>
        </w:rPr>
        <w:t>*La deuxième tranche devait se terminer en 2023.</w:t>
      </w:r>
    </w:p>
    <w:p w14:paraId="252EB1A6" w14:textId="77777777" w:rsidR="00C62024" w:rsidRPr="00C62024" w:rsidRDefault="00C62024" w:rsidP="00C62024">
      <w:pPr>
        <w:tabs>
          <w:tab w:val="left" w:pos="5380"/>
        </w:tabs>
        <w:jc w:val="left"/>
        <w:rPr>
          <w:sz w:val="18"/>
          <w:szCs w:val="18"/>
          <w:lang w:val="fr-FR"/>
        </w:rPr>
      </w:pPr>
      <w:r>
        <w:rPr>
          <w:lang w:val="fr"/>
        </w:rPr>
        <w:tab/>
      </w:r>
    </w:p>
    <w:tbl>
      <w:tblPr>
        <w:tblStyle w:val="TableGrid"/>
        <w:tblW w:w="110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62"/>
        <w:gridCol w:w="6175"/>
      </w:tblGrid>
      <w:tr w:rsidR="00C62024" w:rsidRPr="00830019" w14:paraId="68187677" w14:textId="77777777" w:rsidTr="00397366">
        <w:trPr>
          <w:trHeight w:val="42"/>
          <w:jc w:val="center"/>
        </w:trPr>
        <w:tc>
          <w:tcPr>
            <w:tcW w:w="4862" w:type="dxa"/>
            <w:hideMark/>
          </w:tcPr>
          <w:p w14:paraId="0B61FD2F" w14:textId="77777777" w:rsidR="00C62024" w:rsidRPr="00830019" w:rsidRDefault="00C62024" w:rsidP="0002744E">
            <w:pPr>
              <w:spacing w:after="60"/>
              <w:jc w:val="left"/>
              <w:rPr>
                <w:b/>
                <w:sz w:val="20"/>
                <w:szCs w:val="20"/>
              </w:rPr>
            </w:pPr>
            <w:r>
              <w:rPr>
                <w:b/>
                <w:bCs/>
                <w:sz w:val="20"/>
                <w:szCs w:val="20"/>
                <w:lang w:val="fr"/>
              </w:rPr>
              <w:t>Recommandation du Secrétariat :</w:t>
            </w:r>
          </w:p>
        </w:tc>
        <w:tc>
          <w:tcPr>
            <w:tcW w:w="6175" w:type="dxa"/>
            <w:hideMark/>
          </w:tcPr>
          <w:p w14:paraId="493A9950" w14:textId="77777777" w:rsidR="00C62024" w:rsidRPr="00830019" w:rsidRDefault="00C62024" w:rsidP="0002744E">
            <w:pPr>
              <w:spacing w:after="60"/>
              <w:jc w:val="center"/>
              <w:rPr>
                <w:sz w:val="20"/>
                <w:szCs w:val="20"/>
              </w:rPr>
            </w:pPr>
            <w:r>
              <w:rPr>
                <w:sz w:val="20"/>
                <w:szCs w:val="20"/>
                <w:lang w:val="fr"/>
              </w:rPr>
              <w:t>Approbation globale</w:t>
            </w:r>
          </w:p>
        </w:tc>
      </w:tr>
    </w:tbl>
    <w:p w14:paraId="59CC22D4" w14:textId="67A85BEF" w:rsidR="00C62024" w:rsidRDefault="00C62024" w:rsidP="00D43F7D">
      <w:pPr>
        <w:rPr>
          <w:b/>
          <w:bCs/>
          <w:lang w:val="fr"/>
        </w:rPr>
      </w:pPr>
      <w:r>
        <w:rPr>
          <w:lang w:val="fr"/>
        </w:rPr>
        <w:br w:type="page"/>
      </w:r>
      <w:r>
        <w:rPr>
          <w:b/>
          <w:bCs/>
          <w:lang w:val="fr"/>
        </w:rPr>
        <w:lastRenderedPageBreak/>
        <w:t>DESCRIPTION DU PROJET</w:t>
      </w:r>
    </w:p>
    <w:p w14:paraId="31312185" w14:textId="77777777" w:rsidR="009C6261" w:rsidRPr="0034371D" w:rsidRDefault="009C6261" w:rsidP="00D43F7D">
      <w:pPr>
        <w:rPr>
          <w:b/>
        </w:rPr>
      </w:pPr>
    </w:p>
    <w:p w14:paraId="0760FBB5" w14:textId="77777777" w:rsidR="00C62024" w:rsidRPr="00C62024" w:rsidRDefault="00C62024" w:rsidP="00C62024">
      <w:pPr>
        <w:pStyle w:val="Heading1"/>
        <w:rPr>
          <w:lang w:val="fr-FR"/>
        </w:rPr>
      </w:pPr>
      <w:r>
        <w:rPr>
          <w:lang w:val="fr"/>
        </w:rPr>
        <w:t>Au nom du gouvernement du Koweït, le PNUE, à titre d’agence d’exécution principale, a présenté une demande pour le financement de la deuxième tranche de la phase II du plan de gestion de l’élimination des HCFC (PGEH), pour un coût total de 1 437 974 $ US, soit 1 013 560 $ US, plus des coûts d’appui à l’agence de 116 682 $ US pour le PNUE, et 287 600 $ US, plus des coûts d’appui à l’agence de 20 132 $ US pour l’ONUDI.</w:t>
      </w:r>
      <w:r>
        <w:rPr>
          <w:rStyle w:val="FootnoteReference"/>
          <w:lang w:val="fr"/>
        </w:rPr>
        <w:footnoteReference w:id="2"/>
      </w:r>
      <w:r>
        <w:rPr>
          <w:lang w:val="fr"/>
        </w:rPr>
        <w:t xml:space="preserve"> La proposition comprend un rapport périodique sur la mise en œuvre de la première tranche, le rapport de vérification de la consommation de HCFC pour la période 2021-2023 et le plan de mise en œuvre de la tranche pour 2024-2026.</w:t>
      </w:r>
    </w:p>
    <w:p w14:paraId="2EA4F651" w14:textId="77777777" w:rsidR="00C62024" w:rsidRPr="00C62024" w:rsidRDefault="00C62024" w:rsidP="00C62024">
      <w:pPr>
        <w:keepNext/>
        <w:spacing w:after="240"/>
        <w:rPr>
          <w:u w:val="single"/>
          <w:lang w:val="fr-FR"/>
        </w:rPr>
      </w:pPr>
      <w:r>
        <w:rPr>
          <w:u w:val="single"/>
          <w:lang w:val="fr"/>
        </w:rPr>
        <w:t>Rapport sur la consommation de HCFC</w:t>
      </w:r>
    </w:p>
    <w:p w14:paraId="098A57AC" w14:textId="687CF073" w:rsidR="00C62024" w:rsidRPr="00C62024" w:rsidRDefault="00C62024" w:rsidP="00C62024">
      <w:pPr>
        <w:pStyle w:val="Heading1"/>
        <w:rPr>
          <w:lang w:val="fr-FR"/>
        </w:rPr>
      </w:pPr>
      <w:r>
        <w:rPr>
          <w:lang w:val="fr"/>
        </w:rPr>
        <w:t>Le gouvernement du Koweït a déclaré une consommation de 147,03 tonnes PAO de HCFC en 2023, qui est inférieure de 64,9 pour cent à la valeur de référence des HCFC aux fins de conformité. La consommation de HCFC pour la période 2019-2023 est indiquée au tableau 1.</w:t>
      </w:r>
    </w:p>
    <w:p w14:paraId="1B521796" w14:textId="77777777" w:rsidR="00C62024" w:rsidRPr="00C62024" w:rsidRDefault="00C62024" w:rsidP="00C62024">
      <w:pPr>
        <w:keepNext/>
        <w:rPr>
          <w:b/>
          <w:lang w:val="fr-FR"/>
        </w:rPr>
      </w:pPr>
      <w:r>
        <w:rPr>
          <w:b/>
          <w:bCs/>
          <w:lang w:val="fr"/>
        </w:rPr>
        <w:t>Tableau 1. Consommation de HCFC au Koweït (2019-2023 – données au titre de l’article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C62024" w:rsidRPr="00446424" w14:paraId="4692EE0F" w14:textId="77777777" w:rsidTr="0049574F">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5F8E83" w14:textId="77777777" w:rsidR="00C62024" w:rsidRPr="00446424" w:rsidRDefault="00C62024" w:rsidP="0049574F">
            <w:pPr>
              <w:keepNext/>
              <w:jc w:val="center"/>
              <w:rPr>
                <w:b/>
                <w:bCs/>
                <w:color w:val="000000"/>
                <w:sz w:val="20"/>
                <w:szCs w:val="20"/>
              </w:rPr>
            </w:pPr>
            <w:r>
              <w:rPr>
                <w:b/>
                <w:bCs/>
                <w:color w:val="000000"/>
                <w:sz w:val="20"/>
                <w:szCs w:val="20"/>
                <w:lang w:val="fr"/>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7EB1A32" w14:textId="77777777" w:rsidR="00C62024" w:rsidRPr="00446424" w:rsidRDefault="00C62024" w:rsidP="0049574F">
            <w:pPr>
              <w:keepNext/>
              <w:jc w:val="center"/>
              <w:rPr>
                <w:b/>
                <w:bCs/>
                <w:color w:val="000000"/>
                <w:sz w:val="20"/>
                <w:szCs w:val="20"/>
              </w:rPr>
            </w:pPr>
            <w:r>
              <w:rPr>
                <w:b/>
                <w:bCs/>
                <w:color w:val="000000"/>
                <w:sz w:val="20"/>
                <w:szCs w:val="20"/>
                <w:lang w:val="fr"/>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158CB80" w14:textId="77777777" w:rsidR="00C62024" w:rsidRPr="00446424" w:rsidRDefault="00C62024" w:rsidP="0049574F">
            <w:pPr>
              <w:keepNext/>
              <w:jc w:val="center"/>
              <w:rPr>
                <w:b/>
                <w:bCs/>
                <w:color w:val="000000"/>
                <w:sz w:val="20"/>
                <w:szCs w:val="20"/>
              </w:rPr>
            </w:pPr>
            <w:r>
              <w:rPr>
                <w:b/>
                <w:bCs/>
                <w:color w:val="000000"/>
                <w:sz w:val="20"/>
                <w:szCs w:val="20"/>
                <w:lang w:val="fr"/>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683D774" w14:textId="77777777" w:rsidR="00C62024" w:rsidRPr="00446424" w:rsidRDefault="00C62024" w:rsidP="0049574F">
            <w:pPr>
              <w:keepNext/>
              <w:jc w:val="center"/>
              <w:rPr>
                <w:b/>
                <w:bCs/>
                <w:color w:val="000000"/>
                <w:sz w:val="20"/>
                <w:szCs w:val="20"/>
              </w:rPr>
            </w:pPr>
            <w:r>
              <w:rPr>
                <w:b/>
                <w:bCs/>
                <w:color w:val="000000"/>
                <w:sz w:val="20"/>
                <w:szCs w:val="20"/>
                <w:lang w:val="fr"/>
              </w:rPr>
              <w:t>2021</w:t>
            </w:r>
          </w:p>
        </w:tc>
        <w:tc>
          <w:tcPr>
            <w:tcW w:w="553" w:type="pct"/>
            <w:tcBorders>
              <w:top w:val="single" w:sz="4" w:space="0" w:color="auto"/>
              <w:left w:val="nil"/>
              <w:bottom w:val="single" w:sz="4" w:space="0" w:color="auto"/>
              <w:right w:val="single" w:sz="4" w:space="0" w:color="auto"/>
            </w:tcBorders>
            <w:vAlign w:val="center"/>
          </w:tcPr>
          <w:p w14:paraId="0AED2A7A" w14:textId="77777777" w:rsidR="00C62024" w:rsidRPr="00446424" w:rsidRDefault="00C62024" w:rsidP="0049574F">
            <w:pPr>
              <w:keepNext/>
              <w:jc w:val="center"/>
              <w:rPr>
                <w:b/>
                <w:bCs/>
                <w:color w:val="000000"/>
                <w:sz w:val="20"/>
                <w:szCs w:val="20"/>
              </w:rPr>
            </w:pPr>
            <w:r>
              <w:rPr>
                <w:b/>
                <w:bCs/>
                <w:color w:val="000000"/>
                <w:sz w:val="20"/>
                <w:szCs w:val="20"/>
                <w:lang w:val="fr"/>
              </w:rPr>
              <w:t>2022</w:t>
            </w:r>
          </w:p>
        </w:tc>
        <w:tc>
          <w:tcPr>
            <w:tcW w:w="553" w:type="pct"/>
            <w:tcBorders>
              <w:top w:val="single" w:sz="4" w:space="0" w:color="auto"/>
              <w:left w:val="single" w:sz="4" w:space="0" w:color="auto"/>
              <w:bottom w:val="single" w:sz="4" w:space="0" w:color="auto"/>
              <w:right w:val="single" w:sz="4" w:space="0" w:color="auto"/>
            </w:tcBorders>
            <w:vAlign w:val="center"/>
          </w:tcPr>
          <w:p w14:paraId="478339AD" w14:textId="77777777" w:rsidR="00C62024" w:rsidRPr="00446424" w:rsidRDefault="00C62024" w:rsidP="0049574F">
            <w:pPr>
              <w:keepNext/>
              <w:jc w:val="center"/>
              <w:rPr>
                <w:b/>
                <w:bCs/>
                <w:color w:val="000000"/>
                <w:sz w:val="20"/>
                <w:szCs w:val="20"/>
              </w:rPr>
            </w:pPr>
            <w:r>
              <w:rPr>
                <w:b/>
                <w:bCs/>
                <w:color w:val="000000"/>
                <w:sz w:val="20"/>
                <w:szCs w:val="20"/>
                <w:lang w:val="fr"/>
              </w:rPr>
              <w:t>2023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873E6" w14:textId="77777777" w:rsidR="00C62024" w:rsidRPr="00446424" w:rsidRDefault="00C62024" w:rsidP="0049574F">
            <w:pPr>
              <w:keepNext/>
              <w:jc w:val="center"/>
              <w:rPr>
                <w:b/>
                <w:bCs/>
                <w:color w:val="000000"/>
                <w:sz w:val="20"/>
                <w:szCs w:val="20"/>
              </w:rPr>
            </w:pPr>
            <w:r>
              <w:rPr>
                <w:b/>
                <w:bCs/>
                <w:color w:val="000000"/>
                <w:sz w:val="20"/>
                <w:szCs w:val="20"/>
                <w:lang w:val="fr"/>
              </w:rPr>
              <w:t>Valeur de référence</w:t>
            </w:r>
          </w:p>
        </w:tc>
      </w:tr>
      <w:tr w:rsidR="00C62024" w:rsidRPr="00446424" w14:paraId="234890F4" w14:textId="77777777" w:rsidTr="0002744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C39570" w14:textId="77777777" w:rsidR="00C62024" w:rsidRPr="00446424" w:rsidRDefault="00C62024" w:rsidP="0002744E">
            <w:pPr>
              <w:keepNext/>
              <w:ind w:left="98"/>
              <w:jc w:val="left"/>
              <w:rPr>
                <w:b/>
                <w:bCs/>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r>
      <w:tr w:rsidR="00C62024" w:rsidRPr="00446424" w14:paraId="19C4BACC" w14:textId="77777777" w:rsidTr="000274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ED9B03" w14:textId="77777777" w:rsidR="00C62024" w:rsidRPr="00446424" w:rsidRDefault="00C62024" w:rsidP="0002744E">
            <w:pPr>
              <w:widowControl w:val="0"/>
              <w:ind w:left="98"/>
              <w:jc w:val="left"/>
              <w:rPr>
                <w:color w:val="000000"/>
                <w:sz w:val="20"/>
                <w:szCs w:val="20"/>
              </w:rPr>
            </w:pPr>
            <w:r>
              <w:rPr>
                <w:color w:val="000000"/>
                <w:sz w:val="20"/>
                <w:szCs w:val="20"/>
                <w:lang w:val="fr"/>
              </w:rPr>
              <w:t>HCFC-22</w:t>
            </w:r>
          </w:p>
        </w:tc>
        <w:tc>
          <w:tcPr>
            <w:tcW w:w="553" w:type="pct"/>
            <w:tcBorders>
              <w:top w:val="nil"/>
              <w:left w:val="nil"/>
              <w:bottom w:val="single" w:sz="4" w:space="0" w:color="auto"/>
              <w:right w:val="single" w:sz="4" w:space="0" w:color="auto"/>
            </w:tcBorders>
            <w:shd w:val="clear" w:color="auto" w:fill="auto"/>
            <w:noWrap/>
          </w:tcPr>
          <w:p w14:paraId="036088AD"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 xml:space="preserve"> 3 138,00</w:t>
            </w:r>
          </w:p>
        </w:tc>
        <w:tc>
          <w:tcPr>
            <w:tcW w:w="553" w:type="pct"/>
            <w:tcBorders>
              <w:top w:val="nil"/>
              <w:left w:val="nil"/>
              <w:bottom w:val="single" w:sz="4" w:space="0" w:color="auto"/>
              <w:right w:val="single" w:sz="4" w:space="0" w:color="auto"/>
            </w:tcBorders>
            <w:shd w:val="clear" w:color="auto" w:fill="auto"/>
            <w:noWrap/>
          </w:tcPr>
          <w:p w14:paraId="29680C5F"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3 345,98</w:t>
            </w:r>
          </w:p>
        </w:tc>
        <w:tc>
          <w:tcPr>
            <w:tcW w:w="553" w:type="pct"/>
            <w:tcBorders>
              <w:top w:val="nil"/>
              <w:left w:val="nil"/>
              <w:bottom w:val="single" w:sz="4" w:space="0" w:color="auto"/>
              <w:right w:val="single" w:sz="4" w:space="0" w:color="auto"/>
            </w:tcBorders>
            <w:shd w:val="clear" w:color="auto" w:fill="auto"/>
            <w:noWrap/>
          </w:tcPr>
          <w:p w14:paraId="17AF62D8"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 xml:space="preserve"> 3 147,00</w:t>
            </w:r>
          </w:p>
        </w:tc>
        <w:tc>
          <w:tcPr>
            <w:tcW w:w="553" w:type="pct"/>
            <w:tcBorders>
              <w:top w:val="single" w:sz="4" w:space="0" w:color="auto"/>
              <w:left w:val="nil"/>
              <w:bottom w:val="single" w:sz="4" w:space="0" w:color="auto"/>
              <w:right w:val="single" w:sz="2" w:space="0" w:color="auto"/>
            </w:tcBorders>
          </w:tcPr>
          <w:p w14:paraId="3E6FB323"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2 800,85</w:t>
            </w:r>
          </w:p>
        </w:tc>
        <w:tc>
          <w:tcPr>
            <w:tcW w:w="553" w:type="pct"/>
            <w:tcBorders>
              <w:top w:val="single" w:sz="2" w:space="0" w:color="auto"/>
              <w:left w:val="single" w:sz="2" w:space="0" w:color="auto"/>
              <w:bottom w:val="single" w:sz="2" w:space="0" w:color="auto"/>
              <w:right w:val="single" w:sz="2" w:space="0" w:color="auto"/>
            </w:tcBorders>
          </w:tcPr>
          <w:p w14:paraId="5E38282B"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 xml:space="preserve"> 2 672,00 </w:t>
            </w:r>
          </w:p>
        </w:tc>
        <w:tc>
          <w:tcPr>
            <w:tcW w:w="553" w:type="pct"/>
            <w:tcBorders>
              <w:top w:val="nil"/>
              <w:left w:val="single" w:sz="2" w:space="0" w:color="auto"/>
              <w:bottom w:val="single" w:sz="4" w:space="0" w:color="auto"/>
              <w:right w:val="single" w:sz="4" w:space="0" w:color="auto"/>
            </w:tcBorders>
            <w:shd w:val="clear" w:color="auto" w:fill="auto"/>
            <w:noWrap/>
          </w:tcPr>
          <w:p w14:paraId="2B69ED63"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4 735,50</w:t>
            </w:r>
          </w:p>
        </w:tc>
      </w:tr>
      <w:tr w:rsidR="00C62024" w:rsidRPr="00446424" w14:paraId="21FD01CA" w14:textId="77777777" w:rsidTr="000274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3ED0B1" w14:textId="77777777" w:rsidR="00C62024" w:rsidRPr="00446424" w:rsidRDefault="00C62024" w:rsidP="0002744E">
            <w:pPr>
              <w:widowControl w:val="0"/>
              <w:ind w:left="98"/>
              <w:jc w:val="left"/>
              <w:rPr>
                <w:color w:val="000000"/>
                <w:sz w:val="20"/>
                <w:szCs w:val="20"/>
              </w:rPr>
            </w:pPr>
            <w:r>
              <w:rPr>
                <w:color w:val="000000"/>
                <w:sz w:val="20"/>
                <w:szCs w:val="20"/>
                <w:lang w:val="fr"/>
              </w:rPr>
              <w:t>HCFC-123</w:t>
            </w:r>
          </w:p>
        </w:tc>
        <w:tc>
          <w:tcPr>
            <w:tcW w:w="553" w:type="pct"/>
            <w:tcBorders>
              <w:top w:val="nil"/>
              <w:left w:val="nil"/>
              <w:bottom w:val="single" w:sz="4" w:space="0" w:color="auto"/>
              <w:right w:val="single" w:sz="4" w:space="0" w:color="auto"/>
            </w:tcBorders>
            <w:shd w:val="clear" w:color="auto" w:fill="auto"/>
            <w:noWrap/>
          </w:tcPr>
          <w:p w14:paraId="23D8F310"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2,60</w:t>
            </w:r>
          </w:p>
        </w:tc>
        <w:tc>
          <w:tcPr>
            <w:tcW w:w="553" w:type="pct"/>
            <w:tcBorders>
              <w:top w:val="nil"/>
              <w:left w:val="nil"/>
              <w:bottom w:val="single" w:sz="4" w:space="0" w:color="auto"/>
              <w:right w:val="single" w:sz="4" w:space="0" w:color="auto"/>
            </w:tcBorders>
            <w:shd w:val="clear" w:color="auto" w:fill="auto"/>
            <w:noWrap/>
          </w:tcPr>
          <w:p w14:paraId="54F181B5"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3,74</w:t>
            </w:r>
          </w:p>
        </w:tc>
        <w:tc>
          <w:tcPr>
            <w:tcW w:w="553" w:type="pct"/>
            <w:tcBorders>
              <w:top w:val="nil"/>
              <w:left w:val="nil"/>
              <w:bottom w:val="single" w:sz="4" w:space="0" w:color="auto"/>
              <w:right w:val="single" w:sz="4" w:space="0" w:color="auto"/>
            </w:tcBorders>
            <w:shd w:val="clear" w:color="auto" w:fill="auto"/>
            <w:noWrap/>
          </w:tcPr>
          <w:p w14:paraId="5009CEE0"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3,59</w:t>
            </w:r>
          </w:p>
        </w:tc>
        <w:tc>
          <w:tcPr>
            <w:tcW w:w="553" w:type="pct"/>
            <w:tcBorders>
              <w:top w:val="single" w:sz="4" w:space="0" w:color="auto"/>
              <w:left w:val="nil"/>
              <w:bottom w:val="single" w:sz="4" w:space="0" w:color="auto"/>
              <w:right w:val="single" w:sz="2" w:space="0" w:color="auto"/>
            </w:tcBorders>
          </w:tcPr>
          <w:p w14:paraId="23524437"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2" w:space="0" w:color="auto"/>
              <w:left w:val="single" w:sz="2" w:space="0" w:color="auto"/>
              <w:bottom w:val="single" w:sz="2" w:space="0" w:color="auto"/>
              <w:right w:val="single" w:sz="2" w:space="0" w:color="auto"/>
            </w:tcBorders>
          </w:tcPr>
          <w:p w14:paraId="260FA77B"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3,46</w:t>
            </w:r>
          </w:p>
        </w:tc>
        <w:tc>
          <w:tcPr>
            <w:tcW w:w="553" w:type="pct"/>
            <w:tcBorders>
              <w:top w:val="nil"/>
              <w:left w:val="single" w:sz="2" w:space="0" w:color="auto"/>
              <w:bottom w:val="single" w:sz="4" w:space="0" w:color="auto"/>
              <w:right w:val="single" w:sz="4" w:space="0" w:color="auto"/>
            </w:tcBorders>
            <w:shd w:val="clear" w:color="auto" w:fill="auto"/>
            <w:noWrap/>
          </w:tcPr>
          <w:p w14:paraId="4198E7AF"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14,00</w:t>
            </w:r>
          </w:p>
        </w:tc>
      </w:tr>
      <w:tr w:rsidR="00C62024" w:rsidRPr="00446424" w14:paraId="48E0E046" w14:textId="77777777" w:rsidTr="000274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3A545D" w14:textId="77777777" w:rsidR="00C62024" w:rsidRPr="00446424" w:rsidRDefault="00C62024" w:rsidP="0002744E">
            <w:pPr>
              <w:widowControl w:val="0"/>
              <w:ind w:left="98"/>
              <w:jc w:val="left"/>
              <w:rPr>
                <w:color w:val="000000"/>
                <w:sz w:val="20"/>
                <w:szCs w:val="20"/>
              </w:rPr>
            </w:pPr>
            <w:r>
              <w:rPr>
                <w:color w:val="000000"/>
                <w:sz w:val="20"/>
                <w:szCs w:val="20"/>
                <w:lang w:val="fr"/>
              </w:rPr>
              <w:t>HCFC-124</w:t>
            </w:r>
          </w:p>
        </w:tc>
        <w:tc>
          <w:tcPr>
            <w:tcW w:w="553" w:type="pct"/>
            <w:tcBorders>
              <w:top w:val="nil"/>
              <w:left w:val="nil"/>
              <w:bottom w:val="single" w:sz="4" w:space="0" w:color="auto"/>
              <w:right w:val="single" w:sz="4" w:space="0" w:color="auto"/>
            </w:tcBorders>
            <w:shd w:val="clear" w:color="auto" w:fill="auto"/>
            <w:noWrap/>
          </w:tcPr>
          <w:p w14:paraId="12C32D2F" w14:textId="77777777" w:rsidR="00C62024" w:rsidRPr="00446424" w:rsidRDefault="00C62024" w:rsidP="0002744E">
            <w:pPr>
              <w:widowControl w:val="0"/>
              <w:tabs>
                <w:tab w:val="left" w:pos="430"/>
              </w:tabs>
              <w:ind w:left="-137" w:right="63"/>
              <w:jc w:val="right"/>
              <w:rPr>
                <w:sz w:val="20"/>
                <w:szCs w:val="20"/>
              </w:rPr>
            </w:pPr>
            <w:r>
              <w:rPr>
                <w:sz w:val="20"/>
                <w:szCs w:val="20"/>
                <w:lang w:val="fr"/>
              </w:rPr>
              <w:t>0,40</w:t>
            </w:r>
          </w:p>
        </w:tc>
        <w:tc>
          <w:tcPr>
            <w:tcW w:w="553" w:type="pct"/>
            <w:tcBorders>
              <w:top w:val="nil"/>
              <w:left w:val="nil"/>
              <w:bottom w:val="single" w:sz="4" w:space="0" w:color="auto"/>
              <w:right w:val="single" w:sz="4" w:space="0" w:color="auto"/>
            </w:tcBorders>
            <w:shd w:val="clear" w:color="auto" w:fill="auto"/>
            <w:noWrap/>
          </w:tcPr>
          <w:p w14:paraId="64A91CCC" w14:textId="77777777" w:rsidR="00C62024" w:rsidRPr="00446424" w:rsidRDefault="00C62024" w:rsidP="0002744E">
            <w:pPr>
              <w:widowControl w:val="0"/>
              <w:tabs>
                <w:tab w:val="left" w:pos="430"/>
              </w:tabs>
              <w:ind w:left="-137" w:right="63"/>
              <w:jc w:val="right"/>
              <w:rPr>
                <w:sz w:val="20"/>
                <w:szCs w:val="20"/>
              </w:rPr>
            </w:pPr>
            <w:r>
              <w:rPr>
                <w:color w:val="000000"/>
                <w:sz w:val="20"/>
                <w:szCs w:val="20"/>
                <w:lang w:val="fr"/>
              </w:rPr>
              <w:t>0,00</w:t>
            </w:r>
          </w:p>
        </w:tc>
        <w:tc>
          <w:tcPr>
            <w:tcW w:w="553" w:type="pct"/>
            <w:tcBorders>
              <w:top w:val="nil"/>
              <w:left w:val="nil"/>
              <w:bottom w:val="single" w:sz="4" w:space="0" w:color="auto"/>
              <w:right w:val="single" w:sz="4" w:space="0" w:color="auto"/>
            </w:tcBorders>
            <w:shd w:val="clear" w:color="auto" w:fill="auto"/>
            <w:noWrap/>
          </w:tcPr>
          <w:p w14:paraId="46C29BD8" w14:textId="77777777" w:rsidR="00C62024" w:rsidRPr="00446424" w:rsidRDefault="00C62024" w:rsidP="0002744E">
            <w:pPr>
              <w:widowControl w:val="0"/>
              <w:tabs>
                <w:tab w:val="left" w:pos="430"/>
              </w:tabs>
              <w:ind w:left="-137" w:right="63"/>
              <w:jc w:val="right"/>
              <w:rPr>
                <w:color w:val="000000"/>
                <w:sz w:val="20"/>
                <w:szCs w:val="20"/>
              </w:rPr>
            </w:pPr>
            <w:r>
              <w:rPr>
                <w:sz w:val="20"/>
                <w:szCs w:val="20"/>
                <w:lang w:val="fr"/>
              </w:rPr>
              <w:t>0,40</w:t>
            </w:r>
          </w:p>
        </w:tc>
        <w:tc>
          <w:tcPr>
            <w:tcW w:w="553" w:type="pct"/>
            <w:tcBorders>
              <w:top w:val="single" w:sz="4" w:space="0" w:color="auto"/>
              <w:left w:val="nil"/>
              <w:bottom w:val="single" w:sz="4" w:space="0" w:color="auto"/>
              <w:right w:val="single" w:sz="4" w:space="0" w:color="auto"/>
            </w:tcBorders>
          </w:tcPr>
          <w:p w14:paraId="32E1903A"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2" w:space="0" w:color="auto"/>
              <w:left w:val="single" w:sz="4" w:space="0" w:color="auto"/>
              <w:bottom w:val="single" w:sz="4" w:space="0" w:color="auto"/>
              <w:right w:val="single" w:sz="4" w:space="0" w:color="auto"/>
            </w:tcBorders>
          </w:tcPr>
          <w:p w14:paraId="1266C3FC"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nil"/>
              <w:left w:val="single" w:sz="4" w:space="0" w:color="auto"/>
              <w:bottom w:val="single" w:sz="4" w:space="0" w:color="auto"/>
              <w:right w:val="single" w:sz="4" w:space="0" w:color="auto"/>
            </w:tcBorders>
            <w:shd w:val="clear" w:color="auto" w:fill="auto"/>
            <w:noWrap/>
          </w:tcPr>
          <w:p w14:paraId="0B7955E5"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r>
      <w:tr w:rsidR="00C62024" w:rsidRPr="00446424" w14:paraId="00FC1E82" w14:textId="77777777" w:rsidTr="000274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08AC1A" w14:textId="77777777" w:rsidR="00C62024" w:rsidRPr="00446424" w:rsidRDefault="00C62024" w:rsidP="0002744E">
            <w:pPr>
              <w:widowControl w:val="0"/>
              <w:ind w:left="98"/>
              <w:jc w:val="left"/>
              <w:rPr>
                <w:color w:val="000000"/>
                <w:sz w:val="20"/>
                <w:szCs w:val="20"/>
              </w:rPr>
            </w:pPr>
            <w:r>
              <w:rPr>
                <w:color w:val="000000"/>
                <w:sz w:val="20"/>
                <w:szCs w:val="20"/>
                <w:lang w:val="fr"/>
              </w:rPr>
              <w:t>HCFC-141b</w:t>
            </w:r>
          </w:p>
        </w:tc>
        <w:tc>
          <w:tcPr>
            <w:tcW w:w="553" w:type="pct"/>
            <w:tcBorders>
              <w:top w:val="nil"/>
              <w:left w:val="nil"/>
              <w:bottom w:val="single" w:sz="4" w:space="0" w:color="auto"/>
              <w:right w:val="single" w:sz="4" w:space="0" w:color="auto"/>
            </w:tcBorders>
            <w:shd w:val="clear" w:color="auto" w:fill="auto"/>
            <w:noWrap/>
          </w:tcPr>
          <w:p w14:paraId="45BF5702" w14:textId="77777777" w:rsidR="00C62024" w:rsidRPr="00446424" w:rsidRDefault="00C62024" w:rsidP="0002744E">
            <w:pPr>
              <w:widowControl w:val="0"/>
              <w:tabs>
                <w:tab w:val="left" w:pos="430"/>
              </w:tabs>
              <w:ind w:left="-137" w:right="63"/>
              <w:jc w:val="right"/>
              <w:rPr>
                <w:sz w:val="20"/>
                <w:szCs w:val="20"/>
              </w:rPr>
            </w:pPr>
            <w:r>
              <w:rPr>
                <w:sz w:val="20"/>
                <w:szCs w:val="20"/>
                <w:lang w:val="fr"/>
              </w:rPr>
              <w:t>420,00</w:t>
            </w:r>
          </w:p>
        </w:tc>
        <w:tc>
          <w:tcPr>
            <w:tcW w:w="553" w:type="pct"/>
            <w:tcBorders>
              <w:top w:val="nil"/>
              <w:left w:val="nil"/>
              <w:bottom w:val="single" w:sz="4" w:space="0" w:color="auto"/>
              <w:right w:val="single" w:sz="4" w:space="0" w:color="auto"/>
            </w:tcBorders>
            <w:shd w:val="clear" w:color="auto" w:fill="auto"/>
            <w:noWrap/>
          </w:tcPr>
          <w:p w14:paraId="5879C16A" w14:textId="77777777" w:rsidR="00C62024" w:rsidRPr="00446424" w:rsidRDefault="00C62024" w:rsidP="0002744E">
            <w:pPr>
              <w:widowControl w:val="0"/>
              <w:tabs>
                <w:tab w:val="left" w:pos="430"/>
              </w:tabs>
              <w:ind w:left="-137" w:right="63"/>
              <w:jc w:val="right"/>
              <w:rPr>
                <w:sz w:val="20"/>
                <w:szCs w:val="20"/>
              </w:rPr>
            </w:pPr>
            <w:r>
              <w:rPr>
                <w:sz w:val="20"/>
                <w:szCs w:val="20"/>
                <w:lang w:val="fr"/>
              </w:rPr>
              <w:t>380,00</w:t>
            </w:r>
          </w:p>
        </w:tc>
        <w:tc>
          <w:tcPr>
            <w:tcW w:w="553" w:type="pct"/>
            <w:tcBorders>
              <w:top w:val="nil"/>
              <w:left w:val="nil"/>
              <w:bottom w:val="single" w:sz="4" w:space="0" w:color="auto"/>
              <w:right w:val="single" w:sz="4" w:space="0" w:color="auto"/>
            </w:tcBorders>
            <w:shd w:val="clear" w:color="auto" w:fill="auto"/>
            <w:noWrap/>
          </w:tcPr>
          <w:p w14:paraId="51FDE99B" w14:textId="77777777" w:rsidR="00C62024" w:rsidRPr="00446424" w:rsidRDefault="00C62024" w:rsidP="0002744E">
            <w:pPr>
              <w:widowControl w:val="0"/>
              <w:tabs>
                <w:tab w:val="left" w:pos="430"/>
              </w:tabs>
              <w:ind w:left="-137" w:right="63"/>
              <w:jc w:val="right"/>
              <w:rPr>
                <w:sz w:val="20"/>
                <w:szCs w:val="20"/>
              </w:rPr>
            </w:pPr>
            <w:r>
              <w:rPr>
                <w:sz w:val="20"/>
                <w:szCs w:val="20"/>
                <w:lang w:val="fr"/>
              </w:rPr>
              <w:t>360,00</w:t>
            </w:r>
          </w:p>
        </w:tc>
        <w:tc>
          <w:tcPr>
            <w:tcW w:w="553" w:type="pct"/>
            <w:tcBorders>
              <w:top w:val="single" w:sz="4" w:space="0" w:color="auto"/>
              <w:left w:val="nil"/>
              <w:bottom w:val="single" w:sz="4" w:space="0" w:color="auto"/>
              <w:right w:val="single" w:sz="4" w:space="0" w:color="auto"/>
            </w:tcBorders>
          </w:tcPr>
          <w:p w14:paraId="14F7C0F1" w14:textId="77777777" w:rsidR="00C62024" w:rsidRPr="00446424" w:rsidRDefault="00C62024" w:rsidP="0002744E">
            <w:pPr>
              <w:widowControl w:val="0"/>
              <w:tabs>
                <w:tab w:val="left" w:pos="430"/>
              </w:tabs>
              <w:ind w:left="-137" w:right="63"/>
              <w:jc w:val="right"/>
              <w:rPr>
                <w:sz w:val="20"/>
                <w:szCs w:val="20"/>
              </w:rPr>
            </w:pPr>
            <w:r>
              <w:rPr>
                <w:sz w:val="20"/>
                <w:szCs w:val="20"/>
                <w:lang w:val="fr"/>
              </w:rPr>
              <w:t>241,20</w:t>
            </w:r>
          </w:p>
        </w:tc>
        <w:tc>
          <w:tcPr>
            <w:tcW w:w="553" w:type="pct"/>
            <w:tcBorders>
              <w:top w:val="nil"/>
              <w:left w:val="single" w:sz="4" w:space="0" w:color="auto"/>
              <w:bottom w:val="single" w:sz="4" w:space="0" w:color="auto"/>
              <w:right w:val="single" w:sz="4" w:space="0" w:color="auto"/>
            </w:tcBorders>
          </w:tcPr>
          <w:p w14:paraId="7FB1AB06"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nil"/>
              <w:left w:val="single" w:sz="4" w:space="0" w:color="auto"/>
              <w:bottom w:val="single" w:sz="4" w:space="0" w:color="auto"/>
              <w:right w:val="single" w:sz="4" w:space="0" w:color="auto"/>
            </w:tcBorders>
            <w:shd w:val="clear" w:color="auto" w:fill="auto"/>
            <w:noWrap/>
          </w:tcPr>
          <w:p w14:paraId="5DFAFE56"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683,50</w:t>
            </w:r>
          </w:p>
        </w:tc>
      </w:tr>
      <w:tr w:rsidR="00C62024" w:rsidRPr="00446424" w14:paraId="6CF693BA" w14:textId="77777777" w:rsidTr="000274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2B1EF7" w14:textId="77777777" w:rsidR="00C62024" w:rsidRPr="00446424" w:rsidRDefault="00C62024" w:rsidP="0002744E">
            <w:pPr>
              <w:widowControl w:val="0"/>
              <w:ind w:left="98"/>
              <w:jc w:val="left"/>
              <w:rPr>
                <w:color w:val="000000"/>
                <w:sz w:val="20"/>
                <w:szCs w:val="20"/>
              </w:rPr>
            </w:pPr>
            <w:r>
              <w:rPr>
                <w:color w:val="000000"/>
                <w:sz w:val="20"/>
                <w:szCs w:val="20"/>
                <w:lang w:val="fr"/>
              </w:rPr>
              <w:t>HCFC-142b</w:t>
            </w:r>
          </w:p>
        </w:tc>
        <w:tc>
          <w:tcPr>
            <w:tcW w:w="553" w:type="pct"/>
            <w:tcBorders>
              <w:top w:val="nil"/>
              <w:left w:val="nil"/>
              <w:bottom w:val="single" w:sz="4" w:space="0" w:color="auto"/>
              <w:right w:val="single" w:sz="4" w:space="0" w:color="auto"/>
            </w:tcBorders>
            <w:shd w:val="clear" w:color="auto" w:fill="auto"/>
            <w:noWrap/>
          </w:tcPr>
          <w:p w14:paraId="084FDD5A" w14:textId="77777777" w:rsidR="00C62024" w:rsidRPr="00446424" w:rsidRDefault="00C62024" w:rsidP="0002744E">
            <w:pPr>
              <w:widowControl w:val="0"/>
              <w:tabs>
                <w:tab w:val="left" w:pos="430"/>
              </w:tabs>
              <w:ind w:left="-137" w:right="63"/>
              <w:jc w:val="right"/>
              <w:rPr>
                <w:sz w:val="20"/>
                <w:szCs w:val="20"/>
              </w:rPr>
            </w:pPr>
            <w:r>
              <w:rPr>
                <w:sz w:val="20"/>
                <w:szCs w:val="20"/>
                <w:lang w:val="fr"/>
              </w:rPr>
              <w:t>535,00</w:t>
            </w:r>
          </w:p>
        </w:tc>
        <w:tc>
          <w:tcPr>
            <w:tcW w:w="553" w:type="pct"/>
            <w:tcBorders>
              <w:top w:val="nil"/>
              <w:left w:val="nil"/>
              <w:bottom w:val="single" w:sz="4" w:space="0" w:color="auto"/>
              <w:right w:val="single" w:sz="4" w:space="0" w:color="auto"/>
            </w:tcBorders>
            <w:shd w:val="clear" w:color="auto" w:fill="auto"/>
            <w:noWrap/>
          </w:tcPr>
          <w:p w14:paraId="7AEB68AF" w14:textId="77777777" w:rsidR="00C62024" w:rsidRPr="00446424" w:rsidRDefault="00C62024" w:rsidP="0002744E">
            <w:pPr>
              <w:widowControl w:val="0"/>
              <w:tabs>
                <w:tab w:val="left" w:pos="430"/>
              </w:tabs>
              <w:ind w:left="-137" w:right="63"/>
              <w:jc w:val="right"/>
              <w:rPr>
                <w:sz w:val="20"/>
                <w:szCs w:val="20"/>
              </w:rPr>
            </w:pPr>
            <w:r>
              <w:rPr>
                <w:sz w:val="20"/>
                <w:szCs w:val="20"/>
                <w:lang w:val="fr"/>
              </w:rPr>
              <w:t>429,53</w:t>
            </w:r>
          </w:p>
        </w:tc>
        <w:tc>
          <w:tcPr>
            <w:tcW w:w="553" w:type="pct"/>
            <w:tcBorders>
              <w:top w:val="nil"/>
              <w:left w:val="nil"/>
              <w:bottom w:val="single" w:sz="4" w:space="0" w:color="auto"/>
              <w:right w:val="single" w:sz="4" w:space="0" w:color="auto"/>
            </w:tcBorders>
            <w:shd w:val="clear" w:color="auto" w:fill="auto"/>
            <w:noWrap/>
          </w:tcPr>
          <w:p w14:paraId="341BFB1C" w14:textId="77777777" w:rsidR="00C62024" w:rsidRPr="00446424" w:rsidRDefault="00C62024" w:rsidP="0002744E">
            <w:pPr>
              <w:widowControl w:val="0"/>
              <w:tabs>
                <w:tab w:val="left" w:pos="430"/>
              </w:tabs>
              <w:ind w:left="-137" w:right="63"/>
              <w:jc w:val="right"/>
              <w:rPr>
                <w:sz w:val="20"/>
                <w:szCs w:val="20"/>
              </w:rPr>
            </w:pPr>
            <w:r>
              <w:rPr>
                <w:sz w:val="20"/>
                <w:szCs w:val="20"/>
                <w:lang w:val="fr"/>
              </w:rPr>
              <w:t>180,00</w:t>
            </w:r>
          </w:p>
        </w:tc>
        <w:tc>
          <w:tcPr>
            <w:tcW w:w="553" w:type="pct"/>
            <w:tcBorders>
              <w:top w:val="single" w:sz="4" w:space="0" w:color="auto"/>
              <w:left w:val="nil"/>
              <w:bottom w:val="single" w:sz="4" w:space="0" w:color="auto"/>
              <w:right w:val="single" w:sz="4" w:space="0" w:color="auto"/>
            </w:tcBorders>
          </w:tcPr>
          <w:p w14:paraId="307D2CA0"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nil"/>
              <w:left w:val="single" w:sz="4" w:space="0" w:color="auto"/>
              <w:bottom w:val="single" w:sz="4" w:space="0" w:color="auto"/>
              <w:right w:val="single" w:sz="4" w:space="0" w:color="auto"/>
            </w:tcBorders>
          </w:tcPr>
          <w:p w14:paraId="4D25CC97"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nil"/>
              <w:left w:val="single" w:sz="4" w:space="0" w:color="auto"/>
              <w:bottom w:val="single" w:sz="4" w:space="0" w:color="auto"/>
              <w:right w:val="single" w:sz="4" w:space="0" w:color="auto"/>
            </w:tcBorders>
            <w:shd w:val="clear" w:color="auto" w:fill="auto"/>
            <w:noWrap/>
          </w:tcPr>
          <w:p w14:paraId="3E26AE39"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1 272,00</w:t>
            </w:r>
          </w:p>
        </w:tc>
      </w:tr>
      <w:tr w:rsidR="00C62024" w:rsidRPr="00446424" w14:paraId="08432707" w14:textId="77777777" w:rsidTr="000274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A8E2A4D" w14:textId="77777777" w:rsidR="00C62024" w:rsidRPr="00446424" w:rsidRDefault="00C62024" w:rsidP="0002744E">
            <w:pPr>
              <w:ind w:left="98"/>
              <w:jc w:val="left"/>
              <w:rPr>
                <w:rFonts w:eastAsiaTheme="minorHAnsi"/>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553" w:type="pct"/>
            <w:tcBorders>
              <w:top w:val="nil"/>
              <w:left w:val="nil"/>
              <w:bottom w:val="single" w:sz="4" w:space="0" w:color="auto"/>
              <w:right w:val="single" w:sz="4" w:space="0" w:color="auto"/>
            </w:tcBorders>
            <w:shd w:val="clear" w:color="auto" w:fill="auto"/>
            <w:noWrap/>
          </w:tcPr>
          <w:p w14:paraId="4AF99CD2" w14:textId="77777777" w:rsidR="00C62024" w:rsidRPr="00446424" w:rsidRDefault="00C62024" w:rsidP="0002744E">
            <w:pPr>
              <w:widowControl w:val="0"/>
              <w:tabs>
                <w:tab w:val="left" w:pos="430"/>
              </w:tabs>
              <w:ind w:left="-137" w:right="63"/>
              <w:jc w:val="right"/>
              <w:rPr>
                <w:b/>
                <w:sz w:val="20"/>
                <w:szCs w:val="20"/>
              </w:rPr>
            </w:pPr>
            <w:r>
              <w:rPr>
                <w:b/>
                <w:bCs/>
                <w:sz w:val="20"/>
                <w:szCs w:val="20"/>
                <w:lang w:val="fr"/>
              </w:rPr>
              <w:t>4 096,00</w:t>
            </w:r>
          </w:p>
        </w:tc>
        <w:tc>
          <w:tcPr>
            <w:tcW w:w="553" w:type="pct"/>
            <w:tcBorders>
              <w:top w:val="nil"/>
              <w:left w:val="nil"/>
              <w:bottom w:val="single" w:sz="4" w:space="0" w:color="auto"/>
              <w:right w:val="single" w:sz="4" w:space="0" w:color="auto"/>
            </w:tcBorders>
            <w:shd w:val="clear" w:color="auto" w:fill="auto"/>
            <w:noWrap/>
          </w:tcPr>
          <w:p w14:paraId="6501FDC0" w14:textId="77777777" w:rsidR="00C62024" w:rsidRPr="00446424" w:rsidRDefault="00C62024" w:rsidP="0002744E">
            <w:pPr>
              <w:widowControl w:val="0"/>
              <w:tabs>
                <w:tab w:val="left" w:pos="430"/>
              </w:tabs>
              <w:ind w:left="-137" w:right="63"/>
              <w:jc w:val="right"/>
              <w:rPr>
                <w:b/>
                <w:sz w:val="20"/>
                <w:szCs w:val="20"/>
              </w:rPr>
            </w:pPr>
            <w:r>
              <w:rPr>
                <w:b/>
                <w:bCs/>
                <w:sz w:val="20"/>
                <w:szCs w:val="20"/>
                <w:lang w:val="fr"/>
              </w:rPr>
              <w:t>4 159,25</w:t>
            </w:r>
          </w:p>
        </w:tc>
        <w:tc>
          <w:tcPr>
            <w:tcW w:w="553" w:type="pct"/>
            <w:tcBorders>
              <w:top w:val="nil"/>
              <w:left w:val="nil"/>
              <w:bottom w:val="single" w:sz="4" w:space="0" w:color="auto"/>
              <w:right w:val="single" w:sz="4" w:space="0" w:color="auto"/>
            </w:tcBorders>
            <w:shd w:val="clear" w:color="auto" w:fill="auto"/>
            <w:noWrap/>
          </w:tcPr>
          <w:p w14:paraId="1870AA4F" w14:textId="77777777" w:rsidR="00C62024" w:rsidRPr="00446424" w:rsidRDefault="00C62024" w:rsidP="0002744E">
            <w:pPr>
              <w:widowControl w:val="0"/>
              <w:tabs>
                <w:tab w:val="left" w:pos="430"/>
              </w:tabs>
              <w:ind w:left="-137" w:right="63"/>
              <w:jc w:val="right"/>
              <w:rPr>
                <w:b/>
                <w:sz w:val="20"/>
                <w:szCs w:val="20"/>
              </w:rPr>
            </w:pPr>
            <w:r>
              <w:rPr>
                <w:b/>
                <w:bCs/>
                <w:sz w:val="20"/>
                <w:szCs w:val="20"/>
                <w:lang w:val="fr"/>
              </w:rPr>
              <w:t>3 690,99</w:t>
            </w:r>
          </w:p>
        </w:tc>
        <w:tc>
          <w:tcPr>
            <w:tcW w:w="553" w:type="pct"/>
            <w:tcBorders>
              <w:top w:val="single" w:sz="4" w:space="0" w:color="auto"/>
              <w:left w:val="nil"/>
              <w:bottom w:val="single" w:sz="4" w:space="0" w:color="auto"/>
              <w:right w:val="single" w:sz="4" w:space="0" w:color="auto"/>
            </w:tcBorders>
          </w:tcPr>
          <w:p w14:paraId="35426055" w14:textId="77777777" w:rsidR="00C62024" w:rsidRPr="00446424" w:rsidRDefault="00C62024" w:rsidP="0002744E">
            <w:pPr>
              <w:widowControl w:val="0"/>
              <w:tabs>
                <w:tab w:val="left" w:pos="430"/>
              </w:tabs>
              <w:ind w:left="-137" w:right="63"/>
              <w:jc w:val="right"/>
              <w:rPr>
                <w:b/>
                <w:sz w:val="20"/>
                <w:szCs w:val="20"/>
              </w:rPr>
            </w:pPr>
            <w:r>
              <w:rPr>
                <w:b/>
                <w:bCs/>
                <w:sz w:val="20"/>
                <w:szCs w:val="20"/>
                <w:lang w:val="fr"/>
              </w:rPr>
              <w:t>3 042,05</w:t>
            </w:r>
          </w:p>
        </w:tc>
        <w:tc>
          <w:tcPr>
            <w:tcW w:w="553" w:type="pct"/>
            <w:tcBorders>
              <w:top w:val="nil"/>
              <w:left w:val="single" w:sz="4" w:space="0" w:color="auto"/>
              <w:bottom w:val="single" w:sz="4" w:space="0" w:color="auto"/>
              <w:right w:val="single" w:sz="4" w:space="0" w:color="auto"/>
            </w:tcBorders>
          </w:tcPr>
          <w:p w14:paraId="4E76693B" w14:textId="77777777" w:rsidR="00C62024" w:rsidRPr="00446424" w:rsidRDefault="00C62024" w:rsidP="0002744E">
            <w:pPr>
              <w:widowControl w:val="0"/>
              <w:tabs>
                <w:tab w:val="left" w:pos="430"/>
              </w:tabs>
              <w:ind w:left="-137" w:right="63"/>
              <w:jc w:val="right"/>
              <w:rPr>
                <w:b/>
                <w:sz w:val="20"/>
                <w:szCs w:val="20"/>
              </w:rPr>
            </w:pPr>
            <w:r>
              <w:rPr>
                <w:b/>
                <w:bCs/>
                <w:sz w:val="20"/>
                <w:szCs w:val="20"/>
                <w:lang w:val="fr"/>
              </w:rPr>
              <w:t>2 675,46</w:t>
            </w:r>
          </w:p>
        </w:tc>
        <w:tc>
          <w:tcPr>
            <w:tcW w:w="553" w:type="pct"/>
            <w:tcBorders>
              <w:top w:val="nil"/>
              <w:left w:val="single" w:sz="4" w:space="0" w:color="auto"/>
              <w:bottom w:val="single" w:sz="4" w:space="0" w:color="auto"/>
              <w:right w:val="single" w:sz="4" w:space="0" w:color="auto"/>
            </w:tcBorders>
            <w:shd w:val="clear" w:color="auto" w:fill="auto"/>
            <w:noWrap/>
          </w:tcPr>
          <w:p w14:paraId="2FAFD9CC" w14:textId="77777777" w:rsidR="00C62024" w:rsidRPr="00446424" w:rsidRDefault="00C62024" w:rsidP="0002744E">
            <w:pPr>
              <w:widowControl w:val="0"/>
              <w:tabs>
                <w:tab w:val="left" w:pos="430"/>
              </w:tabs>
              <w:ind w:left="-137" w:right="63"/>
              <w:jc w:val="right"/>
              <w:rPr>
                <w:b/>
                <w:color w:val="000000"/>
                <w:sz w:val="20"/>
                <w:szCs w:val="20"/>
              </w:rPr>
            </w:pPr>
            <w:r>
              <w:rPr>
                <w:b/>
                <w:bCs/>
                <w:color w:val="000000"/>
                <w:sz w:val="20"/>
                <w:szCs w:val="20"/>
                <w:lang w:val="fr"/>
              </w:rPr>
              <w:t>6 705,00</w:t>
            </w:r>
          </w:p>
        </w:tc>
      </w:tr>
      <w:tr w:rsidR="00C62024" w:rsidRPr="00446424" w14:paraId="5B255878" w14:textId="77777777" w:rsidTr="000274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33CE8B3" w14:textId="77777777" w:rsidR="00C62024" w:rsidRPr="00C62024" w:rsidRDefault="00C62024" w:rsidP="0002744E">
            <w:pPr>
              <w:ind w:left="98"/>
              <w:jc w:val="left"/>
              <w:rPr>
                <w:b/>
                <w:bCs/>
                <w:color w:val="000000"/>
                <w:sz w:val="20"/>
                <w:szCs w:val="20"/>
                <w:lang w:val="fr-FR"/>
              </w:rPr>
            </w:pPr>
            <w:r>
              <w:rPr>
                <w:color w:val="000000"/>
                <w:sz w:val="20"/>
                <w:szCs w:val="20"/>
                <w:lang w:val="fr"/>
              </w:rPr>
              <w:t xml:space="preserve">HCFC-141b importés sous forme de polyols </w:t>
            </w:r>
            <w:proofErr w:type="spellStart"/>
            <w:r>
              <w:rPr>
                <w:color w:val="000000"/>
                <w:sz w:val="20"/>
                <w:szCs w:val="20"/>
                <w:lang w:val="fr"/>
              </w:rPr>
              <w:t>prémélangés</w:t>
            </w:r>
            <w:proofErr w:type="spellEnd"/>
            <w:r>
              <w:rPr>
                <w:color w:val="000000"/>
                <w:sz w:val="20"/>
                <w:szCs w:val="20"/>
                <w:lang w:val="fr"/>
              </w:rPr>
              <w:t>*</w:t>
            </w:r>
          </w:p>
        </w:tc>
        <w:tc>
          <w:tcPr>
            <w:tcW w:w="553" w:type="pct"/>
            <w:tcBorders>
              <w:top w:val="nil"/>
              <w:left w:val="nil"/>
              <w:bottom w:val="single" w:sz="4" w:space="0" w:color="auto"/>
              <w:right w:val="single" w:sz="4" w:space="0" w:color="auto"/>
            </w:tcBorders>
            <w:shd w:val="clear" w:color="auto" w:fill="auto"/>
            <w:noWrap/>
          </w:tcPr>
          <w:p w14:paraId="22B7D480" w14:textId="77777777" w:rsidR="00C62024" w:rsidRPr="00446424" w:rsidRDefault="00C62024" w:rsidP="0002744E">
            <w:pPr>
              <w:tabs>
                <w:tab w:val="left" w:pos="430"/>
              </w:tabs>
              <w:ind w:left="-137" w:right="63"/>
              <w:jc w:val="right"/>
              <w:rPr>
                <w:sz w:val="20"/>
                <w:szCs w:val="20"/>
              </w:rPr>
            </w:pPr>
            <w:r>
              <w:rPr>
                <w:sz w:val="20"/>
                <w:szCs w:val="20"/>
                <w:lang w:val="fr"/>
              </w:rPr>
              <w:t>395,00</w:t>
            </w:r>
          </w:p>
        </w:tc>
        <w:tc>
          <w:tcPr>
            <w:tcW w:w="553" w:type="pct"/>
            <w:tcBorders>
              <w:top w:val="nil"/>
              <w:left w:val="nil"/>
              <w:bottom w:val="single" w:sz="4" w:space="0" w:color="auto"/>
              <w:right w:val="single" w:sz="4" w:space="0" w:color="auto"/>
            </w:tcBorders>
            <w:shd w:val="clear" w:color="auto" w:fill="auto"/>
            <w:noWrap/>
          </w:tcPr>
          <w:p w14:paraId="015FF231" w14:textId="77777777" w:rsidR="00C62024" w:rsidRPr="00446424" w:rsidRDefault="00C62024" w:rsidP="0002744E">
            <w:pPr>
              <w:tabs>
                <w:tab w:val="left" w:pos="430"/>
              </w:tabs>
              <w:ind w:left="-137" w:right="63"/>
              <w:jc w:val="right"/>
              <w:rPr>
                <w:sz w:val="20"/>
                <w:szCs w:val="20"/>
              </w:rPr>
            </w:pPr>
            <w:r>
              <w:rPr>
                <w:sz w:val="20"/>
                <w:szCs w:val="20"/>
                <w:lang w:val="fr"/>
              </w:rPr>
              <w:t>370,00</w:t>
            </w:r>
          </w:p>
        </w:tc>
        <w:tc>
          <w:tcPr>
            <w:tcW w:w="553" w:type="pct"/>
            <w:tcBorders>
              <w:top w:val="nil"/>
              <w:left w:val="nil"/>
              <w:bottom w:val="single" w:sz="4" w:space="0" w:color="auto"/>
              <w:right w:val="single" w:sz="4" w:space="0" w:color="auto"/>
            </w:tcBorders>
            <w:shd w:val="clear" w:color="auto" w:fill="auto"/>
            <w:noWrap/>
          </w:tcPr>
          <w:p w14:paraId="58DB0469" w14:textId="77777777" w:rsidR="00C62024" w:rsidRPr="00446424" w:rsidRDefault="00C62024" w:rsidP="0002744E">
            <w:pPr>
              <w:tabs>
                <w:tab w:val="left" w:pos="430"/>
              </w:tabs>
              <w:ind w:left="-137" w:right="63"/>
              <w:jc w:val="right"/>
              <w:rPr>
                <w:color w:val="000000"/>
                <w:sz w:val="20"/>
                <w:szCs w:val="20"/>
              </w:rPr>
            </w:pPr>
            <w:r>
              <w:rPr>
                <w:color w:val="000000"/>
                <w:sz w:val="20"/>
                <w:szCs w:val="20"/>
                <w:lang w:val="fr"/>
              </w:rPr>
              <w:t>235,00</w:t>
            </w:r>
          </w:p>
        </w:tc>
        <w:tc>
          <w:tcPr>
            <w:tcW w:w="553" w:type="pct"/>
            <w:tcBorders>
              <w:top w:val="single" w:sz="4" w:space="0" w:color="auto"/>
              <w:left w:val="nil"/>
              <w:bottom w:val="single" w:sz="4" w:space="0" w:color="auto"/>
              <w:right w:val="single" w:sz="4" w:space="0" w:color="auto"/>
            </w:tcBorders>
          </w:tcPr>
          <w:p w14:paraId="65451C57" w14:textId="77777777" w:rsidR="00C62024" w:rsidRPr="00446424" w:rsidRDefault="00C62024" w:rsidP="0002744E">
            <w:pPr>
              <w:tabs>
                <w:tab w:val="left" w:pos="430"/>
              </w:tabs>
              <w:ind w:left="-137" w:right="63"/>
              <w:jc w:val="right"/>
              <w:rPr>
                <w:color w:val="000000"/>
                <w:sz w:val="20"/>
                <w:szCs w:val="20"/>
              </w:rPr>
            </w:pPr>
            <w:r>
              <w:rPr>
                <w:color w:val="000000"/>
                <w:sz w:val="20"/>
                <w:szCs w:val="20"/>
                <w:lang w:val="fr"/>
              </w:rPr>
              <w:t>190,00</w:t>
            </w:r>
          </w:p>
        </w:tc>
        <w:tc>
          <w:tcPr>
            <w:tcW w:w="553" w:type="pct"/>
            <w:tcBorders>
              <w:top w:val="nil"/>
              <w:left w:val="single" w:sz="4" w:space="0" w:color="auto"/>
              <w:bottom w:val="single" w:sz="4" w:space="0" w:color="auto"/>
              <w:right w:val="single" w:sz="4" w:space="0" w:color="auto"/>
            </w:tcBorders>
          </w:tcPr>
          <w:p w14:paraId="275D2600" w14:textId="77777777" w:rsidR="00C62024" w:rsidRPr="00446424" w:rsidRDefault="00C62024" w:rsidP="0002744E">
            <w:pPr>
              <w:tabs>
                <w:tab w:val="left" w:pos="430"/>
              </w:tabs>
              <w:ind w:left="-137" w:right="63"/>
              <w:jc w:val="right"/>
              <w:rPr>
                <w:sz w:val="20"/>
                <w:szCs w:val="20"/>
              </w:rPr>
            </w:pPr>
            <w:r>
              <w:rPr>
                <w:sz w:val="20"/>
                <w:szCs w:val="20"/>
                <w:lang w:val="fr"/>
              </w:rPr>
              <w:t>180,00</w:t>
            </w:r>
          </w:p>
        </w:tc>
        <w:tc>
          <w:tcPr>
            <w:tcW w:w="553" w:type="pct"/>
            <w:tcBorders>
              <w:top w:val="nil"/>
              <w:left w:val="single" w:sz="4" w:space="0" w:color="auto"/>
              <w:bottom w:val="single" w:sz="4" w:space="0" w:color="auto"/>
              <w:right w:val="single" w:sz="4" w:space="0" w:color="auto"/>
            </w:tcBorders>
            <w:shd w:val="clear" w:color="auto" w:fill="auto"/>
            <w:noWrap/>
          </w:tcPr>
          <w:p w14:paraId="3B879329" w14:textId="77777777" w:rsidR="00C62024" w:rsidRPr="00446424" w:rsidRDefault="00C62024" w:rsidP="0002744E">
            <w:pPr>
              <w:tabs>
                <w:tab w:val="left" w:pos="430"/>
              </w:tabs>
              <w:ind w:left="-137" w:right="63"/>
              <w:jc w:val="right"/>
              <w:rPr>
                <w:sz w:val="20"/>
                <w:szCs w:val="20"/>
              </w:rPr>
            </w:pPr>
            <w:r>
              <w:rPr>
                <w:sz w:val="20"/>
                <w:szCs w:val="20"/>
                <w:lang w:val="fr"/>
              </w:rPr>
              <w:t>96,73**</w:t>
            </w:r>
          </w:p>
        </w:tc>
      </w:tr>
      <w:tr w:rsidR="00C62024" w:rsidRPr="00446424" w14:paraId="56E202D6" w14:textId="77777777" w:rsidTr="0002744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2BFE5DC" w14:textId="77777777" w:rsidR="00C62024" w:rsidRPr="00446424" w:rsidRDefault="00C62024" w:rsidP="0002744E">
            <w:pPr>
              <w:keepNext/>
              <w:ind w:left="98"/>
              <w:jc w:val="left"/>
              <w:rPr>
                <w:color w:val="000000"/>
                <w:sz w:val="20"/>
                <w:szCs w:val="20"/>
              </w:rPr>
            </w:pPr>
            <w:r>
              <w:rPr>
                <w:b/>
                <w:bCs/>
                <w:color w:val="000000"/>
                <w:sz w:val="20"/>
                <w:szCs w:val="20"/>
                <w:lang w:val="fr"/>
              </w:rPr>
              <w:t>Tonnes PAO</w:t>
            </w:r>
          </w:p>
        </w:tc>
      </w:tr>
      <w:tr w:rsidR="00C62024" w:rsidRPr="00446424" w14:paraId="6FB0AE99" w14:textId="77777777" w:rsidTr="0002744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3A462" w14:textId="77777777" w:rsidR="00C62024" w:rsidRPr="00446424" w:rsidRDefault="00C62024" w:rsidP="0002744E">
            <w:pPr>
              <w:widowControl w:val="0"/>
              <w:ind w:left="98"/>
              <w:jc w:val="left"/>
              <w:rPr>
                <w:color w:val="000000"/>
                <w:sz w:val="20"/>
                <w:szCs w:val="20"/>
              </w:rPr>
            </w:pPr>
            <w:r>
              <w:rPr>
                <w:color w:val="000000"/>
                <w:sz w:val="20"/>
                <w:szCs w:val="20"/>
                <w:lang w:val="fr"/>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61618DF"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172,59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C4F19D"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184,03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675DC45"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173,09</w:t>
            </w:r>
          </w:p>
        </w:tc>
        <w:tc>
          <w:tcPr>
            <w:tcW w:w="553" w:type="pct"/>
            <w:tcBorders>
              <w:top w:val="single" w:sz="4" w:space="0" w:color="auto"/>
              <w:left w:val="single" w:sz="4" w:space="0" w:color="auto"/>
              <w:bottom w:val="single" w:sz="4" w:space="0" w:color="auto"/>
              <w:right w:val="single" w:sz="4" w:space="0" w:color="auto"/>
            </w:tcBorders>
          </w:tcPr>
          <w:p w14:paraId="728FFA70"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154,05</w:t>
            </w:r>
          </w:p>
        </w:tc>
        <w:tc>
          <w:tcPr>
            <w:tcW w:w="553" w:type="pct"/>
            <w:tcBorders>
              <w:top w:val="single" w:sz="4" w:space="0" w:color="auto"/>
              <w:left w:val="single" w:sz="4" w:space="0" w:color="auto"/>
              <w:bottom w:val="single" w:sz="4" w:space="0" w:color="auto"/>
              <w:right w:val="single" w:sz="4" w:space="0" w:color="auto"/>
            </w:tcBorders>
          </w:tcPr>
          <w:p w14:paraId="18877D72"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146,96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0E4417A" w14:textId="77777777" w:rsidR="00C62024" w:rsidRPr="00446424" w:rsidRDefault="00C62024" w:rsidP="0002744E">
            <w:pPr>
              <w:widowControl w:val="0"/>
              <w:ind w:left="-279" w:right="63"/>
              <w:jc w:val="right"/>
              <w:rPr>
                <w:color w:val="000000"/>
                <w:sz w:val="20"/>
                <w:szCs w:val="20"/>
              </w:rPr>
            </w:pPr>
            <w:r>
              <w:rPr>
                <w:color w:val="000000"/>
                <w:sz w:val="20"/>
                <w:szCs w:val="20"/>
                <w:lang w:val="fr"/>
              </w:rPr>
              <w:t>260,45</w:t>
            </w:r>
          </w:p>
        </w:tc>
      </w:tr>
      <w:tr w:rsidR="00C62024" w:rsidRPr="00446424" w14:paraId="092DC7FB" w14:textId="77777777" w:rsidTr="0002744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271625" w14:textId="77777777" w:rsidR="00C62024" w:rsidRPr="00446424" w:rsidRDefault="00C62024" w:rsidP="0002744E">
            <w:pPr>
              <w:widowControl w:val="0"/>
              <w:ind w:left="98"/>
              <w:jc w:val="left"/>
              <w:rPr>
                <w:color w:val="000000"/>
                <w:sz w:val="20"/>
                <w:szCs w:val="20"/>
              </w:rPr>
            </w:pPr>
            <w:r>
              <w:rPr>
                <w:color w:val="000000"/>
                <w:sz w:val="20"/>
                <w:szCs w:val="20"/>
                <w:lang w:val="fr"/>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E897F4E"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BE5A276"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3965B83"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0,07</w:t>
            </w:r>
          </w:p>
        </w:tc>
        <w:tc>
          <w:tcPr>
            <w:tcW w:w="553" w:type="pct"/>
            <w:tcBorders>
              <w:top w:val="single" w:sz="4" w:space="0" w:color="auto"/>
              <w:left w:val="single" w:sz="4" w:space="0" w:color="auto"/>
              <w:bottom w:val="single" w:sz="4" w:space="0" w:color="auto"/>
              <w:right w:val="single" w:sz="4" w:space="0" w:color="auto"/>
            </w:tcBorders>
          </w:tcPr>
          <w:p w14:paraId="6A4197D7"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4" w:space="0" w:color="auto"/>
              <w:left w:val="single" w:sz="4" w:space="0" w:color="auto"/>
              <w:bottom w:val="single" w:sz="4" w:space="0" w:color="auto"/>
              <w:right w:val="single" w:sz="4" w:space="0" w:color="auto"/>
            </w:tcBorders>
          </w:tcPr>
          <w:p w14:paraId="716AF8A1"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FD13D6A" w14:textId="77777777" w:rsidR="00C62024" w:rsidRPr="00446424" w:rsidRDefault="00C62024" w:rsidP="0002744E">
            <w:pPr>
              <w:widowControl w:val="0"/>
              <w:ind w:left="-279" w:right="63"/>
              <w:jc w:val="right"/>
              <w:rPr>
                <w:color w:val="000000"/>
                <w:sz w:val="20"/>
                <w:szCs w:val="20"/>
              </w:rPr>
            </w:pPr>
            <w:r>
              <w:rPr>
                <w:color w:val="000000"/>
                <w:sz w:val="20"/>
                <w:szCs w:val="20"/>
                <w:lang w:val="fr"/>
              </w:rPr>
              <w:t>0,28</w:t>
            </w:r>
          </w:p>
        </w:tc>
      </w:tr>
      <w:tr w:rsidR="00C62024" w:rsidRPr="00446424" w14:paraId="221C38A6" w14:textId="77777777" w:rsidTr="0002744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5D8BB3" w14:textId="77777777" w:rsidR="00C62024" w:rsidRPr="00446424" w:rsidRDefault="00C62024" w:rsidP="0002744E">
            <w:pPr>
              <w:widowControl w:val="0"/>
              <w:ind w:left="98"/>
              <w:jc w:val="left"/>
              <w:rPr>
                <w:color w:val="000000"/>
                <w:sz w:val="20"/>
                <w:szCs w:val="20"/>
              </w:rPr>
            </w:pPr>
            <w:r>
              <w:rPr>
                <w:color w:val="000000"/>
                <w:sz w:val="20"/>
                <w:szCs w:val="20"/>
                <w:lang w:val="fr"/>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BC52F9C"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6C06EDC"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F6992B7"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0,01</w:t>
            </w:r>
          </w:p>
        </w:tc>
        <w:tc>
          <w:tcPr>
            <w:tcW w:w="553" w:type="pct"/>
            <w:tcBorders>
              <w:top w:val="single" w:sz="4" w:space="0" w:color="auto"/>
              <w:left w:val="single" w:sz="4" w:space="0" w:color="auto"/>
              <w:bottom w:val="single" w:sz="4" w:space="0" w:color="auto"/>
              <w:right w:val="single" w:sz="4" w:space="0" w:color="auto"/>
            </w:tcBorders>
          </w:tcPr>
          <w:p w14:paraId="302E3113"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4" w:space="0" w:color="auto"/>
              <w:left w:val="single" w:sz="4" w:space="0" w:color="auto"/>
              <w:bottom w:val="single" w:sz="4" w:space="0" w:color="auto"/>
              <w:right w:val="single" w:sz="4" w:space="0" w:color="auto"/>
            </w:tcBorders>
          </w:tcPr>
          <w:p w14:paraId="771D8163"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1F9AADA" w14:textId="77777777" w:rsidR="00C62024" w:rsidRPr="00446424" w:rsidRDefault="00C62024" w:rsidP="0002744E">
            <w:pPr>
              <w:widowControl w:val="0"/>
              <w:ind w:left="-279" w:right="63"/>
              <w:jc w:val="right"/>
              <w:rPr>
                <w:color w:val="000000"/>
                <w:sz w:val="20"/>
                <w:szCs w:val="20"/>
              </w:rPr>
            </w:pPr>
            <w:r>
              <w:rPr>
                <w:color w:val="000000"/>
                <w:sz w:val="20"/>
                <w:szCs w:val="20"/>
                <w:lang w:val="fr"/>
              </w:rPr>
              <w:t>0,00</w:t>
            </w:r>
          </w:p>
        </w:tc>
      </w:tr>
      <w:tr w:rsidR="00C62024" w:rsidRPr="00446424" w14:paraId="413A8FC6" w14:textId="77777777" w:rsidTr="0002744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60EC6" w14:textId="77777777" w:rsidR="00C62024" w:rsidRPr="00446424" w:rsidRDefault="00C62024" w:rsidP="0002744E">
            <w:pPr>
              <w:widowControl w:val="0"/>
              <w:ind w:left="98"/>
              <w:jc w:val="left"/>
              <w:rPr>
                <w:color w:val="000000"/>
                <w:sz w:val="20"/>
                <w:szCs w:val="20"/>
              </w:rPr>
            </w:pPr>
            <w:r>
              <w:rPr>
                <w:color w:val="000000"/>
                <w:sz w:val="20"/>
                <w:szCs w:val="20"/>
                <w:lang w:val="fr"/>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6618CEE"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46,20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687FD9"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41,80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EFD6533"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39,60</w:t>
            </w:r>
          </w:p>
        </w:tc>
        <w:tc>
          <w:tcPr>
            <w:tcW w:w="553" w:type="pct"/>
            <w:tcBorders>
              <w:top w:val="single" w:sz="4" w:space="0" w:color="auto"/>
              <w:left w:val="single" w:sz="4" w:space="0" w:color="auto"/>
              <w:bottom w:val="single" w:sz="4" w:space="0" w:color="auto"/>
              <w:right w:val="single" w:sz="4" w:space="0" w:color="auto"/>
            </w:tcBorders>
          </w:tcPr>
          <w:p w14:paraId="7A20264C"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26,53</w:t>
            </w:r>
          </w:p>
        </w:tc>
        <w:tc>
          <w:tcPr>
            <w:tcW w:w="553" w:type="pct"/>
            <w:tcBorders>
              <w:top w:val="single" w:sz="4" w:space="0" w:color="auto"/>
              <w:left w:val="single" w:sz="4" w:space="0" w:color="auto"/>
              <w:bottom w:val="single" w:sz="4" w:space="0" w:color="auto"/>
              <w:right w:val="single" w:sz="4" w:space="0" w:color="auto"/>
            </w:tcBorders>
          </w:tcPr>
          <w:p w14:paraId="3E6A2A78"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9EC16FD" w14:textId="77777777" w:rsidR="00C62024" w:rsidRPr="00446424" w:rsidRDefault="00C62024" w:rsidP="0002744E">
            <w:pPr>
              <w:widowControl w:val="0"/>
              <w:ind w:left="-279" w:right="63"/>
              <w:jc w:val="right"/>
              <w:rPr>
                <w:color w:val="000000"/>
                <w:sz w:val="20"/>
                <w:szCs w:val="20"/>
              </w:rPr>
            </w:pPr>
            <w:r>
              <w:rPr>
                <w:color w:val="000000"/>
                <w:sz w:val="20"/>
                <w:szCs w:val="20"/>
                <w:lang w:val="fr"/>
              </w:rPr>
              <w:t>75,19</w:t>
            </w:r>
          </w:p>
        </w:tc>
      </w:tr>
      <w:tr w:rsidR="00C62024" w:rsidRPr="00446424" w14:paraId="409B4034" w14:textId="77777777" w:rsidTr="0002744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AA6AAE" w14:textId="77777777" w:rsidR="00C62024" w:rsidRPr="00446424" w:rsidRDefault="00C62024" w:rsidP="0002744E">
            <w:pPr>
              <w:widowControl w:val="0"/>
              <w:ind w:left="98"/>
              <w:jc w:val="left"/>
              <w:rPr>
                <w:color w:val="000000"/>
                <w:sz w:val="20"/>
                <w:szCs w:val="20"/>
              </w:rPr>
            </w:pPr>
            <w:r>
              <w:rPr>
                <w:color w:val="000000"/>
                <w:sz w:val="20"/>
                <w:szCs w:val="20"/>
                <w:lang w:val="fr"/>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ACB878D"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34,78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D1C0D42"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27,92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8355925"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11,70</w:t>
            </w:r>
          </w:p>
        </w:tc>
        <w:tc>
          <w:tcPr>
            <w:tcW w:w="553" w:type="pct"/>
            <w:tcBorders>
              <w:top w:val="single" w:sz="4" w:space="0" w:color="auto"/>
              <w:left w:val="single" w:sz="4" w:space="0" w:color="auto"/>
              <w:bottom w:val="single" w:sz="4" w:space="0" w:color="auto"/>
              <w:right w:val="single" w:sz="4" w:space="0" w:color="auto"/>
            </w:tcBorders>
          </w:tcPr>
          <w:p w14:paraId="11A9B4D0"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4" w:space="0" w:color="auto"/>
              <w:left w:val="single" w:sz="4" w:space="0" w:color="auto"/>
              <w:bottom w:val="single" w:sz="4" w:space="0" w:color="auto"/>
              <w:right w:val="single" w:sz="4" w:space="0" w:color="auto"/>
            </w:tcBorders>
          </w:tcPr>
          <w:p w14:paraId="368A5745" w14:textId="77777777" w:rsidR="00C62024" w:rsidRPr="00446424" w:rsidRDefault="00C62024" w:rsidP="0002744E">
            <w:pPr>
              <w:widowControl w:val="0"/>
              <w:tabs>
                <w:tab w:val="left" w:pos="430"/>
              </w:tabs>
              <w:ind w:left="-137" w:right="63"/>
              <w:jc w:val="right"/>
              <w:rPr>
                <w:color w:val="000000"/>
                <w:sz w:val="20"/>
                <w:szCs w:val="20"/>
              </w:rPr>
            </w:pPr>
            <w:r>
              <w:rPr>
                <w:color w:val="000000"/>
                <w:sz w:val="20"/>
                <w:szCs w:val="20"/>
                <w:lang w:val="f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442C562" w14:textId="77777777" w:rsidR="00C62024" w:rsidRPr="00446424" w:rsidRDefault="00C62024" w:rsidP="0002744E">
            <w:pPr>
              <w:widowControl w:val="0"/>
              <w:ind w:left="-279" w:right="63"/>
              <w:jc w:val="right"/>
              <w:rPr>
                <w:color w:val="000000"/>
                <w:sz w:val="20"/>
                <w:szCs w:val="20"/>
              </w:rPr>
            </w:pPr>
            <w:r>
              <w:rPr>
                <w:color w:val="000000"/>
                <w:sz w:val="20"/>
                <w:szCs w:val="20"/>
                <w:lang w:val="fr"/>
              </w:rPr>
              <w:t>82,68</w:t>
            </w:r>
          </w:p>
        </w:tc>
      </w:tr>
      <w:tr w:rsidR="00C62024" w:rsidRPr="00446424" w14:paraId="7E693E68" w14:textId="77777777" w:rsidTr="0002744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EFAF19F" w14:textId="77777777" w:rsidR="00C62024" w:rsidRPr="00446424" w:rsidRDefault="00C62024" w:rsidP="0002744E">
            <w:pPr>
              <w:ind w:left="98"/>
              <w:jc w:val="left"/>
              <w:rPr>
                <w:rFonts w:eastAsiaTheme="minorHAnsi"/>
                <w:b/>
                <w:sz w:val="20"/>
                <w:szCs w:val="20"/>
              </w:rPr>
            </w:pPr>
            <w:r>
              <w:rPr>
                <w:b/>
                <w:bCs/>
                <w:sz w:val="20"/>
                <w:szCs w:val="20"/>
                <w:lang w:val="fr"/>
              </w:rPr>
              <w:t>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14155D" w14:textId="77777777" w:rsidR="00C62024" w:rsidRPr="00446424" w:rsidRDefault="00C62024" w:rsidP="0002744E">
            <w:pPr>
              <w:widowControl w:val="0"/>
              <w:tabs>
                <w:tab w:val="left" w:pos="430"/>
              </w:tabs>
              <w:ind w:left="-137" w:right="63"/>
              <w:jc w:val="right"/>
              <w:rPr>
                <w:b/>
                <w:color w:val="000000"/>
                <w:sz w:val="20"/>
                <w:szCs w:val="20"/>
              </w:rPr>
            </w:pPr>
            <w:r>
              <w:rPr>
                <w:b/>
                <w:bCs/>
                <w:color w:val="000000"/>
                <w:sz w:val="20"/>
                <w:szCs w:val="20"/>
                <w:lang w:val="fr"/>
              </w:rPr>
              <w:t>253,63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98457E4" w14:textId="77777777" w:rsidR="00C62024" w:rsidRPr="00446424" w:rsidRDefault="00C62024" w:rsidP="0002744E">
            <w:pPr>
              <w:widowControl w:val="0"/>
              <w:tabs>
                <w:tab w:val="left" w:pos="430"/>
              </w:tabs>
              <w:ind w:left="-137" w:right="63"/>
              <w:jc w:val="right"/>
              <w:rPr>
                <w:b/>
                <w:color w:val="000000"/>
                <w:sz w:val="20"/>
                <w:szCs w:val="20"/>
              </w:rPr>
            </w:pPr>
            <w:r>
              <w:rPr>
                <w:b/>
                <w:bCs/>
                <w:color w:val="000000"/>
                <w:sz w:val="20"/>
                <w:szCs w:val="20"/>
                <w:lang w:val="fr"/>
              </w:rPr>
              <w:t>253,82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52CAE20" w14:textId="77777777" w:rsidR="00C62024" w:rsidRPr="00446424" w:rsidRDefault="00C62024" w:rsidP="0002744E">
            <w:pPr>
              <w:widowControl w:val="0"/>
              <w:tabs>
                <w:tab w:val="left" w:pos="430"/>
              </w:tabs>
              <w:ind w:left="-137" w:right="63"/>
              <w:jc w:val="right"/>
              <w:rPr>
                <w:b/>
                <w:color w:val="000000"/>
                <w:sz w:val="20"/>
                <w:szCs w:val="20"/>
              </w:rPr>
            </w:pPr>
            <w:r>
              <w:rPr>
                <w:b/>
                <w:bCs/>
                <w:color w:val="000000"/>
                <w:sz w:val="20"/>
                <w:szCs w:val="20"/>
                <w:lang w:val="fr"/>
              </w:rPr>
              <w:t>224,47</w:t>
            </w:r>
          </w:p>
        </w:tc>
        <w:tc>
          <w:tcPr>
            <w:tcW w:w="553" w:type="pct"/>
            <w:tcBorders>
              <w:top w:val="single" w:sz="4" w:space="0" w:color="auto"/>
              <w:left w:val="single" w:sz="4" w:space="0" w:color="auto"/>
              <w:bottom w:val="single" w:sz="4" w:space="0" w:color="auto"/>
              <w:right w:val="single" w:sz="4" w:space="0" w:color="auto"/>
            </w:tcBorders>
          </w:tcPr>
          <w:p w14:paraId="4E20FBD5" w14:textId="77777777" w:rsidR="00C62024" w:rsidRPr="00446424" w:rsidRDefault="00C62024" w:rsidP="0002744E">
            <w:pPr>
              <w:tabs>
                <w:tab w:val="left" w:pos="430"/>
              </w:tabs>
              <w:ind w:left="-137" w:right="63"/>
              <w:jc w:val="right"/>
              <w:rPr>
                <w:b/>
                <w:color w:val="000000"/>
                <w:sz w:val="20"/>
                <w:szCs w:val="20"/>
              </w:rPr>
            </w:pPr>
            <w:r>
              <w:rPr>
                <w:b/>
                <w:bCs/>
                <w:color w:val="000000"/>
                <w:sz w:val="20"/>
                <w:szCs w:val="20"/>
                <w:lang w:val="fr"/>
              </w:rPr>
              <w:t>180,58</w:t>
            </w:r>
          </w:p>
        </w:tc>
        <w:tc>
          <w:tcPr>
            <w:tcW w:w="553" w:type="pct"/>
            <w:tcBorders>
              <w:top w:val="single" w:sz="4" w:space="0" w:color="auto"/>
              <w:left w:val="single" w:sz="4" w:space="0" w:color="auto"/>
              <w:bottom w:val="single" w:sz="4" w:space="0" w:color="auto"/>
              <w:right w:val="single" w:sz="4" w:space="0" w:color="auto"/>
            </w:tcBorders>
          </w:tcPr>
          <w:p w14:paraId="6269FE1B" w14:textId="77777777" w:rsidR="00C62024" w:rsidRPr="00446424" w:rsidRDefault="00C62024" w:rsidP="0002744E">
            <w:pPr>
              <w:tabs>
                <w:tab w:val="left" w:pos="430"/>
              </w:tabs>
              <w:ind w:left="-137" w:right="63"/>
              <w:jc w:val="right"/>
              <w:rPr>
                <w:b/>
                <w:color w:val="000000"/>
                <w:sz w:val="20"/>
                <w:szCs w:val="20"/>
              </w:rPr>
            </w:pPr>
            <w:r>
              <w:rPr>
                <w:b/>
                <w:bCs/>
                <w:color w:val="000000"/>
                <w:sz w:val="20"/>
                <w:szCs w:val="20"/>
                <w:lang w:val="fr"/>
              </w:rPr>
              <w:t>147,03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4648F3" w14:textId="77777777" w:rsidR="00C62024" w:rsidRPr="00446424" w:rsidRDefault="00C62024" w:rsidP="0002744E">
            <w:pPr>
              <w:ind w:left="-279" w:right="63"/>
              <w:jc w:val="right"/>
              <w:rPr>
                <w:rFonts w:eastAsiaTheme="minorHAnsi"/>
                <w:b/>
                <w:color w:val="000000"/>
                <w:sz w:val="20"/>
                <w:szCs w:val="20"/>
              </w:rPr>
            </w:pPr>
            <w:r>
              <w:rPr>
                <w:rFonts w:eastAsiaTheme="minorHAnsi"/>
                <w:b/>
                <w:bCs/>
                <w:color w:val="000000"/>
                <w:sz w:val="20"/>
                <w:szCs w:val="20"/>
                <w:lang w:val="fr"/>
              </w:rPr>
              <w:t>418,60</w:t>
            </w:r>
          </w:p>
        </w:tc>
      </w:tr>
      <w:tr w:rsidR="00C62024" w:rsidRPr="00446424" w14:paraId="0CA382C5" w14:textId="77777777" w:rsidTr="0002744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C1B76" w14:textId="77777777" w:rsidR="00C62024" w:rsidRPr="00C62024" w:rsidRDefault="00C62024" w:rsidP="0002744E">
            <w:pPr>
              <w:ind w:left="98"/>
              <w:jc w:val="left"/>
              <w:rPr>
                <w:color w:val="000000"/>
                <w:sz w:val="20"/>
                <w:szCs w:val="20"/>
                <w:lang w:val="fr-FR"/>
              </w:rPr>
            </w:pPr>
            <w:r>
              <w:rPr>
                <w:color w:val="000000"/>
                <w:sz w:val="20"/>
                <w:szCs w:val="20"/>
                <w:lang w:val="fr"/>
              </w:rPr>
              <w:t xml:space="preserve">HCFC-141b importés sous forme de polyols </w:t>
            </w:r>
            <w:proofErr w:type="spellStart"/>
            <w:r>
              <w:rPr>
                <w:color w:val="000000"/>
                <w:sz w:val="20"/>
                <w:szCs w:val="20"/>
                <w:lang w:val="fr"/>
              </w:rPr>
              <w:t>prémélangés</w:t>
            </w:r>
            <w:proofErr w:type="spellEnd"/>
            <w:r>
              <w:rPr>
                <w:color w:val="000000"/>
                <w:sz w:val="20"/>
                <w:szCs w:val="20"/>
                <w:lang w:val="fr"/>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806451F" w14:textId="77777777" w:rsidR="00C62024" w:rsidRPr="00446424" w:rsidRDefault="00C62024" w:rsidP="0002744E">
            <w:pPr>
              <w:ind w:left="-279" w:right="63"/>
              <w:jc w:val="right"/>
              <w:rPr>
                <w:sz w:val="20"/>
                <w:szCs w:val="20"/>
              </w:rPr>
            </w:pPr>
            <w:r>
              <w:rPr>
                <w:sz w:val="20"/>
                <w:szCs w:val="20"/>
                <w:lang w:val="fr"/>
              </w:rPr>
              <w:t>43,45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396AC7F" w14:textId="77777777" w:rsidR="00C62024" w:rsidRPr="00446424" w:rsidRDefault="00C62024" w:rsidP="0002744E">
            <w:pPr>
              <w:ind w:left="-279" w:right="63"/>
              <w:jc w:val="right"/>
              <w:rPr>
                <w:sz w:val="20"/>
                <w:szCs w:val="20"/>
              </w:rPr>
            </w:pPr>
            <w:r>
              <w:rPr>
                <w:sz w:val="20"/>
                <w:szCs w:val="20"/>
                <w:lang w:val="fr"/>
              </w:rPr>
              <w:t>40,70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664761A" w14:textId="77777777" w:rsidR="00C62024" w:rsidRPr="00446424" w:rsidRDefault="00C62024" w:rsidP="0002744E">
            <w:pPr>
              <w:ind w:left="-279" w:right="63"/>
              <w:jc w:val="right"/>
              <w:rPr>
                <w:sz w:val="20"/>
                <w:szCs w:val="20"/>
              </w:rPr>
            </w:pPr>
            <w:r>
              <w:rPr>
                <w:sz w:val="20"/>
                <w:szCs w:val="20"/>
                <w:lang w:val="fr"/>
              </w:rPr>
              <w:t>25,85</w:t>
            </w:r>
          </w:p>
        </w:tc>
        <w:tc>
          <w:tcPr>
            <w:tcW w:w="553" w:type="pct"/>
            <w:tcBorders>
              <w:top w:val="single" w:sz="4" w:space="0" w:color="auto"/>
              <w:left w:val="single" w:sz="4" w:space="0" w:color="auto"/>
              <w:bottom w:val="single" w:sz="4" w:space="0" w:color="auto"/>
              <w:right w:val="single" w:sz="4" w:space="0" w:color="auto"/>
            </w:tcBorders>
          </w:tcPr>
          <w:p w14:paraId="6713A7D9" w14:textId="77777777" w:rsidR="00C62024" w:rsidRPr="00446424" w:rsidRDefault="00C62024" w:rsidP="0002744E">
            <w:pPr>
              <w:ind w:left="-279" w:right="63"/>
              <w:jc w:val="right"/>
              <w:rPr>
                <w:sz w:val="20"/>
                <w:szCs w:val="20"/>
              </w:rPr>
            </w:pPr>
            <w:r>
              <w:rPr>
                <w:sz w:val="20"/>
                <w:szCs w:val="20"/>
                <w:lang w:val="fr"/>
              </w:rPr>
              <w:t>20,90</w:t>
            </w:r>
          </w:p>
        </w:tc>
        <w:tc>
          <w:tcPr>
            <w:tcW w:w="553" w:type="pct"/>
            <w:tcBorders>
              <w:top w:val="single" w:sz="4" w:space="0" w:color="auto"/>
              <w:left w:val="single" w:sz="4" w:space="0" w:color="auto"/>
              <w:bottom w:val="single" w:sz="4" w:space="0" w:color="auto"/>
              <w:right w:val="single" w:sz="4" w:space="0" w:color="auto"/>
            </w:tcBorders>
          </w:tcPr>
          <w:p w14:paraId="781B18F4" w14:textId="77777777" w:rsidR="00C62024" w:rsidRPr="00446424" w:rsidRDefault="00C62024" w:rsidP="0002744E">
            <w:pPr>
              <w:ind w:left="-279" w:right="63"/>
              <w:jc w:val="right"/>
              <w:rPr>
                <w:rFonts w:eastAsiaTheme="minorHAnsi"/>
                <w:color w:val="000000"/>
                <w:sz w:val="20"/>
                <w:szCs w:val="20"/>
              </w:rPr>
            </w:pPr>
            <w:r>
              <w:rPr>
                <w:sz w:val="20"/>
                <w:szCs w:val="20"/>
                <w:lang w:val="fr"/>
              </w:rPr>
              <w:t>19,80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9942C6" w14:textId="77777777" w:rsidR="00C62024" w:rsidRPr="00446424" w:rsidRDefault="00C62024" w:rsidP="0002744E">
            <w:pPr>
              <w:ind w:left="-279" w:right="63"/>
              <w:jc w:val="right"/>
              <w:rPr>
                <w:rFonts w:eastAsiaTheme="minorHAnsi"/>
                <w:color w:val="000000"/>
                <w:sz w:val="20"/>
                <w:szCs w:val="20"/>
              </w:rPr>
            </w:pPr>
            <w:r>
              <w:rPr>
                <w:rFonts w:eastAsiaTheme="minorHAnsi"/>
                <w:color w:val="000000"/>
                <w:sz w:val="20"/>
                <w:szCs w:val="20"/>
                <w:lang w:val="fr"/>
              </w:rPr>
              <w:t>10,64**</w:t>
            </w:r>
          </w:p>
        </w:tc>
      </w:tr>
    </w:tbl>
    <w:p w14:paraId="77DC7510" w14:textId="77777777" w:rsidR="00C62024" w:rsidRPr="00C62024" w:rsidRDefault="00C62024" w:rsidP="00C62024">
      <w:pPr>
        <w:rPr>
          <w:strike/>
          <w:sz w:val="18"/>
          <w:szCs w:val="18"/>
          <w:lang w:val="fr-FR"/>
        </w:rPr>
      </w:pPr>
      <w:r>
        <w:rPr>
          <w:sz w:val="18"/>
          <w:szCs w:val="18"/>
          <w:lang w:val="fr"/>
        </w:rPr>
        <w:t>* Données du programme du pays.</w:t>
      </w:r>
    </w:p>
    <w:p w14:paraId="5F83DB2D" w14:textId="77777777" w:rsidR="00C62024" w:rsidRPr="00C62024" w:rsidRDefault="00C62024" w:rsidP="00C62024">
      <w:pPr>
        <w:rPr>
          <w:sz w:val="18"/>
          <w:szCs w:val="18"/>
          <w:lang w:val="fr-FR"/>
        </w:rPr>
      </w:pPr>
      <w:r>
        <w:rPr>
          <w:sz w:val="18"/>
          <w:szCs w:val="18"/>
          <w:lang w:val="fr"/>
        </w:rPr>
        <w:t>** Point de départ établi dans l’Accord avec le Comité exécutif.</w:t>
      </w:r>
    </w:p>
    <w:p w14:paraId="607C2AA2" w14:textId="77777777" w:rsidR="00C62024" w:rsidRPr="00C62024" w:rsidRDefault="00C62024" w:rsidP="00C62024">
      <w:pPr>
        <w:rPr>
          <w:rFonts w:asciiTheme="majorBidi" w:hAnsiTheme="majorBidi" w:cstheme="majorBidi"/>
          <w:lang w:val="fr-FR"/>
        </w:rPr>
      </w:pPr>
    </w:p>
    <w:p w14:paraId="167C682A" w14:textId="49ECE4DC" w:rsidR="00C62024" w:rsidRPr="00C62024" w:rsidRDefault="00C62024" w:rsidP="00C62024">
      <w:pPr>
        <w:pStyle w:val="Heading1"/>
        <w:rPr>
          <w:rFonts w:asciiTheme="majorBidi" w:hAnsiTheme="majorBidi" w:cstheme="majorBidi"/>
          <w:lang w:val="fr-FR"/>
        </w:rPr>
      </w:pPr>
      <w:r>
        <w:rPr>
          <w:rFonts w:asciiTheme="majorBidi" w:hAnsiTheme="majorBidi" w:cstheme="majorBidi"/>
          <w:lang w:val="fr"/>
        </w:rPr>
        <w:t xml:space="preserve">La réduction de la consommation de HCFC-141b (y compris le HCFC-141b </w:t>
      </w:r>
      <w:r w:rsidR="00B40AD6">
        <w:rPr>
          <w:rFonts w:asciiTheme="majorBidi" w:hAnsiTheme="majorBidi" w:cstheme="majorBidi"/>
          <w:lang w:val="fr"/>
        </w:rPr>
        <w:t xml:space="preserve">importé sous forme de </w:t>
      </w:r>
      <w:r>
        <w:rPr>
          <w:rFonts w:asciiTheme="majorBidi" w:hAnsiTheme="majorBidi" w:cstheme="majorBidi"/>
          <w:lang w:val="fr"/>
        </w:rPr>
        <w:t xml:space="preserve">polyols </w:t>
      </w:r>
      <w:proofErr w:type="spellStart"/>
      <w:r>
        <w:rPr>
          <w:rFonts w:asciiTheme="majorBidi" w:hAnsiTheme="majorBidi" w:cstheme="majorBidi"/>
          <w:lang w:val="fr"/>
        </w:rPr>
        <w:t>prémélangés</w:t>
      </w:r>
      <w:proofErr w:type="spellEnd"/>
      <w:r>
        <w:rPr>
          <w:rFonts w:asciiTheme="majorBidi" w:hAnsiTheme="majorBidi" w:cstheme="majorBidi"/>
          <w:lang w:val="fr"/>
        </w:rPr>
        <w:t xml:space="preserve">) et de HCFC-142b est </w:t>
      </w:r>
      <w:r w:rsidR="00E9240E">
        <w:rPr>
          <w:rFonts w:asciiTheme="majorBidi" w:hAnsiTheme="majorBidi" w:cstheme="majorBidi"/>
          <w:lang w:val="fr"/>
        </w:rPr>
        <w:t>attribuable</w:t>
      </w:r>
      <w:r>
        <w:rPr>
          <w:rFonts w:asciiTheme="majorBidi" w:hAnsiTheme="majorBidi" w:cstheme="majorBidi"/>
          <w:lang w:val="fr"/>
        </w:rPr>
        <w:t xml:space="preserve"> aux contrôles réglementaires des importations et à </w:t>
      </w:r>
      <w:r w:rsidR="00EF3C9E">
        <w:rPr>
          <w:rFonts w:asciiTheme="majorBidi" w:hAnsiTheme="majorBidi" w:cstheme="majorBidi"/>
          <w:lang w:val="fr"/>
        </w:rPr>
        <w:t>l’achèvement</w:t>
      </w:r>
      <w:r>
        <w:rPr>
          <w:rFonts w:asciiTheme="majorBidi" w:hAnsiTheme="majorBidi" w:cstheme="majorBidi"/>
          <w:lang w:val="fr"/>
        </w:rPr>
        <w:t xml:space="preserve"> de la conversion des entreprises de fabrication de mousses. Bien que la consommation globale de HCFC-22 diminue par rapport au niveau de référence établi, la demande en équipements de climatisation </w:t>
      </w:r>
      <w:r w:rsidR="00EF3C9E">
        <w:rPr>
          <w:rFonts w:asciiTheme="majorBidi" w:hAnsiTheme="majorBidi" w:cstheme="majorBidi"/>
          <w:lang w:val="fr"/>
        </w:rPr>
        <w:t>utilisant</w:t>
      </w:r>
      <w:r>
        <w:rPr>
          <w:rFonts w:asciiTheme="majorBidi" w:hAnsiTheme="majorBidi" w:cstheme="majorBidi"/>
          <w:lang w:val="fr"/>
        </w:rPr>
        <w:t xml:space="preserve"> des HCFC reste élevée. Le niveau de pénétration sur le marché des substances de remplacement à faible potentiel de réchauffement planétaire (PRP) dans le secteur de la climatisation est faible.</w:t>
      </w:r>
    </w:p>
    <w:p w14:paraId="3DB4C888" w14:textId="77777777" w:rsidR="00C62024" w:rsidRPr="00C62024" w:rsidRDefault="00C62024" w:rsidP="00C62024">
      <w:pPr>
        <w:keepNext/>
        <w:spacing w:after="240"/>
        <w:rPr>
          <w:i/>
          <w:lang w:val="fr-FR"/>
        </w:rPr>
      </w:pPr>
      <w:r>
        <w:rPr>
          <w:i/>
          <w:iCs/>
          <w:lang w:val="fr"/>
        </w:rPr>
        <w:lastRenderedPageBreak/>
        <w:t>Rapport de mise en œuvre du programme du pays</w:t>
      </w:r>
    </w:p>
    <w:p w14:paraId="5B7DE8DD" w14:textId="4B76800E" w:rsidR="00C62024" w:rsidRPr="00C62024" w:rsidRDefault="00C62024" w:rsidP="00C62024">
      <w:pPr>
        <w:pStyle w:val="Heading1"/>
        <w:rPr>
          <w:lang w:val="fr-FR"/>
        </w:rPr>
      </w:pPr>
      <w:r>
        <w:rPr>
          <w:lang w:val="fr"/>
        </w:rPr>
        <w:t xml:space="preserve">Le gouvernement du Koweït a communiqué des données </w:t>
      </w:r>
      <w:r w:rsidR="000B1A73">
        <w:rPr>
          <w:lang w:val="fr"/>
        </w:rPr>
        <w:t xml:space="preserve">sectorielles </w:t>
      </w:r>
      <w:r>
        <w:rPr>
          <w:lang w:val="fr"/>
        </w:rPr>
        <w:t>de</w:t>
      </w:r>
      <w:r w:rsidR="000B1A73">
        <w:rPr>
          <w:lang w:val="fr"/>
        </w:rPr>
        <w:t xml:space="preserve"> </w:t>
      </w:r>
      <w:r>
        <w:rPr>
          <w:lang w:val="fr"/>
        </w:rPr>
        <w:t xml:space="preserve">consommation de HCFC dans le cadre du rapport de mise en œuvre du programme du pays de 2023 conformes aux données déclarées </w:t>
      </w:r>
      <w:r w:rsidR="006E3576">
        <w:rPr>
          <w:lang w:val="fr"/>
        </w:rPr>
        <w:t>au titre</w:t>
      </w:r>
      <w:r>
        <w:rPr>
          <w:lang w:val="fr"/>
        </w:rPr>
        <w:t xml:space="preserve"> de l’Article 7 du Protocole de Montréal.</w:t>
      </w:r>
    </w:p>
    <w:p w14:paraId="085B4FDD" w14:textId="77777777" w:rsidR="00C62024" w:rsidRPr="0034371D" w:rsidRDefault="00C62024" w:rsidP="00C62024">
      <w:pPr>
        <w:keepNext/>
        <w:spacing w:after="240"/>
        <w:rPr>
          <w:i/>
        </w:rPr>
      </w:pPr>
      <w:r>
        <w:rPr>
          <w:i/>
          <w:iCs/>
          <w:lang w:val="fr"/>
        </w:rPr>
        <w:t>Rapport de vérification</w:t>
      </w:r>
    </w:p>
    <w:p w14:paraId="32138224" w14:textId="1024B7BF" w:rsidR="00C62024" w:rsidRPr="00C62024" w:rsidRDefault="00C62024" w:rsidP="00C62024">
      <w:pPr>
        <w:pStyle w:val="Heading1"/>
        <w:rPr>
          <w:lang w:val="fr-FR"/>
        </w:rPr>
      </w:pPr>
      <w:r>
        <w:rPr>
          <w:lang w:val="fr"/>
        </w:rPr>
        <w:t xml:space="preserve">Le rapport de vérification a confirmé que le Gouvernement met en œuvre un système d’octroi de licences et de quotas </w:t>
      </w:r>
      <w:r w:rsidR="008052E0">
        <w:rPr>
          <w:lang w:val="fr"/>
        </w:rPr>
        <w:t>pour l</w:t>
      </w:r>
      <w:r>
        <w:rPr>
          <w:lang w:val="fr"/>
        </w:rPr>
        <w:t xml:space="preserve">es importations et </w:t>
      </w:r>
      <w:r w:rsidR="008052E0">
        <w:rPr>
          <w:lang w:val="fr"/>
        </w:rPr>
        <w:t>l</w:t>
      </w:r>
      <w:r>
        <w:rPr>
          <w:lang w:val="fr"/>
        </w:rPr>
        <w:t>es exportations de HCFC, et que la consommation totale de HCFC déclarée au titre de l’article 7 du Protocole de Montréal de 2021 à 2023 était correcte (comme indiqué dans le tableau 1 ci-dessus). La vérification recommande</w:t>
      </w:r>
      <w:r w:rsidR="00F17A6E">
        <w:rPr>
          <w:lang w:val="fr"/>
        </w:rPr>
        <w:t>,</w:t>
      </w:r>
      <w:r>
        <w:rPr>
          <w:lang w:val="fr"/>
        </w:rPr>
        <w:t xml:space="preserve"> </w:t>
      </w:r>
      <w:r w:rsidR="00F17A6E">
        <w:rPr>
          <w:lang w:val="fr"/>
        </w:rPr>
        <w:t xml:space="preserve">entre autres, </w:t>
      </w:r>
      <w:r>
        <w:rPr>
          <w:lang w:val="fr"/>
        </w:rPr>
        <w:t xml:space="preserve">que l’Unité nationale d’ozone (UNO) compare les informations </w:t>
      </w:r>
      <w:r w:rsidR="000222B1">
        <w:rPr>
          <w:lang w:val="fr"/>
        </w:rPr>
        <w:t xml:space="preserve">sur les importations de HCFC </w:t>
      </w:r>
      <w:r>
        <w:rPr>
          <w:lang w:val="fr"/>
        </w:rPr>
        <w:t xml:space="preserve">au niveau des importateurs avec les quotas d’importation et tienne des relevés à jour ; examine les </w:t>
      </w:r>
      <w:r w:rsidR="000222B1">
        <w:rPr>
          <w:lang w:val="fr"/>
        </w:rPr>
        <w:t xml:space="preserve">informations relatives aux </w:t>
      </w:r>
      <w:r>
        <w:rPr>
          <w:lang w:val="fr"/>
        </w:rPr>
        <w:t xml:space="preserve">problèmes liés aux importations de HCFC ainsi que l’efficacité des actions correctives mise en place ; entreprenne la surveillance des HCFC disponibles sur le marché et mène des programmes de formation pour les agents des douanes, et travaille avec les informaticiens sur le système d’octroi de licence électronique. Ces activités </w:t>
      </w:r>
      <w:r w:rsidR="00F76962">
        <w:rPr>
          <w:lang w:val="fr"/>
        </w:rPr>
        <w:t>devraient être</w:t>
      </w:r>
      <w:r>
        <w:rPr>
          <w:lang w:val="fr"/>
        </w:rPr>
        <w:t xml:space="preserve"> mises en œuvre durant la deuxième tranche de la phase II ainsi que durant la phase III du PGEH pour être présentées à une date</w:t>
      </w:r>
      <w:r w:rsidR="00624BD7">
        <w:rPr>
          <w:lang w:val="fr"/>
        </w:rPr>
        <w:t xml:space="preserve"> ultérieure</w:t>
      </w:r>
      <w:r>
        <w:rPr>
          <w:lang w:val="fr"/>
        </w:rPr>
        <w:t>.</w:t>
      </w:r>
    </w:p>
    <w:p w14:paraId="3174630A" w14:textId="77777777" w:rsidR="00C62024" w:rsidRPr="00C62024" w:rsidRDefault="00C62024" w:rsidP="00C62024">
      <w:pPr>
        <w:keepNext/>
        <w:spacing w:after="240"/>
        <w:rPr>
          <w:u w:val="single"/>
          <w:lang w:val="fr-FR"/>
        </w:rPr>
      </w:pPr>
      <w:r>
        <w:rPr>
          <w:u w:val="single"/>
          <w:lang w:val="fr"/>
        </w:rPr>
        <w:t>État d’avancement de la phase I du plan de gestion de l’élimination des HCFC</w:t>
      </w:r>
      <w:r>
        <w:rPr>
          <w:highlight w:val="magenta"/>
          <w:lang w:val="fr"/>
        </w:rPr>
        <w:t xml:space="preserve"> </w:t>
      </w:r>
    </w:p>
    <w:p w14:paraId="590846CE" w14:textId="77777777" w:rsidR="00C62024" w:rsidRPr="00C62024" w:rsidRDefault="00C62024" w:rsidP="00C62024">
      <w:pPr>
        <w:pStyle w:val="Heading1"/>
        <w:rPr>
          <w:lang w:val="fr-FR"/>
        </w:rPr>
      </w:pPr>
      <w:r>
        <w:rPr>
          <w:lang w:val="fr"/>
        </w:rPr>
        <w:t>La phase I du PGEH a été achevée le 30 juin 2022 conformément à la prorogation approuvée par le Comité exécutif dans la décision 88/71(b)(i). Le rapport d’achèvement des projets a été présenté le 29 octobre 2024.</w:t>
      </w:r>
    </w:p>
    <w:p w14:paraId="2D913450" w14:textId="77777777" w:rsidR="00C62024" w:rsidRPr="00C62024" w:rsidRDefault="00C62024" w:rsidP="00C62024">
      <w:pPr>
        <w:keepNext/>
        <w:spacing w:after="240"/>
        <w:rPr>
          <w:u w:val="single"/>
          <w:lang w:val="fr-FR"/>
        </w:rPr>
      </w:pPr>
      <w:r>
        <w:rPr>
          <w:u w:val="single"/>
          <w:lang w:val="fr"/>
        </w:rPr>
        <w:t>Rapport périodique sur la mise en œuvre de la première tranche de la phase II du plan de gestion de l’élimination des HCFC</w:t>
      </w:r>
    </w:p>
    <w:p w14:paraId="3690B4FC" w14:textId="77777777" w:rsidR="00C62024" w:rsidRDefault="00C62024" w:rsidP="00C62024">
      <w:pPr>
        <w:keepNext/>
        <w:spacing w:after="240"/>
        <w:rPr>
          <w:i/>
        </w:rPr>
      </w:pPr>
      <w:r>
        <w:rPr>
          <w:i/>
          <w:iCs/>
          <w:lang w:val="fr"/>
        </w:rPr>
        <w:t>Cadre juridique</w:t>
      </w:r>
    </w:p>
    <w:p w14:paraId="687BEBCE" w14:textId="60D4DB3C" w:rsidR="00C62024" w:rsidRPr="00C62024" w:rsidRDefault="00C62024" w:rsidP="00C62024">
      <w:pPr>
        <w:pStyle w:val="Heading1"/>
        <w:rPr>
          <w:lang w:val="fr-FR"/>
        </w:rPr>
      </w:pPr>
      <w:r>
        <w:rPr>
          <w:lang w:val="fr"/>
        </w:rPr>
        <w:t>Le Koweït a adopté les codes du système harmonisé (SH) 2022, y compris l’introduction d</w:t>
      </w:r>
      <w:r w:rsidR="00D34EEF">
        <w:rPr>
          <w:lang w:val="fr"/>
        </w:rPr>
        <w:t xml:space="preserve">u code de sous-catégorie </w:t>
      </w:r>
      <w:r>
        <w:rPr>
          <w:lang w:val="fr"/>
        </w:rPr>
        <w:t>pour une meilleure identification des substances réglementées. En outre, les procédures d’octroi de licences et de contrôle des SAO importées ont été améliorées à la suite de cinq réunions de coordination avec le département des douanes.</w:t>
      </w:r>
    </w:p>
    <w:p w14:paraId="751229E1" w14:textId="77FF02CA" w:rsidR="00C62024" w:rsidRPr="00C62024" w:rsidRDefault="00C62024" w:rsidP="00C62024">
      <w:pPr>
        <w:pStyle w:val="Heading1"/>
        <w:rPr>
          <w:lang w:val="fr-FR"/>
        </w:rPr>
      </w:pPr>
      <w:r>
        <w:rPr>
          <w:lang w:val="fr"/>
        </w:rPr>
        <w:t xml:space="preserve">Un comité national a été établi </w:t>
      </w:r>
      <w:r w:rsidR="00D62740">
        <w:rPr>
          <w:lang w:val="fr"/>
        </w:rPr>
        <w:t xml:space="preserve">pour </w:t>
      </w:r>
      <w:r>
        <w:rPr>
          <w:lang w:val="fr"/>
        </w:rPr>
        <w:t xml:space="preserve">améliorer la coordination entre les organes nationaux d’exécution responsables de la supervision et du contrôle des substances importées dans le but d’améliorer le système d’octroi de licences afin de faciliter les procédures et d’éviter les doublons. Le Comité est composé de l’UNO/Autorité de la protection de l’environnement du Koweït (KEPA), du département des douanes, du département de lutte contre l’incendie, de l’Autorité de l’industrie, du </w:t>
      </w:r>
      <w:proofErr w:type="gramStart"/>
      <w:r>
        <w:rPr>
          <w:lang w:val="fr"/>
        </w:rPr>
        <w:t>Ministère de l’intérieur</w:t>
      </w:r>
      <w:proofErr w:type="gramEnd"/>
      <w:r>
        <w:rPr>
          <w:lang w:val="fr"/>
        </w:rPr>
        <w:t xml:space="preserve">, du Ministère du commerce, de l’Autorité de promotion de l’investissement du Koweït et du département chimique de la KEPA. Trois réunions de consultation ont eu lieu avec les parties prenantes, comprenant des représentants de l’industrie et </w:t>
      </w:r>
      <w:r w:rsidR="00A333CA">
        <w:rPr>
          <w:lang w:val="fr"/>
        </w:rPr>
        <w:t>d</w:t>
      </w:r>
      <w:r>
        <w:rPr>
          <w:lang w:val="fr"/>
        </w:rPr>
        <w:t xml:space="preserve">es autorités </w:t>
      </w:r>
      <w:r w:rsidR="00A333CA">
        <w:rPr>
          <w:lang w:val="fr"/>
        </w:rPr>
        <w:t>impliquées</w:t>
      </w:r>
      <w:r>
        <w:rPr>
          <w:lang w:val="fr"/>
        </w:rPr>
        <w:t xml:space="preserve">, afin d’améliorer la sensibilisation aux réglementations applicables aux SAO et aux exigences dans le cadre du système d’octroi de licences et de quotas. L’emphase a été mise sur les obligations du pays à atteindre les objectifs </w:t>
      </w:r>
      <w:r w:rsidR="00A333CA">
        <w:rPr>
          <w:lang w:val="fr"/>
        </w:rPr>
        <w:t>fixés</w:t>
      </w:r>
      <w:r>
        <w:rPr>
          <w:lang w:val="fr"/>
        </w:rPr>
        <w:t xml:space="preserve"> dans son Accord avec le Comité exécutif.</w:t>
      </w:r>
    </w:p>
    <w:p w14:paraId="54DD9A18" w14:textId="6B4C259E" w:rsidR="00C62024" w:rsidRPr="00C62024" w:rsidRDefault="00C62024" w:rsidP="00C62024">
      <w:pPr>
        <w:pStyle w:val="Heading1"/>
        <w:rPr>
          <w:lang w:val="fr-FR"/>
        </w:rPr>
      </w:pPr>
      <w:r>
        <w:rPr>
          <w:lang w:val="fr"/>
        </w:rPr>
        <w:t xml:space="preserve">En mars 2022, une session de formation de trois jours a été organisée </w:t>
      </w:r>
      <w:r w:rsidR="00DE3277">
        <w:rPr>
          <w:lang w:val="fr"/>
        </w:rPr>
        <w:t>au</w:t>
      </w:r>
      <w:r>
        <w:rPr>
          <w:lang w:val="fr"/>
        </w:rPr>
        <w:t xml:space="preserve"> Haut institut des télécommunications et de la navigation pour huit formateurs (dont deux femmes) tant du département des douanes que de l’institut. Le programme de formation portait sur les aspects relatifs au Protocole de Montréal, </w:t>
      </w:r>
      <w:r w:rsidR="00B01FB8">
        <w:rPr>
          <w:lang w:val="fr"/>
        </w:rPr>
        <w:t xml:space="preserve">sur </w:t>
      </w:r>
      <w:r>
        <w:rPr>
          <w:lang w:val="fr"/>
        </w:rPr>
        <w:t>les obligations du pays dans le cadre du Protocole ainsi que sur le contrôle et la supervision de la consommation de HCFC.</w:t>
      </w:r>
    </w:p>
    <w:p w14:paraId="546D6036" w14:textId="24FA5304" w:rsidR="00C62024" w:rsidRPr="00C62024" w:rsidRDefault="00C62024" w:rsidP="00C62024">
      <w:pPr>
        <w:pStyle w:val="Heading1"/>
        <w:rPr>
          <w:lang w:val="fr-FR"/>
        </w:rPr>
      </w:pPr>
      <w:r>
        <w:rPr>
          <w:lang w:val="fr"/>
        </w:rPr>
        <w:lastRenderedPageBreak/>
        <w:t xml:space="preserve">La capacité de 541 agents des douanes (dont 94 femmes) a été renforcée par le biais de 22 sessions de formation portant sur le Protocole de Montréal et </w:t>
      </w:r>
      <w:r w:rsidR="008B3C56">
        <w:rPr>
          <w:lang w:val="fr"/>
        </w:rPr>
        <w:t xml:space="preserve">sur </w:t>
      </w:r>
      <w:r>
        <w:rPr>
          <w:lang w:val="fr"/>
        </w:rPr>
        <w:t xml:space="preserve">l’engagement du Koweït </w:t>
      </w:r>
      <w:r w:rsidR="008B3C56">
        <w:rPr>
          <w:lang w:val="fr"/>
        </w:rPr>
        <w:t>en vertu</w:t>
      </w:r>
      <w:r>
        <w:rPr>
          <w:lang w:val="fr"/>
        </w:rPr>
        <w:t xml:space="preserve"> du Protocole, </w:t>
      </w:r>
      <w:r w:rsidR="00133E9C">
        <w:rPr>
          <w:lang w:val="fr"/>
        </w:rPr>
        <w:t xml:space="preserve">sur </w:t>
      </w:r>
      <w:r>
        <w:rPr>
          <w:lang w:val="fr"/>
        </w:rPr>
        <w:t xml:space="preserve">les récentes réglementations interdisant l’utilisation du HCFC dans diverses applications et </w:t>
      </w:r>
      <w:r w:rsidR="008B3C61">
        <w:rPr>
          <w:lang w:val="fr"/>
        </w:rPr>
        <w:t xml:space="preserve">sur </w:t>
      </w:r>
      <w:r>
        <w:rPr>
          <w:lang w:val="fr"/>
        </w:rPr>
        <w:t>les étapes spécifiques de contrôle et de supervision des importations de HCFC, y compris en abordant les problèmes de commerce illégal.</w:t>
      </w:r>
    </w:p>
    <w:p w14:paraId="0310DB20" w14:textId="77777777" w:rsidR="00C62024" w:rsidRPr="00C62024" w:rsidRDefault="00C62024" w:rsidP="00C62024">
      <w:pPr>
        <w:pStyle w:val="Heading1"/>
        <w:rPr>
          <w:lang w:val="fr-FR"/>
        </w:rPr>
      </w:pPr>
      <w:r>
        <w:rPr>
          <w:lang w:val="fr"/>
        </w:rPr>
        <w:t>En outre, l’UNO a communiqué de manière régulière avec les courtiers en douane et les importateurs pour les tenir informés des politiques et réglementations liées aux substances réglementées, y compris les procédures d’octroi de licence pour ces produits. Un atelier pédagogique pour les courtiers en douane sera organisé durant le quatrième trimestre 2024.</w:t>
      </w:r>
    </w:p>
    <w:p w14:paraId="38B3167E" w14:textId="38FB09DB" w:rsidR="00C62024" w:rsidRPr="00C62024" w:rsidRDefault="00C62024" w:rsidP="00C62024">
      <w:pPr>
        <w:pStyle w:val="Heading1"/>
        <w:rPr>
          <w:lang w:val="fr-FR"/>
        </w:rPr>
      </w:pPr>
      <w:r>
        <w:rPr>
          <w:lang w:val="fr"/>
        </w:rPr>
        <w:t>Le Koweït a approuvé l’Amendement de Kigali en 2024.</w:t>
      </w:r>
    </w:p>
    <w:p w14:paraId="4972BEA2" w14:textId="77777777" w:rsidR="00C62024" w:rsidRPr="00C62024" w:rsidRDefault="00C62024" w:rsidP="00C62024">
      <w:pPr>
        <w:keepNext/>
        <w:spacing w:after="240"/>
        <w:rPr>
          <w:i/>
          <w:lang w:val="fr-FR"/>
        </w:rPr>
      </w:pPr>
      <w:r>
        <w:rPr>
          <w:i/>
          <w:iCs/>
          <w:lang w:val="fr"/>
        </w:rPr>
        <w:t>Secteur de l’entretien des équipements de réfrigération</w:t>
      </w:r>
    </w:p>
    <w:p w14:paraId="52083C0B" w14:textId="451C9FA0" w:rsidR="00C62024" w:rsidRPr="00C62024" w:rsidRDefault="00C62024" w:rsidP="00C62024">
      <w:pPr>
        <w:pStyle w:val="Heading1"/>
        <w:rPr>
          <w:lang w:val="fr-FR"/>
        </w:rPr>
      </w:pPr>
      <w:r>
        <w:rPr>
          <w:lang w:val="fr"/>
        </w:rPr>
        <w:t xml:space="preserve">En 2022, l’UNO, </w:t>
      </w:r>
      <w:r w:rsidR="001B506F">
        <w:rPr>
          <w:lang w:val="fr"/>
        </w:rPr>
        <w:t>au travers</w:t>
      </w:r>
      <w:r>
        <w:rPr>
          <w:lang w:val="fr"/>
        </w:rPr>
        <w:t xml:space="preserve"> d’une série de réunions de coordination avec les autorités compétentes, en particulier l’Autorité de la main-d’œuvre, a défini un cadre pour la certification des techniciens d’entretien en réfrigération et climatisation. Cela a mené à l’adoption d’un cadre de qualification obligatoire pour les techniciens d’entretien en réfrigération et climatisation, formalisé par le nouveau mémorandum d’accord (MOU) signé par les autorités compétentes avec de garantir une mise en œuvre coordonnée avec la KEPA.</w:t>
      </w:r>
    </w:p>
    <w:p w14:paraId="20F4611E" w14:textId="76249610" w:rsidR="00C62024" w:rsidRPr="00C62024" w:rsidRDefault="00C62024" w:rsidP="00C62024">
      <w:pPr>
        <w:pStyle w:val="Heading1"/>
        <w:rPr>
          <w:lang w:val="fr-FR"/>
        </w:rPr>
      </w:pPr>
      <w:r>
        <w:rPr>
          <w:lang w:val="fr"/>
        </w:rPr>
        <w:t xml:space="preserve">Une base de données globale des ateliers d’entretien en réfrigération et climatisation a été établie, comprenant des détails sur ces ateliers. Le </w:t>
      </w:r>
      <w:proofErr w:type="gramStart"/>
      <w:r>
        <w:rPr>
          <w:lang w:val="fr"/>
        </w:rPr>
        <w:t>Ministère des municipalités</w:t>
      </w:r>
      <w:proofErr w:type="gramEnd"/>
      <w:r>
        <w:rPr>
          <w:lang w:val="fr"/>
        </w:rPr>
        <w:t xml:space="preserve"> est responsable de l’enregistrement et des délivrances de permis de travail pour tous les ateliers, y compris ceux du secteur de l’entretien en réfrigération et climatisation. Une session d’orientation pédagogique sera organisée en coordination avec le PNUE durant le quatrième trimestre 2024.</w:t>
      </w:r>
    </w:p>
    <w:p w14:paraId="5A3E7DAF" w14:textId="7660071E" w:rsidR="00C62024" w:rsidRPr="00C62024" w:rsidRDefault="00C62024" w:rsidP="00C62024">
      <w:pPr>
        <w:pStyle w:val="Heading1"/>
        <w:rPr>
          <w:bCs/>
          <w:lang w:val="fr-FR"/>
        </w:rPr>
      </w:pPr>
      <w:r>
        <w:rPr>
          <w:lang w:val="fr"/>
        </w:rPr>
        <w:t xml:space="preserve">En mai 2023, un centre de régénération a été établi avec l’assistance de l’ONUDI, et en partenariat avec l’Usine unie pour les compresseurs et les frigorigènes. L’équipement fourni comprenait un chromatographe en phase gazeuse pour les tests en laboratoire, deux stations de régénération, six stations de récupération, une pompe à vide </w:t>
      </w:r>
      <w:r w:rsidR="009A175B">
        <w:rPr>
          <w:lang w:val="fr"/>
        </w:rPr>
        <w:t>et</w:t>
      </w:r>
      <w:r>
        <w:rPr>
          <w:lang w:val="fr"/>
        </w:rPr>
        <w:t xml:space="preserve"> des outils </w:t>
      </w:r>
      <w:r w:rsidR="009A175B">
        <w:rPr>
          <w:lang w:val="fr"/>
        </w:rPr>
        <w:t>connexes</w:t>
      </w:r>
      <w:r>
        <w:rPr>
          <w:lang w:val="fr"/>
        </w:rPr>
        <w:t xml:space="preserve"> </w:t>
      </w:r>
      <w:r w:rsidR="009A175B">
        <w:rPr>
          <w:lang w:val="fr"/>
        </w:rPr>
        <w:t>ainsi que</w:t>
      </w:r>
      <w:r>
        <w:rPr>
          <w:lang w:val="fr"/>
        </w:rPr>
        <w:t xml:space="preserve"> des bonbonnes. Le centre est géré suivant un modèle économique développé par le PNUE par le biais d’</w:t>
      </w:r>
      <w:r w:rsidR="00D2181D">
        <w:rPr>
          <w:lang w:val="fr"/>
        </w:rPr>
        <w:t xml:space="preserve">une </w:t>
      </w:r>
      <w:r>
        <w:rPr>
          <w:lang w:val="fr"/>
        </w:rPr>
        <w:t xml:space="preserve">étude de faisabilité. Le Koweït poursuivra durant la phase II </w:t>
      </w:r>
      <w:r w:rsidR="00EA40A6">
        <w:rPr>
          <w:lang w:val="fr"/>
        </w:rPr>
        <w:t>son travail de</w:t>
      </w:r>
      <w:r>
        <w:rPr>
          <w:lang w:val="fr"/>
        </w:rPr>
        <w:t xml:space="preserve"> développe</w:t>
      </w:r>
      <w:r w:rsidR="00EA40A6">
        <w:rPr>
          <w:lang w:val="fr"/>
        </w:rPr>
        <w:t>ment</w:t>
      </w:r>
      <w:r>
        <w:rPr>
          <w:lang w:val="fr"/>
        </w:rPr>
        <w:t xml:space="preserve"> de mesures politiques et de procédures connexes pour un fonctionnement fiable du programme de régénération, y compris en organisant un atelier de consultation afin de mettre à jour/développer les mesures politiques et les règlements </w:t>
      </w:r>
      <w:r w:rsidR="0002622F">
        <w:rPr>
          <w:lang w:val="fr"/>
        </w:rPr>
        <w:t xml:space="preserve">nécessaires </w:t>
      </w:r>
      <w:r w:rsidR="00665450">
        <w:rPr>
          <w:lang w:val="fr"/>
        </w:rPr>
        <w:t xml:space="preserve">pour </w:t>
      </w:r>
      <w:r>
        <w:rPr>
          <w:lang w:val="fr"/>
        </w:rPr>
        <w:t>réglement</w:t>
      </w:r>
      <w:r w:rsidR="00AC31A9">
        <w:rPr>
          <w:lang w:val="fr"/>
        </w:rPr>
        <w:t>er</w:t>
      </w:r>
      <w:r>
        <w:rPr>
          <w:lang w:val="fr"/>
        </w:rPr>
        <w:t xml:space="preserve"> la récupération et </w:t>
      </w:r>
      <w:r w:rsidR="00AE7FAE">
        <w:rPr>
          <w:lang w:val="fr"/>
        </w:rPr>
        <w:t>le</w:t>
      </w:r>
      <w:r>
        <w:rPr>
          <w:lang w:val="fr"/>
        </w:rPr>
        <w:t xml:space="preserve"> recyclage. Un atelier est prévu fin 2024 dans le but de bénéficier de l’expérience réussie de Bahreïn dans la région. Cette partie du programme de formation vise à augmenter la capacité des techniciens à faire fonctionner le programme de récupération et de régénération.</w:t>
      </w:r>
    </w:p>
    <w:p w14:paraId="2A688ED9" w14:textId="1C3772E5" w:rsidR="00C62024" w:rsidRPr="00C62024" w:rsidRDefault="00C62024" w:rsidP="00C62024">
      <w:pPr>
        <w:pStyle w:val="Heading1"/>
        <w:rPr>
          <w:lang w:val="fr-FR"/>
        </w:rPr>
      </w:pPr>
      <w:r>
        <w:rPr>
          <w:lang w:val="fr"/>
        </w:rPr>
        <w:t xml:space="preserve">Le programme de l’éducation nationale et des centres de formation </w:t>
      </w:r>
      <w:r w:rsidR="0002622F">
        <w:rPr>
          <w:lang w:val="fr"/>
        </w:rPr>
        <w:t>professionnelle</w:t>
      </w:r>
      <w:r>
        <w:rPr>
          <w:lang w:val="fr"/>
        </w:rPr>
        <w:t xml:space="preserve"> a été mis à jour pour englober tous les aspects liés à l’utilisation de frigorigènes de remplacement. L’UNO développera une mise à jour du programme pour la formation des techniciens frigoristes dans le secteur de l’entretien en se basant sur les modules de formation du PNUE. </w:t>
      </w:r>
      <w:r w:rsidR="008E575A">
        <w:rPr>
          <w:lang w:val="fr"/>
        </w:rPr>
        <w:t>La Faculté</w:t>
      </w:r>
      <w:r>
        <w:rPr>
          <w:lang w:val="fr"/>
        </w:rPr>
        <w:t xml:space="preserve"> d’études </w:t>
      </w:r>
      <w:r w:rsidR="005000B8">
        <w:rPr>
          <w:lang w:val="fr"/>
        </w:rPr>
        <w:t>technologiques</w:t>
      </w:r>
      <w:r>
        <w:rPr>
          <w:lang w:val="fr"/>
        </w:rPr>
        <w:t xml:space="preserve"> a déjà mis à jour son programme afin d’y intégrer les bonnes pratiques de maintenance, la sécurité et la manipulation des frigorigènes dans différents cours sur la réfrigération et la climatisation.</w:t>
      </w:r>
    </w:p>
    <w:p w14:paraId="083CE05F" w14:textId="1F7A7DD8" w:rsidR="00C62024" w:rsidRPr="00C62024" w:rsidRDefault="00C62024" w:rsidP="00C62024">
      <w:pPr>
        <w:pStyle w:val="Heading1"/>
        <w:rPr>
          <w:lang w:val="fr-FR"/>
        </w:rPr>
      </w:pPr>
      <w:r>
        <w:rPr>
          <w:lang w:val="fr"/>
        </w:rPr>
        <w:t xml:space="preserve">Au quatrième trimestre 2024, l’UNO, avec le soutien du PNUE, organisera trois ateliers pédagogiques pour environ 45 enseignants et instructeurs du système de formation scolaire et professionnelle </w:t>
      </w:r>
      <w:r w:rsidR="004962FF">
        <w:rPr>
          <w:lang w:val="fr"/>
        </w:rPr>
        <w:t>portant sur</w:t>
      </w:r>
      <w:r>
        <w:rPr>
          <w:lang w:val="fr"/>
        </w:rPr>
        <w:t xml:space="preserve"> les différentes clauses du Protocole de Montréal et les bonnes pratiques, y compris les aspects sécuritaires liés à l’utilisation à long terme des substances de remplacement. De plus, l’UNO organisera un atelier pédagogique pour 15 examinateurs afin de mettre en œuvre le programme national de certification applicable.</w:t>
      </w:r>
    </w:p>
    <w:p w14:paraId="22783F35" w14:textId="77777777" w:rsidR="00C62024" w:rsidRPr="00C62024" w:rsidRDefault="00C62024" w:rsidP="00C62024">
      <w:pPr>
        <w:pStyle w:val="Heading1"/>
        <w:rPr>
          <w:lang w:val="fr-FR"/>
        </w:rPr>
      </w:pPr>
      <w:r>
        <w:rPr>
          <w:lang w:val="fr"/>
        </w:rPr>
        <w:lastRenderedPageBreak/>
        <w:t>Les critères d’évaluation y compris les critères de Validation des acquis de l’expérience (VAE), seront mis à jour avec l’aide de l’UNO et du PNUE. Le PNUE recrutera un consultant durant le quatrième trimestre 2024 afin d’examiner les critères de VAE en se basant sur le système national de qualification et d’intégrer les nouveaux principes et concepts, comme demandé, dans les critères nationaux de qualification pour la certification.</w:t>
      </w:r>
    </w:p>
    <w:p w14:paraId="7A1D8B8C" w14:textId="028465E2" w:rsidR="00C62024" w:rsidRDefault="00C62024" w:rsidP="00C62024">
      <w:pPr>
        <w:pStyle w:val="Heading1"/>
      </w:pPr>
      <w:r>
        <w:rPr>
          <w:lang w:val="fr"/>
        </w:rPr>
        <w:t xml:space="preserve">Deux ateliers </w:t>
      </w:r>
      <w:r w:rsidR="00A96A4E">
        <w:rPr>
          <w:lang w:val="fr"/>
        </w:rPr>
        <w:t>ont été organisés</w:t>
      </w:r>
      <w:r>
        <w:rPr>
          <w:lang w:val="fr"/>
        </w:rPr>
        <w:t xml:space="preserve">, un pour </w:t>
      </w:r>
      <w:r w:rsidR="00A96A4E">
        <w:rPr>
          <w:lang w:val="fr"/>
        </w:rPr>
        <w:t xml:space="preserve">la Faculté d’études technologiques </w:t>
      </w:r>
      <w:r>
        <w:rPr>
          <w:lang w:val="fr"/>
        </w:rPr>
        <w:t xml:space="preserve">avec des experts internationaux auprès de 25 participants et deux pour les techniciens de maintenance </w:t>
      </w:r>
      <w:r w:rsidR="00D27883">
        <w:rPr>
          <w:lang w:val="fr"/>
        </w:rPr>
        <w:t>expérimentés</w:t>
      </w:r>
      <w:r>
        <w:rPr>
          <w:lang w:val="fr"/>
        </w:rPr>
        <w:t xml:space="preserve">. Un total de 12 sessions de formation a été organisé auprès de 347 techniciens frigoristes provenant de grandes entreprises et portant sur des sujets variés liés aux bonnes pratiques d’entretien et à l’entretien en sécurité des équipements de réfrigération et de climatisation. </w:t>
      </w:r>
      <w:r w:rsidR="007C4E1E">
        <w:rPr>
          <w:lang w:val="fr"/>
        </w:rPr>
        <w:t>Ces</w:t>
      </w:r>
      <w:r>
        <w:rPr>
          <w:lang w:val="fr"/>
        </w:rPr>
        <w:t xml:space="preserve"> sessions comprenaient aussi une formation pratique des techniciens.</w:t>
      </w:r>
    </w:p>
    <w:p w14:paraId="5A7F7C02" w14:textId="45215667" w:rsidR="00C62024" w:rsidRPr="00C62024" w:rsidRDefault="00C62024" w:rsidP="00C62024">
      <w:pPr>
        <w:pStyle w:val="Heading1"/>
        <w:rPr>
          <w:lang w:val="fr-FR"/>
        </w:rPr>
      </w:pPr>
      <w:r>
        <w:rPr>
          <w:lang w:val="fr"/>
        </w:rPr>
        <w:t xml:space="preserve">L’UNO a signé un mémorandum d’accord depuis 2022 avec </w:t>
      </w:r>
      <w:r w:rsidR="006E1CB8">
        <w:rPr>
          <w:lang w:val="fr"/>
        </w:rPr>
        <w:t>la branche</w:t>
      </w:r>
      <w:r>
        <w:rPr>
          <w:lang w:val="fr"/>
        </w:rPr>
        <w:t xml:space="preserve"> koweïtien</w:t>
      </w:r>
      <w:r w:rsidR="006E1CB8">
        <w:rPr>
          <w:lang w:val="fr"/>
        </w:rPr>
        <w:t>ne</w:t>
      </w:r>
      <w:r>
        <w:rPr>
          <w:lang w:val="fr"/>
        </w:rPr>
        <w:t xml:space="preserve"> de l’ASHRAE </w:t>
      </w:r>
      <w:r w:rsidR="007558EE">
        <w:rPr>
          <w:lang w:val="fr"/>
        </w:rPr>
        <w:t>pour</w:t>
      </w:r>
      <w:r>
        <w:rPr>
          <w:lang w:val="fr"/>
        </w:rPr>
        <w:t xml:space="preserve"> collaborer sur des problèmes liés à la mise en œuvre du Protocole de Montréal et à la promotion des technologies de remplacement et pour renforcer la capacité du secteur du chauffage, de la ventilation et de la climatisation.</w:t>
      </w:r>
    </w:p>
    <w:p w14:paraId="67C54632" w14:textId="1EC68ACF" w:rsidR="00C62024" w:rsidRPr="00C62024" w:rsidRDefault="00C62024" w:rsidP="00C62024">
      <w:pPr>
        <w:pStyle w:val="Heading1"/>
        <w:rPr>
          <w:lang w:val="fr-FR"/>
        </w:rPr>
      </w:pPr>
      <w:r>
        <w:rPr>
          <w:lang w:val="fr"/>
        </w:rPr>
        <w:t xml:space="preserve">L’UNO par </w:t>
      </w:r>
      <w:r w:rsidR="00995F8E">
        <w:rPr>
          <w:lang w:val="fr"/>
        </w:rPr>
        <w:t>l’intermédiaire de</w:t>
      </w:r>
      <w:r>
        <w:rPr>
          <w:lang w:val="fr"/>
        </w:rPr>
        <w:t xml:space="preserve"> l’Institut koweïtien pour la recherche scientifique (KISR) a fourni une assistance au centre commercial The Avenues, l’un des plus gros utilisateurs finaux</w:t>
      </w:r>
      <w:r w:rsidR="00D37634">
        <w:rPr>
          <w:lang w:val="fr"/>
        </w:rPr>
        <w:t>,</w:t>
      </w:r>
      <w:r>
        <w:rPr>
          <w:lang w:val="fr"/>
        </w:rPr>
        <w:t xml:space="preserve"> afin de soutenir ses efforts dans l’évaluation des fuites et de proposer des améliorer pour réduire le taux de fuites à des niveaux acceptables, ainsi que pour promouvoir de meilleures pratiques et améliorer la gestion des frigorigènes sur site.</w:t>
      </w:r>
    </w:p>
    <w:p w14:paraId="1622D478" w14:textId="664F1CAE" w:rsidR="00C62024" w:rsidRPr="00C62024" w:rsidRDefault="00C62024" w:rsidP="00C62024">
      <w:pPr>
        <w:pStyle w:val="Heading1"/>
        <w:rPr>
          <w:lang w:val="fr-FR"/>
        </w:rPr>
      </w:pPr>
      <w:r>
        <w:rPr>
          <w:lang w:val="fr"/>
        </w:rPr>
        <w:t xml:space="preserve">Des réunions et </w:t>
      </w:r>
      <w:r w:rsidR="00C255D5">
        <w:rPr>
          <w:lang w:val="fr"/>
        </w:rPr>
        <w:t>échanges</w:t>
      </w:r>
      <w:r>
        <w:rPr>
          <w:lang w:val="fr"/>
        </w:rPr>
        <w:t xml:space="preserve"> réguli</w:t>
      </w:r>
      <w:r w:rsidR="00C255D5">
        <w:rPr>
          <w:lang w:val="fr"/>
        </w:rPr>
        <w:t>ers</w:t>
      </w:r>
      <w:r>
        <w:rPr>
          <w:lang w:val="fr"/>
        </w:rPr>
        <w:t xml:space="preserve"> avec les secteurs de la fabrication et de l’entretien des équipements de réfrigération et de climatisation ont </w:t>
      </w:r>
      <w:r w:rsidR="00850E8F">
        <w:rPr>
          <w:lang w:val="fr"/>
        </w:rPr>
        <w:t>eu lieu</w:t>
      </w:r>
      <w:r>
        <w:rPr>
          <w:lang w:val="fr"/>
        </w:rPr>
        <w:t xml:space="preserve"> afin de les tenir informés des récentes mesures politiques et des développements techniques et de discuter des défis liés aux substances de remplacement potentielles. Une campagne de sensibilisation a été mise en œuvre et utilisant divers moyens de communication afin d’accroître la sensibilisation des </w:t>
      </w:r>
      <w:r w:rsidR="00CB43BF">
        <w:rPr>
          <w:lang w:val="fr"/>
        </w:rPr>
        <w:t>parties prenantes</w:t>
      </w:r>
      <w:r>
        <w:rPr>
          <w:lang w:val="fr"/>
        </w:rPr>
        <w:t xml:space="preserve"> aux substances de remplacement à faible PRP. Cette campagne comprenait une sensibilisation sur les réseaux sociaux et des conférences à l’Université du Koweït en coopération avec d’autres acteurs. En 2024, une table ronde a été organisée avec le </w:t>
      </w:r>
      <w:proofErr w:type="gramStart"/>
      <w:r>
        <w:rPr>
          <w:lang w:val="fr"/>
        </w:rPr>
        <w:t>Ministère de l’électricité</w:t>
      </w:r>
      <w:proofErr w:type="gramEnd"/>
      <w:r>
        <w:rPr>
          <w:lang w:val="fr"/>
        </w:rPr>
        <w:t xml:space="preserve"> et de l’énergie et des représentants de l’industrie afin de </w:t>
      </w:r>
      <w:r w:rsidR="0067356E">
        <w:rPr>
          <w:lang w:val="fr"/>
        </w:rPr>
        <w:t>l</w:t>
      </w:r>
      <w:r>
        <w:rPr>
          <w:lang w:val="fr"/>
        </w:rPr>
        <w:t>es tenir informés des mesures politiques et des développements</w:t>
      </w:r>
      <w:r w:rsidR="00D81C9E" w:rsidRPr="00D81C9E">
        <w:rPr>
          <w:lang w:val="fr"/>
        </w:rPr>
        <w:t xml:space="preserve"> </w:t>
      </w:r>
      <w:r w:rsidR="00D81C9E">
        <w:rPr>
          <w:lang w:val="fr"/>
        </w:rPr>
        <w:t>récents</w:t>
      </w:r>
      <w:r>
        <w:rPr>
          <w:lang w:val="fr"/>
        </w:rPr>
        <w:t xml:space="preserve">, et pour demander une mise à jour des normes, </w:t>
      </w:r>
      <w:r w:rsidR="002A0AB2">
        <w:rPr>
          <w:lang w:val="fr"/>
        </w:rPr>
        <w:t>y compris</w:t>
      </w:r>
      <w:r>
        <w:rPr>
          <w:lang w:val="fr"/>
        </w:rPr>
        <w:t xml:space="preserve"> les normes de performances énergétiques minimales, dans le cadre de l’effort national d’amélioration de l’efficacité énergétique dans le secteur de la réfrigération et de la climatisation. Une autre table ronde a été organisée avec un comité composé des autorités impliquées (à savoir, le </w:t>
      </w:r>
      <w:proofErr w:type="gramStart"/>
      <w:r>
        <w:rPr>
          <w:lang w:val="fr"/>
        </w:rPr>
        <w:t>Ministère de l’électricité</w:t>
      </w:r>
      <w:proofErr w:type="gramEnd"/>
      <w:r>
        <w:rPr>
          <w:lang w:val="fr"/>
        </w:rPr>
        <w:t xml:space="preserve"> et de l’énergie, l’Université du Koweït et l’EPA) afin de discuter et de développer un code pour le réseau de froid urbain. La Journée mondiale de l’ozone a été célébrée en coopération avec des représentants de l’industrie et avec la participation du PNUE en présence des autorités nationales impliquées.</w:t>
      </w:r>
    </w:p>
    <w:p w14:paraId="513DAD13" w14:textId="77777777" w:rsidR="00C62024" w:rsidRPr="00C62024" w:rsidRDefault="00C62024" w:rsidP="00C62024">
      <w:pPr>
        <w:pStyle w:val="Heading1"/>
        <w:rPr>
          <w:lang w:val="fr-FR"/>
        </w:rPr>
      </w:pPr>
      <w:r>
        <w:rPr>
          <w:lang w:val="fr"/>
        </w:rPr>
        <w:t>L’UNO se coordonnera avec le KISR pour mener des recherches sur la sécurité et les performances des technologies à faible PRP. Plusieurs réunions se sont tenues sur ce thème et le mémorandum d’accord devrait être signé en novembre 2024.</w:t>
      </w:r>
    </w:p>
    <w:p w14:paraId="4625958F" w14:textId="42300F09" w:rsidR="00C62024" w:rsidRPr="00C62024" w:rsidRDefault="00C62024" w:rsidP="00C62024">
      <w:pPr>
        <w:pStyle w:val="Heading1"/>
        <w:rPr>
          <w:lang w:val="fr-FR"/>
        </w:rPr>
      </w:pPr>
      <w:r>
        <w:rPr>
          <w:lang w:val="fr"/>
        </w:rPr>
        <w:t xml:space="preserve">Plusieurs réunions ont été organisées avec l’Administration normative/L’Autorité générale de l’industrie pour discuter des mises à jour nécessaires aux normes afférentes en se basant sur la feuille de route développée en coopération avec le PNUE pour les pays du Conseil de coopération du Golfe. </w:t>
      </w:r>
      <w:r w:rsidR="00E76EE7">
        <w:rPr>
          <w:lang w:val="fr"/>
        </w:rPr>
        <w:t>L</w:t>
      </w:r>
      <w:r>
        <w:rPr>
          <w:lang w:val="fr"/>
        </w:rPr>
        <w:t xml:space="preserve">es mises à jour ont </w:t>
      </w:r>
      <w:r w:rsidR="00606709">
        <w:rPr>
          <w:lang w:val="fr"/>
        </w:rPr>
        <w:t>commencé,</w:t>
      </w:r>
      <w:r>
        <w:rPr>
          <w:lang w:val="fr"/>
        </w:rPr>
        <w:t xml:space="preserve"> </w:t>
      </w:r>
      <w:r w:rsidR="00606709">
        <w:rPr>
          <w:lang w:val="fr"/>
        </w:rPr>
        <w:t>y compris</w:t>
      </w:r>
      <w:r>
        <w:rPr>
          <w:lang w:val="fr"/>
        </w:rPr>
        <w:t xml:space="preserve"> des consultations pertinentes avec l’industrie</w:t>
      </w:r>
      <w:r w:rsidR="002E6C61">
        <w:rPr>
          <w:lang w:val="fr"/>
        </w:rPr>
        <w:t>,</w:t>
      </w:r>
      <w:r>
        <w:rPr>
          <w:lang w:val="fr"/>
        </w:rPr>
        <w:t xml:space="preserve"> et se poursuivront durant la mise en œuvre de la deuxième tranche.</w:t>
      </w:r>
    </w:p>
    <w:p w14:paraId="2AE758C1" w14:textId="77777777" w:rsidR="00C62024" w:rsidRPr="00C62024" w:rsidRDefault="00C62024" w:rsidP="00C62024">
      <w:pPr>
        <w:pStyle w:val="Heading1"/>
        <w:rPr>
          <w:lang w:val="fr-FR"/>
        </w:rPr>
      </w:pPr>
      <w:r>
        <w:rPr>
          <w:lang w:val="fr"/>
        </w:rPr>
        <w:t xml:space="preserve">Plusieurs réunions de consultation se sont tenues avec le secteur de l’entretien en réfrigération et climatisation et l’industrie, ainsi qu’avec le monde académique et la protection civile afin de discuter d’un </w:t>
      </w:r>
      <w:r>
        <w:rPr>
          <w:lang w:val="fr"/>
        </w:rPr>
        <w:lastRenderedPageBreak/>
        <w:t>projet de procédures opérationnelles normalisées (SOP) pour la manipulation des frigorigènes inflammables et dangereux. Ce travail se poursuivra durant la mise en œuvre de la deuxième tranche.</w:t>
      </w:r>
    </w:p>
    <w:p w14:paraId="0844BABC" w14:textId="77777777" w:rsidR="00C62024" w:rsidRPr="00C62024" w:rsidRDefault="00C62024" w:rsidP="00C62024">
      <w:pPr>
        <w:keepNext/>
        <w:spacing w:after="240"/>
        <w:rPr>
          <w:i/>
          <w:lang w:val="fr-FR"/>
        </w:rPr>
      </w:pPr>
      <w:r>
        <w:rPr>
          <w:i/>
          <w:iCs/>
          <w:lang w:val="fr"/>
        </w:rPr>
        <w:t>Mise en œuvre et suivi du projet</w:t>
      </w:r>
    </w:p>
    <w:p w14:paraId="4FBC70DF" w14:textId="77777777" w:rsidR="00C62024" w:rsidRPr="00C62024" w:rsidRDefault="00C62024" w:rsidP="00C62024">
      <w:pPr>
        <w:pStyle w:val="Heading1"/>
        <w:rPr>
          <w:lang w:val="fr-FR"/>
        </w:rPr>
      </w:pPr>
      <w:r>
        <w:rPr>
          <w:lang w:val="fr"/>
        </w:rPr>
        <w:t>L’UNO est responsable de la coordination de projet globale, de l’évaluation et de la supervision. Durant la première tranche, des fonds pour le personnel et les consultants (38 000 $ US), et les réunions (12 000 $ US) ont été décaissés.</w:t>
      </w:r>
    </w:p>
    <w:p w14:paraId="0B430C28" w14:textId="050CC99C" w:rsidR="00C62024" w:rsidRPr="00B70169" w:rsidRDefault="00C62024" w:rsidP="00C62024">
      <w:pPr>
        <w:keepNext/>
        <w:spacing w:after="240"/>
      </w:pPr>
      <w:r>
        <w:rPr>
          <w:u w:val="single"/>
          <w:lang w:val="fr"/>
        </w:rPr>
        <w:t>Niveau de décaissement des fonds</w:t>
      </w:r>
    </w:p>
    <w:p w14:paraId="263618A6" w14:textId="3B5C7712" w:rsidR="00C62024" w:rsidRPr="00765B46" w:rsidRDefault="00C62024" w:rsidP="00C62024">
      <w:pPr>
        <w:pStyle w:val="Heading1"/>
        <w:rPr>
          <w:lang w:val="fr-FR"/>
        </w:rPr>
      </w:pPr>
      <w:r>
        <w:rPr>
          <w:lang w:val="fr"/>
        </w:rPr>
        <w:t xml:space="preserve">En date de septembre 2024, 538 400 $ US (58,5 pour cent) avaient été décaissés </w:t>
      </w:r>
      <w:r w:rsidR="00765B46">
        <w:rPr>
          <w:lang w:val="fr"/>
        </w:rPr>
        <w:t xml:space="preserve">(293 400 $ US pour le PNUE et 245 000 $ US pour l’ONUDI) </w:t>
      </w:r>
      <w:r>
        <w:rPr>
          <w:lang w:val="fr"/>
        </w:rPr>
        <w:t xml:space="preserve">sur les 920 440 $ US approuvés </w:t>
      </w:r>
      <w:r w:rsidR="00765B46">
        <w:rPr>
          <w:lang w:val="fr"/>
        </w:rPr>
        <w:t>jusque-là</w:t>
      </w:r>
      <w:r>
        <w:rPr>
          <w:lang w:val="fr"/>
        </w:rPr>
        <w:t xml:space="preserve"> (670 840 $ US pour le PNUE et 249 600 $ US pour l’ONUDI). Le solde de 382 040 $ US devrait être décaissé en 2025.</w:t>
      </w:r>
    </w:p>
    <w:p w14:paraId="045C620A" w14:textId="77777777" w:rsidR="00C62024" w:rsidRPr="00C62024" w:rsidRDefault="00C62024" w:rsidP="00C62024">
      <w:pPr>
        <w:keepNext/>
        <w:spacing w:before="240" w:after="240"/>
        <w:rPr>
          <w:u w:val="single"/>
          <w:lang w:val="fr-FR"/>
        </w:rPr>
      </w:pPr>
      <w:r>
        <w:rPr>
          <w:u w:val="single"/>
          <w:lang w:val="fr"/>
        </w:rPr>
        <w:t>Plan de mise en œuvre de la deuxième tranche de la phase II du plan de gestion de l’élimination des HCFC</w:t>
      </w:r>
    </w:p>
    <w:p w14:paraId="6729C2EB" w14:textId="77777777" w:rsidR="00C62024" w:rsidRPr="00C62024" w:rsidRDefault="00C62024" w:rsidP="00C62024">
      <w:pPr>
        <w:pStyle w:val="Heading1"/>
        <w:rPr>
          <w:lang w:val="fr-FR"/>
        </w:rPr>
      </w:pPr>
      <w:bookmarkStart w:id="0" w:name="_Hlk126934425"/>
      <w:bookmarkStart w:id="1" w:name="_Hlk126663552"/>
      <w:r>
        <w:rPr>
          <w:lang w:val="fr"/>
        </w:rPr>
        <w:t>Les activités suivantes seront mises en œuvre entre janvier 2025 et décembre 2026 :</w:t>
      </w:r>
    </w:p>
    <w:p w14:paraId="48278E6F" w14:textId="3D44E81E" w:rsidR="00C62024" w:rsidRPr="00C62024" w:rsidRDefault="00C62024" w:rsidP="00C62024">
      <w:pPr>
        <w:pStyle w:val="Heading2"/>
        <w:widowControl/>
        <w:numPr>
          <w:ilvl w:val="1"/>
          <w:numId w:val="1"/>
        </w:numPr>
        <w:rPr>
          <w:lang w:val="fr-FR"/>
        </w:rPr>
      </w:pPr>
      <w:r>
        <w:rPr>
          <w:lang w:val="fr"/>
        </w:rPr>
        <w:t xml:space="preserve">Poursuite des activités ciblées de sensibilisation liées aux politiques et réglementations nationales </w:t>
      </w:r>
      <w:r w:rsidR="00765B46">
        <w:rPr>
          <w:lang w:val="fr"/>
        </w:rPr>
        <w:t>auprès des</w:t>
      </w:r>
      <w:r>
        <w:rPr>
          <w:lang w:val="fr"/>
        </w:rPr>
        <w:t xml:space="preserve"> autorités gouvernementales impliquées et d’autres parties prenantes, et mise en vigueur de ces réglementations</w:t>
      </w:r>
      <w:r w:rsidR="00765B46">
        <w:rPr>
          <w:lang w:val="fr"/>
        </w:rPr>
        <w:t> ;</w:t>
      </w:r>
      <w:r>
        <w:rPr>
          <w:lang w:val="fr"/>
        </w:rPr>
        <w:t xml:space="preserve"> renforcement de la mise en œuvre du système d’octroi de licence électronique et du système de supervision, en fonction des besoins ; développement et mise en œuvre d’un système d’enregistrement électronique des ateliers d’entretien (PNUE) (126 000 $ US) ;</w:t>
      </w:r>
    </w:p>
    <w:p w14:paraId="309002BB" w14:textId="16C627B6" w:rsidR="00C62024" w:rsidRPr="00C62024" w:rsidRDefault="00C62024" w:rsidP="00C62024">
      <w:pPr>
        <w:pStyle w:val="Heading2"/>
        <w:widowControl/>
        <w:numPr>
          <w:ilvl w:val="1"/>
          <w:numId w:val="1"/>
        </w:numPr>
        <w:rPr>
          <w:lang w:val="fr-FR"/>
        </w:rPr>
      </w:pPr>
      <w:r>
        <w:rPr>
          <w:lang w:val="fr"/>
        </w:rPr>
        <w:t xml:space="preserve">Formation de 20 formateurs des douanes ; </w:t>
      </w:r>
      <w:r w:rsidR="00F32095">
        <w:rPr>
          <w:lang w:val="fr"/>
        </w:rPr>
        <w:t xml:space="preserve">organisation </w:t>
      </w:r>
      <w:r w:rsidR="00D71821">
        <w:rPr>
          <w:lang w:val="fr"/>
        </w:rPr>
        <w:t xml:space="preserve">dans les centres de formation des douanes </w:t>
      </w:r>
      <w:r w:rsidR="00F32095">
        <w:rPr>
          <w:lang w:val="fr"/>
        </w:rPr>
        <w:t xml:space="preserve">de </w:t>
      </w:r>
      <w:r>
        <w:rPr>
          <w:lang w:val="fr"/>
        </w:rPr>
        <w:t xml:space="preserve">trois ateliers pédagogiques auprès de 60 agents des douanes portant sur le Protocole de Montréal et le contrôle des HCFC, comprenant </w:t>
      </w:r>
      <w:r w:rsidR="00F32095">
        <w:rPr>
          <w:lang w:val="fr"/>
        </w:rPr>
        <w:t>la</w:t>
      </w:r>
      <w:r>
        <w:rPr>
          <w:lang w:val="fr"/>
        </w:rPr>
        <w:t xml:space="preserve"> détermination d’un profil de risques</w:t>
      </w:r>
      <w:r w:rsidR="00D71821">
        <w:rPr>
          <w:lang w:val="fr"/>
        </w:rPr>
        <w:t> ;</w:t>
      </w:r>
      <w:r>
        <w:rPr>
          <w:lang w:val="fr"/>
        </w:rPr>
        <w:t xml:space="preserve"> formation de 40 agents des forces de l’ordre afin de soutenir la mise en vigueur au-delà des contrôles aux frontières ; organisation d’au moins quatre réunions de coordination et de consultations avec des courtiers en douane sur la supervision et la déclaration des HCFC et </w:t>
      </w:r>
      <w:r w:rsidR="00414AB3">
        <w:rPr>
          <w:lang w:val="fr"/>
        </w:rPr>
        <w:t xml:space="preserve">sur </w:t>
      </w:r>
      <w:r>
        <w:rPr>
          <w:lang w:val="fr"/>
        </w:rPr>
        <w:t>le contrôle du commerce illégal (PNUE) (82 000 $ US) ;</w:t>
      </w:r>
    </w:p>
    <w:p w14:paraId="1FC58193" w14:textId="510C83B4" w:rsidR="00C62024" w:rsidRPr="00C62024" w:rsidRDefault="00C62024" w:rsidP="00C62024">
      <w:pPr>
        <w:pStyle w:val="Heading2"/>
        <w:widowControl/>
        <w:numPr>
          <w:ilvl w:val="1"/>
          <w:numId w:val="1"/>
        </w:numPr>
        <w:rPr>
          <w:lang w:val="fr-FR"/>
        </w:rPr>
      </w:pPr>
      <w:r>
        <w:rPr>
          <w:lang w:val="fr"/>
        </w:rPr>
        <w:t xml:space="preserve">Mise à jour du programme de formation et fourniture d’un soutien pédagogique à 30 enseignants et </w:t>
      </w:r>
      <w:r w:rsidR="005D45A6">
        <w:rPr>
          <w:lang w:val="fr"/>
        </w:rPr>
        <w:t>examinateurs</w:t>
      </w:r>
      <w:r>
        <w:rPr>
          <w:lang w:val="fr"/>
        </w:rPr>
        <w:t xml:space="preserve"> sur le nouveau programme et sur la nouvelle évaluation basée sur les compétences </w:t>
      </w:r>
      <w:r w:rsidR="009922E9">
        <w:rPr>
          <w:lang w:val="fr"/>
        </w:rPr>
        <w:t>portant sur</w:t>
      </w:r>
      <w:r>
        <w:rPr>
          <w:lang w:val="fr"/>
        </w:rPr>
        <w:t xml:space="preserve"> les bonnes pratiques d’entretien ; fourniture d’une assistance aux </w:t>
      </w:r>
      <w:r w:rsidR="00CA07C7">
        <w:rPr>
          <w:lang w:val="fr"/>
        </w:rPr>
        <w:t>organismes faisant passer les examens et délivrant les</w:t>
      </w:r>
      <w:r>
        <w:rPr>
          <w:lang w:val="fr"/>
        </w:rPr>
        <w:t xml:space="preserve"> qualifications afin d’améliorer les critères d’évaluation, y compris les critères de VAE, pour englober les composantes de bonnes pratiques ; fourniture d’outils et d’équipement</w:t>
      </w:r>
      <w:r w:rsidR="00E835A7">
        <w:rPr>
          <w:lang w:val="fr"/>
        </w:rPr>
        <w:t xml:space="preserve">s à </w:t>
      </w:r>
      <w:r w:rsidR="00637F56">
        <w:rPr>
          <w:lang w:val="fr"/>
        </w:rPr>
        <w:t>visées</w:t>
      </w:r>
      <w:r>
        <w:rPr>
          <w:lang w:val="fr"/>
        </w:rPr>
        <w:t xml:space="preserve"> </w:t>
      </w:r>
      <w:r w:rsidR="00E835A7">
        <w:rPr>
          <w:lang w:val="fr"/>
        </w:rPr>
        <w:t xml:space="preserve">pédagogiques </w:t>
      </w:r>
      <w:r w:rsidR="00231844">
        <w:rPr>
          <w:lang w:val="fr"/>
        </w:rPr>
        <w:t>à</w:t>
      </w:r>
      <w:r>
        <w:rPr>
          <w:lang w:val="fr"/>
        </w:rPr>
        <w:t xml:space="preserve"> quatre centres de formation et aux</w:t>
      </w:r>
      <w:r w:rsidR="00C13D88">
        <w:rPr>
          <w:lang w:val="fr"/>
        </w:rPr>
        <w:t xml:space="preserve"> centre</w:t>
      </w:r>
      <w:r w:rsidR="00EB6A07">
        <w:rPr>
          <w:lang w:val="fr"/>
        </w:rPr>
        <w:t>s</w:t>
      </w:r>
      <w:r>
        <w:rPr>
          <w:lang w:val="fr"/>
        </w:rPr>
        <w:t xml:space="preserve"> </w:t>
      </w:r>
      <w:r w:rsidR="004528A4">
        <w:rPr>
          <w:lang w:val="fr"/>
        </w:rPr>
        <w:t>faisant passer les examens et délivrant les qualifications</w:t>
      </w:r>
      <w:r>
        <w:rPr>
          <w:lang w:val="fr"/>
        </w:rPr>
        <w:t xml:space="preserve"> ; fourniture d’un soutien pour la mise en œuvre de la certification nationale des techniciens frigoristes par le biais d’une campagne sur la VAE couvrant les frais de test d’évaluation pour 310 techniciens frigoristes ; réalisation d’un atelier pédagogique pour 25 formateurs de formateurs sur les bonnes pratiques d’entretien et </w:t>
      </w:r>
      <w:r w:rsidR="001A11B7">
        <w:rPr>
          <w:lang w:val="fr"/>
        </w:rPr>
        <w:t xml:space="preserve">sur </w:t>
      </w:r>
      <w:r>
        <w:rPr>
          <w:lang w:val="fr"/>
        </w:rPr>
        <w:t>l’entretien en sécurité en utilisant des frigorigènes ; programme de formation portant sur les bonnes pratiques d’entretien en réfrigération et climatisation pour 1 700 techniciens, en collaboration avec les centres locaux et le secteur privé (PNUE) (638 560 $ US) ;</w:t>
      </w:r>
    </w:p>
    <w:p w14:paraId="77089C5F" w14:textId="7D105D3E" w:rsidR="00C62024" w:rsidRPr="00C62024" w:rsidRDefault="00C62024" w:rsidP="00C62024">
      <w:pPr>
        <w:pStyle w:val="Heading2"/>
        <w:widowControl/>
        <w:numPr>
          <w:ilvl w:val="1"/>
          <w:numId w:val="1"/>
        </w:numPr>
        <w:rPr>
          <w:lang w:val="fr-FR"/>
        </w:rPr>
      </w:pPr>
      <w:r>
        <w:rPr>
          <w:lang w:val="fr"/>
        </w:rPr>
        <w:t>Établissement d’un deuxième centre national de récupération, recyclage and régénération ; établissement de deux centres de formation dans des facultés techniques sélectionnées et organisation d’ateliers de sensibilisation et de formation pour les techniciens frigoristes sur la récupération, le recyclage et la régénération ; poursuite du développement de</w:t>
      </w:r>
      <w:r w:rsidR="008B293E">
        <w:rPr>
          <w:lang w:val="fr"/>
        </w:rPr>
        <w:t>s</w:t>
      </w:r>
      <w:r>
        <w:rPr>
          <w:lang w:val="fr"/>
        </w:rPr>
        <w:t xml:space="preserve"> </w:t>
      </w:r>
      <w:r>
        <w:rPr>
          <w:lang w:val="fr"/>
        </w:rPr>
        <w:lastRenderedPageBreak/>
        <w:t xml:space="preserve">procédures de certification pour les gérants de centres </w:t>
      </w:r>
      <w:r w:rsidR="005F2BDE">
        <w:rPr>
          <w:lang w:val="fr"/>
        </w:rPr>
        <w:t xml:space="preserve">de </w:t>
      </w:r>
      <w:r>
        <w:rPr>
          <w:lang w:val="fr"/>
        </w:rPr>
        <w:t xml:space="preserve">régénération, </w:t>
      </w:r>
      <w:r w:rsidR="00D1218E">
        <w:rPr>
          <w:lang w:val="fr"/>
        </w:rPr>
        <w:t xml:space="preserve">les </w:t>
      </w:r>
      <w:r>
        <w:rPr>
          <w:lang w:val="fr"/>
        </w:rPr>
        <w:t>techniciens et les ateliers d’entretien (ONUDI) (287 600 $ US) ;</w:t>
      </w:r>
    </w:p>
    <w:p w14:paraId="2063DCA7" w14:textId="4254C1C7" w:rsidR="00C62024" w:rsidRPr="00C62024" w:rsidRDefault="00C62024" w:rsidP="00C62024">
      <w:pPr>
        <w:pStyle w:val="Heading2"/>
        <w:numPr>
          <w:ilvl w:val="1"/>
          <w:numId w:val="1"/>
        </w:numPr>
        <w:rPr>
          <w:lang w:val="fr-FR"/>
        </w:rPr>
      </w:pPr>
      <w:r>
        <w:rPr>
          <w:lang w:val="fr"/>
        </w:rPr>
        <w:t xml:space="preserve">Diffusion de l’information concernant les derniers développements et les technologies émergentes en se concentrant sur la fabrication et l’entretien des équipements de réfrigération et climatisation en collaboration avec les associations de réfrigération et climatisation ; fourniture d’un soutien technique aux gros utilisateurs finaux, afin de réduire les fuites et de transitionner vers des substances de remplacement n’appauvrissant pas la couche d’ozone et à faible PRP ; fourniture d’une assistance à l’établissement d’un système d’enregistrement dans tout le pays ; poursuite de la campagne sur l’élimination des HCFC et la promotion des substances de remplacement aux HCFC (par exemple, </w:t>
      </w:r>
      <w:r w:rsidR="00740249">
        <w:rPr>
          <w:lang w:val="fr"/>
        </w:rPr>
        <w:t xml:space="preserve">des </w:t>
      </w:r>
      <w:r>
        <w:rPr>
          <w:lang w:val="fr"/>
        </w:rPr>
        <w:t xml:space="preserve">informations sur les substances de remplacement à faible PRP), y compris la production et la diffusion de matériel imprimé (par exemple, des publicités dans la presse, des articles de journaux) et par </w:t>
      </w:r>
      <w:r w:rsidR="00C74449">
        <w:rPr>
          <w:lang w:val="fr"/>
        </w:rPr>
        <w:t>l’intermédiaire</w:t>
      </w:r>
      <w:r>
        <w:rPr>
          <w:lang w:val="fr"/>
        </w:rPr>
        <w:t xml:space="preserve"> des médias de masse (par exemple courts-métrages) dans la langue locale</w:t>
      </w:r>
      <w:r w:rsidR="00F34DC6">
        <w:rPr>
          <w:lang w:val="fr"/>
        </w:rPr>
        <w:t> ;</w:t>
      </w:r>
      <w:r>
        <w:rPr>
          <w:lang w:val="fr"/>
        </w:rPr>
        <w:t xml:space="preserve"> </w:t>
      </w:r>
      <w:r w:rsidR="001A63F8">
        <w:rPr>
          <w:lang w:val="fr"/>
        </w:rPr>
        <w:t>organisation</w:t>
      </w:r>
      <w:r>
        <w:rPr>
          <w:lang w:val="fr"/>
        </w:rPr>
        <w:t xml:space="preserve"> d’une table ronde annuelle portant sur les aspects techniques et politiques liés à l’adoption des substances de remplacement aux HCFC et célébration</w:t>
      </w:r>
      <w:r w:rsidR="003A0A49">
        <w:rPr>
          <w:lang w:val="fr"/>
        </w:rPr>
        <w:t>s</w:t>
      </w:r>
      <w:r>
        <w:rPr>
          <w:lang w:val="fr"/>
        </w:rPr>
        <w:t xml:space="preserve"> de la Journée mondiale du froid afin de promouvoir </w:t>
      </w:r>
      <w:r w:rsidR="003A0A49">
        <w:rPr>
          <w:lang w:val="fr"/>
        </w:rPr>
        <w:t xml:space="preserve">la mise en œuvre du PGEH et les substances de remplacement des HCFC durables ; travail de proximité sur </w:t>
      </w:r>
      <w:r>
        <w:rPr>
          <w:lang w:val="fr"/>
        </w:rPr>
        <w:t>le lancement du programme de VAE (PNUE) (105 000 $ US) ;</w:t>
      </w:r>
    </w:p>
    <w:p w14:paraId="3214BB20" w14:textId="4401A128" w:rsidR="00C62024" w:rsidRPr="00C62024" w:rsidRDefault="00C62024" w:rsidP="00C62024">
      <w:pPr>
        <w:pStyle w:val="Heading2"/>
        <w:numPr>
          <w:ilvl w:val="1"/>
          <w:numId w:val="1"/>
        </w:numPr>
        <w:rPr>
          <w:lang w:val="fr-FR"/>
        </w:rPr>
      </w:pPr>
      <w:r>
        <w:rPr>
          <w:lang w:val="fr"/>
        </w:rPr>
        <w:t>Poursuite de la coordination et des consultations liées au développement et à l’introduction de normes et de codes nationaux liés aux SAO et introduction/promotion des normes internationales applicables (</w:t>
      </w:r>
      <w:r w:rsidR="00481517">
        <w:rPr>
          <w:lang w:val="fr"/>
        </w:rPr>
        <w:t>par exemple</w:t>
      </w:r>
      <w:r>
        <w:rPr>
          <w:lang w:val="fr"/>
        </w:rPr>
        <w:t xml:space="preserve">, les exigences d’étiquetage, d’enregistrement </w:t>
      </w:r>
      <w:r w:rsidR="00F81B62">
        <w:rPr>
          <w:lang w:val="fr"/>
        </w:rPr>
        <w:t xml:space="preserve">et de déclaration </w:t>
      </w:r>
      <w:r>
        <w:rPr>
          <w:lang w:val="fr"/>
        </w:rPr>
        <w:t>des données) ; mise à jour des normes nationales sur les produits liés à la réfrigération et à la climatisation conformément aux normes internationales ; développement et finalisation de procédures opérationnelles normalisées pour les ateliers d’entretien pour la manipulation des frigorigènes inflammables et dangereux (PNUE) (12 000 $ US) ;</w:t>
      </w:r>
    </w:p>
    <w:p w14:paraId="605B86E6" w14:textId="6B6B5E37" w:rsidR="00C62024" w:rsidRPr="00C62024" w:rsidRDefault="00C62024" w:rsidP="00C62024">
      <w:pPr>
        <w:pStyle w:val="Heading2"/>
        <w:widowControl/>
        <w:numPr>
          <w:ilvl w:val="1"/>
          <w:numId w:val="1"/>
        </w:numPr>
        <w:rPr>
          <w:lang w:val="fr-FR"/>
        </w:rPr>
      </w:pPr>
      <w:r>
        <w:rPr>
          <w:lang w:val="fr"/>
        </w:rPr>
        <w:t>Supervision de projet (PNUE) (50 000 $ US)</w:t>
      </w:r>
      <w:r w:rsidR="00E4793C">
        <w:rPr>
          <w:lang w:val="fr"/>
        </w:rPr>
        <w:t>,</w:t>
      </w:r>
      <w:r>
        <w:rPr>
          <w:lang w:val="fr"/>
        </w:rPr>
        <w:t xml:space="preserve"> </w:t>
      </w:r>
      <w:r w:rsidR="00E4793C">
        <w:rPr>
          <w:lang w:val="fr"/>
        </w:rPr>
        <w:t>comprenant</w:t>
      </w:r>
      <w:r>
        <w:rPr>
          <w:lang w:val="fr"/>
        </w:rPr>
        <w:t xml:space="preserve"> le personnel et les consultants.</w:t>
      </w:r>
    </w:p>
    <w:bookmarkEnd w:id="0"/>
    <w:bookmarkEnd w:id="1"/>
    <w:p w14:paraId="32532250" w14:textId="77777777" w:rsidR="00C62024" w:rsidRPr="00C62024" w:rsidRDefault="00C62024" w:rsidP="00C62024">
      <w:pPr>
        <w:keepNext/>
        <w:keepLines/>
        <w:spacing w:before="360" w:after="240"/>
        <w:jc w:val="center"/>
        <w:rPr>
          <w:b/>
          <w:lang w:val="fr-FR"/>
        </w:rPr>
      </w:pPr>
      <w:r>
        <w:rPr>
          <w:b/>
          <w:bCs/>
          <w:lang w:val="fr"/>
        </w:rPr>
        <w:t>OBSERVATIONS ET RECOMMANDATION DU SECRÉTARIAT</w:t>
      </w:r>
    </w:p>
    <w:p w14:paraId="3A581B19" w14:textId="77777777" w:rsidR="00C62024" w:rsidRPr="00C62024" w:rsidRDefault="00C62024" w:rsidP="00C62024">
      <w:pPr>
        <w:keepNext/>
        <w:keepLines/>
        <w:rPr>
          <w:b/>
          <w:lang w:val="fr-FR"/>
        </w:rPr>
      </w:pPr>
      <w:r>
        <w:rPr>
          <w:b/>
          <w:bCs/>
          <w:lang w:val="fr"/>
        </w:rPr>
        <w:t>OBSERVATIONS</w:t>
      </w:r>
    </w:p>
    <w:p w14:paraId="61146539" w14:textId="22D7753D" w:rsidR="00C62024" w:rsidRPr="00C62024" w:rsidRDefault="00C62024" w:rsidP="00C62024">
      <w:pPr>
        <w:keepNext/>
        <w:keepLines/>
        <w:spacing w:before="240" w:after="240"/>
        <w:rPr>
          <w:u w:val="single"/>
          <w:lang w:val="fr-FR"/>
        </w:rPr>
      </w:pPr>
      <w:r>
        <w:rPr>
          <w:u w:val="single"/>
          <w:lang w:val="fr"/>
        </w:rPr>
        <w:t>Rapport périodique sur la mise en œuvre de la première tranche de la phase I du plan de gestion de l’élimination des HCFC</w:t>
      </w:r>
    </w:p>
    <w:p w14:paraId="667C1F0F" w14:textId="77777777" w:rsidR="00C62024" w:rsidRPr="003D1668" w:rsidRDefault="00C62024" w:rsidP="00C62024">
      <w:pPr>
        <w:keepNext/>
        <w:keepLines/>
        <w:spacing w:before="240" w:after="240"/>
        <w:rPr>
          <w:i/>
        </w:rPr>
      </w:pPr>
      <w:r>
        <w:rPr>
          <w:i/>
          <w:iCs/>
          <w:lang w:val="fr"/>
        </w:rPr>
        <w:t>Cadre juridique</w:t>
      </w:r>
    </w:p>
    <w:p w14:paraId="42C07D1B" w14:textId="11D670BF" w:rsidR="00C62024" w:rsidRPr="00C62024" w:rsidRDefault="00C62024" w:rsidP="00C62024">
      <w:pPr>
        <w:pStyle w:val="Heading1"/>
        <w:rPr>
          <w:lang w:val="fr-FR"/>
        </w:rPr>
      </w:pPr>
      <w:r>
        <w:rPr>
          <w:lang w:val="fr"/>
        </w:rPr>
        <w:t xml:space="preserve">Le gouvernement du Koweït a déjà émis des quotas d’importation </w:t>
      </w:r>
      <w:r w:rsidR="00140B71">
        <w:rPr>
          <w:lang w:val="fr"/>
        </w:rPr>
        <w:t xml:space="preserve">de HCFC </w:t>
      </w:r>
      <w:r>
        <w:rPr>
          <w:lang w:val="fr"/>
        </w:rPr>
        <w:t>à hauteur de 158,24 tonnes</w:t>
      </w:r>
      <w:r w:rsidR="000136E3">
        <w:rPr>
          <w:lang w:val="fr"/>
        </w:rPr>
        <w:t> </w:t>
      </w:r>
      <w:r>
        <w:rPr>
          <w:lang w:val="fr"/>
        </w:rPr>
        <w:t>PAO pour 2024, ce qui est inférieur aux objectifs de réglementation du Protocole de Montréal.</w:t>
      </w:r>
    </w:p>
    <w:p w14:paraId="6D8C5BE8" w14:textId="77777777" w:rsidR="00C62024" w:rsidRPr="00C62024" w:rsidRDefault="00C62024" w:rsidP="00C62024">
      <w:pPr>
        <w:rPr>
          <w:i/>
          <w:iCs/>
          <w:lang w:val="fr-FR"/>
        </w:rPr>
      </w:pPr>
      <w:r>
        <w:rPr>
          <w:i/>
          <w:iCs/>
          <w:lang w:val="fr"/>
        </w:rPr>
        <w:t>Mise en œuvre des interdictions (décisions 88/51(b)(ii) et (iii))</w:t>
      </w:r>
    </w:p>
    <w:p w14:paraId="3CAED116" w14:textId="77777777" w:rsidR="00C62024" w:rsidRPr="00C62024" w:rsidRDefault="00C62024" w:rsidP="00C62024">
      <w:pPr>
        <w:rPr>
          <w:lang w:val="fr-FR"/>
        </w:rPr>
      </w:pPr>
    </w:p>
    <w:p w14:paraId="199811EF" w14:textId="129C6C08" w:rsidR="00C62024" w:rsidRPr="00C62024" w:rsidRDefault="00C62024" w:rsidP="00C62024">
      <w:pPr>
        <w:pStyle w:val="Heading1"/>
        <w:rPr>
          <w:lang w:val="fr-FR"/>
        </w:rPr>
      </w:pPr>
      <w:r>
        <w:rPr>
          <w:lang w:val="fr"/>
        </w:rPr>
        <w:t>En approuvant la phase II du PGEH pour le Koweït, le Comité exécutif a pris note de l’engagement du Gouvernement à mettre en place, d’ici le 1</w:t>
      </w:r>
      <w:r>
        <w:rPr>
          <w:vertAlign w:val="superscript"/>
          <w:lang w:val="fr"/>
        </w:rPr>
        <w:t>er</w:t>
      </w:r>
      <w:r>
        <w:rPr>
          <w:lang w:val="fr"/>
        </w:rPr>
        <w:t> janvier 2025, une interdiction de la fabrication et de l’importation d’équipement</w:t>
      </w:r>
      <w:r w:rsidR="00140B71">
        <w:rPr>
          <w:lang w:val="fr"/>
        </w:rPr>
        <w:t>s</w:t>
      </w:r>
      <w:r>
        <w:rPr>
          <w:lang w:val="fr"/>
        </w:rPr>
        <w:t xml:space="preserve"> utilisant du HCFC-22 et une interdiction de l’importation et de l’utilisation du HCFC-141b contenu dans les polyols </w:t>
      </w:r>
      <w:proofErr w:type="spellStart"/>
      <w:r>
        <w:rPr>
          <w:lang w:val="fr"/>
        </w:rPr>
        <w:t>prémélangés</w:t>
      </w:r>
      <w:proofErr w:type="spellEnd"/>
      <w:r>
        <w:rPr>
          <w:lang w:val="fr"/>
        </w:rPr>
        <w:t xml:space="preserve"> ; </w:t>
      </w:r>
      <w:bookmarkStart w:id="2" w:name="_Hlk182838048"/>
      <w:r>
        <w:rPr>
          <w:lang w:val="fr"/>
        </w:rPr>
        <w:t>Le PNUE a informé le Secrétariat que les interdictions sont actuellement à l’étude par la KEPA et d’autres autorités réglementaires compétentes. L’ordre confirmant les interdictions est prévu d’ici la fin 2024 et entrera en vigueur à compter du 1</w:t>
      </w:r>
      <w:r>
        <w:rPr>
          <w:vertAlign w:val="superscript"/>
          <w:lang w:val="fr"/>
        </w:rPr>
        <w:t>er</w:t>
      </w:r>
      <w:r>
        <w:rPr>
          <w:lang w:val="fr"/>
        </w:rPr>
        <w:t xml:space="preserve"> janvier 2025. </w:t>
      </w:r>
      <w:r>
        <w:rPr>
          <w:lang w:val="fr"/>
        </w:rPr>
        <w:lastRenderedPageBreak/>
        <w:t>De plus, le Koweït restreint les importations de HCFC-142b depuis que les projets d’élimination ont été achevés durant la phase I du PGEH.</w:t>
      </w:r>
    </w:p>
    <w:bookmarkEnd w:id="2"/>
    <w:p w14:paraId="79F4C899" w14:textId="77777777" w:rsidR="00C62024" w:rsidRPr="00C62024" w:rsidRDefault="00C62024" w:rsidP="00C62024">
      <w:pPr>
        <w:keepNext/>
        <w:widowControl w:val="0"/>
        <w:spacing w:after="240"/>
        <w:rPr>
          <w:iCs/>
          <w:u w:val="single"/>
          <w:lang w:val="fr-FR"/>
        </w:rPr>
      </w:pPr>
      <w:r>
        <w:rPr>
          <w:u w:val="single"/>
          <w:lang w:val="fr"/>
        </w:rPr>
        <w:t xml:space="preserve">Plan de mise en œuvre de la deuxième tranche de la phase II du plan de gestion de l’élimination des HCFC </w:t>
      </w:r>
    </w:p>
    <w:p w14:paraId="3EC0A06D" w14:textId="77777777" w:rsidR="00C62024" w:rsidRPr="00C62024" w:rsidRDefault="00C62024" w:rsidP="00C62024">
      <w:pPr>
        <w:keepNext/>
        <w:widowControl w:val="0"/>
        <w:spacing w:after="240"/>
        <w:rPr>
          <w:i/>
          <w:lang w:val="fr-FR"/>
        </w:rPr>
      </w:pPr>
      <w:r>
        <w:rPr>
          <w:i/>
          <w:iCs/>
          <w:lang w:val="fr"/>
        </w:rPr>
        <w:t>Secteur de l’entretien des équipements de réfrigération</w:t>
      </w:r>
    </w:p>
    <w:p w14:paraId="7ED73F66" w14:textId="77777777" w:rsidR="00C62024" w:rsidRPr="002F2AA8" w:rsidRDefault="00C62024" w:rsidP="00C62024">
      <w:pPr>
        <w:keepNext/>
        <w:spacing w:after="240"/>
        <w:rPr>
          <w:i/>
          <w:iCs/>
          <w:u w:val="single"/>
        </w:rPr>
      </w:pPr>
      <w:bookmarkStart w:id="3" w:name="_Hlk125544833"/>
      <w:r>
        <w:rPr>
          <w:i/>
          <w:iCs/>
          <w:u w:val="single"/>
          <w:lang w:val="fr"/>
        </w:rPr>
        <w:t>Récupération et recyclage des HCFC</w:t>
      </w:r>
    </w:p>
    <w:p w14:paraId="22A8290A" w14:textId="71C15371" w:rsidR="00C62024" w:rsidRPr="00C62024" w:rsidRDefault="00C62024" w:rsidP="00C62024">
      <w:pPr>
        <w:pStyle w:val="Heading1"/>
        <w:rPr>
          <w:lang w:val="fr-FR"/>
        </w:rPr>
      </w:pPr>
      <w:r>
        <w:rPr>
          <w:lang w:val="fr"/>
        </w:rPr>
        <w:t xml:space="preserve">Concernant la récupération et le recyclage des HCFC, le PNUE a expliqué qu’un centre de régénération avait été établi en mai 2023 et qu’il est géré en un partenariat avec l’Usine unie pour les compresseurs et les frigorigènes. La qualité des frigorigènes régénérés est contrôlée par une entreprise en se basant sur des vérifications </w:t>
      </w:r>
      <w:r w:rsidR="004B5842">
        <w:rPr>
          <w:lang w:val="fr"/>
        </w:rPr>
        <w:t xml:space="preserve">standard </w:t>
      </w:r>
      <w:r>
        <w:rPr>
          <w:lang w:val="fr"/>
        </w:rPr>
        <w:t xml:space="preserve">de contrôle de la qualité pour les frigorigènes. Un autre centre de régénération sera établi durant la mise en œuvre de la deuxième tranche. En outre, le gouvernement du Koweït a un plan pour organiser un atelier vers fin 2024 </w:t>
      </w:r>
      <w:r w:rsidR="001F7BDE">
        <w:rPr>
          <w:lang w:val="fr"/>
        </w:rPr>
        <w:t>pour</w:t>
      </w:r>
      <w:r>
        <w:rPr>
          <w:lang w:val="fr"/>
        </w:rPr>
        <w:t xml:space="preserve"> procéder à un échange d’expériences avec Bahreïn concernant sur le fonctionnement fiable du programme de récupération, recyclage et régénération. De plus, le Gouvernement travaille avec le secteur de l’entretien afin d’améliorer les bonnes pratiques d’entretien et d’adopter des mesures de maximisation de la récupération et du recyclage du HCFC-22 pour répondre aux demandes du marché. Les lignes directrices de récupération et de régénération du HCFC-22 qui sont en cours de discussion devraient être adoptées courant de l’année prochaine et cela </w:t>
      </w:r>
      <w:r w:rsidR="00700DB2">
        <w:rPr>
          <w:lang w:val="fr"/>
        </w:rPr>
        <w:t xml:space="preserve">devrait encore </w:t>
      </w:r>
      <w:r>
        <w:rPr>
          <w:lang w:val="fr"/>
        </w:rPr>
        <w:t>renforcer la pérennité de la récupération, du recyclage et de la régénération.</w:t>
      </w:r>
    </w:p>
    <w:p w14:paraId="283B1736" w14:textId="77777777" w:rsidR="00C62024" w:rsidRPr="002F2AA8" w:rsidRDefault="00C62024" w:rsidP="00C62024">
      <w:pPr>
        <w:keepNext/>
        <w:spacing w:after="240"/>
        <w:rPr>
          <w:i/>
          <w:iCs/>
          <w:u w:val="single"/>
        </w:rPr>
      </w:pPr>
      <w:r>
        <w:rPr>
          <w:i/>
          <w:iCs/>
          <w:u w:val="single"/>
          <w:lang w:val="fr"/>
        </w:rPr>
        <w:t>Certification de techniciens</w:t>
      </w:r>
    </w:p>
    <w:p w14:paraId="7DF63D64" w14:textId="13791B3D" w:rsidR="00C62024" w:rsidRPr="00C62024" w:rsidRDefault="00C62024" w:rsidP="00C62024">
      <w:pPr>
        <w:pStyle w:val="Heading1"/>
        <w:rPr>
          <w:lang w:val="fr-FR"/>
        </w:rPr>
      </w:pPr>
      <w:r>
        <w:rPr>
          <w:lang w:val="fr"/>
        </w:rPr>
        <w:t xml:space="preserve">Le PNUE a informé le Secrétariat que le Koweït a mis en place un cadre de certification pour les techniciens d’entretien </w:t>
      </w:r>
      <w:r w:rsidR="00C919F1">
        <w:rPr>
          <w:lang w:val="fr"/>
        </w:rPr>
        <w:t>en</w:t>
      </w:r>
      <w:r>
        <w:rPr>
          <w:lang w:val="fr"/>
        </w:rPr>
        <w:t xml:space="preserve"> réfrigération et de climatisation. Une base de données des ateliers a été créée, et le </w:t>
      </w:r>
      <w:proofErr w:type="gramStart"/>
      <w:r>
        <w:rPr>
          <w:lang w:val="fr"/>
        </w:rPr>
        <w:t>Ministère des municipalités</w:t>
      </w:r>
      <w:proofErr w:type="gramEnd"/>
      <w:r>
        <w:rPr>
          <w:lang w:val="fr"/>
        </w:rPr>
        <w:t xml:space="preserve"> est responsable de leur enregistrement et de leurs permis. Des activités de sensibilisation sont aussi entreprises afin de promouvoir la certification des techniciens et le recours à de techniciens certifiés pour la maintenant et l’entretien des équipements.</w:t>
      </w:r>
    </w:p>
    <w:p w14:paraId="6A9E302B" w14:textId="77777777" w:rsidR="00C62024" w:rsidRPr="002F2AA8" w:rsidRDefault="00C62024" w:rsidP="00C62024">
      <w:pPr>
        <w:keepNext/>
        <w:spacing w:after="240"/>
        <w:rPr>
          <w:i/>
          <w:iCs/>
          <w:u w:val="single"/>
        </w:rPr>
      </w:pPr>
      <w:r>
        <w:rPr>
          <w:i/>
          <w:iCs/>
          <w:u w:val="single"/>
          <w:lang w:val="fr"/>
        </w:rPr>
        <w:t>Formation de techniciens d’entretien</w:t>
      </w:r>
    </w:p>
    <w:p w14:paraId="51AAD1CA" w14:textId="77777777" w:rsidR="00C62024" w:rsidRPr="00C62024" w:rsidRDefault="00C62024" w:rsidP="00C62024">
      <w:pPr>
        <w:pStyle w:val="Heading1"/>
        <w:rPr>
          <w:lang w:val="fr-FR"/>
        </w:rPr>
      </w:pPr>
      <w:r>
        <w:rPr>
          <w:lang w:val="fr"/>
        </w:rPr>
        <w:t>Le PNUE a expliqué que durant la première tranche, des consultants ont été embauchés pour mettre à jour le programme de l’éducation nationale et des centres de formation professionnelle pour englober tous les aspects liés à l’utilisation de frigorigènes de remplacement. Le solde des fonds sera utilisé pour développer un programme à jour pour la formation des techniciens d’entretien en réfrigération et climatisation en se basant sur les modules pédagogiques du PNUE.</w:t>
      </w:r>
    </w:p>
    <w:p w14:paraId="213F0901" w14:textId="7F1B5F84" w:rsidR="00C62024" w:rsidRPr="00C62024" w:rsidRDefault="00C62024" w:rsidP="00C62024">
      <w:pPr>
        <w:pStyle w:val="Heading1"/>
        <w:rPr>
          <w:lang w:val="fr-FR"/>
        </w:rPr>
      </w:pPr>
      <w:r>
        <w:rPr>
          <w:lang w:val="fr"/>
        </w:rPr>
        <w:t xml:space="preserve">Concernant la mise à jour des plans de cours dans chaque gouvernorat, le PNUE a expliqué qu’il devrait y avoir un plan de cours standard dans le pays traitant des bonnes pratiques d’entretien et de la manipulation en sécurité des frigorigènes de remplacement, y compris les frigorigènes inflammables, </w:t>
      </w:r>
      <w:r w:rsidR="00682149">
        <w:rPr>
          <w:lang w:val="fr"/>
        </w:rPr>
        <w:t>sous</w:t>
      </w:r>
      <w:r>
        <w:rPr>
          <w:lang w:val="fr"/>
        </w:rPr>
        <w:t xml:space="preserve"> haute pression ou toxiques. La mise à jour proposée se fera au niveau central avec l’Autorité de l’éducation appliquée et sera applicable au niveau national. En outre, l’UNO prévoit de mettre à jour ses normes </w:t>
      </w:r>
      <w:r w:rsidR="00D51F35">
        <w:rPr>
          <w:lang w:val="fr"/>
        </w:rPr>
        <w:t xml:space="preserve">nationales </w:t>
      </w:r>
      <w:r>
        <w:rPr>
          <w:lang w:val="fr"/>
        </w:rPr>
        <w:t xml:space="preserve">de compétence professionnelle et le cadre de qualification nationale afin d’y intégrer les bonnes pratiques d’entretien et la manipulation en sécurité des frigorigènes de remplacement qui sont inflammables, </w:t>
      </w:r>
      <w:r w:rsidR="00682149">
        <w:rPr>
          <w:lang w:val="fr"/>
        </w:rPr>
        <w:t xml:space="preserve">sous </w:t>
      </w:r>
      <w:r>
        <w:rPr>
          <w:lang w:val="fr"/>
        </w:rPr>
        <w:t>haute pression ou toxiques.</w:t>
      </w:r>
    </w:p>
    <w:bookmarkEnd w:id="3"/>
    <w:p w14:paraId="0A491DF2" w14:textId="77777777" w:rsidR="00C62024" w:rsidRPr="00C62024" w:rsidRDefault="00C62024" w:rsidP="00C62024">
      <w:pPr>
        <w:keepNext/>
        <w:spacing w:after="240"/>
        <w:rPr>
          <w:u w:val="single"/>
          <w:lang w:val="fr-FR"/>
        </w:rPr>
      </w:pPr>
      <w:r>
        <w:rPr>
          <w:u w:val="single"/>
          <w:lang w:val="fr"/>
        </w:rPr>
        <w:t>Mise en œuvre de la politique d’égalité des genres</w:t>
      </w:r>
    </w:p>
    <w:p w14:paraId="320E7155" w14:textId="26C97387" w:rsidR="00C62024" w:rsidRPr="00C62024" w:rsidRDefault="00C62024" w:rsidP="00C62024">
      <w:pPr>
        <w:pStyle w:val="Heading1"/>
        <w:rPr>
          <w:i/>
          <w:lang w:val="fr-FR"/>
        </w:rPr>
      </w:pPr>
      <w:r>
        <w:rPr>
          <w:lang w:val="fr"/>
        </w:rPr>
        <w:t xml:space="preserve">Conformément aux décisions 84/92, 90/48(c) et 92/40(b), l’intégration de l’égalité des genres est incorporée dans toutes les activités du PGEH. Durant la mise en œuvre de la phase II du PGEH, l’UNO mettra tout en œuvre pour collecter des données ventilées par genre et des informations afin de suivre et de communiquer sur le genre en fonction des objectifs fixés et des indicateurs pour les projets du Fonds </w:t>
      </w:r>
      <w:r>
        <w:rPr>
          <w:lang w:val="fr"/>
        </w:rPr>
        <w:lastRenderedPageBreak/>
        <w:t>multilatéral.</w:t>
      </w:r>
      <w:r>
        <w:rPr>
          <w:rStyle w:val="FootnoteReference"/>
          <w:lang w:val="fr"/>
        </w:rPr>
        <w:footnoteReference w:id="3"/>
      </w:r>
      <w:r>
        <w:rPr>
          <w:lang w:val="fr"/>
        </w:rPr>
        <w:t xml:space="preserve"> Les formations et les réunions sur les problèmes liés à l’ozone continueront à intégrer des sessions sur le genre afin de sensibiliser les participants à l’importance de l’intégration des questions de genre, à la participation des femmes et à leur autonomisation.  Deux consultantes ont été embauchées durant la première tranche de la phase II. Tout au long de la mise en œuvre du projet, le personnel sera sensibilisé aux aspects d’intégration des questions de genre et encouragé à prendre des mesures pour maximiser la participation des femmes à la conception des projets et à la mise en œuvre des activités.</w:t>
      </w:r>
    </w:p>
    <w:p w14:paraId="6F1E87FE" w14:textId="77777777" w:rsidR="00C62024" w:rsidRPr="00C62024" w:rsidRDefault="00C62024" w:rsidP="00C62024">
      <w:pPr>
        <w:pStyle w:val="NormalWeb"/>
        <w:keepNext/>
        <w:rPr>
          <w:sz w:val="22"/>
          <w:szCs w:val="22"/>
          <w:u w:val="single"/>
          <w:lang w:val="fr-FR"/>
        </w:rPr>
      </w:pPr>
      <w:r>
        <w:rPr>
          <w:sz w:val="22"/>
          <w:szCs w:val="22"/>
          <w:u w:val="single"/>
          <w:lang w:val="fr"/>
        </w:rPr>
        <w:t>Pérennité de l’élimination des HCFC et évaluation des risques</w:t>
      </w:r>
    </w:p>
    <w:p w14:paraId="01540B5F" w14:textId="5330EEDD" w:rsidR="00C62024" w:rsidRPr="00C62024" w:rsidRDefault="00C62024" w:rsidP="00C62024">
      <w:pPr>
        <w:pStyle w:val="Heading1"/>
        <w:rPr>
          <w:lang w:val="fr-FR"/>
        </w:rPr>
      </w:pPr>
      <w:r>
        <w:rPr>
          <w:lang w:val="fr"/>
        </w:rPr>
        <w:t>Le Gouvernement du Koweït continuera à renforcer son système d’octroi de licences et de quotas pour les importations et les exportations de HCFC</w:t>
      </w:r>
      <w:r w:rsidR="00153A2E">
        <w:rPr>
          <w:lang w:val="fr"/>
        </w:rPr>
        <w:t>, y compris les interdictions afférentes</w:t>
      </w:r>
      <w:r>
        <w:rPr>
          <w:lang w:val="fr"/>
        </w:rPr>
        <w:t xml:space="preserve">. Des formations supplémentaires seront fournies aux techniciens d’entretien sur les bonnes pratiques d’entretien, et le programme de formation sera renforcé pour une formation durable aux bonnes pratiques d’entretien et l’adoption en sécurité des substances de remplacement, comme demandé. Le </w:t>
      </w:r>
      <w:r w:rsidR="000471A6">
        <w:rPr>
          <w:lang w:val="fr"/>
        </w:rPr>
        <w:t>G</w:t>
      </w:r>
      <w:r>
        <w:rPr>
          <w:lang w:val="fr"/>
        </w:rPr>
        <w:t>ouvernement continuera à renforcer la mise en œuvre du programme de récupération, de recyclage et de régénération d</w:t>
      </w:r>
      <w:r w:rsidR="006D068C">
        <w:rPr>
          <w:lang w:val="fr"/>
        </w:rPr>
        <w:t>u</w:t>
      </w:r>
      <w:r>
        <w:rPr>
          <w:lang w:val="fr"/>
        </w:rPr>
        <w:t xml:space="preserve"> HCFC-22. En outre, il </w:t>
      </w:r>
      <w:r w:rsidR="00005982">
        <w:rPr>
          <w:lang w:val="fr"/>
        </w:rPr>
        <w:t>prévoit aussi</w:t>
      </w:r>
      <w:r>
        <w:rPr>
          <w:lang w:val="fr"/>
        </w:rPr>
        <w:t xml:space="preserve"> de mettre en œuvre des mesures pour promouvoir l’adoption de technologies de remplacement à faible PRP, y compris des normes pour les produits de réfrigération et de climatisation et des directives pour la gestion de la fin de vie des équipements. Ces mesures garantiront non seulement une adoption plus rapide de frigorigènes de remplacement durables, mais promouvront aussi la gestion du cycle de vie des frigorigènes. En outre, le Gouvernement échangera étroitement avec les autorités nationales réglementaires, le secteur de l’entretien et d’autres parties prenantes nationales sur la mise en œuvre des différentes activités </w:t>
      </w:r>
      <w:r w:rsidR="00696DB8">
        <w:rPr>
          <w:lang w:val="fr"/>
        </w:rPr>
        <w:t>au titre</w:t>
      </w:r>
      <w:r>
        <w:rPr>
          <w:lang w:val="fr"/>
        </w:rPr>
        <w:t xml:space="preserve"> de la phase II du PGEH. Enfin, avec la récente approbation de l’Amendement de Kigali, le Gouvernement développera des plans pour l’adoption </w:t>
      </w:r>
      <w:r w:rsidR="004C2A62">
        <w:rPr>
          <w:lang w:val="fr"/>
        </w:rPr>
        <w:t>de substances de remplacement</w:t>
      </w:r>
      <w:r>
        <w:rPr>
          <w:lang w:val="fr"/>
        </w:rPr>
        <w:t xml:space="preserve"> durables et pour </w:t>
      </w:r>
      <w:r w:rsidR="00A035C5">
        <w:rPr>
          <w:lang w:val="fr"/>
        </w:rPr>
        <w:t>la minimisation</w:t>
      </w:r>
      <w:r>
        <w:rPr>
          <w:lang w:val="fr"/>
        </w:rPr>
        <w:t xml:space="preserve"> </w:t>
      </w:r>
      <w:r w:rsidR="00A035C5">
        <w:rPr>
          <w:lang w:val="fr"/>
        </w:rPr>
        <w:t>d</w:t>
      </w:r>
      <w:r>
        <w:rPr>
          <w:lang w:val="fr"/>
        </w:rPr>
        <w:t>es risques de dépendance continue aux équipements utilisant des HCFC et des HFC.</w:t>
      </w:r>
    </w:p>
    <w:p w14:paraId="1044E4CD" w14:textId="77777777" w:rsidR="00C62024" w:rsidRPr="0034371D" w:rsidRDefault="00C62024" w:rsidP="00C62024">
      <w:pPr>
        <w:keepNext/>
        <w:spacing w:before="240" w:after="240"/>
        <w:rPr>
          <w:u w:val="single"/>
        </w:rPr>
      </w:pPr>
      <w:r>
        <w:rPr>
          <w:u w:val="single"/>
          <w:lang w:val="fr"/>
        </w:rPr>
        <w:t>Conclusion</w:t>
      </w:r>
    </w:p>
    <w:p w14:paraId="3E0A432C" w14:textId="44506EE3" w:rsidR="00C62024" w:rsidRPr="00C62024" w:rsidRDefault="00C62024" w:rsidP="00C62024">
      <w:pPr>
        <w:pStyle w:val="Heading1"/>
        <w:rPr>
          <w:lang w:val="fr-FR"/>
        </w:rPr>
      </w:pPr>
      <w:r>
        <w:rPr>
          <w:lang w:val="fr"/>
        </w:rPr>
        <w:t xml:space="preserve">Le gouvernement du Koweït </w:t>
      </w:r>
      <w:r w:rsidR="005D5E7E">
        <w:rPr>
          <w:lang w:val="fr"/>
        </w:rPr>
        <w:t>a mis</w:t>
      </w:r>
      <w:r>
        <w:rPr>
          <w:lang w:val="fr"/>
        </w:rPr>
        <w:t xml:space="preserve"> en place un système d’octroi de licences et de quotas pour les importations et les exportations de HCFC et reste en conformité avec le Protocole de Montréal et les objectifs fixés dans l’Accord conclu avec le Comité exécutif. Les quotas de HCFC pour 2024 s’élèvent à 158,24 tonnes PAO (67,4 pour cent de la consommation </w:t>
      </w:r>
      <w:r w:rsidR="00B07247">
        <w:rPr>
          <w:lang w:val="fr"/>
        </w:rPr>
        <w:t>m</w:t>
      </w:r>
      <w:r>
        <w:rPr>
          <w:lang w:val="fr"/>
        </w:rPr>
        <w:t>aximale admissible pour cette année). Le taux de décaissement de la première tranche s’élève à 58,5 </w:t>
      </w:r>
      <w:r w:rsidR="005D463B">
        <w:rPr>
          <w:lang w:val="fr"/>
        </w:rPr>
        <w:t>pour cent</w:t>
      </w:r>
      <w:r>
        <w:rPr>
          <w:lang w:val="fr"/>
        </w:rPr>
        <w:t xml:space="preserve"> des fonds approuvés. Durant la deuxième tranche du PGEH, le Koweït continuera à mettre en œuvre des mesures de renforcement de la supervision et du contrôle des HCFC, y compris un système d’octroi de licences électroniques, </w:t>
      </w:r>
      <w:r w:rsidR="00DC5480">
        <w:rPr>
          <w:lang w:val="fr"/>
        </w:rPr>
        <w:t>à</w:t>
      </w:r>
      <w:r>
        <w:rPr>
          <w:lang w:val="fr"/>
        </w:rPr>
        <w:t xml:space="preserve"> m</w:t>
      </w:r>
      <w:r w:rsidR="00DC5480">
        <w:rPr>
          <w:lang w:val="fr"/>
        </w:rPr>
        <w:t xml:space="preserve">ettre </w:t>
      </w:r>
      <w:r>
        <w:rPr>
          <w:lang w:val="fr"/>
        </w:rPr>
        <w:t xml:space="preserve">en œuvre une certification des techniciens d’entretien, et la formation et le renforcement de la capacité des techniciens d’entretien, des formateurs et des examinateurs, </w:t>
      </w:r>
      <w:r w:rsidR="001272AE">
        <w:rPr>
          <w:lang w:val="fr"/>
        </w:rPr>
        <w:t xml:space="preserve">à sensibiliser </w:t>
      </w:r>
      <w:r>
        <w:rPr>
          <w:lang w:val="fr"/>
        </w:rPr>
        <w:t xml:space="preserve">et </w:t>
      </w:r>
      <w:r w:rsidR="001272AE">
        <w:rPr>
          <w:lang w:val="fr"/>
        </w:rPr>
        <w:t xml:space="preserve">à mener </w:t>
      </w:r>
      <w:r>
        <w:rPr>
          <w:lang w:val="fr"/>
        </w:rPr>
        <w:t xml:space="preserve">un travail de proximité sur le PGEH, et </w:t>
      </w:r>
      <w:r w:rsidR="00D53C8B">
        <w:rPr>
          <w:lang w:val="fr"/>
        </w:rPr>
        <w:t>à</w:t>
      </w:r>
      <w:r>
        <w:rPr>
          <w:lang w:val="fr"/>
        </w:rPr>
        <w:t xml:space="preserve"> développe</w:t>
      </w:r>
      <w:r w:rsidR="00D53C8B">
        <w:rPr>
          <w:lang w:val="fr"/>
        </w:rPr>
        <w:t>r</w:t>
      </w:r>
      <w:r>
        <w:rPr>
          <w:lang w:val="fr"/>
        </w:rPr>
        <w:t xml:space="preserve"> et </w:t>
      </w:r>
      <w:r w:rsidR="00D53C8B">
        <w:rPr>
          <w:lang w:val="fr"/>
        </w:rPr>
        <w:t xml:space="preserve">à </w:t>
      </w:r>
      <w:r>
        <w:rPr>
          <w:lang w:val="fr"/>
        </w:rPr>
        <w:t>introdu</w:t>
      </w:r>
      <w:r w:rsidR="00D53C8B">
        <w:rPr>
          <w:lang w:val="fr"/>
        </w:rPr>
        <w:t>ire</w:t>
      </w:r>
      <w:r>
        <w:rPr>
          <w:lang w:val="fr"/>
        </w:rPr>
        <w:t xml:space="preserve"> de</w:t>
      </w:r>
      <w:r w:rsidR="004603F7">
        <w:rPr>
          <w:lang w:val="fr"/>
        </w:rPr>
        <w:t>s</w:t>
      </w:r>
      <w:r>
        <w:rPr>
          <w:lang w:val="fr"/>
        </w:rPr>
        <w:t xml:space="preserve"> normes relatives aux SAO, aux équipements de réfrigération et de climatisation et à l’utilisation de frigorigènes inflammables dans le secteur de l’entretien. Ces activités faciliteront la réduction de la consommation de HCFC et serviront de catalyseurs pour l’adoption de substances de remplacement. Le Koweït </w:t>
      </w:r>
      <w:r w:rsidR="001A55EA">
        <w:rPr>
          <w:lang w:val="fr"/>
        </w:rPr>
        <w:t xml:space="preserve">devrait </w:t>
      </w:r>
      <w:r w:rsidR="00DE0126">
        <w:rPr>
          <w:lang w:val="fr"/>
        </w:rPr>
        <w:t>remplir</w:t>
      </w:r>
      <w:r>
        <w:rPr>
          <w:lang w:val="fr"/>
        </w:rPr>
        <w:t xml:space="preserve"> ses objectifs 2025 en mettant en vigueur de manière stricte le système d’octroi de licences et de quotas, </w:t>
      </w:r>
      <w:r w:rsidR="00DF4508">
        <w:rPr>
          <w:lang w:val="fr"/>
        </w:rPr>
        <w:t xml:space="preserve">en </w:t>
      </w:r>
      <w:r>
        <w:rPr>
          <w:lang w:val="fr"/>
        </w:rPr>
        <w:t xml:space="preserve">améliorant la capacité du secteur de l’entretien en réfrigération et climatisation afin de minimiser les consommations inutiles et les fuites, </w:t>
      </w:r>
      <w:r w:rsidR="0059726A">
        <w:rPr>
          <w:lang w:val="fr"/>
        </w:rPr>
        <w:t>en promouvant</w:t>
      </w:r>
      <w:r>
        <w:rPr>
          <w:lang w:val="fr"/>
        </w:rPr>
        <w:t xml:space="preserve"> la récupération, le recyclage et la régénération des HCFC, et </w:t>
      </w:r>
      <w:r w:rsidR="00A55A98">
        <w:rPr>
          <w:lang w:val="fr"/>
        </w:rPr>
        <w:t xml:space="preserve">en </w:t>
      </w:r>
      <w:r>
        <w:rPr>
          <w:lang w:val="fr"/>
        </w:rPr>
        <w:t>incit</w:t>
      </w:r>
      <w:r w:rsidR="00A55A98">
        <w:rPr>
          <w:lang w:val="fr"/>
        </w:rPr>
        <w:t>ant</w:t>
      </w:r>
      <w:r>
        <w:rPr>
          <w:lang w:val="fr"/>
        </w:rPr>
        <w:t xml:space="preserve"> à l’adoption de frigorigènes et de technologies de remplacement. Avec une réduction supplémentaire d’environ 11,00 tonnes PAO de HCFC-22 par rapport à la consommation déclarée en 2023 de 147,03 tonnes PAO principalement utilisée dans le secteur de l’entretien, le Koweït peut effectivement atteindre ses objectifs.</w:t>
      </w:r>
    </w:p>
    <w:p w14:paraId="2ABFC4E4" w14:textId="77777777" w:rsidR="00C62024" w:rsidRDefault="00C62024" w:rsidP="00C62024">
      <w:pPr>
        <w:keepNext/>
        <w:spacing w:before="240" w:after="240"/>
        <w:rPr>
          <w:b/>
        </w:rPr>
      </w:pPr>
      <w:r>
        <w:rPr>
          <w:b/>
          <w:bCs/>
          <w:lang w:val="fr"/>
        </w:rPr>
        <w:lastRenderedPageBreak/>
        <w:t>RECOMMANDATION</w:t>
      </w:r>
    </w:p>
    <w:p w14:paraId="19F12F27" w14:textId="77777777" w:rsidR="00C62024" w:rsidRPr="00C62024" w:rsidRDefault="00C62024" w:rsidP="00C62024">
      <w:pPr>
        <w:pStyle w:val="Heading1"/>
        <w:rPr>
          <w:lang w:val="fr-FR"/>
        </w:rPr>
      </w:pPr>
      <w:bookmarkStart w:id="4" w:name="_Hlk122622077"/>
      <w:r>
        <w:rPr>
          <w:lang w:val="fr"/>
        </w:rPr>
        <w:t>Le Secrétariat du Fonds recommande que le Comité exécutif prenne note du rapport périodique sur la mise en œuvre de la première tranche de la phase II du plan de gestion de l’élimination du HCFC (PGEH) pour le Koweït, et recommande en outre l’approbation globale de la deuxième tranche de la phase II du PGEH et du plan correspondant de mise en œuvre de la tranche pour 2024-2026, au niveau de financement figurant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62024" w:rsidRPr="004E2F63" w14:paraId="57F82D54" w14:textId="77777777" w:rsidTr="0002744E">
        <w:trPr>
          <w:tblHeader/>
        </w:trPr>
        <w:tc>
          <w:tcPr>
            <w:tcW w:w="293" w:type="pct"/>
          </w:tcPr>
          <w:p w14:paraId="54AABA37" w14:textId="77777777" w:rsidR="00C62024" w:rsidRPr="00C62024" w:rsidRDefault="00C62024" w:rsidP="0002744E">
            <w:pPr>
              <w:keepNext/>
              <w:jc w:val="center"/>
              <w:rPr>
                <w:b/>
                <w:bCs/>
                <w:sz w:val="20"/>
                <w:szCs w:val="20"/>
                <w:lang w:val="fr-FR"/>
              </w:rPr>
            </w:pPr>
          </w:p>
        </w:tc>
        <w:tc>
          <w:tcPr>
            <w:tcW w:w="2337" w:type="pct"/>
          </w:tcPr>
          <w:p w14:paraId="34B6C206" w14:textId="77777777" w:rsidR="00C62024" w:rsidRPr="004E2F63" w:rsidRDefault="00C62024" w:rsidP="0002744E">
            <w:pPr>
              <w:keepNext/>
              <w:jc w:val="center"/>
              <w:rPr>
                <w:b/>
                <w:bCs/>
                <w:sz w:val="20"/>
                <w:szCs w:val="20"/>
              </w:rPr>
            </w:pPr>
            <w:r>
              <w:rPr>
                <w:b/>
                <w:bCs/>
                <w:sz w:val="20"/>
                <w:szCs w:val="20"/>
                <w:lang w:val="fr"/>
              </w:rPr>
              <w:t>Titre du projet</w:t>
            </w:r>
          </w:p>
        </w:tc>
        <w:tc>
          <w:tcPr>
            <w:tcW w:w="790" w:type="pct"/>
            <w:tcMar>
              <w:left w:w="29" w:type="dxa"/>
              <w:right w:w="29" w:type="dxa"/>
            </w:tcMar>
          </w:tcPr>
          <w:p w14:paraId="623E2530" w14:textId="77777777" w:rsidR="00C62024" w:rsidRPr="004E2F63" w:rsidRDefault="00C62024" w:rsidP="0002744E">
            <w:pPr>
              <w:keepNext/>
              <w:jc w:val="center"/>
              <w:rPr>
                <w:b/>
                <w:bCs/>
                <w:sz w:val="20"/>
                <w:szCs w:val="20"/>
              </w:rPr>
            </w:pPr>
            <w:r>
              <w:rPr>
                <w:b/>
                <w:bCs/>
                <w:sz w:val="20"/>
                <w:szCs w:val="20"/>
                <w:lang w:val="fr"/>
              </w:rPr>
              <w:t>Financement du projet ($ US)</w:t>
            </w:r>
          </w:p>
        </w:tc>
        <w:tc>
          <w:tcPr>
            <w:tcW w:w="747" w:type="pct"/>
            <w:tcMar>
              <w:left w:w="29" w:type="dxa"/>
              <w:right w:w="29" w:type="dxa"/>
            </w:tcMar>
          </w:tcPr>
          <w:p w14:paraId="05258772" w14:textId="77777777" w:rsidR="00C62024" w:rsidRPr="004E2F63" w:rsidRDefault="00C62024" w:rsidP="0002744E">
            <w:pPr>
              <w:keepNext/>
              <w:jc w:val="center"/>
              <w:rPr>
                <w:b/>
                <w:bCs/>
                <w:sz w:val="20"/>
                <w:szCs w:val="20"/>
              </w:rPr>
            </w:pPr>
            <w:r>
              <w:rPr>
                <w:b/>
                <w:bCs/>
                <w:sz w:val="20"/>
                <w:szCs w:val="20"/>
                <w:lang w:val="fr"/>
              </w:rPr>
              <w:t>Coûts d’appui ($ US)</w:t>
            </w:r>
          </w:p>
        </w:tc>
        <w:tc>
          <w:tcPr>
            <w:tcW w:w="833" w:type="pct"/>
            <w:tcBorders>
              <w:bottom w:val="single" w:sz="4" w:space="0" w:color="auto"/>
            </w:tcBorders>
            <w:tcMar>
              <w:left w:w="29" w:type="dxa"/>
              <w:right w:w="29" w:type="dxa"/>
            </w:tcMar>
          </w:tcPr>
          <w:p w14:paraId="0BC9CE33" w14:textId="77777777" w:rsidR="00C62024" w:rsidRPr="004E2F63" w:rsidRDefault="00C62024" w:rsidP="0002744E">
            <w:pPr>
              <w:keepNext/>
              <w:jc w:val="center"/>
              <w:rPr>
                <w:b/>
                <w:bCs/>
                <w:sz w:val="20"/>
                <w:szCs w:val="20"/>
              </w:rPr>
            </w:pPr>
            <w:r>
              <w:rPr>
                <w:b/>
                <w:bCs/>
                <w:sz w:val="20"/>
                <w:szCs w:val="20"/>
                <w:lang w:val="fr"/>
              </w:rPr>
              <w:t>Agence d’exécution</w:t>
            </w:r>
          </w:p>
        </w:tc>
      </w:tr>
      <w:tr w:rsidR="00C62024" w:rsidRPr="004E2F63" w14:paraId="473A94F4" w14:textId="77777777" w:rsidTr="0002744E">
        <w:tc>
          <w:tcPr>
            <w:tcW w:w="293" w:type="pct"/>
          </w:tcPr>
          <w:p w14:paraId="66EFCF32" w14:textId="77777777" w:rsidR="00C62024" w:rsidRPr="004E2F63" w:rsidRDefault="00C62024" w:rsidP="0002744E">
            <w:pPr>
              <w:keepNext/>
              <w:rPr>
                <w:sz w:val="20"/>
                <w:szCs w:val="20"/>
              </w:rPr>
            </w:pPr>
            <w:r>
              <w:rPr>
                <w:sz w:val="20"/>
                <w:szCs w:val="20"/>
                <w:lang w:val="fr"/>
              </w:rPr>
              <w:t>(</w:t>
            </w:r>
            <w:proofErr w:type="gramStart"/>
            <w:r>
              <w:rPr>
                <w:sz w:val="20"/>
                <w:szCs w:val="20"/>
                <w:lang w:val="fr"/>
              </w:rPr>
              <w:t>a</w:t>
            </w:r>
            <w:proofErr w:type="gramEnd"/>
            <w:r>
              <w:rPr>
                <w:sz w:val="20"/>
                <w:szCs w:val="20"/>
                <w:lang w:val="fr"/>
              </w:rPr>
              <w:t>)</w:t>
            </w:r>
          </w:p>
        </w:tc>
        <w:tc>
          <w:tcPr>
            <w:tcW w:w="2337" w:type="pct"/>
          </w:tcPr>
          <w:p w14:paraId="18ECAFA5" w14:textId="77777777" w:rsidR="00C62024" w:rsidRPr="00C62024" w:rsidRDefault="00C62024" w:rsidP="0002744E">
            <w:pPr>
              <w:keepNext/>
              <w:jc w:val="left"/>
              <w:rPr>
                <w:sz w:val="20"/>
                <w:szCs w:val="20"/>
                <w:lang w:val="fr-FR"/>
              </w:rPr>
            </w:pPr>
            <w:r>
              <w:rPr>
                <w:sz w:val="20"/>
                <w:szCs w:val="20"/>
                <w:lang w:val="fr"/>
              </w:rPr>
              <w:t>Plan de gestion de l’élimination des HCFC (phase II, deuxième tranche)</w:t>
            </w:r>
          </w:p>
        </w:tc>
        <w:tc>
          <w:tcPr>
            <w:tcW w:w="790" w:type="pct"/>
          </w:tcPr>
          <w:p w14:paraId="4B1B17CB" w14:textId="77777777" w:rsidR="00C62024" w:rsidRPr="004E2F63" w:rsidRDefault="00C62024" w:rsidP="0002744E">
            <w:pPr>
              <w:keepNext/>
              <w:jc w:val="right"/>
              <w:rPr>
                <w:sz w:val="20"/>
                <w:szCs w:val="20"/>
                <w:highlight w:val="cyan"/>
              </w:rPr>
            </w:pPr>
            <w:r>
              <w:rPr>
                <w:sz w:val="20"/>
                <w:szCs w:val="20"/>
                <w:lang w:val="fr"/>
              </w:rPr>
              <w:t>1 013 560</w:t>
            </w:r>
          </w:p>
        </w:tc>
        <w:tc>
          <w:tcPr>
            <w:tcW w:w="747" w:type="pct"/>
          </w:tcPr>
          <w:p w14:paraId="696CB231" w14:textId="77777777" w:rsidR="00C62024" w:rsidRPr="004E2F63" w:rsidRDefault="00C62024" w:rsidP="0002744E">
            <w:pPr>
              <w:keepNext/>
              <w:jc w:val="right"/>
              <w:rPr>
                <w:sz w:val="20"/>
                <w:szCs w:val="20"/>
              </w:rPr>
            </w:pPr>
            <w:r>
              <w:rPr>
                <w:sz w:val="20"/>
                <w:szCs w:val="20"/>
                <w:lang w:val="fr"/>
              </w:rPr>
              <w:t>116 682</w:t>
            </w:r>
          </w:p>
        </w:tc>
        <w:tc>
          <w:tcPr>
            <w:tcW w:w="833" w:type="pct"/>
            <w:tcBorders>
              <w:top w:val="single" w:sz="4" w:space="0" w:color="auto"/>
            </w:tcBorders>
            <w:shd w:val="clear" w:color="auto" w:fill="auto"/>
          </w:tcPr>
          <w:p w14:paraId="09FCEDC7" w14:textId="77777777" w:rsidR="00C62024" w:rsidRPr="004E2F63" w:rsidRDefault="00C62024" w:rsidP="0002744E">
            <w:pPr>
              <w:keepNext/>
              <w:jc w:val="center"/>
              <w:rPr>
                <w:sz w:val="20"/>
                <w:szCs w:val="20"/>
              </w:rPr>
            </w:pPr>
            <w:r>
              <w:rPr>
                <w:sz w:val="20"/>
                <w:szCs w:val="20"/>
                <w:lang w:val="fr"/>
              </w:rPr>
              <w:t>PNUE</w:t>
            </w:r>
          </w:p>
        </w:tc>
      </w:tr>
      <w:tr w:rsidR="00C62024" w:rsidRPr="004E2F63" w14:paraId="3E474540" w14:textId="77777777" w:rsidTr="0002744E">
        <w:tc>
          <w:tcPr>
            <w:tcW w:w="293" w:type="pct"/>
          </w:tcPr>
          <w:p w14:paraId="2D712E2E" w14:textId="77777777" w:rsidR="00C62024" w:rsidRPr="004E2F63" w:rsidRDefault="00C62024" w:rsidP="0002744E">
            <w:pPr>
              <w:rPr>
                <w:sz w:val="20"/>
                <w:szCs w:val="20"/>
              </w:rPr>
            </w:pPr>
            <w:r>
              <w:rPr>
                <w:sz w:val="20"/>
                <w:szCs w:val="20"/>
                <w:lang w:val="fr"/>
              </w:rPr>
              <w:t>(</w:t>
            </w:r>
            <w:proofErr w:type="gramStart"/>
            <w:r>
              <w:rPr>
                <w:sz w:val="20"/>
                <w:szCs w:val="20"/>
                <w:lang w:val="fr"/>
              </w:rPr>
              <w:t>b</w:t>
            </w:r>
            <w:proofErr w:type="gramEnd"/>
            <w:r>
              <w:rPr>
                <w:sz w:val="20"/>
                <w:szCs w:val="20"/>
                <w:lang w:val="fr"/>
              </w:rPr>
              <w:t>)</w:t>
            </w:r>
          </w:p>
        </w:tc>
        <w:tc>
          <w:tcPr>
            <w:tcW w:w="2337" w:type="pct"/>
          </w:tcPr>
          <w:p w14:paraId="6A0576DF" w14:textId="77777777" w:rsidR="00C62024" w:rsidRPr="00C62024" w:rsidRDefault="00C62024" w:rsidP="0002744E">
            <w:pPr>
              <w:jc w:val="left"/>
              <w:rPr>
                <w:sz w:val="20"/>
                <w:szCs w:val="20"/>
                <w:lang w:val="fr-FR"/>
              </w:rPr>
            </w:pPr>
            <w:r>
              <w:rPr>
                <w:sz w:val="20"/>
                <w:szCs w:val="20"/>
                <w:lang w:val="fr"/>
              </w:rPr>
              <w:t>Plan de gestion de l’élimination des HCFC (phase II, deuxième tranche)</w:t>
            </w:r>
          </w:p>
        </w:tc>
        <w:tc>
          <w:tcPr>
            <w:tcW w:w="790" w:type="pct"/>
          </w:tcPr>
          <w:p w14:paraId="6EAE32E2" w14:textId="77777777" w:rsidR="00C62024" w:rsidRPr="004E2F63" w:rsidRDefault="00C62024" w:rsidP="0002744E">
            <w:pPr>
              <w:jc w:val="right"/>
              <w:rPr>
                <w:sz w:val="20"/>
                <w:szCs w:val="20"/>
                <w:highlight w:val="cyan"/>
              </w:rPr>
            </w:pPr>
            <w:r>
              <w:rPr>
                <w:sz w:val="20"/>
                <w:szCs w:val="20"/>
                <w:lang w:val="fr"/>
              </w:rPr>
              <w:t>287 600</w:t>
            </w:r>
          </w:p>
        </w:tc>
        <w:tc>
          <w:tcPr>
            <w:tcW w:w="747" w:type="pct"/>
          </w:tcPr>
          <w:p w14:paraId="2BE2FB31" w14:textId="77777777" w:rsidR="00C62024" w:rsidRPr="004E2F63" w:rsidRDefault="00C62024" w:rsidP="0002744E">
            <w:pPr>
              <w:jc w:val="right"/>
              <w:rPr>
                <w:sz w:val="20"/>
                <w:szCs w:val="20"/>
              </w:rPr>
            </w:pPr>
            <w:r>
              <w:rPr>
                <w:sz w:val="20"/>
                <w:szCs w:val="20"/>
                <w:lang w:val="fr"/>
              </w:rPr>
              <w:t>20 132</w:t>
            </w:r>
          </w:p>
        </w:tc>
        <w:tc>
          <w:tcPr>
            <w:tcW w:w="833" w:type="pct"/>
            <w:shd w:val="clear" w:color="auto" w:fill="auto"/>
          </w:tcPr>
          <w:p w14:paraId="3DCB60A4" w14:textId="77777777" w:rsidR="00C62024" w:rsidRPr="004E2F63" w:rsidRDefault="00C62024" w:rsidP="0002744E">
            <w:pPr>
              <w:jc w:val="center"/>
              <w:rPr>
                <w:sz w:val="20"/>
                <w:szCs w:val="20"/>
              </w:rPr>
            </w:pPr>
            <w:r>
              <w:rPr>
                <w:sz w:val="20"/>
                <w:szCs w:val="20"/>
                <w:lang w:val="fr"/>
              </w:rPr>
              <w:t>ONUDI</w:t>
            </w:r>
          </w:p>
        </w:tc>
      </w:tr>
    </w:tbl>
    <w:p w14:paraId="4F3881A4" w14:textId="77777777" w:rsidR="00C62024" w:rsidRDefault="00C62024" w:rsidP="00C6202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62024" w:rsidRPr="009B0D30" w14:paraId="5980EB90" w14:textId="77777777" w:rsidTr="0002744E">
        <w:tc>
          <w:tcPr>
            <w:tcW w:w="1871" w:type="dxa"/>
          </w:tcPr>
          <w:p w14:paraId="45D23ECE" w14:textId="77777777" w:rsidR="00C62024" w:rsidRPr="009B0D30" w:rsidRDefault="00C62024" w:rsidP="0002744E"/>
        </w:tc>
        <w:tc>
          <w:tcPr>
            <w:tcW w:w="1872" w:type="dxa"/>
          </w:tcPr>
          <w:p w14:paraId="2DC03097" w14:textId="77777777" w:rsidR="00C62024" w:rsidRPr="009B0D30" w:rsidRDefault="00C62024" w:rsidP="0002744E"/>
        </w:tc>
        <w:tc>
          <w:tcPr>
            <w:tcW w:w="1872" w:type="dxa"/>
            <w:tcBorders>
              <w:bottom w:val="single" w:sz="4" w:space="0" w:color="auto"/>
            </w:tcBorders>
          </w:tcPr>
          <w:p w14:paraId="4114DCD5" w14:textId="77777777" w:rsidR="00C62024" w:rsidRPr="009B0D30" w:rsidRDefault="00C62024" w:rsidP="0002744E"/>
        </w:tc>
        <w:tc>
          <w:tcPr>
            <w:tcW w:w="1872" w:type="dxa"/>
          </w:tcPr>
          <w:p w14:paraId="5868B843" w14:textId="77777777" w:rsidR="00C62024" w:rsidRPr="009B0D30" w:rsidRDefault="00C62024" w:rsidP="0002744E"/>
        </w:tc>
        <w:tc>
          <w:tcPr>
            <w:tcW w:w="1873" w:type="dxa"/>
          </w:tcPr>
          <w:p w14:paraId="4471B6DC" w14:textId="77777777" w:rsidR="00C62024" w:rsidRPr="009B0D30" w:rsidRDefault="00C62024" w:rsidP="0002744E"/>
        </w:tc>
      </w:tr>
      <w:bookmarkEnd w:id="4"/>
    </w:tbl>
    <w:p w14:paraId="2CD9FBDB" w14:textId="7BB400F0" w:rsidR="00E85409" w:rsidRPr="00103AB1" w:rsidRDefault="00E85409" w:rsidP="00C60CDB">
      <w:pPr>
        <w:pStyle w:val="StyleHeader4Para4Left0Firstline0"/>
        <w:numPr>
          <w:ilvl w:val="0"/>
          <w:numId w:val="0"/>
        </w:numPr>
        <w:rPr>
          <w:lang w:val="fr-CA"/>
        </w:rPr>
      </w:pPr>
    </w:p>
    <w:sectPr w:rsidR="00E85409" w:rsidRPr="00103AB1" w:rsidSect="001F565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7620A" w14:textId="77777777" w:rsidR="004004DE" w:rsidRDefault="004004DE" w:rsidP="004A504B">
      <w:r>
        <w:separator/>
      </w:r>
    </w:p>
  </w:endnote>
  <w:endnote w:type="continuationSeparator" w:id="0">
    <w:p w14:paraId="31A306C9" w14:textId="77777777" w:rsidR="004004DE" w:rsidRDefault="004004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64333958"/>
      <w:docPartObj>
        <w:docPartGallery w:val="Page Numbers (Bottom of Page)"/>
        <w:docPartUnique/>
      </w:docPartObj>
    </w:sdtPr>
    <w:sdtEndPr>
      <w:rPr>
        <w:rStyle w:val="PageNumber"/>
      </w:rPr>
    </w:sdtEndPr>
    <w:sdtContent>
      <w:p w14:paraId="58D709A9" w14:textId="34106E8B" w:rsidR="00584CB1" w:rsidRDefault="00584CB1" w:rsidP="00EE1F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E1A7BE3" w14:textId="3ED1D740"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63768987"/>
      <w:docPartObj>
        <w:docPartGallery w:val="Page Numbers (Bottom of Page)"/>
        <w:docPartUnique/>
      </w:docPartObj>
    </w:sdtPr>
    <w:sdtEndPr>
      <w:rPr>
        <w:rStyle w:val="PageNumber"/>
      </w:rPr>
    </w:sdtEndPr>
    <w:sdtContent>
      <w:p w14:paraId="756D9B0B" w14:textId="03AEE17F" w:rsidR="00584CB1" w:rsidRDefault="00584CB1" w:rsidP="00EE1F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3370BD1" w14:textId="1FEF891B" w:rsidR="00DC6A10" w:rsidRPr="008A4946" w:rsidRDefault="00DC6A10" w:rsidP="008A4946">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3A0C9" w14:textId="26066772" w:rsidR="00103AB1" w:rsidRPr="00363890" w:rsidRDefault="00103AB1" w:rsidP="00363890">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36389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BDC06E1"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85195" w14:textId="77777777" w:rsidR="004004DE" w:rsidRDefault="004004DE" w:rsidP="004A504B">
      <w:r>
        <w:separator/>
      </w:r>
    </w:p>
  </w:footnote>
  <w:footnote w:type="continuationSeparator" w:id="0">
    <w:p w14:paraId="05862E07" w14:textId="77777777" w:rsidR="004004DE" w:rsidRDefault="004004DE" w:rsidP="004A504B">
      <w:r>
        <w:continuationSeparator/>
      </w:r>
    </w:p>
  </w:footnote>
  <w:footnote w:id="1">
    <w:p w14:paraId="5FBB35BF" w14:textId="2A56605B" w:rsidR="00103AB1" w:rsidRPr="00564224"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5F299A1A" w14:textId="77777777" w:rsidR="00C62024" w:rsidRPr="00C62024" w:rsidRDefault="00C62024" w:rsidP="00C62024">
      <w:pPr>
        <w:pStyle w:val="FootnoteText"/>
        <w:rPr>
          <w:lang w:val="fr-FR"/>
        </w:rPr>
      </w:pPr>
      <w:r>
        <w:rPr>
          <w:rStyle w:val="FootnoteReference"/>
          <w:lang w:val="fr"/>
        </w:rPr>
        <w:footnoteRef/>
      </w:r>
      <w:r>
        <w:rPr>
          <w:lang w:val="fr"/>
        </w:rPr>
        <w:t xml:space="preserve"> Selon la lettre du 30 octobre 2024 de l’Autorité publique de l’Environnement (EPA) du Koweït adressée au PNUE.</w:t>
      </w:r>
    </w:p>
  </w:footnote>
  <w:footnote w:id="3">
    <w:p w14:paraId="5A09B70D" w14:textId="77777777" w:rsidR="00C62024" w:rsidRPr="00C62024" w:rsidRDefault="00C62024" w:rsidP="00C62024">
      <w:pPr>
        <w:pStyle w:val="FootnoteText"/>
        <w:rPr>
          <w:lang w:val="fr-FR"/>
        </w:rPr>
      </w:pPr>
      <w:r>
        <w:rPr>
          <w:rStyle w:val="FootnoteReference"/>
          <w:lang w:val="fr"/>
        </w:rPr>
        <w:footnoteRef/>
      </w:r>
      <w:r>
        <w:rPr>
          <w:lang w:val="fr"/>
        </w:rPr>
        <w:t xml:space="preserve"> Annexe XXII du document UNEP/</w:t>
      </w:r>
      <w:proofErr w:type="spellStart"/>
      <w:r>
        <w:rPr>
          <w:lang w:val="fr"/>
        </w:rPr>
        <w:t>OzL.Pro</w:t>
      </w:r>
      <w:proofErr w:type="spellEnd"/>
      <w:r>
        <w:rPr>
          <w:lang w:val="fr"/>
        </w:rPr>
        <w:t>/</w:t>
      </w:r>
      <w:proofErr w:type="spellStart"/>
      <w:r>
        <w:rPr>
          <w:lang w:val="fr"/>
        </w:rPr>
        <w:t>ExCom</w:t>
      </w:r>
      <w:proofErr w:type="spellEnd"/>
      <w:r>
        <w:rPr>
          <w:lang w:val="fr"/>
        </w:rPr>
        <w:t>/92/56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A3D2E" w14:textId="34E81602" w:rsidR="00DC6A10" w:rsidRPr="0033525D" w:rsidRDefault="00C62024">
    <w:r>
      <w:fldChar w:fldCharType="begin"/>
    </w:r>
    <w:r>
      <w:instrText xml:space="preserve"> DOCPROPERTY "Document number"  \* MERGEFORMAT </w:instrText>
    </w:r>
    <w:r>
      <w:fldChar w:fldCharType="separate"/>
    </w:r>
    <w:r>
      <w:t>UNEP/</w:t>
    </w:r>
    <w:proofErr w:type="spellStart"/>
    <w:r>
      <w:t>OzL.Pro</w:t>
    </w:r>
    <w:proofErr w:type="spellEnd"/>
    <w:r>
      <w:t>/ExCom/95/</w:t>
    </w:r>
    <w:r w:rsidR="001F5658">
      <w:t>62</w:t>
    </w:r>
    <w:r>
      <w:fldChar w:fldCharType="end"/>
    </w:r>
  </w:p>
  <w:p w14:paraId="4E29CC5A" w14:textId="77777777" w:rsidR="00DC6A10" w:rsidRPr="0033525D" w:rsidRDefault="00DC6A10"/>
  <w:p w14:paraId="34916CD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7FF81" w14:textId="29C6E18D" w:rsidR="00DC6A10" w:rsidRDefault="00C62024" w:rsidP="008D7237">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1F5658">
      <w:t>62</w:t>
    </w:r>
    <w:r>
      <w:fldChar w:fldCharType="end"/>
    </w:r>
  </w:p>
  <w:p w14:paraId="7EB56D88" w14:textId="77777777" w:rsidR="008D7237" w:rsidRDefault="008D7237" w:rsidP="008D7237">
    <w:pPr>
      <w:jc w:val="right"/>
    </w:pPr>
  </w:p>
  <w:p w14:paraId="28B90553" w14:textId="77777777" w:rsidR="008D7237" w:rsidRPr="0033525D" w:rsidRDefault="008D7237" w:rsidP="008D723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478570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62024"/>
    <w:rsid w:val="00000FED"/>
    <w:rsid w:val="00001ADA"/>
    <w:rsid w:val="00001D62"/>
    <w:rsid w:val="0000434E"/>
    <w:rsid w:val="00005982"/>
    <w:rsid w:val="000136E3"/>
    <w:rsid w:val="000211A9"/>
    <w:rsid w:val="00021238"/>
    <w:rsid w:val="00022071"/>
    <w:rsid w:val="000222B1"/>
    <w:rsid w:val="00022F77"/>
    <w:rsid w:val="00024F01"/>
    <w:rsid w:val="0002622F"/>
    <w:rsid w:val="00031260"/>
    <w:rsid w:val="0003681A"/>
    <w:rsid w:val="000372B7"/>
    <w:rsid w:val="000471A6"/>
    <w:rsid w:val="00050F6E"/>
    <w:rsid w:val="00061EC2"/>
    <w:rsid w:val="00066CE8"/>
    <w:rsid w:val="00080ED0"/>
    <w:rsid w:val="00085B8F"/>
    <w:rsid w:val="00090481"/>
    <w:rsid w:val="000A3826"/>
    <w:rsid w:val="000A4BFB"/>
    <w:rsid w:val="000A6C26"/>
    <w:rsid w:val="000A797D"/>
    <w:rsid w:val="000B1A73"/>
    <w:rsid w:val="000B36C8"/>
    <w:rsid w:val="000D52A4"/>
    <w:rsid w:val="000D6EB9"/>
    <w:rsid w:val="000E07BC"/>
    <w:rsid w:val="000E2E21"/>
    <w:rsid w:val="000E5F1B"/>
    <w:rsid w:val="000F1CD4"/>
    <w:rsid w:val="000F4103"/>
    <w:rsid w:val="000F70A7"/>
    <w:rsid w:val="00103AB1"/>
    <w:rsid w:val="00113CCA"/>
    <w:rsid w:val="00122F25"/>
    <w:rsid w:val="001272AE"/>
    <w:rsid w:val="00133E9C"/>
    <w:rsid w:val="00135980"/>
    <w:rsid w:val="0013786F"/>
    <w:rsid w:val="00140B71"/>
    <w:rsid w:val="00153A2E"/>
    <w:rsid w:val="00164719"/>
    <w:rsid w:val="00166FC4"/>
    <w:rsid w:val="001677AC"/>
    <w:rsid w:val="001758D2"/>
    <w:rsid w:val="001804EA"/>
    <w:rsid w:val="0018235C"/>
    <w:rsid w:val="00190A61"/>
    <w:rsid w:val="0019451A"/>
    <w:rsid w:val="00197179"/>
    <w:rsid w:val="001A0CCC"/>
    <w:rsid w:val="001A11B7"/>
    <w:rsid w:val="001A2215"/>
    <w:rsid w:val="001A3342"/>
    <w:rsid w:val="001A3E3D"/>
    <w:rsid w:val="001A55EA"/>
    <w:rsid w:val="001A63F8"/>
    <w:rsid w:val="001A7049"/>
    <w:rsid w:val="001B1E40"/>
    <w:rsid w:val="001B4B2F"/>
    <w:rsid w:val="001B506F"/>
    <w:rsid w:val="001B7012"/>
    <w:rsid w:val="001C764E"/>
    <w:rsid w:val="001E1052"/>
    <w:rsid w:val="001E21B1"/>
    <w:rsid w:val="001E2F93"/>
    <w:rsid w:val="001E4554"/>
    <w:rsid w:val="001E61E5"/>
    <w:rsid w:val="001F2159"/>
    <w:rsid w:val="001F53FD"/>
    <w:rsid w:val="001F5658"/>
    <w:rsid w:val="001F7BDE"/>
    <w:rsid w:val="00210B8B"/>
    <w:rsid w:val="00214863"/>
    <w:rsid w:val="002156B4"/>
    <w:rsid w:val="00224FCD"/>
    <w:rsid w:val="00231844"/>
    <w:rsid w:val="00253222"/>
    <w:rsid w:val="00260811"/>
    <w:rsid w:val="00261C13"/>
    <w:rsid w:val="00262847"/>
    <w:rsid w:val="00280E13"/>
    <w:rsid w:val="00281BB2"/>
    <w:rsid w:val="002A03C3"/>
    <w:rsid w:val="002A0AB2"/>
    <w:rsid w:val="002B254E"/>
    <w:rsid w:val="002B4CE8"/>
    <w:rsid w:val="002B72E9"/>
    <w:rsid w:val="002C7998"/>
    <w:rsid w:val="002E6C61"/>
    <w:rsid w:val="002F1E53"/>
    <w:rsid w:val="002F2CAA"/>
    <w:rsid w:val="0030052C"/>
    <w:rsid w:val="00325678"/>
    <w:rsid w:val="003306E1"/>
    <w:rsid w:val="003320E4"/>
    <w:rsid w:val="00332A40"/>
    <w:rsid w:val="003344E7"/>
    <w:rsid w:val="0033525D"/>
    <w:rsid w:val="003414F3"/>
    <w:rsid w:val="00344D9E"/>
    <w:rsid w:val="0035613E"/>
    <w:rsid w:val="00363890"/>
    <w:rsid w:val="00363EE9"/>
    <w:rsid w:val="003722E1"/>
    <w:rsid w:val="00376128"/>
    <w:rsid w:val="0037742E"/>
    <w:rsid w:val="00377D56"/>
    <w:rsid w:val="0038245A"/>
    <w:rsid w:val="003840E6"/>
    <w:rsid w:val="00385CFC"/>
    <w:rsid w:val="0039337A"/>
    <w:rsid w:val="00397366"/>
    <w:rsid w:val="003A0A49"/>
    <w:rsid w:val="003A0CD2"/>
    <w:rsid w:val="003A3189"/>
    <w:rsid w:val="003A3CA7"/>
    <w:rsid w:val="003B33BD"/>
    <w:rsid w:val="003B569D"/>
    <w:rsid w:val="003C3C0E"/>
    <w:rsid w:val="003D0136"/>
    <w:rsid w:val="003D42A6"/>
    <w:rsid w:val="003D4F21"/>
    <w:rsid w:val="003D4FAC"/>
    <w:rsid w:val="003E1885"/>
    <w:rsid w:val="003E7906"/>
    <w:rsid w:val="003F000F"/>
    <w:rsid w:val="003F3C50"/>
    <w:rsid w:val="004004DE"/>
    <w:rsid w:val="00406202"/>
    <w:rsid w:val="00406A6A"/>
    <w:rsid w:val="00406B22"/>
    <w:rsid w:val="00407147"/>
    <w:rsid w:val="004078FA"/>
    <w:rsid w:val="00414AB3"/>
    <w:rsid w:val="00431E08"/>
    <w:rsid w:val="004328A7"/>
    <w:rsid w:val="00434C74"/>
    <w:rsid w:val="004528A4"/>
    <w:rsid w:val="00456EB4"/>
    <w:rsid w:val="00457827"/>
    <w:rsid w:val="004603F7"/>
    <w:rsid w:val="004718F3"/>
    <w:rsid w:val="00475040"/>
    <w:rsid w:val="004764C3"/>
    <w:rsid w:val="00480FA6"/>
    <w:rsid w:val="00481517"/>
    <w:rsid w:val="00487FD2"/>
    <w:rsid w:val="00490C06"/>
    <w:rsid w:val="00493D40"/>
    <w:rsid w:val="00493EE3"/>
    <w:rsid w:val="0049574F"/>
    <w:rsid w:val="004962FF"/>
    <w:rsid w:val="004967B6"/>
    <w:rsid w:val="004A504B"/>
    <w:rsid w:val="004A6911"/>
    <w:rsid w:val="004B3652"/>
    <w:rsid w:val="004B54E0"/>
    <w:rsid w:val="004B5842"/>
    <w:rsid w:val="004B7384"/>
    <w:rsid w:val="004C2A62"/>
    <w:rsid w:val="004C4269"/>
    <w:rsid w:val="004C7954"/>
    <w:rsid w:val="004D40B7"/>
    <w:rsid w:val="004D6236"/>
    <w:rsid w:val="004D7F90"/>
    <w:rsid w:val="004E4DBB"/>
    <w:rsid w:val="004E4E41"/>
    <w:rsid w:val="004E73DB"/>
    <w:rsid w:val="004E7F9C"/>
    <w:rsid w:val="004F3493"/>
    <w:rsid w:val="004F5143"/>
    <w:rsid w:val="005000B8"/>
    <w:rsid w:val="00512B09"/>
    <w:rsid w:val="00514BBF"/>
    <w:rsid w:val="005220ED"/>
    <w:rsid w:val="00533796"/>
    <w:rsid w:val="00537343"/>
    <w:rsid w:val="00550670"/>
    <w:rsid w:val="005516F3"/>
    <w:rsid w:val="00555D75"/>
    <w:rsid w:val="00560DF0"/>
    <w:rsid w:val="0056759C"/>
    <w:rsid w:val="00567785"/>
    <w:rsid w:val="00581A18"/>
    <w:rsid w:val="00584CB1"/>
    <w:rsid w:val="0059513E"/>
    <w:rsid w:val="0059726A"/>
    <w:rsid w:val="005A6AA4"/>
    <w:rsid w:val="005A6D9F"/>
    <w:rsid w:val="005B0490"/>
    <w:rsid w:val="005B48FF"/>
    <w:rsid w:val="005C1E32"/>
    <w:rsid w:val="005C670D"/>
    <w:rsid w:val="005D363F"/>
    <w:rsid w:val="005D45A6"/>
    <w:rsid w:val="005D463B"/>
    <w:rsid w:val="005D5E7E"/>
    <w:rsid w:val="005E4459"/>
    <w:rsid w:val="005F2BDE"/>
    <w:rsid w:val="005F6182"/>
    <w:rsid w:val="00602EA6"/>
    <w:rsid w:val="00604C15"/>
    <w:rsid w:val="00606709"/>
    <w:rsid w:val="00611CB7"/>
    <w:rsid w:val="006158D5"/>
    <w:rsid w:val="00621288"/>
    <w:rsid w:val="00624BD7"/>
    <w:rsid w:val="00625D83"/>
    <w:rsid w:val="00637F56"/>
    <w:rsid w:val="00651984"/>
    <w:rsid w:val="006623E7"/>
    <w:rsid w:val="00662B80"/>
    <w:rsid w:val="00665450"/>
    <w:rsid w:val="0066768F"/>
    <w:rsid w:val="00670F6C"/>
    <w:rsid w:val="0067356E"/>
    <w:rsid w:val="00676E58"/>
    <w:rsid w:val="006812CB"/>
    <w:rsid w:val="00682149"/>
    <w:rsid w:val="006852C7"/>
    <w:rsid w:val="006852CE"/>
    <w:rsid w:val="00692D14"/>
    <w:rsid w:val="0069692B"/>
    <w:rsid w:val="00696DB8"/>
    <w:rsid w:val="006A7A3B"/>
    <w:rsid w:val="006B65C7"/>
    <w:rsid w:val="006C1727"/>
    <w:rsid w:val="006C32FD"/>
    <w:rsid w:val="006C39CE"/>
    <w:rsid w:val="006D068C"/>
    <w:rsid w:val="006D0FCC"/>
    <w:rsid w:val="006D21F5"/>
    <w:rsid w:val="006D3089"/>
    <w:rsid w:val="006E126D"/>
    <w:rsid w:val="006E1CB8"/>
    <w:rsid w:val="006E1FC3"/>
    <w:rsid w:val="006E3576"/>
    <w:rsid w:val="00700DB2"/>
    <w:rsid w:val="00703AFD"/>
    <w:rsid w:val="00704CE9"/>
    <w:rsid w:val="0070616B"/>
    <w:rsid w:val="00706295"/>
    <w:rsid w:val="00706FDA"/>
    <w:rsid w:val="00711F9A"/>
    <w:rsid w:val="00713810"/>
    <w:rsid w:val="0072079B"/>
    <w:rsid w:val="007303A5"/>
    <w:rsid w:val="00730B3E"/>
    <w:rsid w:val="0073420B"/>
    <w:rsid w:val="00736367"/>
    <w:rsid w:val="00740249"/>
    <w:rsid w:val="0074760E"/>
    <w:rsid w:val="007548C4"/>
    <w:rsid w:val="00754ABA"/>
    <w:rsid w:val="007558EE"/>
    <w:rsid w:val="00765B46"/>
    <w:rsid w:val="00782B0D"/>
    <w:rsid w:val="00797478"/>
    <w:rsid w:val="0079781A"/>
    <w:rsid w:val="007A1546"/>
    <w:rsid w:val="007A228C"/>
    <w:rsid w:val="007A368E"/>
    <w:rsid w:val="007A5868"/>
    <w:rsid w:val="007B04CE"/>
    <w:rsid w:val="007B6871"/>
    <w:rsid w:val="007B7A2F"/>
    <w:rsid w:val="007C32EE"/>
    <w:rsid w:val="007C3D33"/>
    <w:rsid w:val="007C4E1E"/>
    <w:rsid w:val="007D294A"/>
    <w:rsid w:val="007D47D2"/>
    <w:rsid w:val="007D6EC0"/>
    <w:rsid w:val="007D7E1D"/>
    <w:rsid w:val="007E503C"/>
    <w:rsid w:val="0080345C"/>
    <w:rsid w:val="008052E0"/>
    <w:rsid w:val="0082522F"/>
    <w:rsid w:val="00831979"/>
    <w:rsid w:val="00850E8F"/>
    <w:rsid w:val="00851352"/>
    <w:rsid w:val="00857077"/>
    <w:rsid w:val="00863230"/>
    <w:rsid w:val="00865BD0"/>
    <w:rsid w:val="008717D8"/>
    <w:rsid w:val="0087215C"/>
    <w:rsid w:val="00875267"/>
    <w:rsid w:val="00875D25"/>
    <w:rsid w:val="00880E35"/>
    <w:rsid w:val="008875FE"/>
    <w:rsid w:val="00887F8E"/>
    <w:rsid w:val="00896234"/>
    <w:rsid w:val="00897E43"/>
    <w:rsid w:val="008A4946"/>
    <w:rsid w:val="008B293E"/>
    <w:rsid w:val="008B3C56"/>
    <w:rsid w:val="008B3C61"/>
    <w:rsid w:val="008C222B"/>
    <w:rsid w:val="008C5738"/>
    <w:rsid w:val="008C7EAD"/>
    <w:rsid w:val="008D0CFE"/>
    <w:rsid w:val="008D6152"/>
    <w:rsid w:val="008D7237"/>
    <w:rsid w:val="008E575A"/>
    <w:rsid w:val="008E7BA9"/>
    <w:rsid w:val="008F0F81"/>
    <w:rsid w:val="008F27BF"/>
    <w:rsid w:val="008F2E64"/>
    <w:rsid w:val="008F52BB"/>
    <w:rsid w:val="009142EC"/>
    <w:rsid w:val="009145E4"/>
    <w:rsid w:val="009154C3"/>
    <w:rsid w:val="00915EDB"/>
    <w:rsid w:val="00923540"/>
    <w:rsid w:val="00926767"/>
    <w:rsid w:val="009361D5"/>
    <w:rsid w:val="009423DC"/>
    <w:rsid w:val="009428A4"/>
    <w:rsid w:val="009659F4"/>
    <w:rsid w:val="00970D60"/>
    <w:rsid w:val="009725E2"/>
    <w:rsid w:val="009874D0"/>
    <w:rsid w:val="009922E9"/>
    <w:rsid w:val="0099390E"/>
    <w:rsid w:val="00995F8E"/>
    <w:rsid w:val="009960E5"/>
    <w:rsid w:val="009A175B"/>
    <w:rsid w:val="009A7ADC"/>
    <w:rsid w:val="009B0D30"/>
    <w:rsid w:val="009C19B7"/>
    <w:rsid w:val="009C5ABB"/>
    <w:rsid w:val="009C6261"/>
    <w:rsid w:val="009D7C51"/>
    <w:rsid w:val="009E196C"/>
    <w:rsid w:val="009E6A0A"/>
    <w:rsid w:val="009F36BF"/>
    <w:rsid w:val="009F4894"/>
    <w:rsid w:val="009F7A3F"/>
    <w:rsid w:val="00A035C5"/>
    <w:rsid w:val="00A111B6"/>
    <w:rsid w:val="00A26D27"/>
    <w:rsid w:val="00A333CA"/>
    <w:rsid w:val="00A376EE"/>
    <w:rsid w:val="00A42A99"/>
    <w:rsid w:val="00A5151A"/>
    <w:rsid w:val="00A55A98"/>
    <w:rsid w:val="00A57E0A"/>
    <w:rsid w:val="00A77919"/>
    <w:rsid w:val="00A823F6"/>
    <w:rsid w:val="00A8719E"/>
    <w:rsid w:val="00A96A4E"/>
    <w:rsid w:val="00AA0A89"/>
    <w:rsid w:val="00AA5368"/>
    <w:rsid w:val="00AA6429"/>
    <w:rsid w:val="00AC01AA"/>
    <w:rsid w:val="00AC31A9"/>
    <w:rsid w:val="00AC3EE9"/>
    <w:rsid w:val="00AC4F72"/>
    <w:rsid w:val="00AC5041"/>
    <w:rsid w:val="00AC65E4"/>
    <w:rsid w:val="00AE0B56"/>
    <w:rsid w:val="00AE482E"/>
    <w:rsid w:val="00AE631B"/>
    <w:rsid w:val="00AE7FAE"/>
    <w:rsid w:val="00AF1B39"/>
    <w:rsid w:val="00AF741A"/>
    <w:rsid w:val="00B01ADB"/>
    <w:rsid w:val="00B01FB8"/>
    <w:rsid w:val="00B04161"/>
    <w:rsid w:val="00B056F9"/>
    <w:rsid w:val="00B07247"/>
    <w:rsid w:val="00B11E3D"/>
    <w:rsid w:val="00B14D2C"/>
    <w:rsid w:val="00B17E82"/>
    <w:rsid w:val="00B40AD6"/>
    <w:rsid w:val="00B4575A"/>
    <w:rsid w:val="00B46AB6"/>
    <w:rsid w:val="00B575BA"/>
    <w:rsid w:val="00B71144"/>
    <w:rsid w:val="00B71608"/>
    <w:rsid w:val="00B759E1"/>
    <w:rsid w:val="00B76429"/>
    <w:rsid w:val="00B86471"/>
    <w:rsid w:val="00B95006"/>
    <w:rsid w:val="00B956D4"/>
    <w:rsid w:val="00B97446"/>
    <w:rsid w:val="00BA23D7"/>
    <w:rsid w:val="00BA7432"/>
    <w:rsid w:val="00BB2764"/>
    <w:rsid w:val="00BC1AA0"/>
    <w:rsid w:val="00BC2495"/>
    <w:rsid w:val="00BC314A"/>
    <w:rsid w:val="00BC7EB9"/>
    <w:rsid w:val="00BD2643"/>
    <w:rsid w:val="00BD56B1"/>
    <w:rsid w:val="00BD6558"/>
    <w:rsid w:val="00BE6C48"/>
    <w:rsid w:val="00BF2AD7"/>
    <w:rsid w:val="00BF2F76"/>
    <w:rsid w:val="00BF3022"/>
    <w:rsid w:val="00BF3214"/>
    <w:rsid w:val="00BF5573"/>
    <w:rsid w:val="00C03EC7"/>
    <w:rsid w:val="00C13D88"/>
    <w:rsid w:val="00C15867"/>
    <w:rsid w:val="00C20B17"/>
    <w:rsid w:val="00C22398"/>
    <w:rsid w:val="00C2296D"/>
    <w:rsid w:val="00C23155"/>
    <w:rsid w:val="00C255D5"/>
    <w:rsid w:val="00C311AB"/>
    <w:rsid w:val="00C40C41"/>
    <w:rsid w:val="00C45885"/>
    <w:rsid w:val="00C50F22"/>
    <w:rsid w:val="00C57971"/>
    <w:rsid w:val="00C60CDB"/>
    <w:rsid w:val="00C6157D"/>
    <w:rsid w:val="00C62024"/>
    <w:rsid w:val="00C65BD7"/>
    <w:rsid w:val="00C74449"/>
    <w:rsid w:val="00C76BA4"/>
    <w:rsid w:val="00C83A48"/>
    <w:rsid w:val="00C85865"/>
    <w:rsid w:val="00C85E85"/>
    <w:rsid w:val="00C919F1"/>
    <w:rsid w:val="00C926C8"/>
    <w:rsid w:val="00C9666F"/>
    <w:rsid w:val="00CA07C7"/>
    <w:rsid w:val="00CA2EAE"/>
    <w:rsid w:val="00CA4AC1"/>
    <w:rsid w:val="00CA59FB"/>
    <w:rsid w:val="00CA7545"/>
    <w:rsid w:val="00CB0316"/>
    <w:rsid w:val="00CB0B11"/>
    <w:rsid w:val="00CB1DBA"/>
    <w:rsid w:val="00CB426A"/>
    <w:rsid w:val="00CB43BF"/>
    <w:rsid w:val="00CB5354"/>
    <w:rsid w:val="00CB74F3"/>
    <w:rsid w:val="00CC3C9E"/>
    <w:rsid w:val="00CC6A14"/>
    <w:rsid w:val="00CC70A3"/>
    <w:rsid w:val="00CD4442"/>
    <w:rsid w:val="00CD53C3"/>
    <w:rsid w:val="00CD574E"/>
    <w:rsid w:val="00CE4C22"/>
    <w:rsid w:val="00CE76E5"/>
    <w:rsid w:val="00CF41EC"/>
    <w:rsid w:val="00CF5D04"/>
    <w:rsid w:val="00D04DE4"/>
    <w:rsid w:val="00D063F1"/>
    <w:rsid w:val="00D11735"/>
    <w:rsid w:val="00D1218E"/>
    <w:rsid w:val="00D14F22"/>
    <w:rsid w:val="00D20390"/>
    <w:rsid w:val="00D2181D"/>
    <w:rsid w:val="00D247EA"/>
    <w:rsid w:val="00D27883"/>
    <w:rsid w:val="00D34EEF"/>
    <w:rsid w:val="00D37634"/>
    <w:rsid w:val="00D43F7D"/>
    <w:rsid w:val="00D4741C"/>
    <w:rsid w:val="00D51F35"/>
    <w:rsid w:val="00D53C8B"/>
    <w:rsid w:val="00D578CC"/>
    <w:rsid w:val="00D57918"/>
    <w:rsid w:val="00D6172B"/>
    <w:rsid w:val="00D62740"/>
    <w:rsid w:val="00D71821"/>
    <w:rsid w:val="00D73DC6"/>
    <w:rsid w:val="00D74C1A"/>
    <w:rsid w:val="00D754C1"/>
    <w:rsid w:val="00D77393"/>
    <w:rsid w:val="00D77A35"/>
    <w:rsid w:val="00D81B3E"/>
    <w:rsid w:val="00D81C9E"/>
    <w:rsid w:val="00D90C70"/>
    <w:rsid w:val="00D90E49"/>
    <w:rsid w:val="00D96ADE"/>
    <w:rsid w:val="00DA0CE2"/>
    <w:rsid w:val="00DA1E3D"/>
    <w:rsid w:val="00DA2387"/>
    <w:rsid w:val="00DC5480"/>
    <w:rsid w:val="00DC6A10"/>
    <w:rsid w:val="00DD3B37"/>
    <w:rsid w:val="00DE0126"/>
    <w:rsid w:val="00DE3277"/>
    <w:rsid w:val="00DE657E"/>
    <w:rsid w:val="00DE68D8"/>
    <w:rsid w:val="00DF1274"/>
    <w:rsid w:val="00DF3DEB"/>
    <w:rsid w:val="00DF4508"/>
    <w:rsid w:val="00DF4704"/>
    <w:rsid w:val="00DF4DD8"/>
    <w:rsid w:val="00E024AA"/>
    <w:rsid w:val="00E14C4D"/>
    <w:rsid w:val="00E15C77"/>
    <w:rsid w:val="00E16676"/>
    <w:rsid w:val="00E1693E"/>
    <w:rsid w:val="00E250F1"/>
    <w:rsid w:val="00E3550D"/>
    <w:rsid w:val="00E4346F"/>
    <w:rsid w:val="00E4793C"/>
    <w:rsid w:val="00E52838"/>
    <w:rsid w:val="00E614E0"/>
    <w:rsid w:val="00E73F7F"/>
    <w:rsid w:val="00E753E8"/>
    <w:rsid w:val="00E76EE7"/>
    <w:rsid w:val="00E835A7"/>
    <w:rsid w:val="00E84FE6"/>
    <w:rsid w:val="00E85409"/>
    <w:rsid w:val="00E9240E"/>
    <w:rsid w:val="00E9339B"/>
    <w:rsid w:val="00EA33D2"/>
    <w:rsid w:val="00EA40A6"/>
    <w:rsid w:val="00EA429F"/>
    <w:rsid w:val="00EA4F9E"/>
    <w:rsid w:val="00EA63CA"/>
    <w:rsid w:val="00EA6D3B"/>
    <w:rsid w:val="00EB00AD"/>
    <w:rsid w:val="00EB09AB"/>
    <w:rsid w:val="00EB136C"/>
    <w:rsid w:val="00EB480E"/>
    <w:rsid w:val="00EB5EC6"/>
    <w:rsid w:val="00EB6A07"/>
    <w:rsid w:val="00EB7FC9"/>
    <w:rsid w:val="00ED27E8"/>
    <w:rsid w:val="00ED7137"/>
    <w:rsid w:val="00EE2FA2"/>
    <w:rsid w:val="00EF06EA"/>
    <w:rsid w:val="00EF3C9E"/>
    <w:rsid w:val="00F07604"/>
    <w:rsid w:val="00F17A6E"/>
    <w:rsid w:val="00F21088"/>
    <w:rsid w:val="00F32095"/>
    <w:rsid w:val="00F326BF"/>
    <w:rsid w:val="00F327E7"/>
    <w:rsid w:val="00F34DC6"/>
    <w:rsid w:val="00F35746"/>
    <w:rsid w:val="00F447C7"/>
    <w:rsid w:val="00F459B4"/>
    <w:rsid w:val="00F4674D"/>
    <w:rsid w:val="00F5211B"/>
    <w:rsid w:val="00F52563"/>
    <w:rsid w:val="00F554A9"/>
    <w:rsid w:val="00F716FD"/>
    <w:rsid w:val="00F76962"/>
    <w:rsid w:val="00F774E6"/>
    <w:rsid w:val="00F80355"/>
    <w:rsid w:val="00F81B62"/>
    <w:rsid w:val="00F87C43"/>
    <w:rsid w:val="00F97E19"/>
    <w:rsid w:val="00FA5722"/>
    <w:rsid w:val="00FB0C81"/>
    <w:rsid w:val="00FB1027"/>
    <w:rsid w:val="00FC2200"/>
    <w:rsid w:val="00FC2540"/>
    <w:rsid w:val="00FD4CC1"/>
    <w:rsid w:val="00FE1FA0"/>
    <w:rsid w:val="00FF0204"/>
    <w:rsid w:val="00FF08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F7FDE8"/>
  <w15:docId w15:val="{E4A62319-3283-4D64-BABA-B15980F6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C62024"/>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6202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2024"/>
    <w:rPr>
      <w:sz w:val="22"/>
      <w:szCs w:val="22"/>
      <w:lang w:val="en-CA"/>
    </w:rPr>
  </w:style>
  <w:style w:type="paragraph" w:styleId="NormalWeb">
    <w:name w:val="Normal (Web)"/>
    <w:basedOn w:val="Normal"/>
    <w:uiPriority w:val="99"/>
    <w:unhideWhenUsed/>
    <w:rsid w:val="00C62024"/>
    <w:pPr>
      <w:spacing w:before="100" w:beforeAutospacing="1" w:after="100" w:afterAutospacing="1"/>
      <w:jc w:val="left"/>
    </w:pPr>
    <w:rPr>
      <w:sz w:val="24"/>
      <w:szCs w:val="24"/>
      <w:lang w:eastAsia="en-CA"/>
    </w:rPr>
  </w:style>
  <w:style w:type="character" w:styleId="PageNumber">
    <w:name w:val="page number"/>
    <w:basedOn w:val="DefaultParagraphFont"/>
    <w:uiPriority w:val="99"/>
    <w:semiHidden/>
    <w:unhideWhenUsed/>
    <w:rsid w:val="00584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F95-General template</Template>
  <TotalTime>118</TotalTime>
  <Pages>11</Pages>
  <Words>5235</Words>
  <Characters>28002</Characters>
  <Application>Microsoft Office Word</Application>
  <DocSecurity>0</DocSecurity>
  <Lines>233</Lines>
  <Paragraphs>66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Koweït (le)</vt:lpstr>
      <vt:lpstr/>
    </vt:vector>
  </TitlesOfParts>
  <Manager/>
  <Company>UNMFS</Company>
  <LinksUpToDate>false</LinksUpToDate>
  <CharactersWithSpaces>33171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Koweït (le)</dc:title>
  <dc:subject/>
  <dc:creator>Maïlys Lejosne | FAE Traduction</dc:creator>
  <cp:keywords/>
  <dc:description/>
  <cp:lastModifiedBy>Angela Xue He Yan</cp:lastModifiedBy>
  <cp:revision>258</cp:revision>
  <cp:lastPrinted>2001-05-26T16:40:00Z</cp:lastPrinted>
  <dcterms:created xsi:type="dcterms:W3CDTF">2024-11-21T14:01:00Z</dcterms:created>
  <dcterms:modified xsi:type="dcterms:W3CDTF">2024-11-21T20:11:00Z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UNEP/OzL.Pro/ExCom/95/62</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