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324" w:type="dxa"/>
        <w:tblLayout w:type="fixed"/>
        <w:tblLook w:val="0000" w:firstRow="0" w:lastRow="0" w:firstColumn="0" w:lastColumn="0" w:noHBand="0" w:noVBand="0"/>
      </w:tblPr>
      <w:tblGrid>
        <w:gridCol w:w="2070"/>
        <w:gridCol w:w="3420"/>
        <w:gridCol w:w="4590"/>
      </w:tblGrid>
      <w:tr w:rsidR="004004A1" w:rsidRPr="006778F8" w14:paraId="11BF978F" w14:textId="77777777" w:rsidTr="00A52B49">
        <w:trPr>
          <w:trHeight w:val="720"/>
        </w:trPr>
        <w:tc>
          <w:tcPr>
            <w:tcW w:w="5490" w:type="dxa"/>
            <w:gridSpan w:val="2"/>
            <w:tcBorders>
              <w:bottom w:val="single" w:sz="18" w:space="0" w:color="auto"/>
            </w:tcBorders>
          </w:tcPr>
          <w:p w14:paraId="3CB49F2B" w14:textId="77777777" w:rsidR="004004A1" w:rsidRDefault="004004A1" w:rsidP="004004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153FC4F" w14:textId="784B1281" w:rsidR="004004A1" w:rsidRPr="006778F8" w:rsidRDefault="004004A1" w:rsidP="004004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US"/>
              </w:rPr>
            </w:pPr>
            <w:r>
              <w:rPr>
                <w:rFonts w:ascii="Univers" w:hAnsi="Univers"/>
                <w:b/>
                <w:sz w:val="28"/>
                <w:szCs w:val="28"/>
              </w:rPr>
              <w:t>UNIES</w:t>
            </w:r>
          </w:p>
        </w:tc>
        <w:tc>
          <w:tcPr>
            <w:tcW w:w="4590" w:type="dxa"/>
            <w:tcBorders>
              <w:bottom w:val="single" w:sz="18" w:space="0" w:color="auto"/>
            </w:tcBorders>
          </w:tcPr>
          <w:p w14:paraId="6E035ACF" w14:textId="77777777" w:rsidR="004004A1" w:rsidRPr="006778F8" w:rsidRDefault="004004A1" w:rsidP="00D279D6">
            <w:pPr>
              <w:jc w:val="right"/>
              <w:rPr>
                <w:sz w:val="52"/>
                <w:szCs w:val="52"/>
                <w:lang w:val="en-US"/>
              </w:rPr>
            </w:pPr>
            <w:r w:rsidRPr="006778F8">
              <w:rPr>
                <w:rFonts w:ascii="Univers Bold" w:hAnsi="Univers Bold"/>
                <w:b/>
                <w:sz w:val="72"/>
                <w:lang w:val="en-US"/>
              </w:rPr>
              <w:t>EP</w:t>
            </w:r>
          </w:p>
        </w:tc>
      </w:tr>
      <w:tr w:rsidR="004004A1" w:rsidRPr="006778F8" w14:paraId="56B8388B" w14:textId="77777777" w:rsidTr="00C82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7E26130D" w14:textId="77777777" w:rsidR="004004A1" w:rsidRPr="006778F8" w:rsidRDefault="004004A1" w:rsidP="00D279D6">
            <w:pPr>
              <w:spacing w:before="120"/>
              <w:rPr>
                <w:lang w:val="en-US"/>
              </w:rPr>
            </w:pPr>
            <w:r w:rsidRPr="006778F8">
              <w:rPr>
                <w:noProof/>
                <w:lang w:eastAsia="fr-FR"/>
              </w:rPr>
              <mc:AlternateContent>
                <mc:Choice Requires="wpg">
                  <w:drawing>
                    <wp:anchor distT="0" distB="0" distL="114300" distR="114300" simplePos="0" relativeHeight="251663360" behindDoc="0" locked="0" layoutInCell="1" allowOverlap="1" wp14:anchorId="745E1518" wp14:editId="57EB5124">
                      <wp:simplePos x="0" y="0"/>
                      <wp:positionH relativeFrom="column">
                        <wp:posOffset>-994</wp:posOffset>
                      </wp:positionH>
                      <wp:positionV relativeFrom="paragraph">
                        <wp:posOffset>35505</wp:posOffset>
                      </wp:positionV>
                      <wp:extent cx="822325" cy="1557912"/>
                      <wp:effectExtent l="0" t="0" r="0" b="4445"/>
                      <wp:wrapNone/>
                      <wp:docPr id="1175546926" name="Group 1"/>
                      <wp:cNvGraphicFramePr/>
                      <a:graphic xmlns:a="http://schemas.openxmlformats.org/drawingml/2006/main">
                        <a:graphicData uri="http://schemas.microsoft.com/office/word/2010/wordprocessingGroup">
                          <wpg:wgp>
                            <wpg:cNvGrpSpPr/>
                            <wpg:grpSpPr>
                              <a:xfrm>
                                <a:off x="0" y="0"/>
                                <a:ext cx="822325" cy="1557912"/>
                                <a:chOff x="0" y="0"/>
                                <a:chExt cx="822325" cy="1557912"/>
                              </a:xfrm>
                            </wpg:grpSpPr>
                            <pic:pic xmlns:pic="http://schemas.openxmlformats.org/drawingml/2006/picture">
                              <pic:nvPicPr>
                                <pic:cNvPr id="829660335" name="Picture 2" descr="UNEP"/>
                                <pic:cNvPicPr>
                                  <a:picLocks noChangeAspect="1"/>
                                </pic:cNvPicPr>
                              </pic:nvPicPr>
                              <pic:blipFill>
                                <a:blip r:embed="rId11" cstate="print"/>
                                <a:srcRect/>
                                <a:stretch>
                                  <a:fillRect/>
                                </a:stretch>
                              </pic:blipFill>
                              <pic:spPr bwMode="auto">
                                <a:xfrm>
                                  <a:off x="31804" y="768099"/>
                                  <a:ext cx="790521" cy="789813"/>
                                </a:xfrm>
                                <a:prstGeom prst="rect">
                                  <a:avLst/>
                                </a:prstGeom>
                                <a:noFill/>
                              </pic:spPr>
                            </pic:pic>
                            <pic:pic xmlns:pic="http://schemas.openxmlformats.org/drawingml/2006/picture">
                              <pic:nvPicPr>
                                <pic:cNvPr id="1596319789"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E16183E" id="Group 1" o:spid="_x0000_s1026" style="position:absolute;margin-left:-.1pt;margin-top:2.8pt;width:64.75pt;height:122.65pt;z-index:251663360;mso-width-relative:margin;mso-height-relative:margin" coordsize="8223,15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AGso6uYAgAAwQcAAA4AAAAAAAAAAAAAAAAAOgIAAGRycy9lMm9Eb2Mu&#10;eG1sUEsBAi0ACgAAAAAAAAAhAH4VrL8SBgAAEgYAABQAAAAAAAAAAAAAAAAA/gQAAGRycy9tZWRp&#10;YS9pbWFnZTEucG5nUEsBAi0ACgAAAAAAAAAhAOCJ3RxtCQAAbQkAABQAAAAAAAAAAAAAAAAAQgsA&#10;AGRycy9tZWRpYS9pbWFnZTIucG5nUEsBAi0AFAAGAAgAAAAhALFIpOD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8;top:7680;width:7905;height:7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">
                        <v:imagedata r:id="rId15" o:title=""/>
                      </v:shape>
                    </v:group>
                  </w:pict>
                </mc:Fallback>
              </mc:AlternateContent>
            </w:r>
          </w:p>
        </w:tc>
        <w:tc>
          <w:tcPr>
            <w:tcW w:w="3420" w:type="dxa"/>
            <w:tcBorders>
              <w:top w:val="nil"/>
              <w:left w:val="nil"/>
              <w:bottom w:val="single" w:sz="36" w:space="0" w:color="auto"/>
              <w:right w:val="nil"/>
            </w:tcBorders>
          </w:tcPr>
          <w:p w14:paraId="6B70CF4C" w14:textId="77777777" w:rsidR="004004A1" w:rsidRDefault="004004A1" w:rsidP="004004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7838716" w14:textId="086024CF" w:rsidR="004004A1" w:rsidRDefault="004004A1" w:rsidP="004004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3C55020" w14:textId="481C7FD0" w:rsidR="004004A1" w:rsidRPr="004004A1" w:rsidRDefault="004004A1" w:rsidP="004004A1">
            <w:pPr>
              <w:jc w:val="left"/>
              <w:rPr>
                <w:rFonts w:ascii="Univers" w:hAnsi="Univers"/>
                <w:b/>
                <w:sz w:val="32"/>
                <w:lang w:val="fr-CA"/>
              </w:rPr>
            </w:pPr>
            <w:r>
              <w:rPr>
                <w:rFonts w:ascii="Univers" w:hAnsi="Univers"/>
                <w:b/>
                <w:sz w:val="32"/>
                <w:lang w:val="fr-CA"/>
              </w:rPr>
              <w:t>Nations Unies pour l’environnement</w:t>
            </w:r>
            <w:r w:rsidRPr="004004A1">
              <w:rPr>
                <w:lang w:val="fr-CH"/>
              </w:rPr>
              <w:t xml:space="preserve"> </w:t>
            </w:r>
          </w:p>
        </w:tc>
        <w:tc>
          <w:tcPr>
            <w:tcW w:w="4590" w:type="dxa"/>
            <w:tcBorders>
              <w:top w:val="nil"/>
              <w:left w:val="nil"/>
              <w:bottom w:val="single" w:sz="36" w:space="0" w:color="auto"/>
              <w:right w:val="nil"/>
            </w:tcBorders>
          </w:tcPr>
          <w:p w14:paraId="5DDA27A1" w14:textId="77777777" w:rsidR="00C82893" w:rsidRDefault="00C82893" w:rsidP="004004A1"/>
          <w:p w14:paraId="264985CF" w14:textId="7771A52A" w:rsidR="004004A1" w:rsidRPr="00DD3433" w:rsidRDefault="004004A1" w:rsidP="004004A1">
            <w:proofErr w:type="spellStart"/>
            <w:r w:rsidRPr="00DD3433">
              <w:t>Distr</w:t>
            </w:r>
            <w:proofErr w:type="spellEnd"/>
            <w:r w:rsidRPr="00DD3433">
              <w:t>.</w:t>
            </w:r>
          </w:p>
          <w:p w14:paraId="6D9F19EF" w14:textId="77777777" w:rsidR="004004A1" w:rsidRPr="00DD3433" w:rsidRDefault="004004A1" w:rsidP="004004A1">
            <w:r w:rsidRPr="00DD3433">
              <w:t>GÉNÉRALE</w:t>
            </w:r>
          </w:p>
          <w:p w14:paraId="0BB2C776" w14:textId="77777777" w:rsidR="004004A1" w:rsidRPr="00DD3433" w:rsidRDefault="004004A1" w:rsidP="004004A1"/>
          <w:p w14:paraId="649AA10E" w14:textId="3CFE4794" w:rsidR="004004A1" w:rsidRPr="00692DA8" w:rsidRDefault="004004A1" w:rsidP="004004A1">
            <w:pPr>
              <w:rPr>
                <w:lang w:val="en-US"/>
              </w:rPr>
            </w:pPr>
            <w:r>
              <w:fldChar w:fldCharType="begin"/>
            </w:r>
            <w:r w:rsidRPr="00692DA8">
              <w:rPr>
                <w:lang w:val="en-US"/>
              </w:rPr>
              <w:instrText xml:space="preserve"> DOCPROPERTY "Document number"  \* MERGEFORMAT </w:instrText>
            </w:r>
            <w:r>
              <w:fldChar w:fldCharType="separate"/>
            </w:r>
            <w:r w:rsidRPr="00692DA8">
              <w:rPr>
                <w:lang w:val="en-US"/>
              </w:rPr>
              <w:t>UNEP/</w:t>
            </w:r>
            <w:proofErr w:type="spellStart"/>
            <w:r w:rsidRPr="00692DA8">
              <w:rPr>
                <w:lang w:val="en-US"/>
              </w:rPr>
              <w:t>OzL.Pro</w:t>
            </w:r>
            <w:proofErr w:type="spellEnd"/>
            <w:r w:rsidRPr="00692DA8">
              <w:rPr>
                <w:lang w:val="en-US"/>
              </w:rPr>
              <w:t>/ExCom/9</w:t>
            </w:r>
            <w:r w:rsidR="007A5497" w:rsidRPr="00692DA8">
              <w:rPr>
                <w:lang w:val="en-US"/>
              </w:rPr>
              <w:t>5</w:t>
            </w:r>
            <w:r w:rsidRPr="00692DA8">
              <w:rPr>
                <w:lang w:val="en-US"/>
              </w:rPr>
              <w:t>/</w:t>
            </w:r>
            <w:r w:rsidR="00900293" w:rsidRPr="00692DA8">
              <w:rPr>
                <w:lang w:val="en-US"/>
              </w:rPr>
              <w:t>20/Add.1</w:t>
            </w:r>
            <w:r>
              <w:fldChar w:fldCharType="end"/>
            </w:r>
          </w:p>
          <w:p w14:paraId="1B216FDA" w14:textId="116975A7" w:rsidR="004004A1" w:rsidRPr="00DB2922" w:rsidRDefault="00900293" w:rsidP="004004A1">
            <w:pPr>
              <w:rPr>
                <w:lang w:val="fr-CA"/>
              </w:rPr>
            </w:pPr>
            <w:r>
              <w:rPr>
                <w:lang w:val="fr-CA"/>
              </w:rPr>
              <w:t>26</w:t>
            </w:r>
            <w:r w:rsidR="004004A1">
              <w:rPr>
                <w:lang w:val="fr-CA"/>
              </w:rPr>
              <w:t xml:space="preserve"> novembre</w:t>
            </w:r>
            <w:r w:rsidR="004004A1" w:rsidRPr="007778F9">
              <w:rPr>
                <w:lang w:val="fr-CA"/>
              </w:rPr>
              <w:t xml:space="preserve"> 2024</w:t>
            </w:r>
          </w:p>
          <w:p w14:paraId="6CCCC8E5" w14:textId="77777777" w:rsidR="004004A1" w:rsidRDefault="004004A1" w:rsidP="004004A1">
            <w:pPr>
              <w:rPr>
                <w:caps/>
              </w:rPr>
            </w:pPr>
            <w:r w:rsidRPr="00DB2922">
              <w:rPr>
                <w:caps/>
                <w:lang w:val="fr-CA"/>
              </w:rPr>
              <w:br/>
            </w:r>
            <w:r>
              <w:rPr>
                <w:caps/>
              </w:rPr>
              <w:t>FRANÇAIS</w:t>
            </w:r>
          </w:p>
          <w:p w14:paraId="2C1903EC" w14:textId="0743FD12" w:rsidR="004004A1" w:rsidRPr="006778F8" w:rsidRDefault="004004A1" w:rsidP="004004A1">
            <w:pPr>
              <w:rPr>
                <w:lang w:val="en-US"/>
              </w:rPr>
            </w:pPr>
            <w:r w:rsidRPr="00E5237E">
              <w:rPr>
                <w:lang w:val="fr-CA"/>
              </w:rPr>
              <w:t>ORIGINAL</w:t>
            </w:r>
            <w:r>
              <w:rPr>
                <w:lang w:val="fr-CA"/>
              </w:rPr>
              <w:t> </w:t>
            </w:r>
            <w:r w:rsidRPr="00E5237E">
              <w:rPr>
                <w:lang w:val="fr-CA"/>
              </w:rPr>
              <w:t>: ANGLAIS</w:t>
            </w:r>
          </w:p>
        </w:tc>
      </w:tr>
    </w:tbl>
    <w:p w14:paraId="4BE76C99" w14:textId="2BF394D8" w:rsidR="004A33F4" w:rsidRPr="006778F8" w:rsidRDefault="004A33F4" w:rsidP="004A33F4">
      <w:pPr>
        <w:jc w:val="left"/>
      </w:pPr>
      <w:r>
        <w:t>COMITÉ EX</w:t>
      </w:r>
      <w:r w:rsidR="00776E44">
        <w:t>É</w:t>
      </w:r>
      <w:r>
        <w:t xml:space="preserve">CUTIF </w:t>
      </w:r>
      <w:r>
        <w:br/>
      </w:r>
      <w:r w:rsidR="007E0D08">
        <w:t xml:space="preserve"> </w:t>
      </w:r>
      <w:r w:rsidR="00A52B49">
        <w:t xml:space="preserve"> </w:t>
      </w:r>
      <w:r>
        <w:t xml:space="preserve">DU FONDS MULTILATÉRAL AUX FINS </w:t>
      </w:r>
      <w:r>
        <w:br/>
      </w:r>
      <w:r w:rsidR="007E0D08">
        <w:t xml:space="preserve"> </w:t>
      </w:r>
      <w:r w:rsidR="00A52B49">
        <w:t xml:space="preserve"> </w:t>
      </w:r>
      <w:r>
        <w:t>D’APPLICATION DU PROTOCOLE DE MONTRÉAL</w:t>
      </w:r>
      <w:r>
        <w:br/>
        <w:t>Quatre-vingt-quinzième réunion</w:t>
      </w:r>
    </w:p>
    <w:p w14:paraId="083DFE54" w14:textId="77777777" w:rsidR="004A33F4" w:rsidRPr="006778F8" w:rsidRDefault="004A33F4" w:rsidP="004A33F4">
      <w:pPr>
        <w:jc w:val="left"/>
      </w:pPr>
      <w:r>
        <w:t>Montréal, 4-8 décembre 2024</w:t>
      </w:r>
    </w:p>
    <w:p w14:paraId="7AB52B27" w14:textId="180C30B1" w:rsidR="000D434A" w:rsidRDefault="000D434A" w:rsidP="000D434A">
      <w:pPr>
        <w:jc w:val="left"/>
      </w:pPr>
      <w:r>
        <w:t>Point 7(b)(i) de l</w:t>
      </w:r>
      <w:r w:rsidR="00980505">
        <w:t>’</w:t>
      </w:r>
      <w:r>
        <w:t>ordre du jour provisoire</w:t>
      </w:r>
      <w:r w:rsidR="00095EB5">
        <w:rPr>
          <w:rStyle w:val="Rimandonotaapidipagina"/>
        </w:rPr>
        <w:footnoteReference w:id="1"/>
      </w:r>
    </w:p>
    <w:p w14:paraId="13456577" w14:textId="77777777" w:rsidR="000D434A" w:rsidRPr="009B0D30" w:rsidRDefault="000D434A" w:rsidP="000D434A">
      <w:pPr>
        <w:jc w:val="left"/>
      </w:pPr>
    </w:p>
    <w:p w14:paraId="68524817" w14:textId="77777777" w:rsidR="000D434A" w:rsidRDefault="000D434A" w:rsidP="000D434A">
      <w:pPr>
        <w:pStyle w:val="Titolo1"/>
        <w:numPr>
          <w:ilvl w:val="0"/>
          <w:numId w:val="0"/>
        </w:numPr>
        <w:spacing w:after="0"/>
      </w:pPr>
    </w:p>
    <w:p w14:paraId="37A48D99" w14:textId="77777777" w:rsidR="000D434A" w:rsidRDefault="000D434A" w:rsidP="000D434A"/>
    <w:p w14:paraId="3ED8E7FF" w14:textId="77777777" w:rsidR="000D434A" w:rsidRPr="0041349D" w:rsidRDefault="000D434A" w:rsidP="000D434A"/>
    <w:p w14:paraId="2248EB12" w14:textId="77777777" w:rsidR="000D434A" w:rsidRPr="00BC0C69" w:rsidRDefault="000D434A" w:rsidP="000D434A">
      <w:pPr>
        <w:jc w:val="center"/>
        <w:rPr>
          <w:b/>
          <w:bCs/>
        </w:rPr>
      </w:pPr>
      <w:r>
        <w:rPr>
          <w:b/>
          <w:bCs/>
        </w:rPr>
        <w:t>Addendum</w:t>
      </w:r>
    </w:p>
    <w:p w14:paraId="626EC550" w14:textId="77777777" w:rsidR="000D434A" w:rsidRPr="00C745B2" w:rsidRDefault="000D434A" w:rsidP="000D434A">
      <w:pPr>
        <w:pStyle w:val="Title1"/>
        <w:jc w:val="right"/>
        <w:rPr>
          <w:b w:val="0"/>
          <w:lang w:val="fr-CH"/>
        </w:rPr>
      </w:pPr>
    </w:p>
    <w:p w14:paraId="3156D894" w14:textId="33044F0B" w:rsidR="000D434A" w:rsidRPr="00C745B2" w:rsidRDefault="000D434A" w:rsidP="00C745B2">
      <w:pPr>
        <w:pStyle w:val="paragraph"/>
        <w:spacing w:before="0" w:beforeAutospacing="0" w:after="0" w:afterAutospacing="0"/>
        <w:jc w:val="center"/>
        <w:textAlignment w:val="baseline"/>
        <w:rPr>
          <w:b/>
          <w:bCs/>
          <w:sz w:val="22"/>
          <w:szCs w:val="22"/>
        </w:rPr>
      </w:pPr>
      <w:r w:rsidRPr="00C745B2">
        <w:rPr>
          <w:rStyle w:val="normaltextrun"/>
          <w:b/>
          <w:bCs/>
          <w:sz w:val="22"/>
          <w:szCs w:val="22"/>
        </w:rPr>
        <w:t xml:space="preserve">RAPPORTS SUR LES PROJETS SOUMIS </w:t>
      </w:r>
      <w:r w:rsidR="00AC3E46" w:rsidRPr="00C745B2">
        <w:rPr>
          <w:rStyle w:val="normaltextrun"/>
          <w:b/>
          <w:bCs/>
          <w:sz w:val="22"/>
          <w:szCs w:val="22"/>
        </w:rPr>
        <w:t>À</w:t>
      </w:r>
      <w:r w:rsidRPr="00C745B2">
        <w:rPr>
          <w:rStyle w:val="normaltextrun"/>
          <w:b/>
          <w:bCs/>
          <w:sz w:val="22"/>
          <w:szCs w:val="22"/>
        </w:rPr>
        <w:t xml:space="preserve"> DES EXIGENCES SP</w:t>
      </w:r>
      <w:r w:rsidR="00AC3E46" w:rsidRPr="00C745B2">
        <w:rPr>
          <w:rStyle w:val="normaltextrun"/>
          <w:b/>
          <w:bCs/>
          <w:sz w:val="22"/>
          <w:szCs w:val="22"/>
        </w:rPr>
        <w:t>É</w:t>
      </w:r>
      <w:r w:rsidRPr="00C745B2">
        <w:rPr>
          <w:rStyle w:val="normaltextrun"/>
          <w:b/>
          <w:bCs/>
          <w:sz w:val="22"/>
          <w:szCs w:val="22"/>
        </w:rPr>
        <w:t>CIFIQUES EN MATI</w:t>
      </w:r>
      <w:r w:rsidR="00AC3E46" w:rsidRPr="00C745B2">
        <w:rPr>
          <w:rStyle w:val="normaltextrun"/>
          <w:b/>
          <w:bCs/>
          <w:sz w:val="22"/>
          <w:szCs w:val="22"/>
        </w:rPr>
        <w:t>È</w:t>
      </w:r>
      <w:r w:rsidRPr="00C745B2">
        <w:rPr>
          <w:rStyle w:val="normaltextrun"/>
          <w:b/>
          <w:bCs/>
          <w:sz w:val="22"/>
          <w:szCs w:val="22"/>
        </w:rPr>
        <w:t>RE D</w:t>
      </w:r>
      <w:r w:rsidR="00980505" w:rsidRPr="00C745B2">
        <w:rPr>
          <w:rStyle w:val="normaltextrun"/>
          <w:b/>
          <w:bCs/>
          <w:sz w:val="22"/>
          <w:szCs w:val="22"/>
        </w:rPr>
        <w:t>’É</w:t>
      </w:r>
      <w:r w:rsidRPr="00C745B2">
        <w:rPr>
          <w:rStyle w:val="normaltextrun"/>
          <w:b/>
          <w:bCs/>
          <w:sz w:val="22"/>
          <w:szCs w:val="22"/>
        </w:rPr>
        <w:t>TABLISSEMENT DE RAPPORTS :</w:t>
      </w:r>
      <w:r w:rsidRPr="00C745B2">
        <w:rPr>
          <w:rStyle w:val="eop"/>
          <w:b/>
          <w:bCs/>
          <w:sz w:val="22"/>
          <w:szCs w:val="22"/>
        </w:rPr>
        <w:t> </w:t>
      </w:r>
      <w:r w:rsidRPr="00C745B2">
        <w:rPr>
          <w:rStyle w:val="normaltextrun"/>
          <w:b/>
          <w:bCs/>
          <w:sz w:val="22"/>
          <w:szCs w:val="22"/>
          <w:lang w:val="fr-CH"/>
        </w:rPr>
        <w:t>RAPPORTS SANS QUESTIONS EN SUSPENS</w:t>
      </w:r>
      <w:r w:rsidRPr="00C745B2">
        <w:rPr>
          <w:rStyle w:val="eop"/>
          <w:b/>
          <w:bCs/>
          <w:sz w:val="22"/>
          <w:szCs w:val="22"/>
          <w:lang w:val="fr-CH"/>
        </w:rPr>
        <w:t> </w:t>
      </w:r>
    </w:p>
    <w:p w14:paraId="6BBF757D" w14:textId="77777777" w:rsidR="000D434A" w:rsidRPr="0066768F" w:rsidRDefault="000D434A" w:rsidP="000D434A">
      <w:pPr>
        <w:pStyle w:val="StyleHeader4Para4Left0Firstline0"/>
        <w:numPr>
          <w:ilvl w:val="0"/>
          <w:numId w:val="0"/>
        </w:numPr>
        <w:jc w:val="right"/>
        <w:rPr>
          <w:b/>
          <w:sz w:val="22"/>
        </w:rPr>
      </w:pPr>
    </w:p>
    <w:p w14:paraId="2B0B2071" w14:textId="77777777" w:rsidR="000D434A" w:rsidRDefault="000D434A" w:rsidP="000D434A">
      <w:pPr>
        <w:pStyle w:val="Titolo1"/>
        <w:numPr>
          <w:ilvl w:val="0"/>
          <w:numId w:val="0"/>
        </w:numPr>
        <w:ind w:firstLine="720"/>
      </w:pPr>
      <w:r>
        <w:t>Ce document est émis pour :</w:t>
      </w:r>
    </w:p>
    <w:p w14:paraId="64E85568" w14:textId="77777777" w:rsidR="000D434A" w:rsidRDefault="000D434A" w:rsidP="000D434A">
      <w:pPr>
        <w:pStyle w:val="Titolo1"/>
        <w:numPr>
          <w:ilvl w:val="0"/>
          <w:numId w:val="46"/>
        </w:numPr>
        <w:ind w:hanging="11"/>
      </w:pPr>
      <w:r>
        <w:rPr>
          <w:b/>
          <w:bCs/>
        </w:rPr>
        <w:t xml:space="preserve">Ajouter </w:t>
      </w:r>
      <w:r>
        <w:t>les lignes suivantes au Tableau 1 :</w:t>
      </w:r>
    </w:p>
    <w:p w14:paraId="40216620" w14:textId="19EA253F" w:rsidR="000D434A" w:rsidRPr="00BF45A3" w:rsidRDefault="000D434A" w:rsidP="000D434A">
      <w:pPr>
        <w:keepNext/>
        <w:keepLines/>
        <w:rPr>
          <w:b/>
        </w:rPr>
      </w:pPr>
      <w:r>
        <w:rPr>
          <w:b/>
        </w:rPr>
        <w:t>Tableau 1. Rapports sur les projets soumis à des exigences spécifiques en matière d</w:t>
      </w:r>
      <w:r w:rsidR="00980505">
        <w:rPr>
          <w:b/>
        </w:rPr>
        <w:t>’</w:t>
      </w:r>
      <w:r>
        <w:rPr>
          <w:b/>
        </w:rPr>
        <w:t>établissement de rapports et ne présentant pas de problèmes en suspens</w:t>
      </w:r>
    </w:p>
    <w:tbl>
      <w:tblPr>
        <w:tblStyle w:val="Grigliatabella"/>
        <w:tblW w:w="0" w:type="auto"/>
        <w:tblLook w:val="04A0" w:firstRow="1" w:lastRow="0" w:firstColumn="1" w:lastColumn="0" w:noHBand="0" w:noVBand="1"/>
      </w:tblPr>
      <w:tblGrid>
        <w:gridCol w:w="1555"/>
        <w:gridCol w:w="6090"/>
        <w:gridCol w:w="1705"/>
      </w:tblGrid>
      <w:tr w:rsidR="000D434A" w:rsidRPr="007A73A6" w14:paraId="1CA88C69" w14:textId="77777777" w:rsidTr="007E777B">
        <w:trPr>
          <w:tblHeader/>
        </w:trPr>
        <w:tc>
          <w:tcPr>
            <w:tcW w:w="1555" w:type="dxa"/>
            <w:tcBorders>
              <w:top w:val="single" w:sz="4" w:space="0" w:color="auto"/>
              <w:left w:val="single" w:sz="4" w:space="0" w:color="auto"/>
              <w:bottom w:val="single" w:sz="4" w:space="0" w:color="auto"/>
              <w:right w:val="single" w:sz="4" w:space="0" w:color="auto"/>
            </w:tcBorders>
            <w:hideMark/>
          </w:tcPr>
          <w:p w14:paraId="5C57B051" w14:textId="77777777" w:rsidR="000D434A" w:rsidRPr="007A73A6" w:rsidRDefault="000D434A" w:rsidP="007E777B">
            <w:pPr>
              <w:keepNext/>
              <w:keepLines/>
              <w:jc w:val="center"/>
              <w:rPr>
                <w:b/>
                <w:sz w:val="20"/>
                <w:szCs w:val="20"/>
              </w:rPr>
            </w:pPr>
            <w:r>
              <w:rPr>
                <w:b/>
                <w:sz w:val="20"/>
                <w:szCs w:val="20"/>
              </w:rPr>
              <w:t>Pays</w:t>
            </w:r>
          </w:p>
        </w:tc>
        <w:tc>
          <w:tcPr>
            <w:tcW w:w="6090" w:type="dxa"/>
            <w:tcBorders>
              <w:top w:val="single" w:sz="4" w:space="0" w:color="auto"/>
              <w:left w:val="single" w:sz="4" w:space="0" w:color="auto"/>
              <w:bottom w:val="single" w:sz="4" w:space="0" w:color="auto"/>
              <w:right w:val="single" w:sz="4" w:space="0" w:color="auto"/>
            </w:tcBorders>
            <w:hideMark/>
          </w:tcPr>
          <w:p w14:paraId="2B13F356" w14:textId="77777777" w:rsidR="000D434A" w:rsidRPr="007A73A6" w:rsidRDefault="000D434A" w:rsidP="007E777B">
            <w:pPr>
              <w:keepNext/>
              <w:keepLines/>
              <w:jc w:val="center"/>
              <w:rPr>
                <w:b/>
                <w:sz w:val="20"/>
                <w:szCs w:val="20"/>
              </w:rPr>
            </w:pPr>
            <w:r>
              <w:rPr>
                <w:b/>
                <w:sz w:val="20"/>
                <w:szCs w:val="20"/>
              </w:rPr>
              <w:t>Titre du projet</w:t>
            </w:r>
          </w:p>
        </w:tc>
        <w:tc>
          <w:tcPr>
            <w:tcW w:w="1705" w:type="dxa"/>
            <w:tcBorders>
              <w:top w:val="single" w:sz="4" w:space="0" w:color="auto"/>
              <w:left w:val="single" w:sz="4" w:space="0" w:color="auto"/>
              <w:bottom w:val="single" w:sz="4" w:space="0" w:color="auto"/>
              <w:right w:val="single" w:sz="4" w:space="0" w:color="auto"/>
            </w:tcBorders>
            <w:hideMark/>
          </w:tcPr>
          <w:p w14:paraId="376AF0E7" w14:textId="77777777" w:rsidR="000D434A" w:rsidRPr="007A73A6" w:rsidRDefault="000D434A" w:rsidP="007E777B">
            <w:pPr>
              <w:keepNext/>
              <w:keepLines/>
              <w:jc w:val="center"/>
              <w:rPr>
                <w:b/>
                <w:sz w:val="20"/>
                <w:szCs w:val="20"/>
              </w:rPr>
            </w:pPr>
            <w:r>
              <w:rPr>
                <w:b/>
                <w:sz w:val="20"/>
                <w:szCs w:val="20"/>
              </w:rPr>
              <w:t>Paragraphes</w:t>
            </w:r>
          </w:p>
        </w:tc>
      </w:tr>
      <w:tr w:rsidR="000D434A" w:rsidRPr="007A73A6" w14:paraId="1373841B" w14:textId="77777777" w:rsidTr="007E777B">
        <w:tc>
          <w:tcPr>
            <w:tcW w:w="9350" w:type="dxa"/>
            <w:gridSpan w:val="3"/>
            <w:tcBorders>
              <w:top w:val="single" w:sz="4" w:space="0" w:color="auto"/>
              <w:left w:val="single" w:sz="4" w:space="0" w:color="auto"/>
              <w:bottom w:val="single" w:sz="4" w:space="0" w:color="auto"/>
              <w:right w:val="single" w:sz="4" w:space="0" w:color="auto"/>
            </w:tcBorders>
            <w:hideMark/>
          </w:tcPr>
          <w:p w14:paraId="091F5E5B" w14:textId="77777777" w:rsidR="000D434A" w:rsidRPr="007A73A6" w:rsidRDefault="000D434A" w:rsidP="000D434A">
            <w:pPr>
              <w:pStyle w:val="Paragrafoelenco"/>
              <w:numPr>
                <w:ilvl w:val="0"/>
                <w:numId w:val="47"/>
              </w:numPr>
              <w:ind w:left="457" w:hanging="425"/>
              <w:contextualSpacing/>
              <w:jc w:val="left"/>
              <w:rPr>
                <w:b/>
                <w:sz w:val="20"/>
                <w:szCs w:val="20"/>
              </w:rPr>
            </w:pPr>
            <w:r>
              <w:rPr>
                <w:b/>
                <w:sz w:val="20"/>
                <w:szCs w:val="20"/>
              </w:rPr>
              <w:t>Demande de changement de technologie pour des projets approuvés</w:t>
            </w:r>
          </w:p>
        </w:tc>
      </w:tr>
      <w:tr w:rsidR="000D434A" w:rsidRPr="007A73A6" w14:paraId="43CD11E4" w14:textId="77777777" w:rsidTr="007E777B">
        <w:tc>
          <w:tcPr>
            <w:tcW w:w="1555" w:type="dxa"/>
            <w:tcBorders>
              <w:top w:val="single" w:sz="4" w:space="0" w:color="auto"/>
              <w:left w:val="single" w:sz="4" w:space="0" w:color="auto"/>
              <w:bottom w:val="single" w:sz="4" w:space="0" w:color="auto"/>
              <w:right w:val="single" w:sz="4" w:space="0" w:color="auto"/>
            </w:tcBorders>
          </w:tcPr>
          <w:p w14:paraId="519FB861" w14:textId="77777777" w:rsidR="000D434A" w:rsidRPr="007A73A6" w:rsidRDefault="000D434A" w:rsidP="007E777B">
            <w:pPr>
              <w:rPr>
                <w:sz w:val="20"/>
                <w:szCs w:val="20"/>
                <w:highlight w:val="yellow"/>
              </w:rPr>
            </w:pPr>
            <w:r>
              <w:rPr>
                <w:sz w:val="20"/>
                <w:szCs w:val="20"/>
              </w:rPr>
              <w:t>Chine</w:t>
            </w:r>
          </w:p>
        </w:tc>
        <w:tc>
          <w:tcPr>
            <w:tcW w:w="6090" w:type="dxa"/>
            <w:tcBorders>
              <w:top w:val="single" w:sz="4" w:space="0" w:color="auto"/>
              <w:left w:val="single" w:sz="4" w:space="0" w:color="auto"/>
              <w:bottom w:val="single" w:sz="4" w:space="0" w:color="auto"/>
              <w:right w:val="single" w:sz="4" w:space="0" w:color="auto"/>
            </w:tcBorders>
          </w:tcPr>
          <w:p w14:paraId="77714065" w14:textId="237C19F7" w:rsidR="000D434A" w:rsidRPr="007A73A6" w:rsidRDefault="000D434A" w:rsidP="007E777B">
            <w:pPr>
              <w:rPr>
                <w:sz w:val="20"/>
                <w:szCs w:val="20"/>
                <w:highlight w:val="yellow"/>
              </w:rPr>
            </w:pPr>
            <w:r>
              <w:rPr>
                <w:sz w:val="20"/>
                <w:szCs w:val="20"/>
              </w:rPr>
              <w:t>Changement de technologie pour la fabrication de grands congélateurs et d</w:t>
            </w:r>
            <w:r w:rsidR="00980505">
              <w:rPr>
                <w:sz w:val="20"/>
                <w:szCs w:val="20"/>
              </w:rPr>
              <w:t>’</w:t>
            </w:r>
            <w:r>
              <w:rPr>
                <w:sz w:val="20"/>
                <w:szCs w:val="20"/>
              </w:rPr>
              <w:t>unités de réfrigération et de condensation, de l</w:t>
            </w:r>
            <w:r w:rsidR="00980505">
              <w:rPr>
                <w:sz w:val="20"/>
                <w:szCs w:val="20"/>
              </w:rPr>
              <w:t>’</w:t>
            </w:r>
            <w:r>
              <w:rPr>
                <w:sz w:val="20"/>
                <w:szCs w:val="20"/>
              </w:rPr>
              <w:t>ammoniac à la cascade à l’ammoniac/CO</w:t>
            </w:r>
            <w:r>
              <w:rPr>
                <w:sz w:val="20"/>
                <w:szCs w:val="20"/>
                <w:vertAlign w:val="subscript"/>
              </w:rPr>
              <w:t>2</w:t>
            </w:r>
            <w:r>
              <w:rPr>
                <w:sz w:val="20"/>
                <w:szCs w:val="20"/>
              </w:rPr>
              <w:t xml:space="preserve"> (phase</w:t>
            </w:r>
            <w:r w:rsidR="00980505">
              <w:rPr>
                <w:sz w:val="20"/>
                <w:szCs w:val="20"/>
              </w:rPr>
              <w:t> </w:t>
            </w:r>
            <w:r>
              <w:rPr>
                <w:sz w:val="20"/>
                <w:szCs w:val="20"/>
              </w:rPr>
              <w:t>II du PGEH - plan sectoriel des ICR)</w:t>
            </w:r>
          </w:p>
        </w:tc>
        <w:tc>
          <w:tcPr>
            <w:tcW w:w="1705" w:type="dxa"/>
            <w:tcBorders>
              <w:top w:val="single" w:sz="4" w:space="0" w:color="auto"/>
              <w:left w:val="single" w:sz="4" w:space="0" w:color="auto"/>
              <w:bottom w:val="single" w:sz="4" w:space="0" w:color="auto"/>
              <w:right w:val="single" w:sz="4" w:space="0" w:color="auto"/>
            </w:tcBorders>
          </w:tcPr>
          <w:p w14:paraId="4EC056C1" w14:textId="77777777" w:rsidR="000D434A" w:rsidRPr="007A73A6" w:rsidRDefault="000D434A" w:rsidP="007E777B">
            <w:pPr>
              <w:jc w:val="center"/>
              <w:rPr>
                <w:sz w:val="20"/>
                <w:szCs w:val="20"/>
                <w:highlight w:val="yellow"/>
              </w:rPr>
            </w:pPr>
            <w:r>
              <w:rPr>
                <w:sz w:val="20"/>
                <w:szCs w:val="20"/>
              </w:rPr>
              <w:t>81 à 87</w:t>
            </w:r>
          </w:p>
        </w:tc>
      </w:tr>
    </w:tbl>
    <w:p w14:paraId="2D342142" w14:textId="77777777" w:rsidR="000D434A" w:rsidRPr="00BC0C69" w:rsidRDefault="000D434A" w:rsidP="000D434A"/>
    <w:p w14:paraId="43ECBB1E" w14:textId="01F31F3F" w:rsidR="000D434A" w:rsidRPr="00F87A57" w:rsidRDefault="000D434A" w:rsidP="000D434A">
      <w:pPr>
        <w:pStyle w:val="Titolo1"/>
        <w:numPr>
          <w:ilvl w:val="0"/>
          <w:numId w:val="46"/>
        </w:numPr>
        <w:ind w:hanging="11"/>
      </w:pPr>
      <w:r>
        <w:rPr>
          <w:b/>
          <w:bCs/>
        </w:rPr>
        <w:t xml:space="preserve">Ajouter </w:t>
      </w:r>
      <w:r w:rsidRPr="00F71450">
        <w:t xml:space="preserve">la </w:t>
      </w:r>
      <w:r>
        <w:t>section D et les paragraphes</w:t>
      </w:r>
      <w:r w:rsidR="00980505">
        <w:t> </w:t>
      </w:r>
      <w:r>
        <w:t>81 à 87 comme suit :</w:t>
      </w:r>
    </w:p>
    <w:p w14:paraId="6BD33514" w14:textId="77777777" w:rsidR="000D434A" w:rsidRPr="00F30A29" w:rsidRDefault="000D434A" w:rsidP="000D434A">
      <w:pPr>
        <w:pStyle w:val="Titolo1"/>
        <w:numPr>
          <w:ilvl w:val="0"/>
          <w:numId w:val="0"/>
        </w:numPr>
        <w:rPr>
          <w:rFonts w:asciiTheme="majorBidi" w:hAnsiTheme="majorBidi" w:cstheme="majorBidi"/>
          <w:b/>
          <w:bCs/>
        </w:rPr>
      </w:pPr>
      <w:r>
        <w:rPr>
          <w:rFonts w:asciiTheme="majorBidi" w:hAnsiTheme="majorBidi"/>
          <w:b/>
          <w:bCs/>
        </w:rPr>
        <w:t>D.</w:t>
      </w:r>
      <w:r>
        <w:rPr>
          <w:rFonts w:asciiTheme="majorBidi" w:hAnsiTheme="majorBidi"/>
          <w:b/>
          <w:bCs/>
        </w:rPr>
        <w:tab/>
        <w:t xml:space="preserve">Demande de changement de technologie pour des projets approuvés </w:t>
      </w:r>
    </w:p>
    <w:p w14:paraId="20A82F89" w14:textId="6061422F" w:rsidR="000D434A" w:rsidRPr="00F30A29" w:rsidRDefault="000D434A" w:rsidP="000D434A">
      <w:pPr>
        <w:pStyle w:val="Titolo1"/>
        <w:numPr>
          <w:ilvl w:val="0"/>
          <w:numId w:val="0"/>
        </w:numPr>
        <w:ind w:left="720"/>
        <w:rPr>
          <w:rFonts w:asciiTheme="majorBidi" w:hAnsiTheme="majorBidi" w:cstheme="majorBidi"/>
          <w:b/>
          <w:bCs/>
          <w:u w:val="single"/>
        </w:rPr>
      </w:pPr>
      <w:r>
        <w:rPr>
          <w:rFonts w:asciiTheme="majorBidi" w:hAnsiTheme="majorBidi"/>
          <w:b/>
          <w:bCs/>
          <w:u w:val="single"/>
        </w:rPr>
        <w:t>Chine : plan de gestion de l</w:t>
      </w:r>
      <w:r w:rsidR="00980505">
        <w:rPr>
          <w:rFonts w:asciiTheme="majorBidi" w:hAnsiTheme="majorBidi"/>
          <w:b/>
          <w:bCs/>
          <w:u w:val="single"/>
        </w:rPr>
        <w:t>’</w:t>
      </w:r>
      <w:r>
        <w:rPr>
          <w:rFonts w:asciiTheme="majorBidi" w:hAnsiTheme="majorBidi"/>
          <w:b/>
          <w:bCs/>
          <w:u w:val="single"/>
        </w:rPr>
        <w:t>élimination des HCFC (phase</w:t>
      </w:r>
      <w:r w:rsidR="00980505">
        <w:rPr>
          <w:rFonts w:asciiTheme="majorBidi" w:hAnsiTheme="majorBidi"/>
          <w:b/>
          <w:bCs/>
          <w:u w:val="single"/>
        </w:rPr>
        <w:t> </w:t>
      </w:r>
      <w:r>
        <w:rPr>
          <w:rFonts w:asciiTheme="majorBidi" w:hAnsiTheme="majorBidi"/>
          <w:b/>
          <w:bCs/>
          <w:u w:val="single"/>
        </w:rPr>
        <w:t xml:space="preserve">II - plan sectoriel pour la réfrigération industrielle et commerciale - changement de technologie) </w:t>
      </w:r>
      <w:r>
        <w:rPr>
          <w:rFonts w:asciiTheme="majorBidi" w:hAnsiTheme="majorBidi"/>
          <w:b/>
          <w:bCs/>
        </w:rPr>
        <w:t>(PNUD)</w:t>
      </w:r>
    </w:p>
    <w:p w14:paraId="20143070" w14:textId="77777777" w:rsidR="00B63C7C" w:rsidRDefault="00B63C7C" w:rsidP="00095EB5">
      <w:pPr>
        <w:tabs>
          <w:tab w:val="left" w:pos="2222"/>
        </w:tabs>
        <w:rPr>
          <w:rFonts w:asciiTheme="majorBidi" w:hAnsiTheme="majorBidi"/>
          <w:b/>
          <w:bCs/>
        </w:rPr>
      </w:pPr>
    </w:p>
    <w:p w14:paraId="3F7A5666" w14:textId="77777777" w:rsidR="00B63C7C" w:rsidRDefault="00B63C7C" w:rsidP="00095EB5">
      <w:pPr>
        <w:tabs>
          <w:tab w:val="left" w:pos="2222"/>
        </w:tabs>
        <w:rPr>
          <w:rFonts w:asciiTheme="majorBidi" w:hAnsiTheme="majorBidi"/>
          <w:b/>
          <w:bCs/>
        </w:rPr>
      </w:pPr>
    </w:p>
    <w:p w14:paraId="75C24E8E" w14:textId="77777777" w:rsidR="00B63C7C" w:rsidRDefault="00B63C7C" w:rsidP="00095EB5">
      <w:pPr>
        <w:tabs>
          <w:tab w:val="left" w:pos="2222"/>
        </w:tabs>
        <w:rPr>
          <w:rFonts w:asciiTheme="majorBidi" w:hAnsiTheme="majorBidi"/>
          <w:b/>
          <w:bCs/>
        </w:rPr>
      </w:pPr>
    </w:p>
    <w:p w14:paraId="6F346A91" w14:textId="53516CA8" w:rsidR="000D434A" w:rsidRPr="009B4D4A" w:rsidRDefault="000D434A" w:rsidP="00095EB5">
      <w:pPr>
        <w:tabs>
          <w:tab w:val="left" w:pos="2222"/>
        </w:tabs>
        <w:rPr>
          <w:rFonts w:asciiTheme="majorBidi" w:hAnsiTheme="majorBidi" w:cstheme="majorBidi"/>
          <w:b/>
          <w:bCs/>
        </w:rPr>
      </w:pPr>
      <w:r>
        <w:rPr>
          <w:rFonts w:asciiTheme="majorBidi" w:hAnsiTheme="majorBidi"/>
          <w:b/>
          <w:bCs/>
        </w:rPr>
        <w:lastRenderedPageBreak/>
        <w:t>Contexte</w:t>
      </w:r>
      <w:r w:rsidR="00095EB5">
        <w:rPr>
          <w:rFonts w:asciiTheme="majorBidi" w:hAnsiTheme="majorBidi"/>
          <w:b/>
          <w:bCs/>
        </w:rPr>
        <w:tab/>
      </w:r>
    </w:p>
    <w:p w14:paraId="48E927AC" w14:textId="77777777" w:rsidR="000D434A" w:rsidRPr="009B4D4A" w:rsidRDefault="000D434A" w:rsidP="000D434A">
      <w:pPr>
        <w:rPr>
          <w:rFonts w:asciiTheme="majorBidi" w:hAnsiTheme="majorBidi" w:cstheme="majorBidi"/>
        </w:rPr>
      </w:pPr>
    </w:p>
    <w:p w14:paraId="33A3DA03" w14:textId="20FEBEA7" w:rsidR="000D434A" w:rsidRPr="00901A10" w:rsidRDefault="000D434A" w:rsidP="00901A10">
      <w:pPr>
        <w:pStyle w:val="Titolo1"/>
        <w:rPr>
          <w:rFonts w:cstheme="majorBidi"/>
        </w:rPr>
      </w:pPr>
      <w:r w:rsidRPr="00901A10">
        <w:t>Le plan sectoriel pour les équipements de réfrigération et de climatisation industrielles et commerciales (ICR) de la phase</w:t>
      </w:r>
      <w:r w:rsidR="00980505" w:rsidRPr="00901A10">
        <w:t> </w:t>
      </w:r>
      <w:r w:rsidRPr="00901A10">
        <w:t>II du plan de gestion de l</w:t>
      </w:r>
      <w:r w:rsidR="00980505" w:rsidRPr="00901A10">
        <w:t>’</w:t>
      </w:r>
      <w:r w:rsidRPr="00901A10">
        <w:t>élimination des HCFC (PGEH) pour la Chine a été approuvé en principe lors de la 77</w:t>
      </w:r>
      <w:r w:rsidRPr="00901A10">
        <w:rPr>
          <w:vertAlign w:val="superscript"/>
        </w:rPr>
        <w:t>e</w:t>
      </w:r>
      <w:r w:rsidRPr="00901A10">
        <w:t> réunion pour un montant de 89 144 797 $US, plus les coûts d</w:t>
      </w:r>
      <w:r w:rsidR="00980505" w:rsidRPr="00901A10">
        <w:t>’</w:t>
      </w:r>
      <w:r w:rsidRPr="00901A10">
        <w:t>appui d</w:t>
      </w:r>
      <w:r w:rsidR="00980505" w:rsidRPr="00901A10">
        <w:t>’</w:t>
      </w:r>
      <w:r w:rsidRPr="00901A10">
        <w:t>agence pour le PNUD, afin d</w:t>
      </w:r>
      <w:r w:rsidR="00980505" w:rsidRPr="00901A10">
        <w:t>’</w:t>
      </w:r>
      <w:r w:rsidRPr="00901A10">
        <w:t>éliminer 480,50 tonnes PAO de HCFC et de réaliser une réduction de 33 pour cent par rapport à la consommation maximale autorisée en 2013 dans le secteur.</w:t>
      </w:r>
      <w:r w:rsidRPr="009B4D4A">
        <w:rPr>
          <w:rStyle w:val="Rimandonotaapidipagina"/>
          <w:rFonts w:asciiTheme="majorBidi" w:hAnsiTheme="majorBidi" w:cstheme="majorBidi"/>
        </w:rPr>
        <w:footnoteReference w:id="2"/>
      </w:r>
    </w:p>
    <w:p w14:paraId="2FEF677A" w14:textId="66CA1A26" w:rsidR="000D434A" w:rsidRPr="009B4D4A" w:rsidRDefault="000D434A" w:rsidP="000D434A">
      <w:pPr>
        <w:pStyle w:val="Titolo1"/>
        <w:rPr>
          <w:rFonts w:asciiTheme="majorBidi" w:hAnsiTheme="majorBidi" w:cstheme="majorBidi"/>
        </w:rPr>
      </w:pPr>
      <w:r>
        <w:rPr>
          <w:rFonts w:asciiTheme="majorBidi" w:hAnsiTheme="majorBidi"/>
        </w:rPr>
        <w:t>Lors de sa 86</w:t>
      </w:r>
      <w:r>
        <w:rPr>
          <w:rFonts w:asciiTheme="majorBidi" w:hAnsiTheme="majorBidi"/>
          <w:vertAlign w:val="superscript"/>
        </w:rPr>
        <w:t>e</w:t>
      </w:r>
      <w:r>
        <w:rPr>
          <w:rFonts w:asciiTheme="majorBidi" w:hAnsiTheme="majorBidi"/>
        </w:rPr>
        <w:t> réunion, le Comité exécutif a approuvé le plan d</w:t>
      </w:r>
      <w:r w:rsidR="00980505">
        <w:rPr>
          <w:rFonts w:asciiTheme="majorBidi" w:hAnsiTheme="majorBidi"/>
        </w:rPr>
        <w:t>’</w:t>
      </w:r>
      <w:r>
        <w:rPr>
          <w:rFonts w:asciiTheme="majorBidi" w:hAnsiTheme="majorBidi"/>
        </w:rPr>
        <w:t>action révisé visant à prolonger jusqu</w:t>
      </w:r>
      <w:r w:rsidR="00980505">
        <w:rPr>
          <w:rFonts w:asciiTheme="majorBidi" w:hAnsiTheme="majorBidi"/>
        </w:rPr>
        <w:t>’</w:t>
      </w:r>
      <w:r>
        <w:rPr>
          <w:rFonts w:asciiTheme="majorBidi" w:hAnsiTheme="majorBidi"/>
        </w:rPr>
        <w:t>en 2026 la phase II du plan sectoriel des ICR pour un montant de 68 158 241 $US, plus les coûts d</w:t>
      </w:r>
      <w:r w:rsidR="00980505">
        <w:rPr>
          <w:rFonts w:asciiTheme="majorBidi" w:hAnsiTheme="majorBidi"/>
        </w:rPr>
        <w:t>’</w:t>
      </w:r>
      <w:r>
        <w:rPr>
          <w:rFonts w:asciiTheme="majorBidi" w:hAnsiTheme="majorBidi"/>
        </w:rPr>
        <w:t>appui d</w:t>
      </w:r>
      <w:r w:rsidR="00980505">
        <w:rPr>
          <w:rFonts w:asciiTheme="majorBidi" w:hAnsiTheme="majorBidi"/>
        </w:rPr>
        <w:t>’</w:t>
      </w:r>
      <w:r>
        <w:rPr>
          <w:rFonts w:asciiTheme="majorBidi" w:hAnsiTheme="majorBidi"/>
        </w:rPr>
        <w:t>agence pour le PNUD, ainsi que les niveaux de consommation sectorielle maximaux autorisés pour les HCFC.</w:t>
      </w:r>
      <w:r w:rsidRPr="009B4D4A">
        <w:rPr>
          <w:rStyle w:val="Rimandonotaapidipagina"/>
          <w:rFonts w:asciiTheme="majorBidi" w:hAnsiTheme="majorBidi" w:cstheme="majorBidi"/>
        </w:rPr>
        <w:footnoteReference w:id="3"/>
      </w:r>
      <w:r>
        <w:rPr>
          <w:rFonts w:asciiTheme="majorBidi" w:hAnsiTheme="majorBidi"/>
        </w:rPr>
        <w:t xml:space="preserve"> Cette approbation comprenait </w:t>
      </w:r>
      <w:r>
        <w:rPr>
          <w:rFonts w:asciiTheme="majorBidi" w:hAnsiTheme="majorBidi"/>
          <w:i/>
          <w:iCs/>
        </w:rPr>
        <w:t xml:space="preserve">notamment </w:t>
      </w:r>
      <w:r>
        <w:rPr>
          <w:rFonts w:asciiTheme="majorBidi" w:hAnsiTheme="majorBidi"/>
        </w:rPr>
        <w:t>un accord du Gouvernement de la Chine pour la conversion de la technologie du HCFC à l</w:t>
      </w:r>
      <w:r w:rsidR="00980505">
        <w:rPr>
          <w:rFonts w:asciiTheme="majorBidi" w:hAnsiTheme="majorBidi"/>
        </w:rPr>
        <w:t>’</w:t>
      </w:r>
      <w:r>
        <w:rPr>
          <w:rFonts w:asciiTheme="majorBidi" w:hAnsiTheme="majorBidi"/>
        </w:rPr>
        <w:t>ammoniac (NH</w:t>
      </w:r>
      <w:r>
        <w:rPr>
          <w:rFonts w:asciiTheme="majorBidi" w:hAnsiTheme="majorBidi"/>
          <w:vertAlign w:val="subscript"/>
        </w:rPr>
        <w:t>3</w:t>
      </w:r>
      <w:r>
        <w:rPr>
          <w:rFonts w:asciiTheme="majorBidi" w:hAnsiTheme="majorBidi"/>
        </w:rPr>
        <w:t>) dans les grandes entreprises du sous-secteur de l</w:t>
      </w:r>
      <w:r w:rsidR="00980505">
        <w:rPr>
          <w:rFonts w:asciiTheme="majorBidi" w:hAnsiTheme="majorBidi"/>
        </w:rPr>
        <w:t>’</w:t>
      </w:r>
      <w:r>
        <w:rPr>
          <w:rFonts w:asciiTheme="majorBidi" w:hAnsiTheme="majorBidi"/>
        </w:rPr>
        <w:t>entreposage frigorifique afin de réduire la consommation d</w:t>
      </w:r>
      <w:r w:rsidR="00980505">
        <w:rPr>
          <w:rFonts w:asciiTheme="majorBidi" w:hAnsiTheme="majorBidi"/>
        </w:rPr>
        <w:t>’</w:t>
      </w:r>
      <w:r>
        <w:rPr>
          <w:rFonts w:asciiTheme="majorBidi" w:hAnsiTheme="majorBidi"/>
        </w:rPr>
        <w:t>au moins 80 tonnes de HCFC en utilisant l</w:t>
      </w:r>
      <w:r w:rsidR="00980505">
        <w:rPr>
          <w:rFonts w:asciiTheme="majorBidi" w:hAnsiTheme="majorBidi"/>
        </w:rPr>
        <w:t>’</w:t>
      </w:r>
      <w:r>
        <w:rPr>
          <w:rFonts w:asciiTheme="majorBidi" w:hAnsiTheme="majorBidi"/>
        </w:rPr>
        <w:t>expansion directe</w:t>
      </w:r>
      <w:bookmarkStart w:id="0" w:name="_Hlk183521424"/>
      <w:r>
        <w:rPr>
          <w:rFonts w:asciiTheme="majorBidi" w:hAnsiTheme="majorBidi"/>
        </w:rPr>
        <w:t xml:space="preserve"> au NH</w:t>
      </w:r>
      <w:bookmarkEnd w:id="0"/>
      <w:r>
        <w:rPr>
          <w:rFonts w:asciiTheme="majorBidi" w:hAnsiTheme="majorBidi"/>
          <w:vertAlign w:val="subscript"/>
        </w:rPr>
        <w:t>3</w:t>
      </w:r>
      <w:r>
        <w:rPr>
          <w:rFonts w:asciiTheme="majorBidi" w:hAnsiTheme="majorBidi"/>
        </w:rPr>
        <w:t xml:space="preserve"> dans la fabrication de grands congélateurs et d</w:t>
      </w:r>
      <w:r w:rsidR="00980505">
        <w:rPr>
          <w:rFonts w:asciiTheme="majorBidi" w:hAnsiTheme="majorBidi"/>
        </w:rPr>
        <w:t>’</w:t>
      </w:r>
      <w:r>
        <w:rPr>
          <w:rFonts w:asciiTheme="majorBidi" w:hAnsiTheme="majorBidi"/>
        </w:rPr>
        <w:t>unités de réfrigération et de condensation.</w:t>
      </w:r>
    </w:p>
    <w:p w14:paraId="0E618A9D" w14:textId="7366F313" w:rsidR="000D434A" w:rsidRPr="009B4D4A" w:rsidRDefault="000D434A" w:rsidP="000D434A">
      <w:pPr>
        <w:pStyle w:val="Titolo1"/>
        <w:rPr>
          <w:rFonts w:asciiTheme="majorBidi" w:hAnsiTheme="majorBidi" w:cstheme="majorBidi"/>
        </w:rPr>
      </w:pPr>
      <w:r>
        <w:rPr>
          <w:rFonts w:asciiTheme="majorBidi" w:hAnsiTheme="majorBidi"/>
        </w:rPr>
        <w:t>Conformément à la décision 86/35, le Gouvernement de la Chine, par l</w:t>
      </w:r>
      <w:r w:rsidR="00980505">
        <w:rPr>
          <w:rFonts w:asciiTheme="majorBidi" w:hAnsiTheme="majorBidi"/>
        </w:rPr>
        <w:t>’</w:t>
      </w:r>
      <w:r>
        <w:rPr>
          <w:rFonts w:asciiTheme="majorBidi" w:hAnsiTheme="majorBidi"/>
        </w:rPr>
        <w:t>intermédiaire du PNUD, a soumis une demande de changement de technologie pour passer du NH</w:t>
      </w:r>
      <w:r>
        <w:rPr>
          <w:rFonts w:asciiTheme="majorBidi" w:hAnsiTheme="majorBidi"/>
          <w:vertAlign w:val="subscript"/>
        </w:rPr>
        <w:t xml:space="preserve">3 </w:t>
      </w:r>
      <w:r>
        <w:rPr>
          <w:rFonts w:asciiTheme="majorBidi" w:hAnsiTheme="majorBidi"/>
        </w:rPr>
        <w:t>à un système en cascade au NH</w:t>
      </w:r>
      <w:r>
        <w:rPr>
          <w:rFonts w:asciiTheme="majorBidi" w:hAnsiTheme="majorBidi"/>
          <w:vertAlign w:val="subscript"/>
        </w:rPr>
        <w:t>3</w:t>
      </w:r>
      <w:r>
        <w:rPr>
          <w:rFonts w:asciiTheme="majorBidi" w:hAnsiTheme="majorBidi"/>
        </w:rPr>
        <w:t>/CO</w:t>
      </w:r>
      <w:r>
        <w:rPr>
          <w:rFonts w:asciiTheme="majorBidi" w:hAnsiTheme="majorBidi"/>
          <w:vertAlign w:val="subscript"/>
        </w:rPr>
        <w:t>2</w:t>
      </w:r>
      <w:r>
        <w:rPr>
          <w:rFonts w:asciiTheme="majorBidi" w:hAnsiTheme="majorBidi"/>
        </w:rPr>
        <w:t xml:space="preserve"> dans la fabrication de grands congélateurs et d</w:t>
      </w:r>
      <w:r w:rsidR="00980505">
        <w:rPr>
          <w:rFonts w:asciiTheme="majorBidi" w:hAnsiTheme="majorBidi"/>
        </w:rPr>
        <w:t>’</w:t>
      </w:r>
      <w:r>
        <w:rPr>
          <w:rFonts w:asciiTheme="majorBidi" w:hAnsiTheme="majorBidi"/>
        </w:rPr>
        <w:t xml:space="preserve">unités de réfrigération et de condensation dans le cadre de la phase II du plan sectoriel des ICR du PGEH pour la Chine. </w:t>
      </w:r>
    </w:p>
    <w:p w14:paraId="4F0F73F6" w14:textId="77777777" w:rsidR="000D434A" w:rsidRPr="009B4D4A" w:rsidRDefault="000D434A" w:rsidP="000D434A">
      <w:pPr>
        <w:pStyle w:val="Titolo1"/>
        <w:numPr>
          <w:ilvl w:val="0"/>
          <w:numId w:val="0"/>
        </w:numPr>
        <w:rPr>
          <w:rFonts w:asciiTheme="majorBidi" w:hAnsiTheme="majorBidi" w:cstheme="majorBidi"/>
          <w:u w:val="single"/>
        </w:rPr>
      </w:pPr>
      <w:r>
        <w:rPr>
          <w:rFonts w:asciiTheme="majorBidi" w:hAnsiTheme="majorBidi"/>
          <w:u w:val="single"/>
        </w:rPr>
        <w:t>Demande de changement de technologie</w:t>
      </w:r>
    </w:p>
    <w:p w14:paraId="1EE096C9" w14:textId="0EF7349D" w:rsidR="000D434A" w:rsidRPr="009B4D4A" w:rsidRDefault="000D434A" w:rsidP="000D434A">
      <w:pPr>
        <w:pStyle w:val="Titolo1"/>
        <w:rPr>
          <w:rFonts w:asciiTheme="majorBidi" w:hAnsiTheme="majorBidi" w:cstheme="majorBidi"/>
        </w:rPr>
      </w:pPr>
      <w:r>
        <w:rPr>
          <w:rFonts w:asciiTheme="majorBidi" w:hAnsiTheme="majorBidi"/>
        </w:rPr>
        <w:t>En expliquant les raisons de cette demande de changement de technologie, le PNUD a noté que la norme nationale chinoise GB</w:t>
      </w:r>
      <w:r w:rsidR="00980505">
        <w:rPr>
          <w:rFonts w:asciiTheme="majorBidi" w:hAnsiTheme="majorBidi"/>
        </w:rPr>
        <w:t> </w:t>
      </w:r>
      <w:r>
        <w:rPr>
          <w:rFonts w:asciiTheme="majorBidi" w:hAnsiTheme="majorBidi"/>
        </w:rPr>
        <w:t xml:space="preserve">18218-2018, Identification of major </w:t>
      </w:r>
      <w:proofErr w:type="spellStart"/>
      <w:r>
        <w:rPr>
          <w:rFonts w:asciiTheme="majorBidi" w:hAnsiTheme="majorBidi"/>
        </w:rPr>
        <w:t>hazard</w:t>
      </w:r>
      <w:proofErr w:type="spellEnd"/>
      <w:r>
        <w:rPr>
          <w:rFonts w:asciiTheme="majorBidi" w:hAnsiTheme="majorBidi"/>
        </w:rPr>
        <w:t xml:space="preserve"> installations for </w:t>
      </w:r>
      <w:proofErr w:type="spellStart"/>
      <w:r>
        <w:rPr>
          <w:rFonts w:asciiTheme="majorBidi" w:hAnsiTheme="majorBidi"/>
        </w:rPr>
        <w:t>hazardous</w:t>
      </w:r>
      <w:proofErr w:type="spellEnd"/>
      <w:r>
        <w:rPr>
          <w:rFonts w:asciiTheme="majorBidi" w:hAnsiTheme="majorBidi"/>
        </w:rPr>
        <w:t xml:space="preserve"> </w:t>
      </w:r>
      <w:proofErr w:type="spellStart"/>
      <w:r>
        <w:rPr>
          <w:rFonts w:asciiTheme="majorBidi" w:hAnsiTheme="majorBidi"/>
        </w:rPr>
        <w:t>chemicals</w:t>
      </w:r>
      <w:proofErr w:type="spellEnd"/>
      <w:r>
        <w:rPr>
          <w:rFonts w:asciiTheme="majorBidi" w:hAnsiTheme="majorBidi"/>
        </w:rPr>
        <w:t>, stipulait que la quantité critique de NH</w:t>
      </w:r>
      <w:r>
        <w:rPr>
          <w:rFonts w:asciiTheme="majorBidi" w:hAnsiTheme="majorBidi"/>
          <w:vertAlign w:val="subscript"/>
        </w:rPr>
        <w:t>3</w:t>
      </w:r>
      <w:r>
        <w:rPr>
          <w:rFonts w:asciiTheme="majorBidi" w:hAnsiTheme="majorBidi"/>
        </w:rPr>
        <w:t xml:space="preserve"> était de 10 tonnes. Par conséquent, une unité de réfrigération commerciale chargée de réfrigérant NH</w:t>
      </w:r>
      <w:r>
        <w:rPr>
          <w:rFonts w:asciiTheme="majorBidi" w:hAnsiTheme="majorBidi"/>
          <w:vertAlign w:val="subscript"/>
        </w:rPr>
        <w:t>3</w:t>
      </w:r>
      <w:r>
        <w:rPr>
          <w:rFonts w:asciiTheme="majorBidi" w:hAnsiTheme="majorBidi"/>
        </w:rPr>
        <w:t xml:space="preserve"> dépassant 10 tonnes serait classée comme « source de risque majeur » par les autorités locales chargées de l</w:t>
      </w:r>
      <w:r w:rsidR="00980505">
        <w:rPr>
          <w:rFonts w:asciiTheme="majorBidi" w:hAnsiTheme="majorBidi"/>
        </w:rPr>
        <w:t>’</w:t>
      </w:r>
      <w:r>
        <w:rPr>
          <w:rFonts w:asciiTheme="majorBidi" w:hAnsiTheme="majorBidi"/>
        </w:rPr>
        <w:t>octroi des licences, ce qui la soumettrait à diverses exigences de contrôle strictes qui requièrent une approbation nationale supplémentaire des nouveaux projets de systèmes</w:t>
      </w:r>
      <w:r w:rsidR="00980505">
        <w:rPr>
          <w:rFonts w:asciiTheme="majorBidi" w:hAnsiTheme="majorBidi"/>
        </w:rPr>
        <w:t> </w:t>
      </w:r>
      <w:r>
        <w:rPr>
          <w:rFonts w:asciiTheme="majorBidi" w:hAnsiTheme="majorBidi"/>
        </w:rPr>
        <w:t>NH</w:t>
      </w:r>
      <w:r>
        <w:rPr>
          <w:rFonts w:asciiTheme="majorBidi" w:hAnsiTheme="majorBidi"/>
          <w:vertAlign w:val="subscript"/>
        </w:rPr>
        <w:t>3</w:t>
      </w:r>
      <w:r>
        <w:rPr>
          <w:rFonts w:asciiTheme="majorBidi" w:hAnsiTheme="majorBidi"/>
        </w:rPr>
        <w:t>. Les normes prennent également en considération d</w:t>
      </w:r>
      <w:r w:rsidR="00980505">
        <w:rPr>
          <w:rFonts w:asciiTheme="majorBidi" w:hAnsiTheme="majorBidi"/>
        </w:rPr>
        <w:t>’</w:t>
      </w:r>
      <w:r>
        <w:rPr>
          <w:rFonts w:asciiTheme="majorBidi" w:hAnsiTheme="majorBidi"/>
        </w:rPr>
        <w:t>autres facteurs techniques qui peuvent entraîner une longue période d</w:t>
      </w:r>
      <w:r w:rsidR="00980505">
        <w:rPr>
          <w:rFonts w:asciiTheme="majorBidi" w:hAnsiTheme="majorBidi"/>
        </w:rPr>
        <w:t>’</w:t>
      </w:r>
      <w:r>
        <w:rPr>
          <w:rFonts w:asciiTheme="majorBidi" w:hAnsiTheme="majorBidi"/>
        </w:rPr>
        <w:t>approbation. Ces facteurs constituent des obstacles à l</w:t>
      </w:r>
      <w:r w:rsidR="00980505">
        <w:rPr>
          <w:rFonts w:asciiTheme="majorBidi" w:hAnsiTheme="majorBidi"/>
        </w:rPr>
        <w:t>’</w:t>
      </w:r>
      <w:r>
        <w:rPr>
          <w:rFonts w:asciiTheme="majorBidi" w:hAnsiTheme="majorBidi"/>
        </w:rPr>
        <w:t>adoption de la technologie d</w:t>
      </w:r>
      <w:r w:rsidR="00980505">
        <w:rPr>
          <w:rFonts w:asciiTheme="majorBidi" w:hAnsiTheme="majorBidi"/>
        </w:rPr>
        <w:t>’</w:t>
      </w:r>
      <w:r>
        <w:rPr>
          <w:rFonts w:asciiTheme="majorBidi" w:hAnsiTheme="majorBidi"/>
        </w:rPr>
        <w:t>expansion directe</w:t>
      </w:r>
      <w:r w:rsidR="00980505">
        <w:rPr>
          <w:rFonts w:asciiTheme="majorBidi" w:hAnsiTheme="majorBidi"/>
        </w:rPr>
        <w:t> </w:t>
      </w:r>
      <w:r>
        <w:rPr>
          <w:rFonts w:asciiTheme="majorBidi" w:hAnsiTheme="majorBidi"/>
        </w:rPr>
        <w:t>NH</w:t>
      </w:r>
      <w:r>
        <w:rPr>
          <w:rFonts w:asciiTheme="majorBidi" w:hAnsiTheme="majorBidi"/>
          <w:vertAlign w:val="subscript"/>
        </w:rPr>
        <w:t>3</w:t>
      </w:r>
      <w:r>
        <w:rPr>
          <w:rFonts w:asciiTheme="majorBidi" w:hAnsiTheme="majorBidi"/>
        </w:rPr>
        <w:t xml:space="preserve"> pour l’entreprise de fabrication et pour ses clients, et peuvent entraîner une réticence de la part des clients à acheter des </w:t>
      </w:r>
      <w:r>
        <w:rPr>
          <w:rFonts w:asciiTheme="majorBidi" w:hAnsiTheme="majorBidi"/>
        </w:rPr>
        <w:noBreakHyphen/>
        <w:t>équipements basés sur le NH</w:t>
      </w:r>
      <w:r>
        <w:rPr>
          <w:rFonts w:asciiTheme="majorBidi" w:hAnsiTheme="majorBidi"/>
          <w:vertAlign w:val="subscript"/>
        </w:rPr>
        <w:t>3</w:t>
      </w:r>
      <w:r>
        <w:rPr>
          <w:rFonts w:asciiTheme="majorBidi" w:hAnsiTheme="majorBidi"/>
        </w:rPr>
        <w:t>, d</w:t>
      </w:r>
      <w:r w:rsidR="00980505">
        <w:rPr>
          <w:rFonts w:asciiTheme="majorBidi" w:hAnsiTheme="majorBidi"/>
        </w:rPr>
        <w:t>’</w:t>
      </w:r>
      <w:r>
        <w:rPr>
          <w:rFonts w:asciiTheme="majorBidi" w:hAnsiTheme="majorBidi"/>
        </w:rPr>
        <w:t>où un risque pour la durabilité de la conversion du projet.</w:t>
      </w:r>
    </w:p>
    <w:p w14:paraId="29055E82" w14:textId="65E2B371" w:rsidR="000D434A" w:rsidRPr="009B4D4A" w:rsidRDefault="000D434A" w:rsidP="000D434A">
      <w:pPr>
        <w:pStyle w:val="Titolo1"/>
        <w:rPr>
          <w:rFonts w:asciiTheme="majorBidi" w:hAnsiTheme="majorBidi" w:cstheme="majorBidi"/>
        </w:rPr>
      </w:pPr>
      <w:r>
        <w:rPr>
          <w:rFonts w:asciiTheme="majorBidi" w:hAnsiTheme="majorBidi"/>
        </w:rPr>
        <w:t>Le PNUD a également indiqué qu</w:t>
      </w:r>
      <w:r w:rsidR="00980505">
        <w:rPr>
          <w:rFonts w:asciiTheme="majorBidi" w:hAnsiTheme="majorBidi"/>
        </w:rPr>
        <w:t>’</w:t>
      </w:r>
      <w:r>
        <w:rPr>
          <w:rFonts w:asciiTheme="majorBidi" w:hAnsiTheme="majorBidi"/>
        </w:rPr>
        <w:t>après avoir pris en considération ces éléments, d</w:t>
      </w:r>
      <w:r w:rsidR="00980505">
        <w:rPr>
          <w:rFonts w:asciiTheme="majorBidi" w:hAnsiTheme="majorBidi"/>
        </w:rPr>
        <w:t>’</w:t>
      </w:r>
      <w:r>
        <w:rPr>
          <w:rFonts w:asciiTheme="majorBidi" w:hAnsiTheme="majorBidi"/>
        </w:rPr>
        <w:t>autres réfrigérants ont été étudiés et qu</w:t>
      </w:r>
      <w:r w:rsidR="00980505">
        <w:rPr>
          <w:rFonts w:asciiTheme="majorBidi" w:hAnsiTheme="majorBidi"/>
        </w:rPr>
        <w:t>’</w:t>
      </w:r>
      <w:r>
        <w:rPr>
          <w:rFonts w:asciiTheme="majorBidi" w:hAnsiTheme="majorBidi"/>
        </w:rPr>
        <w:t>il a été constaté que le système en cascade au NH</w:t>
      </w:r>
      <w:r>
        <w:rPr>
          <w:rFonts w:asciiTheme="majorBidi" w:hAnsiTheme="majorBidi"/>
          <w:vertAlign w:val="subscript"/>
        </w:rPr>
        <w:t>3</w:t>
      </w:r>
      <w:r>
        <w:rPr>
          <w:rFonts w:asciiTheme="majorBidi" w:hAnsiTheme="majorBidi"/>
        </w:rPr>
        <w:t>/CO</w:t>
      </w:r>
      <w:r>
        <w:rPr>
          <w:rFonts w:asciiTheme="majorBidi" w:hAnsiTheme="majorBidi"/>
          <w:vertAlign w:val="subscript"/>
        </w:rPr>
        <w:t>2</w:t>
      </w:r>
      <w:r>
        <w:rPr>
          <w:rFonts w:asciiTheme="majorBidi" w:hAnsiTheme="majorBidi"/>
        </w:rPr>
        <w:t xml:space="preserve"> constitue la meilleure solution technique compte tenu de la charge plus faible du cycle</w:t>
      </w:r>
      <w:r w:rsidR="00980505">
        <w:rPr>
          <w:rFonts w:asciiTheme="majorBidi" w:hAnsiTheme="majorBidi"/>
        </w:rPr>
        <w:t> </w:t>
      </w:r>
      <w:r>
        <w:rPr>
          <w:rFonts w:asciiTheme="majorBidi" w:hAnsiTheme="majorBidi"/>
        </w:rPr>
        <w:t>NH</w:t>
      </w:r>
      <w:r>
        <w:rPr>
          <w:rFonts w:asciiTheme="majorBidi" w:hAnsiTheme="majorBidi"/>
          <w:vertAlign w:val="subscript"/>
        </w:rPr>
        <w:t>3</w:t>
      </w:r>
      <w:r>
        <w:rPr>
          <w:rFonts w:asciiTheme="majorBidi" w:hAnsiTheme="majorBidi"/>
        </w:rPr>
        <w:t xml:space="preserve">. En outre, cela permettrait que seuls </w:t>
      </w:r>
      <w:r>
        <w:rPr>
          <w:rFonts w:asciiTheme="majorBidi" w:hAnsiTheme="majorBidi"/>
        </w:rPr>
        <w:noBreakHyphen/>
        <w:t>des réfrigérants à faible PRP seraient introduits progressivement afin de rester en conformité avec l</w:t>
      </w:r>
      <w:r w:rsidR="00980505">
        <w:rPr>
          <w:rFonts w:asciiTheme="majorBidi" w:hAnsiTheme="majorBidi"/>
        </w:rPr>
        <w:t>’</w:t>
      </w:r>
      <w:r>
        <w:rPr>
          <w:rFonts w:asciiTheme="majorBidi" w:hAnsiTheme="majorBidi"/>
        </w:rPr>
        <w:t xml:space="preserve">accord conclu avec le Comité exécutif. </w:t>
      </w:r>
    </w:p>
    <w:p w14:paraId="4E0771A0" w14:textId="77777777" w:rsidR="000D434A" w:rsidRPr="009B4D4A" w:rsidRDefault="000D434A" w:rsidP="000D434A">
      <w:pPr>
        <w:pStyle w:val="Titolo1"/>
        <w:numPr>
          <w:ilvl w:val="0"/>
          <w:numId w:val="0"/>
        </w:numPr>
        <w:rPr>
          <w:rFonts w:asciiTheme="majorBidi" w:hAnsiTheme="majorBidi" w:cstheme="majorBidi"/>
          <w:b/>
          <w:bCs/>
        </w:rPr>
      </w:pPr>
      <w:r>
        <w:rPr>
          <w:rFonts w:asciiTheme="majorBidi" w:hAnsiTheme="majorBidi"/>
          <w:b/>
          <w:bCs/>
        </w:rPr>
        <w:t>Observations du Secrétariat</w:t>
      </w:r>
    </w:p>
    <w:p w14:paraId="0E9EDD25" w14:textId="340B0025" w:rsidR="000D434A" w:rsidRPr="009B4D4A" w:rsidRDefault="000D434A" w:rsidP="000D434A">
      <w:pPr>
        <w:pStyle w:val="Titolo1"/>
        <w:rPr>
          <w:rFonts w:asciiTheme="majorBidi" w:hAnsiTheme="majorBidi" w:cstheme="majorBidi"/>
        </w:rPr>
      </w:pPr>
      <w:r>
        <w:rPr>
          <w:rFonts w:asciiTheme="majorBidi" w:hAnsiTheme="majorBidi"/>
        </w:rPr>
        <w:t>Le Secrétariat a entrepris une évaluation des coûts supplémentaires éligibles pour convertir cette entreprise, qui a confirmé que le changement de technologie n’engendrerait pas d</w:t>
      </w:r>
      <w:r w:rsidR="00980505">
        <w:rPr>
          <w:rFonts w:asciiTheme="majorBidi" w:hAnsiTheme="majorBidi"/>
        </w:rPr>
        <w:t>’</w:t>
      </w:r>
      <w:r>
        <w:rPr>
          <w:rFonts w:asciiTheme="majorBidi" w:hAnsiTheme="majorBidi"/>
        </w:rPr>
        <w:t>économie. Le PNUD a confirmé que l</w:t>
      </w:r>
      <w:r w:rsidR="00980505">
        <w:rPr>
          <w:rFonts w:asciiTheme="majorBidi" w:hAnsiTheme="majorBidi"/>
        </w:rPr>
        <w:t>’</w:t>
      </w:r>
      <w:r>
        <w:rPr>
          <w:rFonts w:asciiTheme="majorBidi" w:hAnsiTheme="majorBidi"/>
        </w:rPr>
        <w:t>entreprise cofinancerait tous les coûts supplémentaires liés au changement de technologie, si nécessaire. Les technologies en cascade au NH</w:t>
      </w:r>
      <w:r>
        <w:rPr>
          <w:rFonts w:asciiTheme="majorBidi" w:hAnsiTheme="majorBidi"/>
          <w:vertAlign w:val="subscript"/>
        </w:rPr>
        <w:t>3</w:t>
      </w:r>
      <w:r>
        <w:rPr>
          <w:rFonts w:asciiTheme="majorBidi" w:hAnsiTheme="majorBidi"/>
        </w:rPr>
        <w:t xml:space="preserve"> et NH</w:t>
      </w:r>
      <w:r>
        <w:rPr>
          <w:rFonts w:asciiTheme="majorBidi" w:hAnsiTheme="majorBidi"/>
          <w:vertAlign w:val="subscript"/>
        </w:rPr>
        <w:t>3</w:t>
      </w:r>
      <w:r>
        <w:rPr>
          <w:rFonts w:asciiTheme="majorBidi" w:hAnsiTheme="majorBidi"/>
        </w:rPr>
        <w:t>/CO</w:t>
      </w:r>
      <w:r>
        <w:rPr>
          <w:rFonts w:asciiTheme="majorBidi" w:hAnsiTheme="majorBidi"/>
          <w:vertAlign w:val="subscript"/>
        </w:rPr>
        <w:t>2</w:t>
      </w:r>
      <w:r>
        <w:rPr>
          <w:rFonts w:asciiTheme="majorBidi" w:hAnsiTheme="majorBidi"/>
        </w:rPr>
        <w:t xml:space="preserve"> sont toutes deux basées sur des réfrigérants à faible PRP et auront des effets bénéfiques comparables sur le climat. En conséquence, et compte tenu de la norme du gouvernement chinois sur l</w:t>
      </w:r>
      <w:r w:rsidR="00980505">
        <w:rPr>
          <w:rFonts w:asciiTheme="majorBidi" w:hAnsiTheme="majorBidi"/>
        </w:rPr>
        <w:t>’</w:t>
      </w:r>
      <w:r>
        <w:rPr>
          <w:rFonts w:asciiTheme="majorBidi" w:hAnsiTheme="majorBidi"/>
        </w:rPr>
        <w:t>utilisation du NH</w:t>
      </w:r>
      <w:r>
        <w:rPr>
          <w:rFonts w:asciiTheme="majorBidi" w:hAnsiTheme="majorBidi"/>
          <w:vertAlign w:val="subscript"/>
        </w:rPr>
        <w:t>3</w:t>
      </w:r>
      <w:r>
        <w:rPr>
          <w:rFonts w:asciiTheme="majorBidi" w:hAnsiTheme="majorBidi"/>
        </w:rPr>
        <w:t xml:space="preserve"> et de la demande potentielle du marché, le </w:t>
      </w:r>
      <w:r>
        <w:rPr>
          <w:rFonts w:asciiTheme="majorBidi" w:hAnsiTheme="majorBidi"/>
        </w:rPr>
        <w:lastRenderedPageBreak/>
        <w:t>Secrétariat recommande d</w:t>
      </w:r>
      <w:r w:rsidR="00980505">
        <w:rPr>
          <w:rFonts w:asciiTheme="majorBidi" w:hAnsiTheme="majorBidi"/>
        </w:rPr>
        <w:t>’</w:t>
      </w:r>
      <w:r>
        <w:rPr>
          <w:rFonts w:asciiTheme="majorBidi" w:hAnsiTheme="majorBidi"/>
        </w:rPr>
        <w:t>approuver le changement de technologie tel qu</w:t>
      </w:r>
      <w:r w:rsidR="00980505">
        <w:rPr>
          <w:rFonts w:asciiTheme="majorBidi" w:hAnsiTheme="majorBidi"/>
        </w:rPr>
        <w:t>’</w:t>
      </w:r>
      <w:r>
        <w:rPr>
          <w:rFonts w:asciiTheme="majorBidi" w:hAnsiTheme="majorBidi"/>
        </w:rPr>
        <w:t>il est demandé, en notant que la date d</w:t>
      </w:r>
      <w:r w:rsidR="00980505">
        <w:rPr>
          <w:rFonts w:asciiTheme="majorBidi" w:hAnsiTheme="majorBidi"/>
        </w:rPr>
        <w:t>’</w:t>
      </w:r>
      <w:r>
        <w:rPr>
          <w:rFonts w:asciiTheme="majorBidi" w:hAnsiTheme="majorBidi"/>
        </w:rPr>
        <w:t>achèvement de la conversion des entreprises ne sera pas retardée en raison du changement de technologie.</w:t>
      </w:r>
    </w:p>
    <w:p w14:paraId="7F969BFF" w14:textId="77777777" w:rsidR="000D434A" w:rsidRPr="009B4D4A" w:rsidRDefault="000D434A" w:rsidP="000D434A">
      <w:pPr>
        <w:pStyle w:val="Titolo1"/>
        <w:numPr>
          <w:ilvl w:val="0"/>
          <w:numId w:val="0"/>
        </w:numPr>
        <w:rPr>
          <w:rFonts w:asciiTheme="majorBidi" w:hAnsiTheme="majorBidi" w:cstheme="majorBidi"/>
          <w:b/>
          <w:bCs/>
        </w:rPr>
      </w:pPr>
      <w:r>
        <w:rPr>
          <w:rFonts w:asciiTheme="majorBidi" w:hAnsiTheme="majorBidi"/>
          <w:b/>
          <w:bCs/>
        </w:rPr>
        <w:t>Recommandation</w:t>
      </w:r>
    </w:p>
    <w:p w14:paraId="4FEB7162" w14:textId="77777777" w:rsidR="000D434A" w:rsidRPr="009B4D4A" w:rsidRDefault="000D434A" w:rsidP="000D434A">
      <w:pPr>
        <w:pStyle w:val="Titolo1"/>
        <w:rPr>
          <w:rFonts w:asciiTheme="majorBidi" w:hAnsiTheme="majorBidi" w:cstheme="majorBidi"/>
        </w:rPr>
      </w:pPr>
      <w:r>
        <w:rPr>
          <w:rFonts w:asciiTheme="majorBidi" w:hAnsiTheme="majorBidi"/>
        </w:rPr>
        <w:t>Le Comité exécutif pourrait envisager de :</w:t>
      </w:r>
    </w:p>
    <w:p w14:paraId="16699E3C" w14:textId="1A31D7EE" w:rsidR="000D434A" w:rsidRPr="009B4D4A" w:rsidRDefault="000D434A" w:rsidP="000D434A">
      <w:pPr>
        <w:pStyle w:val="Titolo2"/>
        <w:rPr>
          <w:rFonts w:asciiTheme="majorBidi" w:hAnsiTheme="majorBidi" w:cstheme="majorBidi"/>
        </w:rPr>
      </w:pPr>
      <w:r>
        <w:rPr>
          <w:rFonts w:asciiTheme="majorBidi" w:hAnsiTheme="majorBidi"/>
        </w:rPr>
        <w:t>Prendre note de la demande présentée par le PNUD au nom du Gouvernement de la Chine en vue d</w:t>
      </w:r>
      <w:r w:rsidR="00980505">
        <w:rPr>
          <w:rFonts w:asciiTheme="majorBidi" w:hAnsiTheme="majorBidi"/>
        </w:rPr>
        <w:t>’</w:t>
      </w:r>
      <w:r>
        <w:rPr>
          <w:rFonts w:asciiTheme="majorBidi" w:hAnsiTheme="majorBidi"/>
        </w:rPr>
        <w:t>un changement de technologie dans la fabrication de congélateurs et d</w:t>
      </w:r>
      <w:r w:rsidR="00980505">
        <w:rPr>
          <w:rFonts w:asciiTheme="majorBidi" w:hAnsiTheme="majorBidi"/>
        </w:rPr>
        <w:t>’</w:t>
      </w:r>
      <w:r>
        <w:rPr>
          <w:rFonts w:asciiTheme="majorBidi" w:hAnsiTheme="majorBidi"/>
        </w:rPr>
        <w:t>unités de réfrigération et de condensation à grande échelle, de l</w:t>
      </w:r>
      <w:r w:rsidR="00980505">
        <w:rPr>
          <w:rFonts w:asciiTheme="majorBidi" w:hAnsiTheme="majorBidi"/>
        </w:rPr>
        <w:t>’</w:t>
      </w:r>
      <w:r>
        <w:rPr>
          <w:rFonts w:asciiTheme="majorBidi" w:hAnsiTheme="majorBidi"/>
        </w:rPr>
        <w:t>ammoniac à la cascade à l’ammoniac/CO</w:t>
      </w:r>
      <w:r>
        <w:rPr>
          <w:rFonts w:asciiTheme="majorBidi" w:hAnsiTheme="majorBidi"/>
          <w:vertAlign w:val="subscript"/>
        </w:rPr>
        <w:t>2</w:t>
      </w:r>
      <w:r>
        <w:rPr>
          <w:rFonts w:asciiTheme="majorBidi" w:hAnsiTheme="majorBidi"/>
        </w:rPr>
        <w:t>, dans le cadre de la phase II du plan sectoriel des équipements de réfrigération et de climatisation industrielles et commerciales du plan de gestion de l</w:t>
      </w:r>
      <w:r w:rsidR="00980505">
        <w:rPr>
          <w:rFonts w:asciiTheme="majorBidi" w:hAnsiTheme="majorBidi"/>
        </w:rPr>
        <w:t>’</w:t>
      </w:r>
      <w:r>
        <w:rPr>
          <w:rFonts w:asciiTheme="majorBidi" w:hAnsiTheme="majorBidi"/>
        </w:rPr>
        <w:t>élimination progressive des HCFC pour le pays, telle qu</w:t>
      </w:r>
      <w:r w:rsidR="00980505">
        <w:rPr>
          <w:rFonts w:asciiTheme="majorBidi" w:hAnsiTheme="majorBidi"/>
        </w:rPr>
        <w:t>’</w:t>
      </w:r>
      <w:r>
        <w:rPr>
          <w:rFonts w:asciiTheme="majorBidi" w:hAnsiTheme="majorBidi"/>
        </w:rPr>
        <w:t>elle figure dans le document UNEP/</w:t>
      </w:r>
      <w:proofErr w:type="spellStart"/>
      <w:r>
        <w:rPr>
          <w:rFonts w:asciiTheme="majorBidi" w:hAnsiTheme="majorBidi"/>
        </w:rPr>
        <w:t>OzL.Pro</w:t>
      </w:r>
      <w:proofErr w:type="spellEnd"/>
      <w:r>
        <w:rPr>
          <w:rFonts w:asciiTheme="majorBidi" w:hAnsiTheme="majorBidi"/>
        </w:rPr>
        <w:t>/</w:t>
      </w:r>
      <w:proofErr w:type="spellStart"/>
      <w:r>
        <w:rPr>
          <w:rFonts w:asciiTheme="majorBidi" w:hAnsiTheme="majorBidi"/>
        </w:rPr>
        <w:t>ExCom</w:t>
      </w:r>
      <w:proofErr w:type="spellEnd"/>
      <w:r>
        <w:rPr>
          <w:rFonts w:asciiTheme="majorBidi" w:hAnsiTheme="majorBidi"/>
        </w:rPr>
        <w:t>/95/20/Add1; et</w:t>
      </w:r>
    </w:p>
    <w:p w14:paraId="6CE83145" w14:textId="77777777" w:rsidR="000D434A" w:rsidRPr="009B4D4A" w:rsidRDefault="000D434A" w:rsidP="000D434A">
      <w:pPr>
        <w:pStyle w:val="Titolo2"/>
        <w:rPr>
          <w:rFonts w:asciiTheme="majorBidi" w:hAnsiTheme="majorBidi" w:cstheme="majorBidi"/>
        </w:rPr>
      </w:pPr>
      <w:r>
        <w:rPr>
          <w:rFonts w:asciiTheme="majorBidi" w:hAnsiTheme="majorBidi"/>
        </w:rPr>
        <w:t xml:space="preserve">Approuver le changement de technologie visé au point (a) ci-dessus.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D434A" w:rsidRPr="009B0D30" w14:paraId="1C857B33" w14:textId="77777777" w:rsidTr="007E777B">
        <w:tc>
          <w:tcPr>
            <w:tcW w:w="1871" w:type="dxa"/>
          </w:tcPr>
          <w:p w14:paraId="22B71D3A" w14:textId="77777777" w:rsidR="000D434A" w:rsidRPr="009B0D30" w:rsidRDefault="000D434A" w:rsidP="007E777B"/>
        </w:tc>
        <w:tc>
          <w:tcPr>
            <w:tcW w:w="1872" w:type="dxa"/>
          </w:tcPr>
          <w:p w14:paraId="65E908F8" w14:textId="77777777" w:rsidR="000D434A" w:rsidRPr="009B0D30" w:rsidRDefault="000D434A" w:rsidP="007E777B"/>
        </w:tc>
        <w:tc>
          <w:tcPr>
            <w:tcW w:w="1872" w:type="dxa"/>
            <w:tcBorders>
              <w:bottom w:val="single" w:sz="4" w:space="0" w:color="auto"/>
            </w:tcBorders>
          </w:tcPr>
          <w:p w14:paraId="3809F633" w14:textId="77777777" w:rsidR="000D434A" w:rsidRPr="009B0D30" w:rsidRDefault="000D434A" w:rsidP="007E777B"/>
        </w:tc>
        <w:tc>
          <w:tcPr>
            <w:tcW w:w="1872" w:type="dxa"/>
          </w:tcPr>
          <w:p w14:paraId="7136CFC7" w14:textId="77777777" w:rsidR="000D434A" w:rsidRPr="009B0D30" w:rsidRDefault="000D434A" w:rsidP="007E777B"/>
        </w:tc>
        <w:tc>
          <w:tcPr>
            <w:tcW w:w="1873" w:type="dxa"/>
          </w:tcPr>
          <w:p w14:paraId="5ECDE98C" w14:textId="77777777" w:rsidR="000D434A" w:rsidRPr="009B0D30" w:rsidRDefault="000D434A" w:rsidP="007E777B"/>
        </w:tc>
      </w:tr>
    </w:tbl>
    <w:p w14:paraId="47D4171D" w14:textId="77777777" w:rsidR="000D434A" w:rsidRPr="009B0D30" w:rsidRDefault="000D434A" w:rsidP="000D434A"/>
    <w:p w14:paraId="3A2D662A" w14:textId="77777777" w:rsidR="000D434A" w:rsidRDefault="000D434A" w:rsidP="00787093">
      <w:pPr>
        <w:rPr>
          <w:lang w:val="fr-CH"/>
        </w:rPr>
      </w:pPr>
    </w:p>
    <w:sectPr w:rsidR="000D434A" w:rsidSect="000D434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E8D314" w14:textId="77777777" w:rsidR="00B05E4B" w:rsidRDefault="00B05E4B">
      <w:r>
        <w:separator/>
      </w:r>
    </w:p>
  </w:endnote>
  <w:endnote w:type="continuationSeparator" w:id="0">
    <w:p w14:paraId="0D9F63E1" w14:textId="77777777" w:rsidR="00B05E4B" w:rsidRDefault="00B05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605046899"/>
      <w:docPartObj>
        <w:docPartGallery w:val="Page Numbers (Bottom of Page)"/>
        <w:docPartUnique/>
      </w:docPartObj>
    </w:sdtPr>
    <w:sdtContent>
      <w:p w14:paraId="76FF98C6" w14:textId="04013C8D" w:rsidR="00F9560A" w:rsidRDefault="00F9560A" w:rsidP="008B3B70">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3D18AF08" w14:textId="77777777" w:rsidR="00F9560A" w:rsidRDefault="00F9560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678417053"/>
      <w:docPartObj>
        <w:docPartGallery w:val="Page Numbers (Bottom of Page)"/>
        <w:docPartUnique/>
      </w:docPartObj>
    </w:sdtPr>
    <w:sdtContent>
      <w:p w14:paraId="4D470152" w14:textId="2ABD6C6C" w:rsidR="00F9560A" w:rsidRDefault="00F9560A" w:rsidP="008B3B70">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3</w:t>
        </w:r>
        <w:r>
          <w:rPr>
            <w:rStyle w:val="Numeropagina"/>
          </w:rPr>
          <w:fldChar w:fldCharType="end"/>
        </w:r>
      </w:p>
    </w:sdtContent>
  </w:sdt>
  <w:p w14:paraId="4088703F" w14:textId="77777777" w:rsidR="00F9560A" w:rsidRDefault="00F9560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0" w:type="auto"/>
      <w:tblLook w:val="04A0" w:firstRow="1" w:lastRow="0" w:firstColumn="1" w:lastColumn="0" w:noHBand="0" w:noVBand="1"/>
    </w:tblPr>
    <w:tblGrid>
      <w:gridCol w:w="9500"/>
    </w:tblGrid>
    <w:tr w:rsidR="001065D1" w14:paraId="572EB50F" w14:textId="77777777" w:rsidTr="001065D1">
      <w:tc>
        <w:tcPr>
          <w:tcW w:w="9500" w:type="dxa"/>
        </w:tcPr>
        <w:p w14:paraId="0388F8D5" w14:textId="77777777" w:rsidR="001065D1" w:rsidRPr="001065D1" w:rsidRDefault="001065D1" w:rsidP="001065D1">
          <w:pPr>
            <w:pStyle w:val="Testonotaapidipagina"/>
            <w:jc w:val="center"/>
            <w:rPr>
              <w:rFonts w:asciiTheme="majorBidi" w:hAnsiTheme="majorBidi" w:cstheme="majorBidi"/>
              <w:sz w:val="18"/>
              <w:szCs w:val="18"/>
            </w:rPr>
          </w:pPr>
          <w:r w:rsidRPr="001065D1">
            <w:rPr>
              <w:rFonts w:asciiTheme="majorBidi" w:hAnsiTheme="majorBidi" w:cstheme="majorBidi"/>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0B3A507E" w14:textId="1D6A7921" w:rsidR="001065D1" w:rsidRDefault="001065D1" w:rsidP="001065D1">
          <w:pPr>
            <w:pStyle w:val="Testonotaapidipagina"/>
            <w:rPr>
              <w:rFonts w:asciiTheme="majorBidi" w:hAnsiTheme="majorBidi" w:cstheme="majorBidi"/>
            </w:rPr>
          </w:pPr>
        </w:p>
      </w:tc>
    </w:tr>
  </w:tbl>
  <w:p w14:paraId="4368CCD9" w14:textId="0873D5FC" w:rsidR="001065D1" w:rsidRPr="001065D1" w:rsidRDefault="001065D1" w:rsidP="001065D1">
    <w:pPr>
      <w:pStyle w:val="Testonotaapidipagina"/>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29E21" w14:textId="77777777" w:rsidR="00B05E4B" w:rsidRDefault="00B05E4B">
      <w:r>
        <w:separator/>
      </w:r>
    </w:p>
  </w:footnote>
  <w:footnote w:type="continuationSeparator" w:id="0">
    <w:p w14:paraId="634C3927" w14:textId="77777777" w:rsidR="00B05E4B" w:rsidRDefault="00B05E4B">
      <w:r>
        <w:continuationSeparator/>
      </w:r>
    </w:p>
  </w:footnote>
  <w:footnote w:id="1">
    <w:p w14:paraId="26B4AFD9" w14:textId="4766200D" w:rsidR="00095EB5" w:rsidRPr="00095EB5" w:rsidRDefault="00095EB5">
      <w:pPr>
        <w:pStyle w:val="Testonotaapidipagina"/>
        <w:rPr>
          <w:lang w:val="fr-CH"/>
        </w:rPr>
      </w:pPr>
      <w:r>
        <w:rPr>
          <w:rStyle w:val="Rimandonotaapidipagina"/>
        </w:rPr>
        <w:footnoteRef/>
      </w:r>
      <w:r>
        <w:t xml:space="preserve"> </w:t>
      </w:r>
      <w:r w:rsidRPr="00095EB5">
        <w:rPr>
          <w:rFonts w:asciiTheme="majorBidi" w:hAnsiTheme="majorBidi" w:cstheme="majorBidi"/>
          <w:lang w:val="fr-CH"/>
        </w:rPr>
        <w:t>UNEP/</w:t>
      </w:r>
      <w:proofErr w:type="spellStart"/>
      <w:r w:rsidRPr="00095EB5">
        <w:rPr>
          <w:rFonts w:asciiTheme="majorBidi" w:hAnsiTheme="majorBidi" w:cstheme="majorBidi"/>
          <w:lang w:val="fr-CH"/>
        </w:rPr>
        <w:t>OzL.Pro</w:t>
      </w:r>
      <w:proofErr w:type="spellEnd"/>
      <w:r w:rsidRPr="00095EB5">
        <w:rPr>
          <w:rFonts w:asciiTheme="majorBidi" w:hAnsiTheme="majorBidi" w:cstheme="majorBidi"/>
          <w:lang w:val="fr-CH"/>
        </w:rPr>
        <w:t>/</w:t>
      </w:r>
      <w:proofErr w:type="spellStart"/>
      <w:r w:rsidRPr="00095EB5">
        <w:rPr>
          <w:rFonts w:asciiTheme="majorBidi" w:hAnsiTheme="majorBidi" w:cstheme="majorBidi"/>
          <w:lang w:val="fr-CH"/>
        </w:rPr>
        <w:t>ExCom</w:t>
      </w:r>
      <w:proofErr w:type="spellEnd"/>
      <w:r w:rsidRPr="00095EB5">
        <w:rPr>
          <w:rFonts w:asciiTheme="majorBidi" w:hAnsiTheme="majorBidi" w:cstheme="majorBidi"/>
          <w:lang w:val="fr-CH"/>
        </w:rPr>
        <w:t>/95/1</w:t>
      </w:r>
    </w:p>
  </w:footnote>
  <w:footnote w:id="2">
    <w:p w14:paraId="205BB827" w14:textId="77777777" w:rsidR="000D434A" w:rsidRPr="00DD7238" w:rsidRDefault="000D434A" w:rsidP="000D434A">
      <w:pPr>
        <w:pStyle w:val="Testonotaapidipagina"/>
        <w:rPr>
          <w:rFonts w:asciiTheme="majorBidi" w:hAnsiTheme="majorBidi" w:cstheme="majorBidi"/>
        </w:rPr>
      </w:pPr>
      <w:r>
        <w:rPr>
          <w:rStyle w:val="Rimandonotaapidipagina"/>
          <w:rFonts w:asciiTheme="majorBidi" w:hAnsiTheme="majorBidi" w:cstheme="majorBidi"/>
        </w:rPr>
        <w:footnoteRef/>
      </w:r>
      <w:r>
        <w:t> Décision 77/49</w:t>
      </w:r>
    </w:p>
  </w:footnote>
  <w:footnote w:id="3">
    <w:p w14:paraId="79B48236" w14:textId="77777777" w:rsidR="000D434A" w:rsidRPr="00DD7238" w:rsidRDefault="000D434A" w:rsidP="000D434A">
      <w:pPr>
        <w:pStyle w:val="Testonotaapidipagina"/>
        <w:rPr>
          <w:rFonts w:asciiTheme="majorBidi" w:hAnsiTheme="majorBidi" w:cstheme="majorBidi"/>
        </w:rPr>
      </w:pPr>
      <w:r>
        <w:rPr>
          <w:rStyle w:val="Rimandonotaapidipagina"/>
          <w:rFonts w:asciiTheme="majorBidi" w:hAnsiTheme="majorBidi" w:cstheme="majorBidi"/>
        </w:rPr>
        <w:footnoteRef/>
      </w:r>
      <w:r>
        <w:t xml:space="preserve"> Décision 86/35 et document UNEP/</w:t>
      </w:r>
      <w:proofErr w:type="spellStart"/>
      <w:r>
        <w:t>OzL.Pro</w:t>
      </w:r>
      <w:proofErr w:type="spellEnd"/>
      <w:r>
        <w:t>/</w:t>
      </w:r>
      <w:proofErr w:type="spellStart"/>
      <w:r>
        <w:t>ExCom</w:t>
      </w:r>
      <w:proofErr w:type="spellEnd"/>
      <w:r>
        <w:t>/86/21/Add.1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62115" w14:textId="77777777" w:rsidR="001D73B6" w:rsidRPr="001D73B6" w:rsidRDefault="001D73B6" w:rsidP="001D73B6">
    <w:pPr>
      <w:rPr>
        <w:lang w:val="en-US"/>
      </w:rPr>
    </w:pPr>
    <w:r>
      <w:fldChar w:fldCharType="begin"/>
    </w:r>
    <w:r w:rsidRPr="001D73B6">
      <w:rPr>
        <w:lang w:val="en-US"/>
      </w:rPr>
      <w:instrText xml:space="preserve"> DOCPROPERTY "Document number"  \* MERGEFORMAT </w:instrText>
    </w:r>
    <w:r>
      <w:fldChar w:fldCharType="separate"/>
    </w:r>
    <w:r w:rsidRPr="001D73B6">
      <w:rPr>
        <w:lang w:val="en-US"/>
      </w:rPr>
      <w:t>UNEP/</w:t>
    </w:r>
    <w:proofErr w:type="spellStart"/>
    <w:r w:rsidRPr="001D73B6">
      <w:rPr>
        <w:lang w:val="en-US"/>
      </w:rPr>
      <w:t>OzL.Pro</w:t>
    </w:r>
    <w:proofErr w:type="spellEnd"/>
    <w:r w:rsidRPr="001D73B6">
      <w:rPr>
        <w:lang w:val="en-US"/>
      </w:rPr>
      <w:t>/ExCom/95/20/Add.1</w:t>
    </w:r>
    <w:r>
      <w:fldChar w:fldCharType="end"/>
    </w:r>
  </w:p>
  <w:p w14:paraId="07719F17" w14:textId="77777777" w:rsidR="001D73B6" w:rsidRPr="001D73B6" w:rsidRDefault="001D73B6" w:rsidP="001D73B6">
    <w:pPr>
      <w:rPr>
        <w:lang w:val="en-US"/>
      </w:rPr>
    </w:pPr>
  </w:p>
  <w:p w14:paraId="0B2B7ACE" w14:textId="77777777" w:rsidR="001D73B6" w:rsidRPr="006F71E1" w:rsidRDefault="001D73B6" w:rsidP="001D73B6">
    <w:pPr>
      <w:tabs>
        <w:tab w:val="left" w:pos="3311"/>
      </w:tabs>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101A5" w14:textId="19F74831" w:rsidR="003B3353" w:rsidRDefault="001D73B6" w:rsidP="001D73B6">
    <w:pPr>
      <w:jc w:val="right"/>
      <w:rPr>
        <w:lang w:val="en-US"/>
      </w:rPr>
    </w:pPr>
    <w:r>
      <w:fldChar w:fldCharType="begin"/>
    </w:r>
    <w:r w:rsidRPr="001D73B6">
      <w:rPr>
        <w:lang w:val="en-US"/>
      </w:rPr>
      <w:instrText xml:space="preserve"> DOCPROPERTY "Document number"  \* MERGEFORMAT </w:instrText>
    </w:r>
    <w:r>
      <w:fldChar w:fldCharType="separate"/>
    </w:r>
    <w:r w:rsidRPr="001D73B6">
      <w:rPr>
        <w:lang w:val="en-US"/>
      </w:rPr>
      <w:t>UNEP/</w:t>
    </w:r>
    <w:proofErr w:type="spellStart"/>
    <w:r w:rsidRPr="001D73B6">
      <w:rPr>
        <w:lang w:val="en-US"/>
      </w:rPr>
      <w:t>OzL.Pro</w:t>
    </w:r>
    <w:proofErr w:type="spellEnd"/>
    <w:r w:rsidRPr="001D73B6">
      <w:rPr>
        <w:lang w:val="en-US"/>
      </w:rPr>
      <w:t>/ExCom/95/20/Add.1</w:t>
    </w:r>
    <w:r>
      <w:fldChar w:fldCharType="end"/>
    </w:r>
  </w:p>
  <w:p w14:paraId="15AA43F8" w14:textId="77777777" w:rsidR="001D73B6" w:rsidRDefault="001D73B6" w:rsidP="001D73B6">
    <w:pPr>
      <w:jc w:val="right"/>
      <w:rPr>
        <w:lang w:val="en-US"/>
      </w:rPr>
    </w:pPr>
  </w:p>
  <w:p w14:paraId="1775883B" w14:textId="77777777" w:rsidR="001D73B6" w:rsidRPr="006F71E1" w:rsidRDefault="001D73B6" w:rsidP="001D73B6">
    <w:pP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E0C748"/>
    <w:lvl w:ilvl="0">
      <w:start w:val="81"/>
      <w:numFmt w:val="decimal"/>
      <w:pStyle w:val="Titolo1"/>
      <w:lvlText w:val="%1."/>
      <w:lvlJc w:val="left"/>
      <w:pPr>
        <w:ind w:left="0" w:firstLine="0"/>
      </w:pPr>
      <w:rPr>
        <w:rFonts w:hint="default"/>
      </w:rPr>
    </w:lvl>
    <w:lvl w:ilvl="1">
      <w:start w:val="1"/>
      <w:numFmt w:val="lowerLetter"/>
      <w:pStyle w:val="Titolo2"/>
      <w:lvlText w:val="(%2)"/>
      <w:lvlJc w:val="left"/>
      <w:pPr>
        <w:tabs>
          <w:tab w:val="num" w:pos="0"/>
        </w:tabs>
        <w:ind w:left="1440" w:hanging="720"/>
      </w:pPr>
      <w:rPr>
        <w:rFonts w:hint="default"/>
      </w:rPr>
    </w:lvl>
    <w:lvl w:ilvl="2">
      <w:start w:val="1"/>
      <w:numFmt w:val="lowerRoman"/>
      <w:pStyle w:val="Titolo3"/>
      <w:lvlText w:val="(%3)"/>
      <w:lvlJc w:val="left"/>
      <w:pPr>
        <w:tabs>
          <w:tab w:val="num" w:pos="0"/>
        </w:tabs>
        <w:ind w:left="2160" w:hanging="720"/>
      </w:pPr>
      <w:rPr>
        <w:rFonts w:hint="default"/>
      </w:rPr>
    </w:lvl>
    <w:lvl w:ilvl="3">
      <w:start w:val="1"/>
      <w:numFmt w:val="lowerLetter"/>
      <w:pStyle w:val="Titolo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Titolo6"/>
      <w:lvlText w:val="(%6)"/>
      <w:lvlJc w:val="left"/>
      <w:pPr>
        <w:tabs>
          <w:tab w:val="num" w:pos="0"/>
        </w:tabs>
        <w:ind w:left="4291" w:hanging="720"/>
      </w:pPr>
      <w:rPr>
        <w:rFonts w:hint="default"/>
      </w:rPr>
    </w:lvl>
    <w:lvl w:ilvl="6">
      <w:start w:val="1"/>
      <w:numFmt w:val="lowerRoman"/>
      <w:pStyle w:val="Titolo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Titolo9"/>
      <w:lvlText w:val="(%9)"/>
      <w:lvlJc w:val="left"/>
      <w:pPr>
        <w:tabs>
          <w:tab w:val="num" w:pos="0"/>
        </w:tabs>
        <w:ind w:left="6408" w:hanging="706"/>
      </w:pPr>
      <w:rPr>
        <w:rFonts w:hint="default"/>
      </w:rPr>
    </w:lvl>
  </w:abstractNum>
  <w:abstractNum w:abstractNumId="11" w15:restartNumberingAfterBreak="0">
    <w:nsid w:val="01A84197"/>
    <w:multiLevelType w:val="hybridMultilevel"/>
    <w:tmpl w:val="512EC3D2"/>
    <w:lvl w:ilvl="0" w:tplc="10090017">
      <w:start w:val="1"/>
      <w:numFmt w:val="lowerLetter"/>
      <w:lvlText w:val="%1)"/>
      <w:lvlJc w:val="left"/>
      <w:pPr>
        <w:ind w:left="2847" w:hanging="360"/>
      </w:pPr>
    </w:lvl>
    <w:lvl w:ilvl="1" w:tplc="10090019" w:tentative="1">
      <w:start w:val="1"/>
      <w:numFmt w:val="lowerLetter"/>
      <w:lvlText w:val="%2."/>
      <w:lvlJc w:val="left"/>
      <w:pPr>
        <w:ind w:left="3567" w:hanging="360"/>
      </w:pPr>
    </w:lvl>
    <w:lvl w:ilvl="2" w:tplc="1009001B" w:tentative="1">
      <w:start w:val="1"/>
      <w:numFmt w:val="lowerRoman"/>
      <w:lvlText w:val="%3."/>
      <w:lvlJc w:val="right"/>
      <w:pPr>
        <w:ind w:left="4287" w:hanging="180"/>
      </w:pPr>
    </w:lvl>
    <w:lvl w:ilvl="3" w:tplc="1009000F" w:tentative="1">
      <w:start w:val="1"/>
      <w:numFmt w:val="decimal"/>
      <w:lvlText w:val="%4."/>
      <w:lvlJc w:val="left"/>
      <w:pPr>
        <w:ind w:left="5007" w:hanging="360"/>
      </w:pPr>
    </w:lvl>
    <w:lvl w:ilvl="4" w:tplc="10090019" w:tentative="1">
      <w:start w:val="1"/>
      <w:numFmt w:val="lowerLetter"/>
      <w:lvlText w:val="%5."/>
      <w:lvlJc w:val="left"/>
      <w:pPr>
        <w:ind w:left="5727" w:hanging="360"/>
      </w:pPr>
    </w:lvl>
    <w:lvl w:ilvl="5" w:tplc="1009001B" w:tentative="1">
      <w:start w:val="1"/>
      <w:numFmt w:val="lowerRoman"/>
      <w:lvlText w:val="%6."/>
      <w:lvlJc w:val="right"/>
      <w:pPr>
        <w:ind w:left="6447" w:hanging="180"/>
      </w:pPr>
    </w:lvl>
    <w:lvl w:ilvl="6" w:tplc="1009000F" w:tentative="1">
      <w:start w:val="1"/>
      <w:numFmt w:val="decimal"/>
      <w:lvlText w:val="%7."/>
      <w:lvlJc w:val="left"/>
      <w:pPr>
        <w:ind w:left="7167" w:hanging="360"/>
      </w:pPr>
    </w:lvl>
    <w:lvl w:ilvl="7" w:tplc="10090019" w:tentative="1">
      <w:start w:val="1"/>
      <w:numFmt w:val="lowerLetter"/>
      <w:lvlText w:val="%8."/>
      <w:lvlJc w:val="left"/>
      <w:pPr>
        <w:ind w:left="7887" w:hanging="360"/>
      </w:pPr>
    </w:lvl>
    <w:lvl w:ilvl="8" w:tplc="1009001B" w:tentative="1">
      <w:start w:val="1"/>
      <w:numFmt w:val="lowerRoman"/>
      <w:lvlText w:val="%9."/>
      <w:lvlJc w:val="right"/>
      <w:pPr>
        <w:ind w:left="8607"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AD05E6B"/>
    <w:multiLevelType w:val="multilevel"/>
    <w:tmpl w:val="A26805D0"/>
    <w:styleLink w:val="Elencocorrent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12C4A60"/>
    <w:multiLevelType w:val="multilevel"/>
    <w:tmpl w:val="A26805D0"/>
    <w:styleLink w:val="Elencocorrent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2CC322D"/>
    <w:multiLevelType w:val="hybridMultilevel"/>
    <w:tmpl w:val="2948F2CE"/>
    <w:lvl w:ilvl="0" w:tplc="BB2AE700">
      <w:start w:val="1"/>
      <w:numFmt w:val="lowerRoman"/>
      <w:lvlText w:val="(V%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21" w15:restartNumberingAfterBreak="0">
    <w:nsid w:val="267515C2"/>
    <w:multiLevelType w:val="hybridMultilevel"/>
    <w:tmpl w:val="B726B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DD03945"/>
    <w:multiLevelType w:val="hybridMultilevel"/>
    <w:tmpl w:val="0A8266B0"/>
    <w:lvl w:ilvl="0" w:tplc="EAA6AA7A">
      <w:start w:val="4"/>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26"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3449228C"/>
    <w:multiLevelType w:val="hybridMultilevel"/>
    <w:tmpl w:val="6FAA6FFA"/>
    <w:lvl w:ilvl="0" w:tplc="24D67A00">
      <w:start w:val="1"/>
      <w:numFmt w:val="lowerRoman"/>
      <w:lvlText w:val="(%1)"/>
      <w:lvlJc w:val="left"/>
      <w:pPr>
        <w:ind w:left="1777" w:hanging="360"/>
      </w:pPr>
      <w:rPr>
        <w:rFonts w:hint="default"/>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28"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5777D49"/>
    <w:multiLevelType w:val="hybridMultilevel"/>
    <w:tmpl w:val="5D504048"/>
    <w:lvl w:ilvl="0" w:tplc="24D67A00">
      <w:start w:val="1"/>
      <w:numFmt w:val="lowerRoman"/>
      <w:lvlText w:val="(%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33"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05963823">
    <w:abstractNumId w:val="10"/>
  </w:num>
  <w:num w:numId="2" w16cid:durableId="1702512059">
    <w:abstractNumId w:val="10"/>
  </w:num>
  <w:num w:numId="3" w16cid:durableId="1575967024">
    <w:abstractNumId w:val="10"/>
  </w:num>
  <w:num w:numId="4" w16cid:durableId="2130780346">
    <w:abstractNumId w:val="10"/>
  </w:num>
  <w:num w:numId="5" w16cid:durableId="438724811">
    <w:abstractNumId w:val="10"/>
  </w:num>
  <w:num w:numId="6" w16cid:durableId="1875733151">
    <w:abstractNumId w:val="9"/>
  </w:num>
  <w:num w:numId="7" w16cid:durableId="784039860">
    <w:abstractNumId w:val="7"/>
  </w:num>
  <w:num w:numId="8" w16cid:durableId="74935949">
    <w:abstractNumId w:val="6"/>
  </w:num>
  <w:num w:numId="9" w16cid:durableId="199052566">
    <w:abstractNumId w:val="5"/>
  </w:num>
  <w:num w:numId="10" w16cid:durableId="1077285614">
    <w:abstractNumId w:val="4"/>
  </w:num>
  <w:num w:numId="11" w16cid:durableId="370614340">
    <w:abstractNumId w:val="8"/>
  </w:num>
  <w:num w:numId="12" w16cid:durableId="190850634">
    <w:abstractNumId w:val="3"/>
  </w:num>
  <w:num w:numId="13" w16cid:durableId="1429739120">
    <w:abstractNumId w:val="2"/>
  </w:num>
  <w:num w:numId="14" w16cid:durableId="149754138">
    <w:abstractNumId w:val="1"/>
  </w:num>
  <w:num w:numId="15" w16cid:durableId="1422871651">
    <w:abstractNumId w:val="0"/>
  </w:num>
  <w:num w:numId="16" w16cid:durableId="464347611">
    <w:abstractNumId w:val="22"/>
  </w:num>
  <w:num w:numId="17" w16cid:durableId="129137481">
    <w:abstractNumId w:val="30"/>
  </w:num>
  <w:num w:numId="18" w16cid:durableId="1380476911">
    <w:abstractNumId w:val="31"/>
  </w:num>
  <w:num w:numId="19" w16cid:durableId="322197164">
    <w:abstractNumId w:val="36"/>
  </w:num>
  <w:num w:numId="20" w16cid:durableId="858473037">
    <w:abstractNumId w:val="26"/>
  </w:num>
  <w:num w:numId="21" w16cid:durableId="107624890">
    <w:abstractNumId w:val="12"/>
  </w:num>
  <w:num w:numId="22" w16cid:durableId="1111509612">
    <w:abstractNumId w:val="15"/>
  </w:num>
  <w:num w:numId="23" w16cid:durableId="1529297672">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4269618">
    <w:abstractNumId w:val="27"/>
  </w:num>
  <w:num w:numId="25" w16cid:durableId="1144156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11959163">
    <w:abstractNumId w:val="29"/>
  </w:num>
  <w:num w:numId="27" w16cid:durableId="336663099">
    <w:abstractNumId w:val="19"/>
  </w:num>
  <w:num w:numId="28" w16cid:durableId="2088378727">
    <w:abstractNumId w:val="35"/>
  </w:num>
  <w:num w:numId="29" w16cid:durableId="1064254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7658643">
    <w:abstractNumId w:val="17"/>
  </w:num>
  <w:num w:numId="31" w16cid:durableId="1589577822">
    <w:abstractNumId w:val="24"/>
  </w:num>
  <w:num w:numId="32" w16cid:durableId="77025273">
    <w:abstractNumId w:val="13"/>
  </w:num>
  <w:num w:numId="33" w16cid:durableId="1018115426">
    <w:abstractNumId w:val="33"/>
  </w:num>
  <w:num w:numId="34" w16cid:durableId="39328124">
    <w:abstractNumId w:val="14"/>
  </w:num>
  <w:num w:numId="35" w16cid:durableId="1166557771">
    <w:abstractNumId w:val="34"/>
  </w:num>
  <w:num w:numId="36" w16cid:durableId="13647911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6743323">
    <w:abstractNumId w:val="28"/>
  </w:num>
  <w:num w:numId="38" w16cid:durableId="130294856">
    <w:abstractNumId w:val="36"/>
    <w:lvlOverride w:ilvl="0">
      <w:startOverride w:val="1"/>
    </w:lvlOverride>
  </w:num>
  <w:num w:numId="39" w16cid:durableId="300154893">
    <w:abstractNumId w:val="25"/>
  </w:num>
  <w:num w:numId="40" w16cid:durableId="845241801">
    <w:abstractNumId w:val="36"/>
    <w:lvlOverride w:ilvl="0">
      <w:startOverride w:val="1"/>
    </w:lvlOverride>
  </w:num>
  <w:num w:numId="41" w16cid:durableId="1351418002">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65404580">
    <w:abstractNumId w:val="36"/>
    <w:lvlOverride w:ilvl="0">
      <w:startOverride w:val="1"/>
    </w:lvlOverride>
  </w:num>
  <w:num w:numId="43" w16cid:durableId="2129154203">
    <w:abstractNumId w:val="32"/>
  </w:num>
  <w:num w:numId="44" w16cid:durableId="247083267">
    <w:abstractNumId w:val="11"/>
  </w:num>
  <w:num w:numId="45" w16cid:durableId="173423863">
    <w:abstractNumId w:val="20"/>
  </w:num>
  <w:num w:numId="46" w16cid:durableId="1533959168">
    <w:abstractNumId w:val="21"/>
  </w:num>
  <w:num w:numId="47" w16cid:durableId="1512984591">
    <w:abstractNumId w:val="23"/>
  </w:num>
  <w:num w:numId="48" w16cid:durableId="1718703942">
    <w:abstractNumId w:val="16"/>
  </w:num>
  <w:num w:numId="49" w16cid:durableId="1053040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4453052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33F4"/>
    <w:rsid w:val="0005110A"/>
    <w:rsid w:val="000634FF"/>
    <w:rsid w:val="00080F75"/>
    <w:rsid w:val="00081443"/>
    <w:rsid w:val="00095EB5"/>
    <w:rsid w:val="000A6547"/>
    <w:rsid w:val="000A73C6"/>
    <w:rsid w:val="000B0640"/>
    <w:rsid w:val="000B5D7B"/>
    <w:rsid w:val="000D434A"/>
    <w:rsid w:val="000F6C8E"/>
    <w:rsid w:val="001065D1"/>
    <w:rsid w:val="00106BE1"/>
    <w:rsid w:val="001129EB"/>
    <w:rsid w:val="001207E7"/>
    <w:rsid w:val="0013788F"/>
    <w:rsid w:val="00164112"/>
    <w:rsid w:val="00177D11"/>
    <w:rsid w:val="001A7720"/>
    <w:rsid w:val="001B7045"/>
    <w:rsid w:val="001C3D0C"/>
    <w:rsid w:val="001D4CE7"/>
    <w:rsid w:val="001D73B6"/>
    <w:rsid w:val="002156DD"/>
    <w:rsid w:val="0023233B"/>
    <w:rsid w:val="00265AF0"/>
    <w:rsid w:val="002A02CD"/>
    <w:rsid w:val="002C06D4"/>
    <w:rsid w:val="002D7F91"/>
    <w:rsid w:val="002F0B57"/>
    <w:rsid w:val="002F3E88"/>
    <w:rsid w:val="003029F8"/>
    <w:rsid w:val="00345CD1"/>
    <w:rsid w:val="003465A8"/>
    <w:rsid w:val="0034768B"/>
    <w:rsid w:val="003914CC"/>
    <w:rsid w:val="00392E0E"/>
    <w:rsid w:val="003A0A41"/>
    <w:rsid w:val="003A0CA4"/>
    <w:rsid w:val="003B3353"/>
    <w:rsid w:val="003C07E8"/>
    <w:rsid w:val="003D0136"/>
    <w:rsid w:val="004004A1"/>
    <w:rsid w:val="00403EDF"/>
    <w:rsid w:val="00416A92"/>
    <w:rsid w:val="004408A4"/>
    <w:rsid w:val="00441083"/>
    <w:rsid w:val="00444619"/>
    <w:rsid w:val="00461DE7"/>
    <w:rsid w:val="00491BDB"/>
    <w:rsid w:val="00495ADC"/>
    <w:rsid w:val="004A33F4"/>
    <w:rsid w:val="004B1B59"/>
    <w:rsid w:val="004C2C87"/>
    <w:rsid w:val="004E3A36"/>
    <w:rsid w:val="004F6027"/>
    <w:rsid w:val="004F6C80"/>
    <w:rsid w:val="005338F2"/>
    <w:rsid w:val="0053458C"/>
    <w:rsid w:val="005A7F28"/>
    <w:rsid w:val="005B3CAD"/>
    <w:rsid w:val="005B4809"/>
    <w:rsid w:val="005C278F"/>
    <w:rsid w:val="005D5B1C"/>
    <w:rsid w:val="00605093"/>
    <w:rsid w:val="006133C0"/>
    <w:rsid w:val="006609F2"/>
    <w:rsid w:val="006723C4"/>
    <w:rsid w:val="00674A33"/>
    <w:rsid w:val="00692DA8"/>
    <w:rsid w:val="006947F0"/>
    <w:rsid w:val="006B0E28"/>
    <w:rsid w:val="006B1E27"/>
    <w:rsid w:val="006B3EF4"/>
    <w:rsid w:val="006C093D"/>
    <w:rsid w:val="006C755D"/>
    <w:rsid w:val="006E435D"/>
    <w:rsid w:val="006F71E1"/>
    <w:rsid w:val="007034FA"/>
    <w:rsid w:val="007445C3"/>
    <w:rsid w:val="0075750B"/>
    <w:rsid w:val="00766BBE"/>
    <w:rsid w:val="00775FBB"/>
    <w:rsid w:val="00776E44"/>
    <w:rsid w:val="007778F9"/>
    <w:rsid w:val="00787093"/>
    <w:rsid w:val="007A5497"/>
    <w:rsid w:val="007B7AB8"/>
    <w:rsid w:val="007C5EF3"/>
    <w:rsid w:val="007E0A86"/>
    <w:rsid w:val="007E0D08"/>
    <w:rsid w:val="00834A79"/>
    <w:rsid w:val="00843511"/>
    <w:rsid w:val="00847BDB"/>
    <w:rsid w:val="00863020"/>
    <w:rsid w:val="0088735F"/>
    <w:rsid w:val="008B113A"/>
    <w:rsid w:val="008E1788"/>
    <w:rsid w:val="008E3242"/>
    <w:rsid w:val="008E4E56"/>
    <w:rsid w:val="008E770E"/>
    <w:rsid w:val="00900293"/>
    <w:rsid w:val="00901A10"/>
    <w:rsid w:val="0091161A"/>
    <w:rsid w:val="00914B2A"/>
    <w:rsid w:val="009329B3"/>
    <w:rsid w:val="00956C5C"/>
    <w:rsid w:val="00967009"/>
    <w:rsid w:val="00972E99"/>
    <w:rsid w:val="00980505"/>
    <w:rsid w:val="009962D3"/>
    <w:rsid w:val="009A5180"/>
    <w:rsid w:val="009C25BA"/>
    <w:rsid w:val="009F6617"/>
    <w:rsid w:val="009F709E"/>
    <w:rsid w:val="00A52B49"/>
    <w:rsid w:val="00A6698D"/>
    <w:rsid w:val="00A93832"/>
    <w:rsid w:val="00A97E14"/>
    <w:rsid w:val="00AB41B3"/>
    <w:rsid w:val="00AC013C"/>
    <w:rsid w:val="00AC3E46"/>
    <w:rsid w:val="00AE63D8"/>
    <w:rsid w:val="00AF2F2B"/>
    <w:rsid w:val="00B05E4B"/>
    <w:rsid w:val="00B55AA4"/>
    <w:rsid w:val="00B63C7C"/>
    <w:rsid w:val="00B811F2"/>
    <w:rsid w:val="00B85807"/>
    <w:rsid w:val="00BC125C"/>
    <w:rsid w:val="00BC3C7D"/>
    <w:rsid w:val="00BD4C72"/>
    <w:rsid w:val="00C004D8"/>
    <w:rsid w:val="00C16E3F"/>
    <w:rsid w:val="00C34C3E"/>
    <w:rsid w:val="00C55A86"/>
    <w:rsid w:val="00C6443E"/>
    <w:rsid w:val="00C745B2"/>
    <w:rsid w:val="00C82893"/>
    <w:rsid w:val="00C9547D"/>
    <w:rsid w:val="00CC2B33"/>
    <w:rsid w:val="00CF515A"/>
    <w:rsid w:val="00D16DCA"/>
    <w:rsid w:val="00D27483"/>
    <w:rsid w:val="00D33909"/>
    <w:rsid w:val="00D7654A"/>
    <w:rsid w:val="00DA372C"/>
    <w:rsid w:val="00DB2922"/>
    <w:rsid w:val="00DB4E64"/>
    <w:rsid w:val="00DD207A"/>
    <w:rsid w:val="00DD3433"/>
    <w:rsid w:val="00DE1F4D"/>
    <w:rsid w:val="00E11AA2"/>
    <w:rsid w:val="00E348C6"/>
    <w:rsid w:val="00E5237E"/>
    <w:rsid w:val="00E54871"/>
    <w:rsid w:val="00E60D9C"/>
    <w:rsid w:val="00E61429"/>
    <w:rsid w:val="00EB2067"/>
    <w:rsid w:val="00EB626A"/>
    <w:rsid w:val="00EC4C2D"/>
    <w:rsid w:val="00F143BC"/>
    <w:rsid w:val="00F218B0"/>
    <w:rsid w:val="00F35341"/>
    <w:rsid w:val="00F37A42"/>
    <w:rsid w:val="00F557F5"/>
    <w:rsid w:val="00F66751"/>
    <w:rsid w:val="00F71450"/>
    <w:rsid w:val="00F762E6"/>
    <w:rsid w:val="00F9560A"/>
    <w:rsid w:val="00FC0D87"/>
    <w:rsid w:val="00FC5578"/>
    <w:rsid w:val="00FD22FE"/>
    <w:rsid w:val="00FE431D"/>
    <w:rsid w:val="00FF3CF1"/>
    <w:rsid w:val="00FF4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6D700"/>
  <w15:docId w15:val="{B53D5486-632C-B14F-B2F7-64618306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both"/>
    </w:pPr>
    <w:rPr>
      <w:sz w:val="22"/>
      <w:szCs w:val="22"/>
      <w:lang w:val="fr-FR"/>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e"/>
    <w:next w:val="Normale"/>
    <w:link w:val="Titolo1Carattere"/>
    <w:qFormat/>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pPr>
      <w:widowControl w:val="0"/>
      <w:numPr>
        <w:ilvl w:val="1"/>
        <w:numId w:val="1"/>
      </w:numPr>
      <w:spacing w:after="240"/>
      <w:outlineLvl w:val="1"/>
    </w:pPr>
  </w:style>
  <w:style w:type="paragraph" w:styleId="Titolo3">
    <w:name w:val="heading 3"/>
    <w:aliases w:val="Char,Heading 3 Char,Char Char,Heading 3 Char1,Heading 3 Char Char,Char Char Char,Char Char1,Heading 3 Char1 Char,Heading 3 Char Char Char,Char Char Char Char,Char Char1 Char,Heading 3 Char2,Char Char2,Char Char Char1,Heading 3 Char Char1"/>
    <w:basedOn w:val="Normale"/>
    <w:next w:val="Normale"/>
    <w:link w:val="Titolo3Carattere"/>
    <w:qFormat/>
    <w:pPr>
      <w:widowControl w:val="0"/>
      <w:numPr>
        <w:ilvl w:val="2"/>
        <w:numId w:val="1"/>
      </w:numPr>
      <w:spacing w:after="240"/>
      <w:outlineLvl w:val="2"/>
    </w:pPr>
  </w:style>
  <w:style w:type="paragraph" w:styleId="Titolo4">
    <w:name w:val="heading 4"/>
    <w:aliases w:val="Heading 11,para 4,Título 41,heading 4,Heading 41,标题 41,He=ding 41"/>
    <w:basedOn w:val="Normale"/>
    <w:next w:val="Titolo9"/>
    <w:qFormat/>
    <w:pPr>
      <w:keepNext/>
      <w:numPr>
        <w:ilvl w:val="3"/>
        <w:numId w:val="1"/>
      </w:numPr>
      <w:spacing w:before="240" w:after="60"/>
      <w:outlineLvl w:val="3"/>
    </w:pPr>
  </w:style>
  <w:style w:type="paragraph" w:styleId="Titolo5">
    <w:name w:val="heading 5"/>
    <w:basedOn w:val="Normale"/>
    <w:next w:val="Normale"/>
    <w:qFormat/>
    <w:pPr>
      <w:keepNext/>
      <w:numPr>
        <w:numId w:val="20"/>
      </w:numPr>
      <w:spacing w:after="240"/>
      <w:ind w:left="3600" w:hanging="720"/>
      <w:outlineLvl w:val="4"/>
    </w:pPr>
  </w:style>
  <w:style w:type="paragraph" w:styleId="Titolo6">
    <w:name w:val="heading 6"/>
    <w:basedOn w:val="Normale"/>
    <w:next w:val="Normale"/>
    <w:qFormat/>
    <w:pPr>
      <w:numPr>
        <w:ilvl w:val="5"/>
        <w:numId w:val="1"/>
      </w:numPr>
      <w:spacing w:before="240" w:after="60"/>
      <w:outlineLvl w:val="5"/>
    </w:pPr>
    <w:rPr>
      <w:rFonts w:ascii="Arial" w:hAnsi="Arial"/>
      <w:i/>
    </w:rPr>
  </w:style>
  <w:style w:type="paragraph" w:styleId="Titolo7">
    <w:name w:val="heading 7"/>
    <w:basedOn w:val="Normale"/>
    <w:next w:val="Normale"/>
    <w:qFormat/>
    <w:pPr>
      <w:numPr>
        <w:ilvl w:val="6"/>
        <w:numId w:val="1"/>
      </w:numPr>
      <w:spacing w:before="240" w:after="60"/>
      <w:outlineLvl w:val="6"/>
    </w:pPr>
    <w:rPr>
      <w:rFonts w:ascii="Arial" w:hAnsi="Arial"/>
    </w:rPr>
  </w:style>
  <w:style w:type="paragraph" w:styleId="Titolo8">
    <w:name w:val="heading 8"/>
    <w:basedOn w:val="Normale"/>
    <w:next w:val="Normale"/>
    <w:qFormat/>
    <w:pPr>
      <w:outlineLvl w:val="7"/>
    </w:pPr>
    <w:rPr>
      <w:b/>
    </w:rPr>
  </w:style>
  <w:style w:type="paragraph" w:styleId="Titolo9">
    <w:name w:val="heading 9"/>
    <w:basedOn w:val="Normale"/>
    <w:next w:val="Normale"/>
    <w:qFormat/>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pPr>
      <w:numPr>
        <w:numId w:val="16"/>
      </w:numPr>
    </w:pPr>
  </w:style>
  <w:style w:type="paragraph" w:styleId="Intestazione">
    <w:name w:val="header"/>
    <w:basedOn w:val="Normale"/>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e"/>
    <w:pPr>
      <w:keepLines/>
      <w:jc w:val="right"/>
    </w:pPr>
    <w:rPr>
      <w:b/>
    </w:rPr>
  </w:style>
  <w:style w:type="paragraph" w:customStyle="1" w:styleId="0Heading0">
    <w:name w:val="0 Heading 0"/>
    <w:rPr>
      <w:sz w:val="22"/>
      <w:szCs w:val="22"/>
      <w:lang w:val="en-GB"/>
    </w:rPr>
  </w:style>
  <w:style w:type="paragraph" w:styleId="Pidipagina">
    <w:name w:val="footer"/>
    <w:basedOn w:val="Normale"/>
    <w:link w:val="PidipaginaCarattere"/>
    <w:uiPriority w:val="99"/>
    <w:pPr>
      <w:tabs>
        <w:tab w:val="center" w:pos="4320"/>
        <w:tab w:val="right" w:pos="8640"/>
      </w:tabs>
    </w:pPr>
  </w:style>
  <w:style w:type="numbering" w:styleId="1ai">
    <w:name w:val="Outline List 1"/>
    <w:basedOn w:val="Nessunelenco"/>
    <w:semiHidden/>
    <w:pPr>
      <w:numPr>
        <w:numId w:val="17"/>
      </w:numPr>
    </w:pPr>
  </w:style>
  <w:style w:type="numbering" w:styleId="ArticoloSezione">
    <w:name w:val="Outline List 3"/>
    <w:basedOn w:val="Nessunelenco"/>
    <w:semiHidden/>
    <w:pPr>
      <w:numPr>
        <w:numId w:val="18"/>
      </w:numPr>
    </w:pPr>
  </w:style>
  <w:style w:type="paragraph" w:styleId="Testodelblocco">
    <w:name w:val="Block Text"/>
    <w:basedOn w:val="Normale"/>
    <w:semiHidden/>
    <w:pPr>
      <w:spacing w:after="120"/>
      <w:ind w:left="1440" w:right="1440"/>
    </w:pPr>
  </w:style>
  <w:style w:type="paragraph" w:styleId="Corpodeltesto3">
    <w:name w:val="Body Text 3"/>
    <w:basedOn w:val="Normale"/>
    <w:semiHidden/>
    <w:pPr>
      <w:spacing w:after="120"/>
    </w:pPr>
    <w:rPr>
      <w:sz w:val="16"/>
      <w:szCs w:val="16"/>
    </w:rPr>
  </w:style>
  <w:style w:type="paragraph" w:styleId="Rientrocorpodeltesto3">
    <w:name w:val="Body Text Indent 3"/>
    <w:basedOn w:val="Normale"/>
    <w:semiHidden/>
    <w:pPr>
      <w:spacing w:after="120"/>
      <w:ind w:left="360"/>
    </w:pPr>
    <w:rPr>
      <w:sz w:val="16"/>
      <w:szCs w:val="16"/>
    </w:rPr>
  </w:style>
  <w:style w:type="paragraph" w:styleId="Testonormale">
    <w:name w:val="Plain Text"/>
    <w:basedOn w:val="Normale"/>
    <w:semiHidden/>
    <w:rPr>
      <w:rFonts w:ascii="Courier New" w:hAnsi="Courier New" w:cs="Courier New"/>
      <w:sz w:val="20"/>
    </w:rPr>
  </w:style>
  <w:style w:type="table" w:styleId="Tabellaeffetti3D1">
    <w:name w:val="Table 3D effects 1"/>
    <w:basedOn w:val="Tabellanormale"/>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Pr>
      <w:sz w:val="22"/>
      <w:szCs w:val="22"/>
      <w:lang w:val="en-GB"/>
    </w:rPr>
  </w:style>
  <w:style w:type="paragraph" w:customStyle="1" w:styleId="Header4">
    <w:name w:val="Header4"/>
    <w:aliases w:val="Para 4"/>
    <w:basedOn w:val="Normale"/>
    <w:next w:val="Normale"/>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Pr>
      <w:sz w:val="16"/>
      <w:szCs w:val="16"/>
    </w:rPr>
  </w:style>
  <w:style w:type="paragraph" w:styleId="Sottotitolo">
    <w:name w:val="Subtitle"/>
    <w:basedOn w:val="Normale"/>
    <w:qFormat/>
    <w:pPr>
      <w:spacing w:after="60"/>
      <w:jc w:val="center"/>
      <w:outlineLvl w:val="1"/>
    </w:pPr>
    <w:rPr>
      <w:rFonts w:ascii="Arial" w:hAnsi="Arial" w:cs="Arial"/>
    </w:rPr>
  </w:style>
  <w:style w:type="paragraph" w:styleId="Titolo">
    <w:name w:val="Title"/>
    <w:basedOn w:val="Normale"/>
    <w:qFormat/>
    <w:pPr>
      <w:spacing w:before="240" w:after="60"/>
      <w:jc w:val="center"/>
      <w:outlineLvl w:val="0"/>
    </w:pPr>
    <w:rPr>
      <w:rFonts w:ascii="Arial" w:hAnsi="Arial" w:cs="Arial"/>
      <w:b/>
      <w:bCs/>
      <w:kern w:val="28"/>
    </w:rPr>
  </w:style>
  <w:style w:type="paragraph" w:styleId="Data">
    <w:name w:val="Date"/>
    <w:basedOn w:val="Normale"/>
    <w:next w:val="Normale"/>
  </w:style>
  <w:style w:type="character" w:styleId="Testosegnaposto">
    <w:name w:val="Placeholder Text"/>
    <w:basedOn w:val="Carpredefinitoparagrafo"/>
    <w:uiPriority w:val="99"/>
    <w:semiHidden/>
    <w:rPr>
      <w:color w:val="808080"/>
    </w:rPr>
  </w:style>
  <w:style w:type="paragraph" w:styleId="Testofumetto">
    <w:name w:val="Balloon Text"/>
    <w:basedOn w:val="Normale"/>
    <w:link w:val="TestofumettoCarattere"/>
    <w:uiPriority w:val="99"/>
    <w:semiHidden/>
    <w:unhideWhenUs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Pr>
      <w:rFonts w:ascii="Tahoma" w:hAnsi="Tahoma" w:cs="Tahoma"/>
      <w:sz w:val="16"/>
      <w:szCs w:val="16"/>
      <w:lang w:val="en-GB"/>
    </w:rPr>
  </w:style>
  <w:style w:type="paragraph" w:styleId="Testocommento">
    <w:name w:val="annotation text"/>
    <w:basedOn w:val="Normale"/>
    <w:link w:val="TestocommentoCarattere"/>
    <w:uiPriority w:val="99"/>
    <w:unhideWhenUsed/>
    <w:rPr>
      <w:sz w:val="20"/>
      <w:szCs w:val="20"/>
    </w:rPr>
  </w:style>
  <w:style w:type="character" w:customStyle="1" w:styleId="TestocommentoCarattere">
    <w:name w:val="Testo commento Carattere"/>
    <w:basedOn w:val="Carpredefinitoparagrafo"/>
    <w:link w:val="Testocommento"/>
    <w:uiPriority w:val="99"/>
    <w:rPr>
      <w:lang w:val="en-GB"/>
    </w:rPr>
  </w:style>
  <w:style w:type="paragraph" w:styleId="Soggettocommento">
    <w:name w:val="annotation subject"/>
    <w:basedOn w:val="Testocommento"/>
    <w:next w:val="Testocommento"/>
    <w:link w:val="SoggettocommentoCarattere"/>
    <w:uiPriority w:val="99"/>
    <w:semiHidden/>
    <w:unhideWhenUsed/>
    <w:rPr>
      <w:b/>
      <w:bCs/>
    </w:rPr>
  </w:style>
  <w:style w:type="character" w:customStyle="1" w:styleId="SoggettocommentoCarattere">
    <w:name w:val="Soggetto commento Carattere"/>
    <w:basedOn w:val="TestocommentoCarattere"/>
    <w:link w:val="Soggettocommento"/>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Titolo1"/>
    <w:pPr>
      <w:numPr>
        <w:numId w:val="0"/>
      </w:numPr>
      <w:tabs>
        <w:tab w:val="left" w:pos="720"/>
      </w:tabs>
    </w:pPr>
    <w:rPr>
      <w:szCs w:val="20"/>
    </w:rPr>
  </w:style>
  <w:style w:type="character" w:customStyle="1" w:styleId="PidipaginaCarattere">
    <w:name w:val="Piè di pagina Carattere"/>
    <w:basedOn w:val="Carpredefinitoparagrafo"/>
    <w:link w:val="Pidipagina"/>
    <w:uiPriority w:val="99"/>
    <w:rPr>
      <w:sz w:val="22"/>
      <w:szCs w:val="22"/>
      <w:lang w:val="en-GB"/>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2C06D4"/>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rsid w:val="002C06D4"/>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
    <w:basedOn w:val="Carpredefinitoparagrafo"/>
    <w:uiPriority w:val="99"/>
    <w:unhideWhenUsed/>
    <w:rsid w:val="002C06D4"/>
    <w:rPr>
      <w:vertAlign w:val="superscript"/>
    </w:rPr>
  </w:style>
  <w:style w:type="paragraph" w:customStyle="1" w:styleId="Newheader4">
    <w:name w:val="New header 4"/>
    <w:basedOn w:val="Titolo4"/>
    <w:next w:val="Normale"/>
    <w:qFormat/>
    <w:rsid w:val="004A33F4"/>
    <w:pPr>
      <w:spacing w:before="0" w:after="240"/>
      <w:ind w:left="2880" w:hanging="720"/>
    </w:p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4A33F4"/>
    <w:rPr>
      <w:sz w:val="22"/>
      <w:szCs w:val="22"/>
      <w:lang w:val="fr-FR"/>
    </w:rPr>
  </w:style>
  <w:style w:type="paragraph" w:styleId="Paragrafoelenco">
    <w:name w:val="List Paragraph"/>
    <w:basedOn w:val="Normale"/>
    <w:uiPriority w:val="34"/>
    <w:qFormat/>
    <w:rsid w:val="004A33F4"/>
    <w:pPr>
      <w:ind w:left="720"/>
    </w:pPr>
  </w:style>
  <w:style w:type="table" w:customStyle="1" w:styleId="TableGrid1">
    <w:name w:val="Table Grid1"/>
    <w:basedOn w:val="Tabellanormale"/>
    <w:next w:val="Grigliatabella"/>
    <w:rsid w:val="004A33F4"/>
    <w:rPr>
      <w:rFonts w:asciiTheme="minorHAnsi" w:eastAsiaTheme="minorHAns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aliases w:val="Char Carattere,Heading 3 Char Carattere,Char Char Carattere,Heading 3 Char1 Carattere,Heading 3 Char Char Carattere,Char Char Char Carattere,Char Char1 Carattere,Heading 3 Char1 Char Carattere,Heading 3 Char Char Char Carattere"/>
    <w:basedOn w:val="Carpredefinitoparagrafo"/>
    <w:link w:val="Titolo3"/>
    <w:uiPriority w:val="9"/>
    <w:rsid w:val="004A33F4"/>
    <w:rPr>
      <w:sz w:val="22"/>
      <w:szCs w:val="22"/>
      <w:lang w:val="fr-FR"/>
    </w:rPr>
  </w:style>
  <w:style w:type="paragraph" w:styleId="NormaleWeb">
    <w:name w:val="Normal (Web)"/>
    <w:basedOn w:val="Normale"/>
    <w:uiPriority w:val="99"/>
    <w:unhideWhenUsed/>
    <w:rsid w:val="004A33F4"/>
    <w:pPr>
      <w:spacing w:before="100" w:beforeAutospacing="1" w:after="100" w:afterAutospacing="1"/>
      <w:jc w:val="left"/>
    </w:pPr>
    <w:rPr>
      <w:sz w:val="24"/>
      <w:szCs w:val="24"/>
      <w:lang w:eastAsia="en-CA"/>
    </w:rPr>
  </w:style>
  <w:style w:type="paragraph" w:styleId="Testonotadichiusura">
    <w:name w:val="endnote text"/>
    <w:basedOn w:val="Normale"/>
    <w:link w:val="TestonotadichiusuraCarattere"/>
    <w:uiPriority w:val="99"/>
    <w:semiHidden/>
    <w:unhideWhenUsed/>
    <w:rsid w:val="00776E44"/>
    <w:rPr>
      <w:sz w:val="20"/>
      <w:szCs w:val="20"/>
      <w:lang w:val="en-GB"/>
    </w:rPr>
  </w:style>
  <w:style w:type="character" w:customStyle="1" w:styleId="TestonotadichiusuraCarattere">
    <w:name w:val="Testo nota di chiusura Carattere"/>
    <w:basedOn w:val="Carpredefinitoparagrafo"/>
    <w:link w:val="Testonotadichiusura"/>
    <w:uiPriority w:val="99"/>
    <w:semiHidden/>
    <w:rsid w:val="00776E44"/>
    <w:rPr>
      <w:lang w:val="en-GB"/>
    </w:rPr>
  </w:style>
  <w:style w:type="character" w:styleId="Rimandonotadichiusura">
    <w:name w:val="endnote reference"/>
    <w:basedOn w:val="Carpredefinitoparagrafo"/>
    <w:uiPriority w:val="99"/>
    <w:semiHidden/>
    <w:unhideWhenUsed/>
    <w:rsid w:val="00776E44"/>
    <w:rPr>
      <w:vertAlign w:val="superscript"/>
    </w:rPr>
  </w:style>
  <w:style w:type="paragraph" w:styleId="Revisione">
    <w:name w:val="Revision"/>
    <w:hidden/>
    <w:uiPriority w:val="99"/>
    <w:semiHidden/>
    <w:rsid w:val="00776E44"/>
    <w:rPr>
      <w:sz w:val="22"/>
      <w:szCs w:val="22"/>
      <w:lang w:val="en-GB"/>
    </w:rPr>
  </w:style>
  <w:style w:type="character" w:customStyle="1" w:styleId="Menzione1">
    <w:name w:val="Menzione1"/>
    <w:basedOn w:val="Carpredefinitoparagrafo"/>
    <w:uiPriority w:val="99"/>
    <w:unhideWhenUsed/>
    <w:rsid w:val="00776E44"/>
    <w:rPr>
      <w:color w:val="2B579A"/>
      <w:shd w:val="clear" w:color="auto" w:fill="E1DFDD"/>
    </w:rPr>
  </w:style>
  <w:style w:type="paragraph" w:styleId="Nessunaspaziatura">
    <w:name w:val="No Spacing"/>
    <w:uiPriority w:val="1"/>
    <w:qFormat/>
    <w:rsid w:val="00776E44"/>
    <w:pPr>
      <w:jc w:val="both"/>
    </w:pPr>
    <w:rPr>
      <w:sz w:val="22"/>
      <w:szCs w:val="22"/>
      <w:lang w:val="en-CA"/>
    </w:rPr>
  </w:style>
  <w:style w:type="paragraph" w:customStyle="1" w:styleId="paragraph">
    <w:name w:val="paragraph"/>
    <w:basedOn w:val="Normale"/>
    <w:rsid w:val="000D434A"/>
    <w:pPr>
      <w:spacing w:before="100" w:beforeAutospacing="1" w:after="100" w:afterAutospacing="1"/>
      <w:jc w:val="left"/>
    </w:pPr>
    <w:rPr>
      <w:sz w:val="24"/>
      <w:szCs w:val="24"/>
      <w:lang w:eastAsia="en-CA"/>
    </w:rPr>
  </w:style>
  <w:style w:type="character" w:customStyle="1" w:styleId="normaltextrun">
    <w:name w:val="normaltextrun"/>
    <w:basedOn w:val="Carpredefinitoparagrafo"/>
    <w:rsid w:val="000D434A"/>
  </w:style>
  <w:style w:type="character" w:customStyle="1" w:styleId="eop">
    <w:name w:val="eop"/>
    <w:basedOn w:val="Carpredefinitoparagrafo"/>
    <w:rsid w:val="000D434A"/>
  </w:style>
  <w:style w:type="character" w:styleId="Numeropagina">
    <w:name w:val="page number"/>
    <w:basedOn w:val="Carpredefinitoparagrafo"/>
    <w:uiPriority w:val="99"/>
    <w:semiHidden/>
    <w:unhideWhenUsed/>
    <w:rsid w:val="00F9560A"/>
  </w:style>
  <w:style w:type="numbering" w:customStyle="1" w:styleId="Elencocorrente1">
    <w:name w:val="Elenco corrente1"/>
    <w:uiPriority w:val="99"/>
    <w:rsid w:val="00901A10"/>
    <w:pPr>
      <w:numPr>
        <w:numId w:val="48"/>
      </w:numPr>
    </w:pPr>
  </w:style>
  <w:style w:type="numbering" w:customStyle="1" w:styleId="Elencocorrente2">
    <w:name w:val="Elenco corrente2"/>
    <w:uiPriority w:val="99"/>
    <w:rsid w:val="00901A10"/>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202024\PROJETS\ONU%20Montreal\Templates\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7CC0C4-AB0C-4D11-90A7-48FDAD7A60E6}">
  <ds:schemaRefs>
    <ds:schemaRef ds:uri="http://schemas.openxmlformats.org/officeDocument/2006/bibliography"/>
  </ds:schemaRefs>
</ds:datastoreItem>
</file>

<file path=customXml/itemProps2.xml><?xml version="1.0" encoding="utf-8"?>
<ds:datastoreItem xmlns:ds="http://schemas.openxmlformats.org/officeDocument/2006/customXml" ds:itemID="{30628112-CDB0-4406-9F3A-8A8098A0F2C4}">
  <ds:schemaRefs>
    <ds:schemaRef ds:uri="http://schemas.microsoft.com/sharepoint/v3/contenttype/forms"/>
  </ds:schemaRefs>
</ds:datastoreItem>
</file>

<file path=customXml/itemProps3.xml><?xml version="1.0" encoding="utf-8"?>
<ds:datastoreItem xmlns:ds="http://schemas.openxmlformats.org/officeDocument/2006/customXml" ds:itemID="{8C45D431-94B3-42B8-BC7D-748F2B908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2B8D39-013B-44A7-B15B-1647623B2DF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D:\OSMOSE TRADUCTION  2024\PROJETS\ONU Montreal\Templates\F94-template.dotm</Template>
  <TotalTime>32</TotalTime>
  <Pages>3</Pages>
  <Words>950</Words>
  <Characters>5155</Characters>
  <Application>Microsoft Office Word</Application>
  <DocSecurity>0</DocSecurity>
  <Lines>117</Lines>
  <Paragraphs>50</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Addendum - Rapports sur les projets soumis à des exigences spécifiques en matière d’établissement de rapports : rapports sans questions en suspens</vt:lpstr>
      <vt:lpstr>Rapport portant sur les soldes et la disponibilité des ressources</vt:lpstr>
      <vt:lpstr/>
    </vt:vector>
  </TitlesOfParts>
  <Manager/>
  <Company>UNMFS</Company>
  <LinksUpToDate>false</LinksUpToDate>
  <CharactersWithSpaces>6055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Rapports sur les projets soumis à des exigences spécifiques en matière d’établissement de rapports : rapports sans questions en suspens</dc:title>
  <dc:subject/>
  <dc:creator>Souriau</dc:creator>
  <cp:keywords/>
  <dc:description/>
  <cp:lastModifiedBy>Renato Delcò</cp:lastModifiedBy>
  <cp:revision>119</cp:revision>
  <cp:lastPrinted>2001-05-26T16:40:00Z</cp:lastPrinted>
  <dcterms:created xsi:type="dcterms:W3CDTF">2024-11-27T17:12:00Z</dcterms:created>
  <dcterms:modified xsi:type="dcterms:W3CDTF">2024-11-27T21:12:00Z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UNEP/OzL.Pro/ExCom/95/20/Add.1</vt:lpwstr>
  </property>
  <property fmtid="{D5CDD505-2E9C-101B-9397-08002B2CF9AE}" pid="3" name="Revision date">
    <vt:lpwstr>11/26/2024</vt:lpwstr>
  </property>
  <property fmtid="{D5CDD505-2E9C-101B-9397-08002B2CF9AE}" pid="4" name="ContentTypeId">
    <vt:lpwstr>0x010100C5F60F8E60516143877F7AC30EFBB2F3</vt:lpwstr>
  </property>
  <property fmtid="{D5CDD505-2E9C-101B-9397-08002B2CF9AE}" pid="5" name="Order">
    <vt:i4>147800</vt:i4>
  </property>
  <property fmtid="{D5CDD505-2E9C-101B-9397-08002B2CF9AE}" pid="6" name="MediaServiceImageTags">
    <vt:lpwstr/>
  </property>
</Properties>
</file>