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162" w:type="pct"/>
        <w:tblLook w:val="0000" w:firstRow="0" w:lastRow="0" w:firstColumn="0" w:lastColumn="0" w:noHBand="0" w:noVBand="0"/>
      </w:tblPr>
      <w:tblGrid>
        <w:gridCol w:w="1923"/>
        <w:gridCol w:w="3479"/>
        <w:gridCol w:w="4261"/>
      </w:tblGrid>
      <w:tr w:rsidR="00C15867" w:rsidRPr="009B0D30" w14:paraId="035C43A1" w14:textId="77777777" w:rsidTr="007733A1">
        <w:trPr>
          <w:trHeight w:val="720"/>
        </w:trPr>
        <w:tc>
          <w:tcPr>
            <w:tcW w:w="2794" w:type="pct"/>
            <w:gridSpan w:val="2"/>
            <w:tcBorders>
              <w:bottom w:val="single" w:sz="18" w:space="0" w:color="auto"/>
            </w:tcBorders>
          </w:tcPr>
          <w:p w14:paraId="30D63AF1" w14:textId="77777777" w:rsidR="00C15867" w:rsidRPr="009B0D30" w:rsidRDefault="00C15867" w:rsidP="009D02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2206" w:type="pct"/>
            <w:tcBorders>
              <w:bottom w:val="single" w:sz="18" w:space="0" w:color="auto"/>
            </w:tcBorders>
          </w:tcPr>
          <w:p w14:paraId="259FED38" w14:textId="77777777" w:rsidR="00C15867" w:rsidRPr="009B0D30" w:rsidRDefault="00C15867" w:rsidP="009D02B5">
            <w:pPr>
              <w:jc w:val="right"/>
              <w:rPr>
                <w:sz w:val="52"/>
                <w:szCs w:val="52"/>
              </w:rPr>
            </w:pPr>
            <w:r>
              <w:rPr>
                <w:rFonts w:ascii="Univers Bold" w:hAnsi="Univers Bold"/>
                <w:b/>
                <w:sz w:val="72"/>
              </w:rPr>
              <w:t>EP</w:t>
            </w:r>
          </w:p>
        </w:tc>
      </w:tr>
      <w:tr w:rsidR="00C15867" w:rsidRPr="009B0D30" w14:paraId="3F7499DA" w14:textId="77777777" w:rsidTr="00EE01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995" w:type="pct"/>
            <w:tcBorders>
              <w:top w:val="nil"/>
              <w:left w:val="nil"/>
              <w:bottom w:val="single" w:sz="36" w:space="0" w:color="auto"/>
              <w:right w:val="nil"/>
            </w:tcBorders>
          </w:tcPr>
          <w:p w14:paraId="059B3981" w14:textId="77777777" w:rsidR="00C15867" w:rsidRPr="009B0D30" w:rsidRDefault="00E52838" w:rsidP="009D02B5">
            <w:pPr>
              <w:spacing w:before="120"/>
            </w:pPr>
            <w:r>
              <w:rPr>
                <w:noProof/>
              </w:rPr>
              <mc:AlternateContent>
                <mc:Choice Requires="wpg">
                  <w:drawing>
                    <wp:anchor distT="0" distB="0" distL="114300" distR="114300" simplePos="0" relativeHeight="251658240" behindDoc="0" locked="0" layoutInCell="1" allowOverlap="1" wp14:anchorId="44E49E13" wp14:editId="2C90C888">
                      <wp:simplePos x="0" y="0"/>
                      <wp:positionH relativeFrom="column">
                        <wp:posOffset>-1905</wp:posOffset>
                      </wp:positionH>
                      <wp:positionV relativeFrom="paragraph">
                        <wp:posOffset>33655</wp:posOffset>
                      </wp:positionV>
                      <wp:extent cx="822325" cy="1497483"/>
                      <wp:effectExtent l="0" t="0" r="0" b="7620"/>
                      <wp:wrapNone/>
                      <wp:docPr id="1" name="Group 1"/>
                      <wp:cNvGraphicFramePr/>
                      <a:graphic xmlns:a="http://schemas.openxmlformats.org/drawingml/2006/main">
                        <a:graphicData uri="http://schemas.microsoft.com/office/word/2010/wordprocessingGroup">
                          <wpg:wgp>
                            <wpg:cNvGrpSpPr/>
                            <wpg:grpSpPr>
                              <a:xfrm>
                                <a:off x="0" y="0"/>
                                <a:ext cx="822325" cy="1497483"/>
                                <a:chOff x="0" y="0"/>
                                <a:chExt cx="822325" cy="1497483"/>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6674" y="749301"/>
                                  <a:ext cx="739775" cy="748182"/>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4101188" id="Group 1" o:spid="_x0000_s1026" style="position:absolute;margin-left:-.15pt;margin-top:2.65pt;width:64.75pt;height:117.9pt;z-index:251658240;mso-width-relative:margin;mso-height-relative:margin" coordsize="8223,149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JwYojQIAALAHAAAOAAAAZHJzL2Uyb0RvYy54bWzUVWtv2jAU/T5p/8Hy&#10;9zYQKIGoUE3rQ5O6Fm3rDzCOk1iNH7o2hP77XTuBFTp1U6Vp6geMX/f6nHOP4/OLrWrIRoCTRs/p&#10;8HRAidDcFFJXc/rw4/pkSonzTBesMVrM6ZNw9GLx8cN5a3ORmto0hQCCSbTLWzuntfc2TxLHa6GY&#10;OzVWaFwsDSjmcQhVUgBrMbtqknQwmCStgcKC4cI5nL3sFuki5i9Lwf19WTrhSTOniM3HFmK7Cm2y&#10;OGd5BczWkvcw2BtQKCY1HrpPdck8I2uQL1IpycE4U/pTblRiylJyETkgm+HgiM0NmLWNXKq8rexe&#10;JpT2SKc3p+V3mxuw3+0SUInWVqhFHAUu2xJU+EeUZBsle9pLJraecJycpukoPaOE49JwPMvG01Gn&#10;Ka9R+BdhvL56PTDZHZscgLGS5/jrFcDeCwX+7BSM8msQtE+i/iqHYvC4tidYLMu8XMlG+qdoPCxL&#10;AKU3S8mX0A1QzCUQWcxpSolmCv2Oq+FQghOFcByd93B3tQwShegQ0IWzQO/W8EdHtPlcM12JT86i&#10;fVHWsDs53B6HB2evGmmvZdOEgoV+zxIPPLLKb4TqbHhp+FoJ7bt7BaJBwka7WlpHCeRCrQQygy/F&#10;EMuNd9ojPQtS+67gDvg3xBsvlPMgPK8DlhIx9fNY2/1CJPALc2Dn0IRk1X41BSZma2/ihToy4WQy&#10;ycaUoNuy8Ww0iNqwfOfGbDTLst6NaMXhNI3a7TyFIoPzN8IoEjpIBgHHU9jm1gXoCHG3JYDXJki6&#10;kz8A7CuBeLsKYufdmHJ0bMp4VQ+N9Z58iHfqv/kQ35LXP4bZaDCdnv1L+8UvJD4L0bX9Exbenedj&#10;7D9/aBc/AQAA//8DAFBLAwQKAAAAAAAAACEAfhWsvxIGAAASBgAAFAAAAGRycy9tZWRpYS9pbWFn&#10;ZTEucG5niVBORw0KGgoAAAANSUhEUgAAAMAAAACqAQMAAADBfdJ4AAAAAXNSR0IArs4c6QAAAARn&#10;QU1BAACxjwv8YQUAAAAgY0hSTQAAeiYAAICEAAD6AAAAgOgAAHUwAADqYAAAOpgAABdwnLpRPAAA&#10;AAZQTFRFAAAA////pdmf3QAAAAlwSFlzAAAh1QAAIdUBBJy0nQAABWlJREFUWMPN1z1uHDcUAGCO&#10;JxBdBKFKF4KI3CClCifMUZIbpHQhLGezRrbcI+goprABXOoIpqBCpbhQYQZhyLwfcn60q94LJBbm&#10;2yH53uPfivLKR3zr8HASkonCnIJQnDj5xm0Z5EnoM7T0Gdu0C8gydoV7kQuIMkjoBR+6BQTlTRYE&#10;fjUHr29bI9GYGTjzRsLIKCK1m+DTsBLCeo5wux0hWwFDUlETPO9HSLmDv/okA8n9CDH30L9Y9fyO&#10;H+GQeEDrTP8G2+A+Kh50gTeLiiPs4xXFlgyO2H0wDTbhV6Fr9uG9ixH6IGqgmNtw1iBLL1RNPzxL&#10;3S8Vkpyq9wX+Gy4bKKfnxQuXliGq7aKqSZsGi/lRitYMQdsl3I2wfF6eFIN/CVhLApMXnTxN4Bed&#10;PFf46uxydoayqfChW0A0DI/O98sAFcOdc5xCUXOf+luG9UAPIPfcZO4Ybja8ZAYh6toRDPpPnlzw&#10;vJZl+J3hI7UQEXgU7keErHkteQQOyJ9X0K2L2kkgSGYwPFj8aG6VgbpIDJL//krQj33X3jNBNKqG&#10;hx8OcSDQehpUHZZ7IDBP+HcFqownuLR3PNret2EFhHBZdjxaGSt8jRU0Z0qlmq3ndI+gk+YwdK6B&#10;HDJDNBwG7g0USIQlj+AblBpItAzOcnwTGIbBcnwEtC40gyhzsDhNCC5FDXyELBm6WiYaLpYq9wjx&#10;ol8ARttvEN71tX4UOeWkY5AVKFeUkzVCeqfqpOpDg4HgvOZQyHHOuS3A9bnhHEp22kkRVueWoM34&#10;CSgJoi1QSm9QReRVR2tlXDYbzKL6ArBcTvj5L2oAI/89gvQaZH0jklHP1Fv7dLjdGoTdAxawSsYS&#10;xmK0SPqGgCVTbaNl2LeSl1r0aFcA6mbDIOtawMlwbQAwJM9f9Q2SEbCd9+MTVwHm4BwsL1CcPgh9&#10;bsCzBEEFAlmBJwOBtyJ36TSUGaQGEjc9MYKaAVRQXKsGcYQBYDiGLNcI709AB+BGkBP0CO/0Syhn&#10;CB6BJqcMbTc5k7g+TsBfCmf7W3MEHxHS25+PQX9CuH4JT38bgNX317WmDD1u6taIYsW1PQJ4WuwQ&#10;X8LO4Z3AOIA0AeR6d5sQPOw+S1APCPoEPEYAFQDyBJBS+RggwG2EK8QCsnzyABuEMgF8S95hadfp&#10;GApVkM7aCWAkslAFLcIwFgohUwUNrjM31hyilYlAH0PECnoV62xQbd3gvQ1ALqAjwAqGHgEHpBso&#10;R9BF9YnyTpO6J9A4GURUN7zp110rKjjnoObiQwVTj4mocHFB/t7DPS+300CXFC9hzHgUXqjPlBMC&#10;U/6JF3RAluEHvaec2EzxHeL7jsCdwR6PodtC8d3HK75l+F45CgTbg+/exj8UQegQIkOPN7rfNEHq&#10;do4mEHYE391EZ3FUuYidgwmPrQy4y/ZxnQmsk3gtGnocgYUzIshETZlIgLcW1+HhAQcgXz+K9JgI&#10;3AckLvJQDgS7ssca0l6j8QuHsifYl+eAO/0dXyyjesQdTND1Ns4u8/B2qpHbBUBzoUYOX5lt/HDy&#10;Dhw53PHzDBzUy3BKRJdnVzJnMUwEqIKZAWxVuJ0IPpeGCdaRTqN6AM/ug3DXkBVgFl6ZESSlmG+v&#10;Qnw3Qr6s5wIfGuNpV9JPfM2h/7l6fSr8ej/C/JeSr2fPdAtt1+fM96IRBmxh1peYmhbai3qNmgGu&#10;2jd1V5oDvqC8GkS7dTI80+Zjt5/rypkNF9vI+sAXVT0C30eiTTaI1r9oXXc4KdryHIGO2i0GObRQ&#10;RBttyQqnWGw/UaaUJBjnYSrkBPhbKNoT4OtbR4C/0LI+AZR2dQLUvCgzyKq19xL0K8Cfp9egfBvw&#10;P1tZ93s3t5HAAAAAAElFTkSuQmCCUEsDBAoAAAAAAAAAIQDgid0cbQkAAG0JAAAUAAAAZHJzL21l&#10;ZGlhL2ltYWdlMi5wbmeJUE5HDQoaCgAAAA1JSERSAAAAxgAAALABAwAAAG4ug8IAAAABc1JHQgCu&#10;zhzpAAAABGdBTUEAALGPC/xhBQAAACBjSFJNAAB6JgAAgIQAAPoAAACA6AAAdTAAAOpgAAA6mAAA&#10;F3CculE8AAAABlBMVEUAAAD///+l2Z/dAAAACXBIWXMAACHVAAAh1QEEnLSdAAAIxElEQVRYw83X&#10;T28bxxUA8Dcem+MDy1WRQwhY5ajoF5CRQxmU1ahogfRU9NhbGegDhIIPZRDWuyyN6CKUPfZgRMde&#10;c8zNozAIVcCweuypGWKN6GIgw6hIV/B6X9+b2ZVlRz71UgWkGf64M2/f/Nk3gG/4K+H/S3z6BnEA&#10;+lqpAEBcK04WFSSvyzf0grTAQrwuc/qosEDM0lelop6dIXleUHP/uSKFQZzSP6grifj8irgUK0Xy&#10;TKNFvLgiNg2XFQ/C3ZbppTyid8eN0nWlxtJcyg7FesyypDdFeFZLNRH8Bck5vc2oy/NayrEMcfP9&#10;cLOVXNdSeBUDAIgJF0UtnsRzegA4BINQpFGcS3DFl4wLSLndbFLLsf0RLugHukBLrwTtwDTyLv0v&#10;AkVQyhNcot3UUaZ2n5rgXKenGWCOrpFZllO3nnKdfuOBgnGdJIqcLigYF+6HYvD46aXMDuiCWZAS&#10;jEs/a6kg38lErXSVBKlAf24e1vK13EwW85AElmSunygZpTVKDpYeG9HzpYzyRcvpeb7iAUyeV9Ay&#10;B6uZNCyHyhq9piR4oOTQa+Fy+ShKdt8UBzSjAJKUb9XfE0csbQVlyoMsilKcZwLX/k4tLRZKAmf0&#10;FokvkumcpGq3aaRILMVW3LKU2FI1QqNLc1OSVHACaTmR04Mgt9Ua10tKAs/rAZjyvghStiHJMV8U&#10;PK9pAEBXBhoxS1zkPuaaBE12PIvyhyUe+FXM9W1aXDr7RS3LOc6LX9Z5o/kzt4KlaMv5HHWp4kz8&#10;E4sTU5aOSnTVjA8NvcTTT2vpkBiSI5apk7j8ay2bPUPpodYymtzgBC6f1NJlKRY0OwRWG78VmJ+K&#10;LMj2Dq339Qpd15qyP6FhODuOMhykF7jyOC3KpBgbSNf5Koqd4Brz4n5SoPTV21m6Xq0hSDYmWZYT&#10;U+AqR23Ttb8IkmQFzeWDqk+9+SXecWnhU5JqrOCCZI6C10KCiTeFN0FagtpCTdOXpVLfmaLQQTq1&#10;HPBo6+oWmjJKvyPP8bQy4RqrSHQ5SeAZSZuW/5zkhyQnCoMoeArVoK2o/zKt+ljkmcIHeEQiSDZv&#10;0zQ4opRO0s/eA0krbF7dl1HeOqMGsPyNAQ27KTVQ7Ygo75BQWFKDAjDfcjhCfAFVB+4tWbw4pE0E&#10;tGOBKHtLNBdoIfy1HS4rk81IWpDTxzXLbZLukG57x8oHJGLBwjt8my8KsstyQ8yo4XXJfdDagl+z&#10;DNVNqKRkOWdJua9/4BnubEeRLLTtQYhig6S33SERSs2rlEXwGoZtlm6Qj1lyEski/s2yudmGCg4V&#10;5TO/sCBSlpKlQ4K1rEn4qSXpM0mX5bHK4u3/7ZGLH6Cn+iwnSRSxOPKXsk2S/S7h1lZW/J1Fhdbk&#10;FVmSqIKFI5B+k+5uHOTLXZAskkVLx7L9Nt/Pn+nLG8/qqI1gcdtvsXyyCzdbxXXy8FfQTlgeUq6N&#10;sAPA0fbd0yq1/3ovg+QvFHH/pWyQGNs5c0MNUaqfC0tLr7+xT5K19tz7X7F8yJKxDDZGPFla97z9&#10;PT+BLmjuvJtZWlm9DU/zAOR+edjhcV0HyZ4BfgKOugR58ULDFo3rmubofjZ9DDgXJBqoBDCWx5UX&#10;xr5lOZgGESVNemhNkaf/vpWHgLNjdxZkzFuYJNEk6iHg4tjtPe2AqO6y3OR8lu87Rdk5zu1e6ICf&#10;EsNuSk2XK9fhXDdCD1WwWyndXOHcJss9+o/lIEy3dM7iB5Q3947d57lJrXkB8JWu0gvn+yw/s/s8&#10;Raof0+TdAurlj2vnRyT+jv2QZTJO7cpBRbvg2hWOJbFjlnGpjx9ZMaF96dxdcK69suN/kuyjOum1&#10;YECSu48ykkLZyQnJHma7tOL6vAu6j8L+Ju3kA5JlCBru8i7o7rOUwj75gMLmBzLExJEIFnBPfhpK&#10;N152tPcvafefsFTgvjbUkKnlBctYBhmeac/XhH6UocfHcMSCsJX3Ku4nrJ6fGI294UiRPM+28jly&#10;10FGWleD4ZDlhd3I5/ToFVHGPcOScGxuY7XknSDKYDMtx8NdzeJ5WuUUXIig18Vi7DJ+1pdjcDmu&#10;oJWEqFsbVE25LOWoB+D20W8ls5CDFj/RHZyz9MCNsBghJYv+kgWunBNnLEnmxlyLFWrNSZpRqr1a&#10;8p0q6wap16EWI6HHnPVJFOcGJk8wRk2xzTMqTFikdz2zPOACrkv76CSl5lO+U5yWQ63nXEHylrlR&#10;7ejMlXynmJUjqn58LQJ7RqyKIHZnlHxpuEZiUXiYityHesfq0Q9sysUlC1V8lchdEJf4m8NQkLIY&#10;XH0rzkJ20Cnf2g5FLG/nKeZPxSmEusrLotVNueZbIxfyy8eyilJA0WobfmCukYoDTNqSivYokxuK&#10;k0NiFWW4K32s0koYSPkx90cRUHk16CobpYKeFJ9jnKJUgo/7KovVIEJLCi7sslARr3w/gbq2zKSE&#10;cCSxXEUvXL8DdaVqhcgmXF+vWZQdbUJd9zqYZjtJLaW2oy7UtTJVJpmZ1VKk2WgbmmodhNWuFovg&#10;h6KWIxKqF6JQZvyuqmXphEsoOSxUOgiXJbWsaNkpKjZYaGCEg52mjjcZ1fiOc03JK6WDsqn9lacU&#10;FpKEzweSBqw5L9B+SG2BppHjqWr18WXU1HiciDQ8nma2bM4loGJmeRbQ4eDIN1HTV1X8BR9vnEZo&#10;oqb0a7g8/lnj+MAXxYHMTCNZFRqNQgvUXco0FOC10ALduDwxyji0UXgGNMfCqh1ib85m8U6w+ZV6&#10;KdnLUyZvCvrKSQ8uz5wuTK2Xp0NeHGEqUc7j5c1ZM8OmDqFTlnn15Mpb9uaVU20tBpvKIHR/eiXq&#10;sBUo2r7DRVdii9XWpK35g3TmlajpG29k2MhejZo7sLSsoQmiOQdDfNB5kzWJaqKm9jXNxTLxTXIb&#10;KemHhaaTaRknw2tn9JQP0Fl9r1fFhldRn/qvyrS+Dr8nHJI310gVzsj6GuEFFN9el/DzayV0EZr8&#10;3jXpmyT+JW8U/J/kv7pTGFLfDSCtAAAAAElFTkSuQmCCUEsDBBQABgAIAAAAIQAzaYbW3QAAAAcB&#10;AAAPAAAAZHJzL2Rvd25yZXYueG1sTI5BS8NAFITvgv9heYK3drOpFY3ZlFLUUxFsBfH2mn1NQrNv&#10;Q3abpP/e7UlPwzDDzJevJtuKgXrfONag5gkI4tKZhisNX/u32RMIH5ANto5Jw4U8rIrbmxwz40b+&#10;pGEXKhFH2GeooQ6hy6T0ZU0W/dx1xDE7ut5iiLavpOlxjOO2lWmSPEqLDceHGjva1FSedmer4X3E&#10;cb1Qr8P2dNxcfvbLj++tIq3v76b1C4hAU/grwxU/okMRmQ7uzMaLVsNsEYsallGuafqcgjhoSB+U&#10;Alnk8j9/8Qs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BEJwYojQIAALAHAAAOAAAAAAAAAAAAAAAAADoCAABkcnMvZTJvRG9jLnhtbFBLAQItAAoA&#10;AAAAAAAAIQB+Fay/EgYAABIGAAAUAAAAAAAAAAAAAAAAAPMEAABkcnMvbWVkaWEvaW1hZ2UxLnBu&#10;Z1BLAQItAAoAAAAAAAAAIQDgid0cbQkAAG0JAAAUAAAAAAAAAAAAAAAAADcLAABkcnMvbWVkaWEv&#10;aW1hZ2UyLnBuZ1BLAQItABQABgAIAAAAIQAzaYbW3QAAAAcBAAAPAAAAAAAAAAAAAAAAANYUAABk&#10;cnMvZG93bnJldi54bWxQSwECLQAUAAYACAAAACEALmzwAMUAAAClAQAAGQAAAAAAAAAAAAAAAADg&#10;FQAAZHJzL19yZWxzL2Uyb0RvYy54bWwucmVsc1BLBQYAAAAABwAHAL4BAADc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66;top:7493;width:7398;height:74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800" w:type="pct"/>
            <w:tcBorders>
              <w:top w:val="nil"/>
              <w:left w:val="nil"/>
              <w:bottom w:val="single" w:sz="36" w:space="0" w:color="auto"/>
              <w:right w:val="nil"/>
            </w:tcBorders>
          </w:tcPr>
          <w:p w14:paraId="2CECA09A" w14:textId="77777777" w:rsidR="006447CD" w:rsidRDefault="006447CD" w:rsidP="009D02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2EF9BE51" w14:textId="723D18C8" w:rsidR="00C15867" w:rsidRPr="009B0D30" w:rsidRDefault="00C15867" w:rsidP="009D02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Programme des</w:t>
            </w:r>
          </w:p>
          <w:p w14:paraId="3E06E299" w14:textId="77777777" w:rsidR="00C15867" w:rsidRPr="009B0D30" w:rsidRDefault="00C15867" w:rsidP="009D02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Nations Unies pour</w:t>
            </w:r>
          </w:p>
          <w:p w14:paraId="2A8EF8F0" w14:textId="0E1E641F" w:rsidR="00C15867" w:rsidRPr="00EE0101" w:rsidRDefault="00C15867" w:rsidP="00EE010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l’environnement</w:t>
            </w:r>
          </w:p>
        </w:tc>
        <w:tc>
          <w:tcPr>
            <w:tcW w:w="2206" w:type="pct"/>
            <w:tcBorders>
              <w:top w:val="nil"/>
              <w:left w:val="nil"/>
              <w:bottom w:val="single" w:sz="36" w:space="0" w:color="auto"/>
              <w:right w:val="nil"/>
            </w:tcBorders>
          </w:tcPr>
          <w:p w14:paraId="49F0D386" w14:textId="77777777" w:rsidR="00C15867" w:rsidRPr="009B0D30" w:rsidRDefault="00C15867" w:rsidP="009D02B5">
            <w:r>
              <w:t>Distr.</w:t>
            </w:r>
          </w:p>
          <w:p w14:paraId="36EF8855" w14:textId="77777777" w:rsidR="00923540" w:rsidRPr="009B0D30" w:rsidRDefault="00923540" w:rsidP="00923540">
            <w:r>
              <w:t>GÉNÉRALE</w:t>
            </w:r>
          </w:p>
          <w:p w14:paraId="1E4DF7C1" w14:textId="77777777" w:rsidR="00C15867" w:rsidRPr="009B0D30" w:rsidRDefault="00C15867" w:rsidP="009D02B5"/>
          <w:p w14:paraId="3026568B" w14:textId="77777777" w:rsidR="00C15867" w:rsidRPr="009B0D30" w:rsidRDefault="00C15867" w:rsidP="009D02B5"/>
          <w:p w14:paraId="49D2EB83" w14:textId="69BB2033" w:rsidR="00C15867" w:rsidRPr="006447CD" w:rsidRDefault="00105426" w:rsidP="009D02B5">
            <w:pPr>
              <w:rPr>
                <w:lang w:val="en-US"/>
              </w:rPr>
            </w:pPr>
            <w:r>
              <w:fldChar w:fldCharType="begin"/>
            </w:r>
            <w:r w:rsidRPr="006447CD">
              <w:rPr>
                <w:lang w:val="en-US"/>
              </w:rPr>
              <w:instrText xml:space="preserve"> DOCPROPERTY "Document number"  \* MERGEFORMAT </w:instrText>
            </w:r>
            <w:r>
              <w:fldChar w:fldCharType="separate"/>
            </w:r>
            <w:r w:rsidR="007733A1" w:rsidRPr="006447CD">
              <w:rPr>
                <w:lang w:val="en-US"/>
              </w:rPr>
              <w:t>UNEP/OzL.Pro/ExCom/94/51</w:t>
            </w:r>
            <w:r>
              <w:fldChar w:fldCharType="end"/>
            </w:r>
          </w:p>
          <w:p w14:paraId="3BA1D256" w14:textId="43DC6462" w:rsidR="00C15867" w:rsidRPr="006447CD" w:rsidRDefault="005E5A65" w:rsidP="009D02B5">
            <w:pPr>
              <w:rPr>
                <w:lang w:val="en-US"/>
              </w:rPr>
            </w:pPr>
            <w:r>
              <w:fldChar w:fldCharType="begin"/>
            </w:r>
            <w:r w:rsidRPr="006447CD">
              <w:rPr>
                <w:lang w:val="en-US"/>
              </w:rPr>
              <w:instrText xml:space="preserve"> DOCPROPERTY  "Revision date"  \@ "d MMMM YYYY" \* MERGEFORMAT </w:instrText>
            </w:r>
            <w:r>
              <w:fldChar w:fldCharType="separate"/>
            </w:r>
            <w:r w:rsidR="00455664" w:rsidRPr="006447CD">
              <w:rPr>
                <w:lang w:val="en-US"/>
              </w:rPr>
              <w:t>13</w:t>
            </w:r>
            <w:r w:rsidR="00735118" w:rsidRPr="006447CD">
              <w:rPr>
                <w:lang w:val="en-US"/>
              </w:rPr>
              <w:t xml:space="preserve"> </w:t>
            </w:r>
            <w:r w:rsidR="007518D4" w:rsidRPr="006447CD">
              <w:rPr>
                <w:lang w:val="en-US"/>
              </w:rPr>
              <w:t>mai</w:t>
            </w:r>
            <w:r w:rsidR="00735118" w:rsidRPr="006447CD">
              <w:rPr>
                <w:lang w:val="en-US"/>
              </w:rPr>
              <w:t xml:space="preserve"> 2024</w:t>
            </w:r>
            <w:r>
              <w:fldChar w:fldCharType="end"/>
            </w:r>
          </w:p>
          <w:p w14:paraId="4A0F0D9A" w14:textId="77777777" w:rsidR="00C15867" w:rsidRPr="006447CD" w:rsidRDefault="00C15867" w:rsidP="009D02B5">
            <w:pPr>
              <w:rPr>
                <w:caps/>
                <w:lang w:val="en-US"/>
              </w:rPr>
            </w:pPr>
          </w:p>
          <w:p w14:paraId="3E89970D" w14:textId="77777777" w:rsidR="00C15867" w:rsidRPr="009B0D30" w:rsidRDefault="00C15867" w:rsidP="009D02B5">
            <w:r>
              <w:t>FRANÇAIS</w:t>
            </w:r>
            <w:r>
              <w:br/>
              <w:t>ORIGINAL : ANGLAIS</w:t>
            </w:r>
          </w:p>
        </w:tc>
      </w:tr>
    </w:tbl>
    <w:p w14:paraId="773F08A6" w14:textId="77777777" w:rsidR="00CA59FB" w:rsidRDefault="00C15867" w:rsidP="00CA59FB">
      <w:pPr>
        <w:jc w:val="left"/>
      </w:pPr>
      <w:r>
        <w:t>COMITÉ EXÉCUTIF</w:t>
      </w:r>
      <w:r>
        <w:br/>
        <w:t xml:space="preserve">  DU FONDS MULTILATÉRAL AUX FINS</w:t>
      </w:r>
      <w:r>
        <w:br/>
        <w:t xml:space="preserve">  D’APPLICATION DU PROTOCOLE DE MONTRÉAL</w:t>
      </w:r>
      <w:r>
        <w:br/>
        <w:t>Quatre-vingt-quatorzième réunion</w:t>
      </w:r>
    </w:p>
    <w:p w14:paraId="483BBAF2" w14:textId="77777777" w:rsidR="00CA59FB" w:rsidRDefault="00CA59FB" w:rsidP="00CA59FB">
      <w:pPr>
        <w:jc w:val="left"/>
      </w:pPr>
      <w:r>
        <w:t>Montréal, 27-31 mai 2024</w:t>
      </w:r>
    </w:p>
    <w:p w14:paraId="367FAC75" w14:textId="0C99E903" w:rsidR="0079781A" w:rsidRDefault="0079781A" w:rsidP="0079781A">
      <w:pPr>
        <w:jc w:val="left"/>
      </w:pPr>
      <w:r>
        <w:t>Point 9(d) de l’ordre du jour provisoire</w:t>
      </w:r>
      <w:r w:rsidRPr="00512BEF">
        <w:rPr>
          <w:rStyle w:val="FootnoteReference"/>
        </w:rPr>
        <w:footnoteReference w:id="2"/>
      </w:r>
    </w:p>
    <w:p w14:paraId="5B07D679" w14:textId="77777777" w:rsidR="00C15867" w:rsidRPr="009B0D30" w:rsidRDefault="00C15867" w:rsidP="00CA59FB">
      <w:pPr>
        <w:jc w:val="left"/>
      </w:pPr>
    </w:p>
    <w:p w14:paraId="7EEFA972" w14:textId="77777777" w:rsidR="00066CE8" w:rsidRPr="009B0D30" w:rsidRDefault="00066CE8" w:rsidP="00857077">
      <w:pPr>
        <w:jc w:val="left"/>
      </w:pPr>
    </w:p>
    <w:p w14:paraId="4B446E07" w14:textId="77777777" w:rsidR="004E7F9C" w:rsidRPr="007733A1" w:rsidRDefault="004E7F9C" w:rsidP="00C560A5">
      <w:pPr>
        <w:pStyle w:val="Title1"/>
        <w:jc w:val="left"/>
        <w:rPr>
          <w:b w:val="0"/>
        </w:rPr>
      </w:pPr>
    </w:p>
    <w:p w14:paraId="3308AA90" w14:textId="77777777" w:rsidR="004177A6" w:rsidRPr="00DA764B" w:rsidRDefault="004177A6" w:rsidP="004177A6"/>
    <w:p w14:paraId="6E841733" w14:textId="5888E70C" w:rsidR="004177A6" w:rsidRPr="00996241" w:rsidRDefault="007733A1" w:rsidP="004177A6">
      <w:pPr>
        <w:jc w:val="center"/>
        <w:rPr>
          <w:b/>
        </w:rPr>
      </w:pPr>
      <w:r>
        <w:rPr>
          <w:b/>
        </w:rPr>
        <w:t>PROPOSITION DE PROJET : ARABIE SAOUDITE</w:t>
      </w:r>
    </w:p>
    <w:p w14:paraId="5C7AF28A" w14:textId="77777777" w:rsidR="004177A6" w:rsidRPr="00DA764B" w:rsidRDefault="004177A6" w:rsidP="004177A6"/>
    <w:p w14:paraId="73B79170" w14:textId="77777777" w:rsidR="004177A6" w:rsidRPr="00DA764B" w:rsidRDefault="004177A6" w:rsidP="004177A6"/>
    <w:p w14:paraId="645378CF" w14:textId="33705289" w:rsidR="004177A6" w:rsidRPr="00996241" w:rsidRDefault="004177A6" w:rsidP="004177A6">
      <w:pPr>
        <w:ind w:firstLine="720"/>
      </w:pPr>
      <w:r>
        <w:t>Le présent document comporte les observations et la recommandation du Secrétariat sur la proposition de projet suivante :</w:t>
      </w:r>
    </w:p>
    <w:p w14:paraId="7D0BA1A4" w14:textId="1F9ACCEB" w:rsidR="004177A6" w:rsidRPr="00201A8A" w:rsidRDefault="004177A6" w:rsidP="00201A8A">
      <w:pPr>
        <w:spacing w:before="240" w:after="240"/>
        <w:rPr>
          <w:u w:val="single"/>
        </w:rPr>
      </w:pPr>
      <w:r>
        <w:rPr>
          <w:u w:val="single"/>
        </w:rPr>
        <w:t>Élimination</w:t>
      </w:r>
    </w:p>
    <w:p w14:paraId="42450C6F" w14:textId="77777777" w:rsidR="004177A6" w:rsidRPr="00996241" w:rsidRDefault="004177A6" w:rsidP="004177A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177A6" w:rsidRPr="00EE5B08" w14:paraId="7A770DA2" w14:textId="77777777" w:rsidTr="009D02B5">
        <w:tc>
          <w:tcPr>
            <w:tcW w:w="6941" w:type="dxa"/>
          </w:tcPr>
          <w:p w14:paraId="6DFAE1E7" w14:textId="423F38F2" w:rsidR="004177A6" w:rsidRPr="00EE5B08" w:rsidRDefault="004177A6" w:rsidP="009C05F5">
            <w:pPr>
              <w:pStyle w:val="ListParagraph"/>
              <w:numPr>
                <w:ilvl w:val="0"/>
                <w:numId w:val="6"/>
              </w:numPr>
              <w:ind w:hanging="830"/>
            </w:pPr>
            <w:r>
              <w:t>Plan de gestion de l’élimination des HCFC (phase II, première tranche)</w:t>
            </w:r>
          </w:p>
        </w:tc>
        <w:tc>
          <w:tcPr>
            <w:tcW w:w="2409" w:type="dxa"/>
          </w:tcPr>
          <w:p w14:paraId="4CB9441E" w14:textId="62219F16" w:rsidR="004177A6" w:rsidRPr="009931F4" w:rsidRDefault="00DF0D1A" w:rsidP="009D02B5">
            <w:pPr>
              <w:jc w:val="right"/>
            </w:pPr>
            <w:r>
              <w:t>ONUDI et PNUE</w:t>
            </w:r>
          </w:p>
        </w:tc>
      </w:tr>
    </w:tbl>
    <w:p w14:paraId="4452FEC8" w14:textId="77777777" w:rsidR="004177A6" w:rsidRPr="009931F4" w:rsidRDefault="004177A6" w:rsidP="004177A6"/>
    <w:p w14:paraId="3F050D1B" w14:textId="77777777" w:rsidR="004177A6" w:rsidRPr="00996241" w:rsidRDefault="004177A6" w:rsidP="004177A6"/>
    <w:p w14:paraId="3FD4A577" w14:textId="77777777" w:rsidR="004177A6" w:rsidRPr="00996241" w:rsidRDefault="004177A6" w:rsidP="004177A6">
      <w:pPr>
        <w:jc w:val="left"/>
      </w:pPr>
    </w:p>
    <w:p w14:paraId="5BDCAC35" w14:textId="77777777" w:rsidR="004177A6" w:rsidRPr="00996241" w:rsidRDefault="004177A6" w:rsidP="004177A6">
      <w:pPr>
        <w:jc w:val="left"/>
      </w:pPr>
      <w:r>
        <w:br w:type="page"/>
      </w:r>
    </w:p>
    <w:p w14:paraId="5BAB2CCC" w14:textId="77777777" w:rsidR="004177A6" w:rsidRPr="00996241" w:rsidRDefault="004177A6" w:rsidP="001F4E08">
      <w:pPr>
        <w:spacing w:after="80"/>
        <w:jc w:val="center"/>
        <w:rPr>
          <w:b/>
        </w:rPr>
      </w:pPr>
      <w:r>
        <w:rPr>
          <w:b/>
        </w:rPr>
        <w:lastRenderedPageBreak/>
        <w:t>FICHE D’ÉVALUATION DU PROJET – PROJETS PLURIANNUELS</w:t>
      </w:r>
    </w:p>
    <w:p w14:paraId="1D1BB484" w14:textId="3AC3A21D" w:rsidR="004177A6" w:rsidRDefault="00DF0D1A" w:rsidP="001F4E08">
      <w:pPr>
        <w:spacing w:after="160"/>
        <w:jc w:val="center"/>
        <w:rPr>
          <w:b/>
        </w:rPr>
      </w:pPr>
      <w:r>
        <w:rPr>
          <w:b/>
        </w:rPr>
        <w:t>Arabie saoudite</w:t>
      </w:r>
    </w:p>
    <w:tbl>
      <w:tblPr>
        <w:tblStyle w:val="TableGrid"/>
        <w:tblW w:w="5724" w:type="pct"/>
        <w:tblInd w:w="-635" w:type="dxa"/>
        <w:tblCellMar>
          <w:top w:w="28" w:type="dxa"/>
          <w:bottom w:w="28" w:type="dxa"/>
        </w:tblCellMar>
        <w:tblLook w:val="04A0" w:firstRow="1" w:lastRow="0" w:firstColumn="1" w:lastColumn="0" w:noHBand="0" w:noVBand="1"/>
      </w:tblPr>
      <w:tblGrid>
        <w:gridCol w:w="5692"/>
        <w:gridCol w:w="5012"/>
      </w:tblGrid>
      <w:tr w:rsidR="004177A6" w:rsidRPr="00EB31E3" w14:paraId="2940927C" w14:textId="77777777" w:rsidTr="007733A1">
        <w:trPr>
          <w:trHeight w:val="248"/>
        </w:trPr>
        <w:tc>
          <w:tcPr>
            <w:tcW w:w="2659" w:type="pct"/>
            <w:shd w:val="clear" w:color="auto" w:fill="auto"/>
          </w:tcPr>
          <w:p w14:paraId="635A4A6C" w14:textId="77777777" w:rsidR="004177A6" w:rsidRPr="00996241" w:rsidRDefault="004177A6" w:rsidP="009D02B5">
            <w:pPr>
              <w:rPr>
                <w:b/>
                <w:sz w:val="20"/>
              </w:rPr>
            </w:pPr>
            <w:r>
              <w:rPr>
                <w:b/>
                <w:sz w:val="20"/>
              </w:rPr>
              <w:t>(I) TITRE DU PROJET</w:t>
            </w:r>
          </w:p>
        </w:tc>
        <w:tc>
          <w:tcPr>
            <w:tcW w:w="2341" w:type="pct"/>
            <w:shd w:val="clear" w:color="auto" w:fill="auto"/>
          </w:tcPr>
          <w:p w14:paraId="19E60AFF" w14:textId="77777777" w:rsidR="004177A6" w:rsidRPr="00996241" w:rsidRDefault="004177A6" w:rsidP="009D02B5">
            <w:pPr>
              <w:jc w:val="center"/>
              <w:rPr>
                <w:b/>
                <w:sz w:val="20"/>
              </w:rPr>
            </w:pPr>
            <w:r>
              <w:rPr>
                <w:b/>
                <w:sz w:val="20"/>
              </w:rPr>
              <w:t>AGENCE</w:t>
            </w:r>
          </w:p>
        </w:tc>
      </w:tr>
      <w:tr w:rsidR="004177A6" w:rsidRPr="001F4E08" w14:paraId="02244168" w14:textId="77777777" w:rsidTr="007733A1">
        <w:trPr>
          <w:trHeight w:val="40"/>
        </w:trPr>
        <w:tc>
          <w:tcPr>
            <w:tcW w:w="2659" w:type="pct"/>
            <w:shd w:val="clear" w:color="auto" w:fill="auto"/>
            <w:vAlign w:val="center"/>
          </w:tcPr>
          <w:p w14:paraId="2D405B37" w14:textId="6161A1C7" w:rsidR="004177A6" w:rsidRPr="001F4E08" w:rsidRDefault="004177A6" w:rsidP="009D02B5">
            <w:pPr>
              <w:jc w:val="center"/>
              <w:rPr>
                <w:color w:val="000000" w:themeColor="text1"/>
                <w:sz w:val="20"/>
                <w:szCs w:val="20"/>
              </w:rPr>
            </w:pPr>
            <w:r>
              <w:rPr>
                <w:color w:val="000000" w:themeColor="text1"/>
                <w:sz w:val="20"/>
              </w:rPr>
              <w:t>Plan de gestion de l’élimination des HCFC (phase II)</w:t>
            </w:r>
          </w:p>
        </w:tc>
        <w:tc>
          <w:tcPr>
            <w:tcW w:w="2341" w:type="pct"/>
            <w:shd w:val="clear" w:color="auto" w:fill="auto"/>
            <w:vAlign w:val="center"/>
          </w:tcPr>
          <w:p w14:paraId="18F8215A" w14:textId="55B2C0A7" w:rsidR="004177A6" w:rsidRPr="001F4E08" w:rsidRDefault="00DF0D1A" w:rsidP="009D02B5">
            <w:pPr>
              <w:jc w:val="center"/>
              <w:rPr>
                <w:color w:val="000000" w:themeColor="text1"/>
                <w:sz w:val="20"/>
                <w:szCs w:val="20"/>
              </w:rPr>
            </w:pPr>
            <w:r>
              <w:rPr>
                <w:color w:val="000000" w:themeColor="text1"/>
                <w:sz w:val="20"/>
              </w:rPr>
              <w:t>ONUDI (agence principale), PNUE</w:t>
            </w:r>
          </w:p>
        </w:tc>
      </w:tr>
    </w:tbl>
    <w:p w14:paraId="43EDDFBD" w14:textId="77777777" w:rsidR="004177A6" w:rsidRPr="001F4E08" w:rsidRDefault="004177A6" w:rsidP="004177A6">
      <w:pPr>
        <w:jc w:val="center"/>
        <w:rPr>
          <w:sz w:val="18"/>
          <w:szCs w:val="18"/>
        </w:rPr>
      </w:pPr>
    </w:p>
    <w:tbl>
      <w:tblPr>
        <w:tblStyle w:val="TableGrid"/>
        <w:tblW w:w="5732" w:type="pct"/>
        <w:tblInd w:w="-635" w:type="dxa"/>
        <w:tblCellMar>
          <w:top w:w="28" w:type="dxa"/>
          <w:bottom w:w="28" w:type="dxa"/>
        </w:tblCellMar>
        <w:tblLook w:val="04A0" w:firstRow="1" w:lastRow="0" w:firstColumn="1" w:lastColumn="0" w:noHBand="0" w:noVBand="1"/>
      </w:tblPr>
      <w:tblGrid>
        <w:gridCol w:w="7149"/>
        <w:gridCol w:w="1739"/>
        <w:gridCol w:w="1831"/>
      </w:tblGrid>
      <w:tr w:rsidR="004177A6" w:rsidRPr="00996241" w14:paraId="6439A3E9" w14:textId="77777777" w:rsidTr="007733A1">
        <w:trPr>
          <w:trHeight w:val="74"/>
        </w:trPr>
        <w:tc>
          <w:tcPr>
            <w:tcW w:w="3335" w:type="pct"/>
            <w:shd w:val="clear" w:color="auto" w:fill="auto"/>
          </w:tcPr>
          <w:p w14:paraId="17AD2EE8" w14:textId="77777777" w:rsidR="004177A6" w:rsidRPr="00996241" w:rsidRDefault="004177A6" w:rsidP="009D02B5">
            <w:pPr>
              <w:jc w:val="left"/>
              <w:rPr>
                <w:b/>
                <w:sz w:val="20"/>
              </w:rPr>
            </w:pPr>
            <w:r>
              <w:rPr>
                <w:b/>
                <w:sz w:val="20"/>
              </w:rPr>
              <w:t>(II) DERNIÈRES DONNÉES DE L’ARTICLE 7 (Annexe C Groupe l)</w:t>
            </w:r>
          </w:p>
        </w:tc>
        <w:tc>
          <w:tcPr>
            <w:tcW w:w="811" w:type="pct"/>
            <w:shd w:val="clear" w:color="auto" w:fill="auto"/>
          </w:tcPr>
          <w:p w14:paraId="69ED2B35" w14:textId="56396B26" w:rsidR="004177A6" w:rsidRPr="00996241" w:rsidRDefault="004177A6" w:rsidP="009D02B5">
            <w:pPr>
              <w:jc w:val="center"/>
              <w:rPr>
                <w:sz w:val="20"/>
              </w:rPr>
            </w:pPr>
            <w:r>
              <w:rPr>
                <w:sz w:val="20"/>
              </w:rPr>
              <w:t xml:space="preserve">Année : </w:t>
            </w:r>
            <w:r>
              <w:rPr>
                <w:color w:val="000000" w:themeColor="text1"/>
                <w:sz w:val="20"/>
              </w:rPr>
              <w:t>2022</w:t>
            </w:r>
          </w:p>
        </w:tc>
        <w:tc>
          <w:tcPr>
            <w:tcW w:w="854" w:type="pct"/>
            <w:shd w:val="clear" w:color="auto" w:fill="auto"/>
          </w:tcPr>
          <w:p w14:paraId="4A9F818C" w14:textId="2968340F" w:rsidR="004177A6" w:rsidRPr="00996241" w:rsidRDefault="00EA5284" w:rsidP="009D02B5">
            <w:pPr>
              <w:jc w:val="right"/>
              <w:rPr>
                <w:sz w:val="20"/>
              </w:rPr>
            </w:pPr>
            <w:r>
              <w:rPr>
                <w:color w:val="000000" w:themeColor="text1"/>
                <w:sz w:val="20"/>
              </w:rPr>
              <w:t>876,00</w:t>
            </w:r>
            <w:r>
              <w:rPr>
                <w:sz w:val="20"/>
              </w:rPr>
              <w:t> tonnes PAO</w:t>
            </w:r>
          </w:p>
        </w:tc>
      </w:tr>
    </w:tbl>
    <w:p w14:paraId="12520980" w14:textId="77777777" w:rsidR="004177A6" w:rsidRPr="001F4E08" w:rsidRDefault="004177A6" w:rsidP="004177A6">
      <w:pPr>
        <w:jc w:val="center"/>
        <w:rPr>
          <w:sz w:val="18"/>
          <w:szCs w:val="18"/>
        </w:rPr>
      </w:pPr>
    </w:p>
    <w:tbl>
      <w:tblPr>
        <w:tblStyle w:val="TableGrid"/>
        <w:tblW w:w="5755" w:type="pct"/>
        <w:tblInd w:w="-635" w:type="dxa"/>
        <w:tblLook w:val="04A0" w:firstRow="1" w:lastRow="0" w:firstColumn="1" w:lastColumn="0" w:noHBand="0" w:noVBand="1"/>
      </w:tblPr>
      <w:tblGrid>
        <w:gridCol w:w="1049"/>
        <w:gridCol w:w="859"/>
        <w:gridCol w:w="848"/>
        <w:gridCol w:w="1029"/>
        <w:gridCol w:w="1139"/>
        <w:gridCol w:w="962"/>
        <w:gridCol w:w="915"/>
        <w:gridCol w:w="1410"/>
        <w:gridCol w:w="1096"/>
        <w:gridCol w:w="1455"/>
      </w:tblGrid>
      <w:tr w:rsidR="004177A6" w:rsidRPr="008533A5" w14:paraId="3E329AF1" w14:textId="77777777" w:rsidTr="007733A1">
        <w:trPr>
          <w:trHeight w:val="254"/>
        </w:trPr>
        <w:tc>
          <w:tcPr>
            <w:tcW w:w="3815" w:type="pct"/>
            <w:gridSpan w:val="8"/>
            <w:shd w:val="clear" w:color="auto" w:fill="auto"/>
          </w:tcPr>
          <w:p w14:paraId="70431D88" w14:textId="77777777" w:rsidR="004177A6" w:rsidRPr="00996241" w:rsidRDefault="004177A6" w:rsidP="009D02B5">
            <w:pPr>
              <w:jc w:val="left"/>
              <w:rPr>
                <w:b/>
                <w:sz w:val="20"/>
              </w:rPr>
            </w:pPr>
            <w:r>
              <w:rPr>
                <w:b/>
                <w:sz w:val="20"/>
              </w:rPr>
              <w:t>(III) DERNIÈRES DONNÉES SECTORIELLES DU PROGRAMME DE PAYS (tonnes PAO)</w:t>
            </w:r>
          </w:p>
        </w:tc>
        <w:tc>
          <w:tcPr>
            <w:tcW w:w="1185" w:type="pct"/>
            <w:gridSpan w:val="2"/>
            <w:shd w:val="clear" w:color="auto" w:fill="auto"/>
          </w:tcPr>
          <w:p w14:paraId="59D0E6C9" w14:textId="7889A363" w:rsidR="004177A6" w:rsidRPr="008533A5" w:rsidRDefault="004177A6" w:rsidP="009D02B5">
            <w:pPr>
              <w:spacing w:after="60"/>
              <w:jc w:val="right"/>
              <w:rPr>
                <w:b/>
                <w:sz w:val="20"/>
                <w:highlight w:val="cyan"/>
              </w:rPr>
            </w:pPr>
            <w:r>
              <w:rPr>
                <w:b/>
                <w:sz w:val="20"/>
              </w:rPr>
              <w:t xml:space="preserve">Année : </w:t>
            </w:r>
            <w:r>
              <w:rPr>
                <w:b/>
                <w:color w:val="000000" w:themeColor="text1"/>
                <w:sz w:val="20"/>
              </w:rPr>
              <w:t>2023</w:t>
            </w:r>
          </w:p>
        </w:tc>
      </w:tr>
      <w:tr w:rsidR="004177A6" w:rsidRPr="00EB31E3" w14:paraId="7E26DF9F" w14:textId="77777777" w:rsidTr="007733A1">
        <w:trPr>
          <w:trHeight w:val="254"/>
        </w:trPr>
        <w:tc>
          <w:tcPr>
            <w:tcW w:w="488" w:type="pct"/>
            <w:shd w:val="clear" w:color="auto" w:fill="auto"/>
            <w:vAlign w:val="center"/>
          </w:tcPr>
          <w:p w14:paraId="366ED4EF" w14:textId="77777777" w:rsidR="004177A6" w:rsidRPr="009931F4" w:rsidRDefault="004177A6" w:rsidP="007C1B75">
            <w:pPr>
              <w:spacing w:after="60"/>
              <w:jc w:val="center"/>
              <w:rPr>
                <w:sz w:val="20"/>
              </w:rPr>
            </w:pPr>
            <w:r>
              <w:rPr>
                <w:sz w:val="20"/>
              </w:rPr>
              <w:t>Produits chimiques</w:t>
            </w:r>
          </w:p>
        </w:tc>
        <w:tc>
          <w:tcPr>
            <w:tcW w:w="399" w:type="pct"/>
            <w:shd w:val="clear" w:color="auto" w:fill="auto"/>
            <w:vAlign w:val="center"/>
          </w:tcPr>
          <w:p w14:paraId="54EBB64E" w14:textId="77777777" w:rsidR="004177A6" w:rsidRPr="00996241" w:rsidRDefault="004177A6" w:rsidP="007C1B75">
            <w:pPr>
              <w:spacing w:after="60"/>
              <w:jc w:val="center"/>
              <w:rPr>
                <w:sz w:val="20"/>
              </w:rPr>
            </w:pPr>
            <w:r>
              <w:rPr>
                <w:sz w:val="20"/>
              </w:rPr>
              <w:t>Aérosol</w:t>
            </w:r>
          </w:p>
        </w:tc>
        <w:tc>
          <w:tcPr>
            <w:tcW w:w="394" w:type="pct"/>
            <w:shd w:val="clear" w:color="auto" w:fill="auto"/>
            <w:vAlign w:val="center"/>
          </w:tcPr>
          <w:p w14:paraId="71BDB43C" w14:textId="77777777" w:rsidR="004177A6" w:rsidRPr="00996241" w:rsidRDefault="004177A6" w:rsidP="007C1B75">
            <w:pPr>
              <w:spacing w:after="60"/>
              <w:jc w:val="center"/>
              <w:rPr>
                <w:sz w:val="20"/>
              </w:rPr>
            </w:pPr>
            <w:r>
              <w:rPr>
                <w:sz w:val="20"/>
              </w:rPr>
              <w:t>Mousse</w:t>
            </w:r>
          </w:p>
        </w:tc>
        <w:tc>
          <w:tcPr>
            <w:tcW w:w="477" w:type="pct"/>
            <w:shd w:val="clear" w:color="auto" w:fill="auto"/>
            <w:vAlign w:val="center"/>
          </w:tcPr>
          <w:p w14:paraId="15B86333" w14:textId="77777777" w:rsidR="004177A6" w:rsidRPr="00996241" w:rsidRDefault="004177A6" w:rsidP="007C1B75">
            <w:pPr>
              <w:spacing w:after="60"/>
              <w:jc w:val="center"/>
              <w:rPr>
                <w:sz w:val="20"/>
              </w:rPr>
            </w:pPr>
            <w:r>
              <w:rPr>
                <w:sz w:val="20"/>
              </w:rPr>
              <w:t>Lutte contre l’incendie</w:t>
            </w:r>
          </w:p>
        </w:tc>
        <w:tc>
          <w:tcPr>
            <w:tcW w:w="976" w:type="pct"/>
            <w:gridSpan w:val="2"/>
            <w:shd w:val="clear" w:color="auto" w:fill="auto"/>
            <w:vAlign w:val="center"/>
          </w:tcPr>
          <w:p w14:paraId="5DC269AD" w14:textId="77777777" w:rsidR="004177A6" w:rsidRPr="00996241" w:rsidRDefault="004177A6" w:rsidP="007C1B75">
            <w:pPr>
              <w:spacing w:after="60"/>
              <w:jc w:val="center"/>
              <w:rPr>
                <w:sz w:val="20"/>
              </w:rPr>
            </w:pPr>
            <w:r>
              <w:rPr>
                <w:sz w:val="20"/>
              </w:rPr>
              <w:t>Réfrigération</w:t>
            </w:r>
          </w:p>
        </w:tc>
        <w:tc>
          <w:tcPr>
            <w:tcW w:w="425" w:type="pct"/>
            <w:shd w:val="clear" w:color="auto" w:fill="auto"/>
            <w:vAlign w:val="center"/>
          </w:tcPr>
          <w:p w14:paraId="065CFD00" w14:textId="77777777" w:rsidR="004177A6" w:rsidRPr="00996241" w:rsidRDefault="004177A6" w:rsidP="007C1B75">
            <w:pPr>
              <w:spacing w:after="60"/>
              <w:jc w:val="center"/>
              <w:rPr>
                <w:sz w:val="20"/>
              </w:rPr>
            </w:pPr>
            <w:r>
              <w:rPr>
                <w:sz w:val="20"/>
              </w:rPr>
              <w:t>Solvants</w:t>
            </w:r>
          </w:p>
        </w:tc>
        <w:tc>
          <w:tcPr>
            <w:tcW w:w="655" w:type="pct"/>
            <w:shd w:val="clear" w:color="auto" w:fill="auto"/>
            <w:vAlign w:val="center"/>
          </w:tcPr>
          <w:p w14:paraId="386292BC" w14:textId="77777777" w:rsidR="004177A6" w:rsidRPr="00996241" w:rsidRDefault="004177A6" w:rsidP="007C1B75">
            <w:pPr>
              <w:spacing w:after="60"/>
              <w:jc w:val="center"/>
              <w:rPr>
                <w:sz w:val="20"/>
              </w:rPr>
            </w:pPr>
            <w:r>
              <w:rPr>
                <w:sz w:val="20"/>
              </w:rPr>
              <w:t>Agent de transformation</w:t>
            </w:r>
          </w:p>
        </w:tc>
        <w:tc>
          <w:tcPr>
            <w:tcW w:w="509" w:type="pct"/>
            <w:shd w:val="clear" w:color="auto" w:fill="auto"/>
            <w:vAlign w:val="center"/>
          </w:tcPr>
          <w:p w14:paraId="38A416CE" w14:textId="77777777" w:rsidR="004177A6" w:rsidRPr="00996241" w:rsidRDefault="004177A6" w:rsidP="007C1B75">
            <w:pPr>
              <w:spacing w:after="60"/>
              <w:jc w:val="center"/>
              <w:rPr>
                <w:sz w:val="20"/>
              </w:rPr>
            </w:pPr>
            <w:r>
              <w:rPr>
                <w:sz w:val="20"/>
              </w:rPr>
              <w:t>Utilisation en laboratoire</w:t>
            </w:r>
          </w:p>
        </w:tc>
        <w:tc>
          <w:tcPr>
            <w:tcW w:w="676" w:type="pct"/>
            <w:shd w:val="clear" w:color="auto" w:fill="auto"/>
            <w:vAlign w:val="center"/>
          </w:tcPr>
          <w:p w14:paraId="0A0BB4E1" w14:textId="77777777" w:rsidR="004177A6" w:rsidRPr="00996241" w:rsidRDefault="004177A6" w:rsidP="007C1B75">
            <w:pPr>
              <w:spacing w:after="60"/>
              <w:jc w:val="center"/>
              <w:rPr>
                <w:sz w:val="20"/>
              </w:rPr>
            </w:pPr>
            <w:r>
              <w:rPr>
                <w:sz w:val="20"/>
              </w:rPr>
              <w:t>Consommation totale du secteur</w:t>
            </w:r>
          </w:p>
        </w:tc>
      </w:tr>
      <w:tr w:rsidR="004177A6" w:rsidRPr="00EB31E3" w14:paraId="689FBBA2" w14:textId="77777777" w:rsidTr="007733A1">
        <w:trPr>
          <w:trHeight w:val="71"/>
        </w:trPr>
        <w:tc>
          <w:tcPr>
            <w:tcW w:w="1759" w:type="pct"/>
            <w:gridSpan w:val="4"/>
            <w:shd w:val="clear" w:color="auto" w:fill="auto"/>
            <w:vAlign w:val="center"/>
          </w:tcPr>
          <w:p w14:paraId="345DC655" w14:textId="37E0DFE9" w:rsidR="004177A6" w:rsidRPr="009931F4" w:rsidRDefault="004177A6" w:rsidP="007C1B75">
            <w:pPr>
              <w:spacing w:after="60"/>
              <w:jc w:val="center"/>
              <w:rPr>
                <w:sz w:val="20"/>
              </w:rPr>
            </w:pPr>
          </w:p>
        </w:tc>
        <w:tc>
          <w:tcPr>
            <w:tcW w:w="529" w:type="pct"/>
            <w:shd w:val="clear" w:color="auto" w:fill="auto"/>
            <w:vAlign w:val="center"/>
          </w:tcPr>
          <w:p w14:paraId="0C8E7031" w14:textId="77777777" w:rsidR="004177A6" w:rsidRPr="00996241" w:rsidRDefault="004177A6" w:rsidP="007C1B75">
            <w:pPr>
              <w:spacing w:after="60"/>
              <w:jc w:val="center"/>
              <w:rPr>
                <w:sz w:val="20"/>
              </w:rPr>
            </w:pPr>
            <w:r>
              <w:rPr>
                <w:sz w:val="20"/>
              </w:rPr>
              <w:t>Fabrication</w:t>
            </w:r>
          </w:p>
        </w:tc>
        <w:tc>
          <w:tcPr>
            <w:tcW w:w="446" w:type="pct"/>
            <w:shd w:val="clear" w:color="auto" w:fill="auto"/>
            <w:vAlign w:val="center"/>
          </w:tcPr>
          <w:p w14:paraId="4F72BBF3" w14:textId="77777777" w:rsidR="004177A6" w:rsidRPr="00996241" w:rsidRDefault="004177A6" w:rsidP="007C1B75">
            <w:pPr>
              <w:spacing w:after="60"/>
              <w:jc w:val="center"/>
              <w:rPr>
                <w:sz w:val="20"/>
              </w:rPr>
            </w:pPr>
            <w:r>
              <w:rPr>
                <w:sz w:val="20"/>
              </w:rPr>
              <w:t>Entretien</w:t>
            </w:r>
          </w:p>
        </w:tc>
        <w:tc>
          <w:tcPr>
            <w:tcW w:w="2265" w:type="pct"/>
            <w:gridSpan w:val="4"/>
            <w:shd w:val="clear" w:color="auto" w:fill="auto"/>
            <w:vAlign w:val="center"/>
          </w:tcPr>
          <w:p w14:paraId="7FA1434C" w14:textId="77777777" w:rsidR="004177A6" w:rsidRPr="00996241" w:rsidRDefault="004177A6" w:rsidP="007C1B75">
            <w:pPr>
              <w:spacing w:after="60"/>
              <w:jc w:val="center"/>
              <w:rPr>
                <w:sz w:val="20"/>
              </w:rPr>
            </w:pPr>
          </w:p>
        </w:tc>
      </w:tr>
      <w:tr w:rsidR="004177A6" w:rsidRPr="00EB31E3" w14:paraId="1B8EE2A8" w14:textId="77777777" w:rsidTr="007733A1">
        <w:trPr>
          <w:trHeight w:val="254"/>
        </w:trPr>
        <w:tc>
          <w:tcPr>
            <w:tcW w:w="488" w:type="pct"/>
            <w:shd w:val="clear" w:color="auto" w:fill="auto"/>
          </w:tcPr>
          <w:p w14:paraId="52EE2DF6" w14:textId="77777777" w:rsidR="004177A6" w:rsidRPr="009931F4" w:rsidRDefault="004177A6" w:rsidP="009D02B5">
            <w:pPr>
              <w:spacing w:after="60"/>
              <w:jc w:val="left"/>
              <w:rPr>
                <w:sz w:val="20"/>
              </w:rPr>
            </w:pPr>
            <w:r>
              <w:rPr>
                <w:color w:val="000000" w:themeColor="text1"/>
                <w:sz w:val="20"/>
              </w:rPr>
              <w:t>HCFC-22</w:t>
            </w:r>
          </w:p>
        </w:tc>
        <w:tc>
          <w:tcPr>
            <w:tcW w:w="399" w:type="pct"/>
            <w:shd w:val="clear" w:color="auto" w:fill="auto"/>
          </w:tcPr>
          <w:p w14:paraId="166616BA" w14:textId="77777777" w:rsidR="004177A6" w:rsidRPr="00996241" w:rsidRDefault="004177A6" w:rsidP="009D02B5">
            <w:pPr>
              <w:spacing w:after="60"/>
              <w:jc w:val="right"/>
              <w:rPr>
                <w:sz w:val="20"/>
              </w:rPr>
            </w:pPr>
          </w:p>
        </w:tc>
        <w:tc>
          <w:tcPr>
            <w:tcW w:w="394" w:type="pct"/>
            <w:shd w:val="clear" w:color="auto" w:fill="auto"/>
          </w:tcPr>
          <w:p w14:paraId="6582A7AC" w14:textId="77777777" w:rsidR="004177A6" w:rsidRPr="00996241" w:rsidRDefault="004177A6" w:rsidP="009D02B5">
            <w:pPr>
              <w:spacing w:after="60"/>
              <w:jc w:val="right"/>
              <w:rPr>
                <w:sz w:val="20"/>
              </w:rPr>
            </w:pPr>
          </w:p>
        </w:tc>
        <w:tc>
          <w:tcPr>
            <w:tcW w:w="477" w:type="pct"/>
            <w:shd w:val="clear" w:color="auto" w:fill="auto"/>
          </w:tcPr>
          <w:p w14:paraId="606763F9" w14:textId="77777777" w:rsidR="004177A6" w:rsidRPr="00996241" w:rsidRDefault="004177A6" w:rsidP="009D02B5">
            <w:pPr>
              <w:spacing w:after="60"/>
              <w:jc w:val="right"/>
              <w:rPr>
                <w:sz w:val="20"/>
              </w:rPr>
            </w:pPr>
          </w:p>
        </w:tc>
        <w:tc>
          <w:tcPr>
            <w:tcW w:w="529" w:type="pct"/>
            <w:shd w:val="clear" w:color="auto" w:fill="auto"/>
          </w:tcPr>
          <w:p w14:paraId="79733646" w14:textId="6A5AE09B" w:rsidR="004177A6" w:rsidRPr="00996241" w:rsidRDefault="001D7232" w:rsidP="00BF33B4">
            <w:pPr>
              <w:spacing w:after="60"/>
              <w:jc w:val="center"/>
              <w:rPr>
                <w:sz w:val="20"/>
              </w:rPr>
            </w:pPr>
            <w:r>
              <w:rPr>
                <w:sz w:val="20"/>
              </w:rPr>
              <w:t>125,50</w:t>
            </w:r>
          </w:p>
        </w:tc>
        <w:tc>
          <w:tcPr>
            <w:tcW w:w="446" w:type="pct"/>
            <w:shd w:val="clear" w:color="auto" w:fill="auto"/>
          </w:tcPr>
          <w:p w14:paraId="53F60E12" w14:textId="6D442A92" w:rsidR="004177A6" w:rsidRPr="00996241" w:rsidRDefault="00F7056B" w:rsidP="009D02B5">
            <w:pPr>
              <w:spacing w:after="60"/>
              <w:jc w:val="right"/>
              <w:rPr>
                <w:sz w:val="20"/>
              </w:rPr>
            </w:pPr>
            <w:r>
              <w:rPr>
                <w:sz w:val="20"/>
              </w:rPr>
              <w:t>572,10</w:t>
            </w:r>
          </w:p>
        </w:tc>
        <w:tc>
          <w:tcPr>
            <w:tcW w:w="425" w:type="pct"/>
            <w:shd w:val="clear" w:color="auto" w:fill="auto"/>
          </w:tcPr>
          <w:p w14:paraId="21869F15" w14:textId="77777777" w:rsidR="004177A6" w:rsidRPr="00996241" w:rsidRDefault="004177A6" w:rsidP="009D02B5">
            <w:pPr>
              <w:spacing w:after="60"/>
              <w:jc w:val="right"/>
              <w:rPr>
                <w:sz w:val="20"/>
              </w:rPr>
            </w:pPr>
          </w:p>
        </w:tc>
        <w:tc>
          <w:tcPr>
            <w:tcW w:w="655" w:type="pct"/>
            <w:shd w:val="clear" w:color="auto" w:fill="auto"/>
          </w:tcPr>
          <w:p w14:paraId="4491BA9A" w14:textId="77777777" w:rsidR="004177A6" w:rsidRPr="00996241" w:rsidRDefault="004177A6" w:rsidP="009D02B5">
            <w:pPr>
              <w:spacing w:after="60"/>
              <w:jc w:val="right"/>
              <w:rPr>
                <w:sz w:val="20"/>
              </w:rPr>
            </w:pPr>
          </w:p>
        </w:tc>
        <w:tc>
          <w:tcPr>
            <w:tcW w:w="509" w:type="pct"/>
            <w:shd w:val="clear" w:color="auto" w:fill="auto"/>
          </w:tcPr>
          <w:p w14:paraId="25B074D9" w14:textId="77777777" w:rsidR="004177A6" w:rsidRPr="00996241" w:rsidRDefault="004177A6" w:rsidP="009D02B5">
            <w:pPr>
              <w:spacing w:after="60"/>
              <w:jc w:val="right"/>
              <w:rPr>
                <w:sz w:val="20"/>
              </w:rPr>
            </w:pPr>
          </w:p>
        </w:tc>
        <w:tc>
          <w:tcPr>
            <w:tcW w:w="676" w:type="pct"/>
            <w:shd w:val="clear" w:color="auto" w:fill="auto"/>
          </w:tcPr>
          <w:p w14:paraId="7D7F6692" w14:textId="62F8313D" w:rsidR="004177A6" w:rsidRPr="00996241" w:rsidRDefault="007C696C" w:rsidP="009D02B5">
            <w:pPr>
              <w:spacing w:after="60"/>
              <w:jc w:val="right"/>
              <w:rPr>
                <w:sz w:val="20"/>
              </w:rPr>
            </w:pPr>
            <w:r>
              <w:rPr>
                <w:color w:val="000000" w:themeColor="text1"/>
                <w:sz w:val="20"/>
              </w:rPr>
              <w:t>697,60</w:t>
            </w:r>
          </w:p>
        </w:tc>
      </w:tr>
    </w:tbl>
    <w:p w14:paraId="263B068F" w14:textId="77777777" w:rsidR="004177A6" w:rsidRPr="001F4E08" w:rsidRDefault="004177A6" w:rsidP="004177A6">
      <w:pPr>
        <w:jc w:val="center"/>
        <w:rPr>
          <w:sz w:val="18"/>
          <w:szCs w:val="18"/>
        </w:rPr>
      </w:pPr>
    </w:p>
    <w:tbl>
      <w:tblPr>
        <w:tblStyle w:val="TableGrid"/>
        <w:tblW w:w="5741" w:type="pct"/>
        <w:tblInd w:w="-635" w:type="dxa"/>
        <w:tblLook w:val="04A0" w:firstRow="1" w:lastRow="0" w:firstColumn="1" w:lastColumn="0" w:noHBand="0" w:noVBand="1"/>
      </w:tblPr>
      <w:tblGrid>
        <w:gridCol w:w="2899"/>
        <w:gridCol w:w="1741"/>
        <w:gridCol w:w="4672"/>
        <w:gridCol w:w="1424"/>
      </w:tblGrid>
      <w:tr w:rsidR="004177A6" w:rsidRPr="00EB31E3" w14:paraId="1D0BADC9" w14:textId="77777777" w:rsidTr="007733A1">
        <w:trPr>
          <w:trHeight w:val="268"/>
        </w:trPr>
        <w:tc>
          <w:tcPr>
            <w:tcW w:w="5000" w:type="pct"/>
            <w:gridSpan w:val="4"/>
            <w:shd w:val="clear" w:color="auto" w:fill="auto"/>
          </w:tcPr>
          <w:p w14:paraId="41776933" w14:textId="77777777" w:rsidR="004177A6" w:rsidRPr="00996241" w:rsidRDefault="004177A6" w:rsidP="009D02B5">
            <w:pPr>
              <w:jc w:val="left"/>
              <w:rPr>
                <w:b/>
                <w:sz w:val="20"/>
              </w:rPr>
            </w:pPr>
            <w:r>
              <w:rPr>
                <w:b/>
                <w:sz w:val="20"/>
              </w:rPr>
              <w:t>(IV) DONNÉES SUR LA CONSOMMATION (tonnes PAO)</w:t>
            </w:r>
          </w:p>
        </w:tc>
      </w:tr>
      <w:tr w:rsidR="004177A6" w:rsidRPr="00EB31E3" w14:paraId="04858F07" w14:textId="77777777" w:rsidTr="007733A1">
        <w:trPr>
          <w:trHeight w:val="268"/>
        </w:trPr>
        <w:tc>
          <w:tcPr>
            <w:tcW w:w="1350" w:type="pct"/>
            <w:shd w:val="clear" w:color="auto" w:fill="auto"/>
          </w:tcPr>
          <w:p w14:paraId="6416ACD8" w14:textId="77777777" w:rsidR="004177A6" w:rsidRPr="009931F4" w:rsidRDefault="004177A6" w:rsidP="009D02B5">
            <w:pPr>
              <w:spacing w:after="60"/>
              <w:jc w:val="center"/>
              <w:rPr>
                <w:sz w:val="20"/>
              </w:rPr>
            </w:pPr>
            <w:r>
              <w:rPr>
                <w:sz w:val="20"/>
              </w:rPr>
              <w:t>Référence de 2009–2010 :</w:t>
            </w:r>
          </w:p>
        </w:tc>
        <w:tc>
          <w:tcPr>
            <w:tcW w:w="811" w:type="pct"/>
            <w:shd w:val="clear" w:color="auto" w:fill="auto"/>
          </w:tcPr>
          <w:p w14:paraId="54F1B67B" w14:textId="3BFAFC07" w:rsidR="004177A6" w:rsidRPr="00996241" w:rsidRDefault="0047438D" w:rsidP="009D02B5">
            <w:pPr>
              <w:spacing w:after="60"/>
              <w:jc w:val="right"/>
              <w:rPr>
                <w:sz w:val="20"/>
              </w:rPr>
            </w:pPr>
            <w:r>
              <w:rPr>
                <w:color w:val="000000" w:themeColor="text1"/>
                <w:sz w:val="20"/>
              </w:rPr>
              <w:t>1 468,7</w:t>
            </w:r>
          </w:p>
        </w:tc>
        <w:tc>
          <w:tcPr>
            <w:tcW w:w="2176" w:type="pct"/>
            <w:shd w:val="clear" w:color="auto" w:fill="auto"/>
          </w:tcPr>
          <w:p w14:paraId="57F2689F" w14:textId="77777777" w:rsidR="004177A6" w:rsidRPr="00996241" w:rsidRDefault="004177A6" w:rsidP="009D02B5">
            <w:pPr>
              <w:spacing w:after="60"/>
              <w:jc w:val="center"/>
              <w:rPr>
                <w:sz w:val="20"/>
              </w:rPr>
            </w:pPr>
            <w:r>
              <w:rPr>
                <w:sz w:val="20"/>
              </w:rPr>
              <w:t>Point de départ des réductions globales durables :</w:t>
            </w:r>
          </w:p>
        </w:tc>
        <w:tc>
          <w:tcPr>
            <w:tcW w:w="663" w:type="pct"/>
            <w:shd w:val="clear" w:color="auto" w:fill="auto"/>
          </w:tcPr>
          <w:p w14:paraId="09A470BC" w14:textId="543BA4E5" w:rsidR="004177A6" w:rsidRPr="00996241" w:rsidRDefault="00162565" w:rsidP="009D02B5">
            <w:pPr>
              <w:spacing w:after="60"/>
              <w:jc w:val="right"/>
              <w:rPr>
                <w:sz w:val="20"/>
              </w:rPr>
            </w:pPr>
            <w:r>
              <w:rPr>
                <w:color w:val="000000" w:themeColor="text1"/>
                <w:sz w:val="20"/>
              </w:rPr>
              <w:t>1 468,7</w:t>
            </w:r>
          </w:p>
        </w:tc>
      </w:tr>
      <w:tr w:rsidR="004177A6" w:rsidRPr="00EB31E3" w14:paraId="51D17A6D" w14:textId="77777777" w:rsidTr="007733A1">
        <w:trPr>
          <w:trHeight w:val="160"/>
        </w:trPr>
        <w:tc>
          <w:tcPr>
            <w:tcW w:w="5000" w:type="pct"/>
            <w:gridSpan w:val="4"/>
            <w:shd w:val="clear" w:color="auto" w:fill="auto"/>
          </w:tcPr>
          <w:p w14:paraId="12CCB1E6" w14:textId="77777777" w:rsidR="004177A6" w:rsidRPr="009931F4" w:rsidRDefault="004177A6" w:rsidP="007C1B75">
            <w:pPr>
              <w:tabs>
                <w:tab w:val="left" w:pos="993"/>
              </w:tabs>
              <w:ind w:left="426"/>
              <w:jc w:val="left"/>
              <w:rPr>
                <w:b/>
                <w:sz w:val="20"/>
              </w:rPr>
            </w:pPr>
            <w:r>
              <w:rPr>
                <w:b/>
                <w:sz w:val="20"/>
              </w:rPr>
              <w:t>CONSOMMATION RESTANTE ADMISSIBLE AU FINANCEMENT</w:t>
            </w:r>
          </w:p>
        </w:tc>
      </w:tr>
      <w:tr w:rsidR="004177A6" w:rsidRPr="00EB31E3" w14:paraId="08ECBB50" w14:textId="77777777" w:rsidTr="007733A1">
        <w:trPr>
          <w:trHeight w:val="268"/>
        </w:trPr>
        <w:tc>
          <w:tcPr>
            <w:tcW w:w="1350" w:type="pct"/>
            <w:shd w:val="clear" w:color="auto" w:fill="auto"/>
          </w:tcPr>
          <w:p w14:paraId="6C529870" w14:textId="77777777" w:rsidR="004177A6" w:rsidRPr="009931F4" w:rsidRDefault="004177A6" w:rsidP="009D02B5">
            <w:pPr>
              <w:spacing w:after="60"/>
              <w:jc w:val="center"/>
              <w:rPr>
                <w:sz w:val="20"/>
              </w:rPr>
            </w:pPr>
            <w:r>
              <w:rPr>
                <w:sz w:val="20"/>
              </w:rPr>
              <w:t>Déjà approuvée :</w:t>
            </w:r>
          </w:p>
        </w:tc>
        <w:tc>
          <w:tcPr>
            <w:tcW w:w="811" w:type="pct"/>
            <w:shd w:val="clear" w:color="auto" w:fill="auto"/>
          </w:tcPr>
          <w:p w14:paraId="37AEEFA8" w14:textId="41E217B9" w:rsidR="004177A6" w:rsidRPr="00996241" w:rsidRDefault="00162565" w:rsidP="009D02B5">
            <w:pPr>
              <w:spacing w:after="60"/>
              <w:jc w:val="right"/>
              <w:rPr>
                <w:sz w:val="20"/>
              </w:rPr>
            </w:pPr>
            <w:r>
              <w:rPr>
                <w:color w:val="000000" w:themeColor="text1"/>
                <w:sz w:val="20"/>
              </w:rPr>
              <w:t>703,29</w:t>
            </w:r>
          </w:p>
        </w:tc>
        <w:tc>
          <w:tcPr>
            <w:tcW w:w="2176" w:type="pct"/>
            <w:shd w:val="clear" w:color="auto" w:fill="auto"/>
          </w:tcPr>
          <w:p w14:paraId="4D2CDA52" w14:textId="77777777" w:rsidR="004177A6" w:rsidRPr="00996241" w:rsidRDefault="004177A6" w:rsidP="009D02B5">
            <w:pPr>
              <w:spacing w:after="60"/>
              <w:jc w:val="center"/>
              <w:rPr>
                <w:sz w:val="20"/>
              </w:rPr>
            </w:pPr>
            <w:r>
              <w:rPr>
                <w:sz w:val="20"/>
              </w:rPr>
              <w:t>Restante :</w:t>
            </w:r>
          </w:p>
        </w:tc>
        <w:tc>
          <w:tcPr>
            <w:tcW w:w="663" w:type="pct"/>
            <w:shd w:val="clear" w:color="auto" w:fill="auto"/>
          </w:tcPr>
          <w:p w14:paraId="4CC050E8" w14:textId="62167FB1" w:rsidR="004177A6" w:rsidRPr="00996241" w:rsidRDefault="00162565" w:rsidP="009D02B5">
            <w:pPr>
              <w:spacing w:after="60"/>
              <w:jc w:val="right"/>
              <w:rPr>
                <w:sz w:val="20"/>
              </w:rPr>
            </w:pPr>
            <w:r>
              <w:rPr>
                <w:color w:val="000000" w:themeColor="text1"/>
                <w:sz w:val="20"/>
              </w:rPr>
              <w:t>765,41</w:t>
            </w:r>
          </w:p>
        </w:tc>
      </w:tr>
    </w:tbl>
    <w:p w14:paraId="7CDA962B" w14:textId="77777777" w:rsidR="004177A6" w:rsidRPr="001F4E08" w:rsidRDefault="004177A6" w:rsidP="004177A6">
      <w:pPr>
        <w:jc w:val="center"/>
        <w:rPr>
          <w:sz w:val="18"/>
          <w:szCs w:val="18"/>
        </w:rPr>
      </w:pPr>
    </w:p>
    <w:tbl>
      <w:tblPr>
        <w:tblStyle w:val="TableGrid"/>
        <w:tblW w:w="5788" w:type="pct"/>
        <w:tblInd w:w="-725" w:type="dxa"/>
        <w:tblLook w:val="04A0" w:firstRow="1" w:lastRow="0" w:firstColumn="1" w:lastColumn="0" w:noHBand="0" w:noVBand="1"/>
      </w:tblPr>
      <w:tblGrid>
        <w:gridCol w:w="1257"/>
        <w:gridCol w:w="3647"/>
        <w:gridCol w:w="1403"/>
        <w:gridCol w:w="1507"/>
        <w:gridCol w:w="1505"/>
        <w:gridCol w:w="1505"/>
      </w:tblGrid>
      <w:tr w:rsidR="004177A6" w:rsidRPr="00EB31E3" w14:paraId="4700A0A8" w14:textId="77777777" w:rsidTr="007733A1">
        <w:trPr>
          <w:trHeight w:val="258"/>
        </w:trPr>
        <w:tc>
          <w:tcPr>
            <w:tcW w:w="2265" w:type="pct"/>
            <w:gridSpan w:val="2"/>
            <w:shd w:val="clear" w:color="auto" w:fill="auto"/>
            <w:vAlign w:val="center"/>
          </w:tcPr>
          <w:p w14:paraId="68BFF2F8" w14:textId="48A6F6BB" w:rsidR="004177A6" w:rsidRPr="00996241" w:rsidRDefault="004177A6" w:rsidP="009D02B5">
            <w:pPr>
              <w:spacing w:after="60"/>
              <w:jc w:val="left"/>
              <w:rPr>
                <w:b/>
                <w:sz w:val="20"/>
              </w:rPr>
            </w:pPr>
            <w:r>
              <w:rPr>
                <w:b/>
                <w:sz w:val="20"/>
              </w:rPr>
              <w:t>(V) PLAN D’ACTIVITÉS APPROUVÉ</w:t>
            </w:r>
          </w:p>
        </w:tc>
        <w:tc>
          <w:tcPr>
            <w:tcW w:w="648" w:type="pct"/>
            <w:vAlign w:val="center"/>
          </w:tcPr>
          <w:p w14:paraId="26D8FDF8" w14:textId="4B96EC18" w:rsidR="004177A6" w:rsidRPr="00996241" w:rsidRDefault="004177A6" w:rsidP="009D02B5">
            <w:pPr>
              <w:spacing w:after="60"/>
              <w:jc w:val="center"/>
              <w:rPr>
                <w:b/>
                <w:sz w:val="20"/>
              </w:rPr>
            </w:pPr>
            <w:r>
              <w:rPr>
                <w:b/>
                <w:sz w:val="20"/>
              </w:rPr>
              <w:t>2024</w:t>
            </w:r>
          </w:p>
        </w:tc>
        <w:tc>
          <w:tcPr>
            <w:tcW w:w="696" w:type="pct"/>
            <w:vAlign w:val="center"/>
          </w:tcPr>
          <w:p w14:paraId="6D93DFD1" w14:textId="093D9045" w:rsidR="004177A6" w:rsidRPr="00996241" w:rsidRDefault="004177A6" w:rsidP="009D02B5">
            <w:pPr>
              <w:spacing w:after="60"/>
              <w:jc w:val="center"/>
              <w:rPr>
                <w:b/>
                <w:sz w:val="20"/>
              </w:rPr>
            </w:pPr>
            <w:r>
              <w:rPr>
                <w:b/>
                <w:sz w:val="20"/>
              </w:rPr>
              <w:t>2025</w:t>
            </w:r>
          </w:p>
        </w:tc>
        <w:tc>
          <w:tcPr>
            <w:tcW w:w="695" w:type="pct"/>
            <w:vAlign w:val="center"/>
          </w:tcPr>
          <w:p w14:paraId="5CFE5520" w14:textId="695334F5" w:rsidR="004177A6" w:rsidRPr="00996241" w:rsidRDefault="004177A6" w:rsidP="009D02B5">
            <w:pPr>
              <w:spacing w:after="60"/>
              <w:jc w:val="center"/>
              <w:rPr>
                <w:b/>
                <w:sz w:val="20"/>
              </w:rPr>
            </w:pPr>
            <w:r>
              <w:rPr>
                <w:b/>
                <w:sz w:val="20"/>
              </w:rPr>
              <w:t>2026</w:t>
            </w:r>
          </w:p>
        </w:tc>
        <w:tc>
          <w:tcPr>
            <w:tcW w:w="695" w:type="pct"/>
            <w:shd w:val="clear" w:color="auto" w:fill="auto"/>
            <w:vAlign w:val="center"/>
          </w:tcPr>
          <w:p w14:paraId="2414A4BD" w14:textId="77777777" w:rsidR="004177A6" w:rsidRPr="00996241" w:rsidRDefault="004177A6" w:rsidP="009D02B5">
            <w:pPr>
              <w:spacing w:after="60"/>
              <w:jc w:val="center"/>
              <w:rPr>
                <w:b/>
                <w:sz w:val="20"/>
              </w:rPr>
            </w:pPr>
            <w:r>
              <w:rPr>
                <w:b/>
                <w:sz w:val="20"/>
              </w:rPr>
              <w:t>Total</w:t>
            </w:r>
          </w:p>
        </w:tc>
      </w:tr>
      <w:tr w:rsidR="004177A6" w:rsidRPr="00EB31E3" w14:paraId="67EE375E" w14:textId="77777777" w:rsidTr="007733A1">
        <w:trPr>
          <w:trHeight w:val="258"/>
        </w:trPr>
        <w:tc>
          <w:tcPr>
            <w:tcW w:w="581" w:type="pct"/>
            <w:vMerge w:val="restart"/>
            <w:shd w:val="clear" w:color="auto" w:fill="auto"/>
            <w:vAlign w:val="center"/>
          </w:tcPr>
          <w:p w14:paraId="7E201722" w14:textId="61776B6B" w:rsidR="004177A6" w:rsidRPr="00996241" w:rsidRDefault="00DF0D1A" w:rsidP="009D02B5">
            <w:pPr>
              <w:spacing w:after="60"/>
              <w:jc w:val="center"/>
              <w:rPr>
                <w:sz w:val="20"/>
              </w:rPr>
            </w:pPr>
            <w:r>
              <w:rPr>
                <w:color w:val="000000" w:themeColor="text1"/>
                <w:sz w:val="20"/>
              </w:rPr>
              <w:t>ONUDI</w:t>
            </w:r>
          </w:p>
        </w:tc>
        <w:tc>
          <w:tcPr>
            <w:tcW w:w="1685" w:type="pct"/>
            <w:shd w:val="clear" w:color="auto" w:fill="auto"/>
          </w:tcPr>
          <w:p w14:paraId="302465D8" w14:textId="77777777" w:rsidR="004177A6" w:rsidRPr="00996241" w:rsidRDefault="004177A6" w:rsidP="009D02B5">
            <w:pPr>
              <w:spacing w:after="60"/>
              <w:jc w:val="left"/>
              <w:rPr>
                <w:sz w:val="20"/>
              </w:rPr>
            </w:pPr>
            <w:r>
              <w:rPr>
                <w:sz w:val="20"/>
              </w:rPr>
              <w:t>Élimination des SAO (tonnes PAO)</w:t>
            </w:r>
          </w:p>
        </w:tc>
        <w:tc>
          <w:tcPr>
            <w:tcW w:w="648" w:type="pct"/>
            <w:shd w:val="clear" w:color="auto" w:fill="auto"/>
          </w:tcPr>
          <w:p w14:paraId="7F63D7EC" w14:textId="1FEDFE62" w:rsidR="004177A6" w:rsidRPr="00996241" w:rsidRDefault="002D55B7" w:rsidP="009D02B5">
            <w:pPr>
              <w:spacing w:after="60"/>
              <w:jc w:val="right"/>
              <w:rPr>
                <w:sz w:val="20"/>
              </w:rPr>
            </w:pPr>
            <w:r>
              <w:rPr>
                <w:sz w:val="20"/>
              </w:rPr>
              <w:t>12,00</w:t>
            </w:r>
          </w:p>
        </w:tc>
        <w:tc>
          <w:tcPr>
            <w:tcW w:w="696" w:type="pct"/>
          </w:tcPr>
          <w:p w14:paraId="345F6B60" w14:textId="021AD058" w:rsidR="004177A6" w:rsidRPr="00996241" w:rsidRDefault="00D368F9" w:rsidP="009D02B5">
            <w:pPr>
              <w:spacing w:after="60"/>
              <w:jc w:val="right"/>
              <w:rPr>
                <w:sz w:val="20"/>
              </w:rPr>
            </w:pPr>
            <w:r>
              <w:rPr>
                <w:sz w:val="20"/>
              </w:rPr>
              <w:t>30,65</w:t>
            </w:r>
          </w:p>
        </w:tc>
        <w:tc>
          <w:tcPr>
            <w:tcW w:w="695" w:type="pct"/>
            <w:shd w:val="clear" w:color="auto" w:fill="auto"/>
          </w:tcPr>
          <w:p w14:paraId="4BA7186B" w14:textId="6A1EB714" w:rsidR="004177A6" w:rsidRPr="00996241" w:rsidRDefault="00FC7A07" w:rsidP="009D02B5">
            <w:pPr>
              <w:spacing w:after="60"/>
              <w:jc w:val="right"/>
              <w:rPr>
                <w:sz w:val="20"/>
              </w:rPr>
            </w:pPr>
            <w:r>
              <w:rPr>
                <w:sz w:val="20"/>
              </w:rPr>
              <w:t>59,00</w:t>
            </w:r>
          </w:p>
        </w:tc>
        <w:tc>
          <w:tcPr>
            <w:tcW w:w="695" w:type="pct"/>
            <w:shd w:val="clear" w:color="auto" w:fill="auto"/>
          </w:tcPr>
          <w:p w14:paraId="646092D7" w14:textId="2985DEA7" w:rsidR="004177A6" w:rsidRPr="006B525D" w:rsidRDefault="00683915" w:rsidP="009D02B5">
            <w:pPr>
              <w:spacing w:after="60"/>
              <w:jc w:val="right"/>
              <w:rPr>
                <w:sz w:val="20"/>
              </w:rPr>
            </w:pPr>
            <w:r>
              <w:rPr>
                <w:sz w:val="20"/>
              </w:rPr>
              <w:t>101,65</w:t>
            </w:r>
          </w:p>
        </w:tc>
      </w:tr>
      <w:tr w:rsidR="004177A6" w:rsidRPr="00EB31E3" w14:paraId="5B606A68" w14:textId="77777777" w:rsidTr="007733A1">
        <w:trPr>
          <w:trHeight w:val="258"/>
        </w:trPr>
        <w:tc>
          <w:tcPr>
            <w:tcW w:w="581" w:type="pct"/>
            <w:vMerge/>
            <w:shd w:val="clear" w:color="auto" w:fill="auto"/>
            <w:vAlign w:val="center"/>
          </w:tcPr>
          <w:p w14:paraId="38CEF541" w14:textId="77777777" w:rsidR="004177A6" w:rsidRPr="00996241" w:rsidRDefault="004177A6" w:rsidP="009D02B5">
            <w:pPr>
              <w:spacing w:after="60"/>
              <w:jc w:val="center"/>
              <w:rPr>
                <w:sz w:val="20"/>
              </w:rPr>
            </w:pPr>
          </w:p>
        </w:tc>
        <w:tc>
          <w:tcPr>
            <w:tcW w:w="1685" w:type="pct"/>
            <w:shd w:val="clear" w:color="auto" w:fill="auto"/>
          </w:tcPr>
          <w:p w14:paraId="76A38BDD" w14:textId="77777777" w:rsidR="004177A6" w:rsidRPr="00996241" w:rsidRDefault="004177A6" w:rsidP="009D02B5">
            <w:pPr>
              <w:spacing w:after="60"/>
              <w:jc w:val="left"/>
              <w:rPr>
                <w:sz w:val="20"/>
              </w:rPr>
            </w:pPr>
            <w:r>
              <w:rPr>
                <w:sz w:val="20"/>
              </w:rPr>
              <w:t>Financement ($ US)</w:t>
            </w:r>
          </w:p>
        </w:tc>
        <w:tc>
          <w:tcPr>
            <w:tcW w:w="648" w:type="pct"/>
            <w:shd w:val="clear" w:color="auto" w:fill="auto"/>
          </w:tcPr>
          <w:p w14:paraId="7B398189" w14:textId="0844BFDC" w:rsidR="004177A6" w:rsidRPr="00996241" w:rsidRDefault="00B50AE8" w:rsidP="009D02B5">
            <w:pPr>
              <w:spacing w:after="60"/>
              <w:jc w:val="right"/>
              <w:rPr>
                <w:sz w:val="20"/>
              </w:rPr>
            </w:pPr>
            <w:r>
              <w:rPr>
                <w:sz w:val="20"/>
              </w:rPr>
              <w:t>1 120 582</w:t>
            </w:r>
          </w:p>
        </w:tc>
        <w:tc>
          <w:tcPr>
            <w:tcW w:w="696" w:type="pct"/>
          </w:tcPr>
          <w:p w14:paraId="682B6678" w14:textId="6BE92433" w:rsidR="004177A6" w:rsidRPr="00996241" w:rsidRDefault="00D368F9" w:rsidP="009D02B5">
            <w:pPr>
              <w:spacing w:after="60"/>
              <w:jc w:val="right"/>
              <w:rPr>
                <w:sz w:val="20"/>
              </w:rPr>
            </w:pPr>
            <w:r>
              <w:rPr>
                <w:sz w:val="20"/>
              </w:rPr>
              <w:t>5 007 950</w:t>
            </w:r>
          </w:p>
        </w:tc>
        <w:tc>
          <w:tcPr>
            <w:tcW w:w="695" w:type="pct"/>
            <w:shd w:val="clear" w:color="auto" w:fill="auto"/>
          </w:tcPr>
          <w:p w14:paraId="6406F39E" w14:textId="37627287" w:rsidR="004177A6" w:rsidRPr="00996241" w:rsidRDefault="009B7E7D" w:rsidP="009D02B5">
            <w:pPr>
              <w:spacing w:after="60"/>
              <w:jc w:val="right"/>
              <w:rPr>
                <w:sz w:val="20"/>
              </w:rPr>
            </w:pPr>
            <w:r>
              <w:rPr>
                <w:sz w:val="20"/>
              </w:rPr>
              <w:t>5 509 714</w:t>
            </w:r>
          </w:p>
        </w:tc>
        <w:tc>
          <w:tcPr>
            <w:tcW w:w="695" w:type="pct"/>
            <w:shd w:val="clear" w:color="auto" w:fill="auto"/>
          </w:tcPr>
          <w:p w14:paraId="79BCCF0F" w14:textId="33C913A1" w:rsidR="004177A6" w:rsidRPr="00996241" w:rsidRDefault="003E6DF7" w:rsidP="009D02B5">
            <w:pPr>
              <w:spacing w:after="60"/>
              <w:jc w:val="right"/>
              <w:rPr>
                <w:sz w:val="20"/>
              </w:rPr>
            </w:pPr>
            <w:r>
              <w:rPr>
                <w:sz w:val="20"/>
              </w:rPr>
              <w:t>11 638 246</w:t>
            </w:r>
          </w:p>
        </w:tc>
      </w:tr>
      <w:tr w:rsidR="004177A6" w:rsidRPr="00EB31E3" w14:paraId="6913A7B6" w14:textId="77777777" w:rsidTr="007733A1">
        <w:trPr>
          <w:trHeight w:val="258"/>
        </w:trPr>
        <w:tc>
          <w:tcPr>
            <w:tcW w:w="581" w:type="pct"/>
            <w:vMerge w:val="restart"/>
            <w:shd w:val="clear" w:color="auto" w:fill="auto"/>
            <w:vAlign w:val="center"/>
          </w:tcPr>
          <w:p w14:paraId="1CDF10A5" w14:textId="1A29D6A8" w:rsidR="004177A6" w:rsidRPr="009931F4" w:rsidRDefault="00DF0D1A" w:rsidP="009D02B5">
            <w:pPr>
              <w:spacing w:after="60"/>
              <w:jc w:val="center"/>
              <w:rPr>
                <w:sz w:val="20"/>
              </w:rPr>
            </w:pPr>
            <w:r>
              <w:rPr>
                <w:color w:val="000000" w:themeColor="text1"/>
                <w:sz w:val="20"/>
              </w:rPr>
              <w:t>PNUE</w:t>
            </w:r>
          </w:p>
        </w:tc>
        <w:tc>
          <w:tcPr>
            <w:tcW w:w="1685" w:type="pct"/>
            <w:shd w:val="clear" w:color="auto" w:fill="auto"/>
          </w:tcPr>
          <w:p w14:paraId="348E3CE5" w14:textId="77777777" w:rsidR="004177A6" w:rsidRPr="00996241" w:rsidRDefault="004177A6" w:rsidP="009D02B5">
            <w:pPr>
              <w:spacing w:after="60"/>
              <w:jc w:val="left"/>
              <w:rPr>
                <w:sz w:val="20"/>
              </w:rPr>
            </w:pPr>
            <w:r>
              <w:rPr>
                <w:sz w:val="20"/>
              </w:rPr>
              <w:t>Élimination des SAO (tonnes PAO)</w:t>
            </w:r>
          </w:p>
        </w:tc>
        <w:tc>
          <w:tcPr>
            <w:tcW w:w="648" w:type="pct"/>
            <w:shd w:val="clear" w:color="auto" w:fill="auto"/>
          </w:tcPr>
          <w:p w14:paraId="4FC2E473" w14:textId="680D99D5" w:rsidR="004177A6" w:rsidRPr="00996241" w:rsidRDefault="002D55B7" w:rsidP="009D02B5">
            <w:pPr>
              <w:spacing w:after="60"/>
              <w:jc w:val="right"/>
              <w:rPr>
                <w:sz w:val="20"/>
              </w:rPr>
            </w:pPr>
            <w:r>
              <w:rPr>
                <w:sz w:val="20"/>
              </w:rPr>
              <w:t>0,00</w:t>
            </w:r>
          </w:p>
        </w:tc>
        <w:tc>
          <w:tcPr>
            <w:tcW w:w="696" w:type="pct"/>
          </w:tcPr>
          <w:p w14:paraId="02C2DFA8" w14:textId="639CE5DB" w:rsidR="004177A6" w:rsidRPr="00996241" w:rsidRDefault="00332137" w:rsidP="009D02B5">
            <w:pPr>
              <w:spacing w:after="60"/>
              <w:jc w:val="right"/>
              <w:rPr>
                <w:sz w:val="20"/>
              </w:rPr>
            </w:pPr>
            <w:r>
              <w:rPr>
                <w:sz w:val="20"/>
              </w:rPr>
              <w:t>0,00</w:t>
            </w:r>
          </w:p>
        </w:tc>
        <w:tc>
          <w:tcPr>
            <w:tcW w:w="695" w:type="pct"/>
            <w:shd w:val="clear" w:color="auto" w:fill="auto"/>
          </w:tcPr>
          <w:p w14:paraId="090AD546" w14:textId="732FF85B" w:rsidR="004177A6" w:rsidRPr="00996241" w:rsidRDefault="00683915" w:rsidP="009D02B5">
            <w:pPr>
              <w:spacing w:after="60"/>
              <w:jc w:val="right"/>
              <w:rPr>
                <w:sz w:val="20"/>
              </w:rPr>
            </w:pPr>
            <w:r>
              <w:rPr>
                <w:sz w:val="20"/>
              </w:rPr>
              <w:t>0,00</w:t>
            </w:r>
          </w:p>
        </w:tc>
        <w:tc>
          <w:tcPr>
            <w:tcW w:w="695" w:type="pct"/>
            <w:shd w:val="clear" w:color="auto" w:fill="auto"/>
          </w:tcPr>
          <w:p w14:paraId="7FA49C78" w14:textId="3D4AA997" w:rsidR="004177A6" w:rsidRPr="00996241" w:rsidRDefault="003E6DF7" w:rsidP="009D02B5">
            <w:pPr>
              <w:spacing w:after="60"/>
              <w:jc w:val="right"/>
              <w:rPr>
                <w:sz w:val="20"/>
              </w:rPr>
            </w:pPr>
            <w:r>
              <w:rPr>
                <w:sz w:val="20"/>
              </w:rPr>
              <w:t>0,00</w:t>
            </w:r>
          </w:p>
        </w:tc>
      </w:tr>
      <w:tr w:rsidR="004177A6" w:rsidRPr="00EB31E3" w14:paraId="5EE7DAB9" w14:textId="77777777" w:rsidTr="007733A1">
        <w:trPr>
          <w:trHeight w:val="258"/>
        </w:trPr>
        <w:tc>
          <w:tcPr>
            <w:tcW w:w="581" w:type="pct"/>
            <w:vMerge/>
            <w:shd w:val="clear" w:color="auto" w:fill="auto"/>
          </w:tcPr>
          <w:p w14:paraId="3215D30D" w14:textId="77777777" w:rsidR="004177A6" w:rsidRPr="00996241" w:rsidRDefault="004177A6" w:rsidP="009D02B5">
            <w:pPr>
              <w:spacing w:after="60"/>
              <w:jc w:val="center"/>
              <w:rPr>
                <w:sz w:val="20"/>
              </w:rPr>
            </w:pPr>
          </w:p>
        </w:tc>
        <w:tc>
          <w:tcPr>
            <w:tcW w:w="1685" w:type="pct"/>
            <w:shd w:val="clear" w:color="auto" w:fill="auto"/>
          </w:tcPr>
          <w:p w14:paraId="0A4E5CB6" w14:textId="77777777" w:rsidR="004177A6" w:rsidRPr="00996241" w:rsidRDefault="004177A6" w:rsidP="009D02B5">
            <w:pPr>
              <w:spacing w:after="60"/>
              <w:jc w:val="left"/>
              <w:rPr>
                <w:sz w:val="20"/>
              </w:rPr>
            </w:pPr>
            <w:r>
              <w:rPr>
                <w:sz w:val="20"/>
              </w:rPr>
              <w:t>Financement ($ US)</w:t>
            </w:r>
          </w:p>
        </w:tc>
        <w:tc>
          <w:tcPr>
            <w:tcW w:w="648" w:type="pct"/>
            <w:shd w:val="clear" w:color="auto" w:fill="auto"/>
          </w:tcPr>
          <w:p w14:paraId="7B47746D" w14:textId="63AC3022" w:rsidR="004177A6" w:rsidRPr="00996241" w:rsidRDefault="002D55B7" w:rsidP="009D02B5">
            <w:pPr>
              <w:spacing w:after="60"/>
              <w:jc w:val="right"/>
              <w:rPr>
                <w:sz w:val="20"/>
              </w:rPr>
            </w:pPr>
            <w:r>
              <w:rPr>
                <w:sz w:val="20"/>
              </w:rPr>
              <w:t>0</w:t>
            </w:r>
          </w:p>
        </w:tc>
        <w:tc>
          <w:tcPr>
            <w:tcW w:w="696" w:type="pct"/>
          </w:tcPr>
          <w:p w14:paraId="7F4A7048" w14:textId="1436BAC2" w:rsidR="004177A6" w:rsidRPr="00996241" w:rsidRDefault="00332137" w:rsidP="009D02B5">
            <w:pPr>
              <w:spacing w:after="60"/>
              <w:jc w:val="right"/>
              <w:rPr>
                <w:sz w:val="20"/>
              </w:rPr>
            </w:pPr>
            <w:r>
              <w:rPr>
                <w:sz w:val="20"/>
              </w:rPr>
              <w:t>0</w:t>
            </w:r>
          </w:p>
        </w:tc>
        <w:tc>
          <w:tcPr>
            <w:tcW w:w="695" w:type="pct"/>
            <w:shd w:val="clear" w:color="auto" w:fill="auto"/>
          </w:tcPr>
          <w:p w14:paraId="65C26F91" w14:textId="75EFFC1B" w:rsidR="004177A6" w:rsidRPr="00996241" w:rsidRDefault="00683915" w:rsidP="009D02B5">
            <w:pPr>
              <w:spacing w:after="60"/>
              <w:jc w:val="right"/>
              <w:rPr>
                <w:sz w:val="20"/>
              </w:rPr>
            </w:pPr>
            <w:r>
              <w:rPr>
                <w:sz w:val="20"/>
              </w:rPr>
              <w:t>3 886 775</w:t>
            </w:r>
          </w:p>
        </w:tc>
        <w:tc>
          <w:tcPr>
            <w:tcW w:w="695" w:type="pct"/>
            <w:shd w:val="clear" w:color="auto" w:fill="auto"/>
          </w:tcPr>
          <w:p w14:paraId="6F3EFFCA" w14:textId="6292E5CE" w:rsidR="004177A6" w:rsidRPr="00996241" w:rsidRDefault="003E6DF7" w:rsidP="009D02B5">
            <w:pPr>
              <w:spacing w:after="60"/>
              <w:jc w:val="right"/>
              <w:rPr>
                <w:sz w:val="20"/>
              </w:rPr>
            </w:pPr>
            <w:r>
              <w:rPr>
                <w:sz w:val="20"/>
              </w:rPr>
              <w:t>3 886 775</w:t>
            </w:r>
          </w:p>
        </w:tc>
      </w:tr>
    </w:tbl>
    <w:p w14:paraId="6CCF2730" w14:textId="77777777" w:rsidR="00527869" w:rsidRPr="001F4E08" w:rsidRDefault="00527869" w:rsidP="00527869">
      <w:pPr>
        <w:ind w:right="4"/>
        <w:rPr>
          <w:sz w:val="18"/>
          <w:szCs w:val="18"/>
        </w:rPr>
      </w:pPr>
    </w:p>
    <w:tbl>
      <w:tblPr>
        <w:tblStyle w:val="TableGrid"/>
        <w:tblW w:w="10785" w:type="dxa"/>
        <w:tblInd w:w="-725" w:type="dxa"/>
        <w:tblLook w:val="04A0" w:firstRow="1" w:lastRow="0" w:firstColumn="1" w:lastColumn="0" w:noHBand="0" w:noVBand="1"/>
      </w:tblPr>
      <w:tblGrid>
        <w:gridCol w:w="1346"/>
        <w:gridCol w:w="889"/>
        <w:gridCol w:w="1486"/>
        <w:gridCol w:w="936"/>
        <w:gridCol w:w="688"/>
        <w:gridCol w:w="986"/>
        <w:gridCol w:w="720"/>
        <w:gridCol w:w="988"/>
        <w:gridCol w:w="723"/>
        <w:gridCol w:w="988"/>
        <w:gridCol w:w="1035"/>
      </w:tblGrid>
      <w:tr w:rsidR="00507283" w:rsidRPr="00AE494E" w14:paraId="4E07ACF1" w14:textId="77777777" w:rsidTr="007733A1">
        <w:trPr>
          <w:trHeight w:val="216"/>
        </w:trPr>
        <w:tc>
          <w:tcPr>
            <w:tcW w:w="1725" w:type="pct"/>
            <w:gridSpan w:val="3"/>
            <w:shd w:val="clear" w:color="auto" w:fill="auto"/>
          </w:tcPr>
          <w:p w14:paraId="1472D4F4" w14:textId="34FFD2D2" w:rsidR="00B34287" w:rsidRPr="00AE494E" w:rsidRDefault="00B34287" w:rsidP="00DE4AE1">
            <w:pPr>
              <w:jc w:val="left"/>
              <w:rPr>
                <w:b/>
                <w:sz w:val="19"/>
                <w:szCs w:val="19"/>
              </w:rPr>
            </w:pPr>
            <w:bookmarkStart w:id="0" w:name="_Hlk163466422"/>
            <w:r>
              <w:rPr>
                <w:b/>
                <w:sz w:val="19"/>
              </w:rPr>
              <w:t xml:space="preserve">(VI) DONNÉES DU PROJET </w:t>
            </w:r>
          </w:p>
        </w:tc>
        <w:tc>
          <w:tcPr>
            <w:tcW w:w="434" w:type="pct"/>
            <w:shd w:val="clear" w:color="auto" w:fill="auto"/>
            <w:vAlign w:val="center"/>
          </w:tcPr>
          <w:p w14:paraId="1460480B" w14:textId="11A1D6C1" w:rsidR="00B34287" w:rsidRPr="00AE494E" w:rsidRDefault="00B34287" w:rsidP="005D7F8C">
            <w:pPr>
              <w:jc w:val="center"/>
              <w:rPr>
                <w:b/>
                <w:sz w:val="19"/>
                <w:szCs w:val="19"/>
              </w:rPr>
            </w:pPr>
            <w:r>
              <w:rPr>
                <w:b/>
                <w:sz w:val="19"/>
              </w:rPr>
              <w:t>2024</w:t>
            </w:r>
          </w:p>
        </w:tc>
        <w:tc>
          <w:tcPr>
            <w:tcW w:w="319" w:type="pct"/>
            <w:shd w:val="clear" w:color="auto" w:fill="auto"/>
            <w:vAlign w:val="center"/>
          </w:tcPr>
          <w:p w14:paraId="4CB898B3" w14:textId="26CB1A6C" w:rsidR="00B34287" w:rsidRPr="00AE494E" w:rsidRDefault="00B34287" w:rsidP="005D7F8C">
            <w:pPr>
              <w:jc w:val="center"/>
              <w:rPr>
                <w:b/>
                <w:sz w:val="19"/>
                <w:szCs w:val="19"/>
              </w:rPr>
            </w:pPr>
            <w:r>
              <w:rPr>
                <w:b/>
                <w:sz w:val="19"/>
              </w:rPr>
              <w:t>2025</w:t>
            </w:r>
          </w:p>
        </w:tc>
        <w:tc>
          <w:tcPr>
            <w:tcW w:w="457" w:type="pct"/>
            <w:shd w:val="clear" w:color="auto" w:fill="auto"/>
            <w:vAlign w:val="center"/>
          </w:tcPr>
          <w:p w14:paraId="60C6E889" w14:textId="0EAA3B76" w:rsidR="00B34287" w:rsidRPr="00AE494E" w:rsidRDefault="00B34287" w:rsidP="005D7F8C">
            <w:pPr>
              <w:jc w:val="center"/>
              <w:rPr>
                <w:b/>
                <w:sz w:val="19"/>
                <w:szCs w:val="19"/>
              </w:rPr>
            </w:pPr>
            <w:r>
              <w:rPr>
                <w:b/>
                <w:sz w:val="19"/>
              </w:rPr>
              <w:t>2026</w:t>
            </w:r>
          </w:p>
        </w:tc>
        <w:tc>
          <w:tcPr>
            <w:tcW w:w="334" w:type="pct"/>
            <w:vAlign w:val="center"/>
          </w:tcPr>
          <w:p w14:paraId="49D3C3FC" w14:textId="5D290752" w:rsidR="00B34287" w:rsidRPr="00AE494E" w:rsidRDefault="00B34287" w:rsidP="005D7F8C">
            <w:pPr>
              <w:jc w:val="center"/>
              <w:rPr>
                <w:b/>
                <w:sz w:val="19"/>
                <w:szCs w:val="19"/>
              </w:rPr>
            </w:pPr>
            <w:r>
              <w:rPr>
                <w:b/>
                <w:sz w:val="19"/>
              </w:rPr>
              <w:t>2027</w:t>
            </w:r>
          </w:p>
        </w:tc>
        <w:tc>
          <w:tcPr>
            <w:tcW w:w="458" w:type="pct"/>
            <w:vAlign w:val="center"/>
          </w:tcPr>
          <w:p w14:paraId="5C1269D2" w14:textId="44F50CB5" w:rsidR="00B34287" w:rsidRPr="00AE494E" w:rsidRDefault="00B34287" w:rsidP="005D7F8C">
            <w:pPr>
              <w:jc w:val="center"/>
              <w:rPr>
                <w:b/>
                <w:sz w:val="19"/>
                <w:szCs w:val="19"/>
              </w:rPr>
            </w:pPr>
            <w:r>
              <w:rPr>
                <w:b/>
                <w:sz w:val="19"/>
              </w:rPr>
              <w:t>2028</w:t>
            </w:r>
          </w:p>
        </w:tc>
        <w:tc>
          <w:tcPr>
            <w:tcW w:w="335" w:type="pct"/>
          </w:tcPr>
          <w:p w14:paraId="5576F45E" w14:textId="00711D18" w:rsidR="00B34287" w:rsidRPr="00AE494E" w:rsidRDefault="00237435" w:rsidP="005D7F8C">
            <w:pPr>
              <w:jc w:val="center"/>
              <w:rPr>
                <w:b/>
                <w:sz w:val="19"/>
                <w:szCs w:val="19"/>
              </w:rPr>
            </w:pPr>
            <w:r>
              <w:rPr>
                <w:b/>
                <w:sz w:val="19"/>
              </w:rPr>
              <w:t>2029</w:t>
            </w:r>
          </w:p>
        </w:tc>
        <w:tc>
          <w:tcPr>
            <w:tcW w:w="458" w:type="pct"/>
            <w:vAlign w:val="center"/>
          </w:tcPr>
          <w:p w14:paraId="49727DDF" w14:textId="28440B6C" w:rsidR="00B34287" w:rsidRPr="00AE494E" w:rsidRDefault="00B34287" w:rsidP="005D7F8C">
            <w:pPr>
              <w:jc w:val="center"/>
              <w:rPr>
                <w:b/>
                <w:sz w:val="19"/>
                <w:szCs w:val="19"/>
              </w:rPr>
            </w:pPr>
            <w:r>
              <w:rPr>
                <w:b/>
                <w:sz w:val="19"/>
              </w:rPr>
              <w:t>2030</w:t>
            </w:r>
          </w:p>
        </w:tc>
        <w:tc>
          <w:tcPr>
            <w:tcW w:w="481" w:type="pct"/>
            <w:shd w:val="clear" w:color="auto" w:fill="auto"/>
            <w:vAlign w:val="center"/>
          </w:tcPr>
          <w:p w14:paraId="4853B305" w14:textId="77777777" w:rsidR="00B34287" w:rsidRPr="00AE494E" w:rsidRDefault="00B34287" w:rsidP="005D7F8C">
            <w:pPr>
              <w:jc w:val="center"/>
              <w:rPr>
                <w:b/>
                <w:sz w:val="19"/>
                <w:szCs w:val="19"/>
              </w:rPr>
            </w:pPr>
            <w:r>
              <w:rPr>
                <w:b/>
                <w:sz w:val="19"/>
              </w:rPr>
              <w:t>Total</w:t>
            </w:r>
          </w:p>
        </w:tc>
      </w:tr>
      <w:tr w:rsidR="007F58F6" w:rsidRPr="00AE494E" w14:paraId="0388EE92" w14:textId="77777777" w:rsidTr="007733A1">
        <w:trPr>
          <w:trHeight w:val="66"/>
        </w:trPr>
        <w:tc>
          <w:tcPr>
            <w:tcW w:w="1725" w:type="pct"/>
            <w:gridSpan w:val="3"/>
            <w:shd w:val="clear" w:color="auto" w:fill="auto"/>
          </w:tcPr>
          <w:p w14:paraId="1782897F" w14:textId="77777777" w:rsidR="007F58F6" w:rsidRPr="00AE494E" w:rsidRDefault="007F58F6" w:rsidP="007F58F6">
            <w:pPr>
              <w:tabs>
                <w:tab w:val="left" w:pos="8280"/>
              </w:tabs>
              <w:spacing w:after="60"/>
              <w:ind w:right="-107"/>
              <w:jc w:val="left"/>
              <w:rPr>
                <w:sz w:val="19"/>
                <w:szCs w:val="19"/>
              </w:rPr>
            </w:pPr>
            <w:r>
              <w:rPr>
                <w:sz w:val="19"/>
              </w:rPr>
              <w:t>Limites de consommation au titre du Protocole de Montréal (tonnes PAO)</w:t>
            </w:r>
          </w:p>
        </w:tc>
        <w:tc>
          <w:tcPr>
            <w:tcW w:w="434" w:type="pct"/>
            <w:shd w:val="clear" w:color="auto" w:fill="auto"/>
            <w:tcMar>
              <w:left w:w="57" w:type="dxa"/>
              <w:right w:w="57" w:type="dxa"/>
            </w:tcMar>
          </w:tcPr>
          <w:p w14:paraId="05E18EDA" w14:textId="0FE3D393" w:rsidR="007F58F6" w:rsidRPr="00AE494E" w:rsidRDefault="007F58F6" w:rsidP="007F58F6">
            <w:pPr>
              <w:tabs>
                <w:tab w:val="left" w:pos="8280"/>
              </w:tabs>
              <w:spacing w:after="60"/>
              <w:jc w:val="right"/>
              <w:rPr>
                <w:sz w:val="19"/>
                <w:szCs w:val="19"/>
              </w:rPr>
            </w:pPr>
            <w:r>
              <w:rPr>
                <w:sz w:val="19"/>
              </w:rPr>
              <w:t>954,66</w:t>
            </w:r>
          </w:p>
        </w:tc>
        <w:tc>
          <w:tcPr>
            <w:tcW w:w="319" w:type="pct"/>
            <w:tcMar>
              <w:left w:w="57" w:type="dxa"/>
              <w:right w:w="57" w:type="dxa"/>
            </w:tcMar>
          </w:tcPr>
          <w:p w14:paraId="39320023" w14:textId="323856CA" w:rsidR="007F58F6" w:rsidRPr="00AE494E" w:rsidRDefault="007F58F6" w:rsidP="007F58F6">
            <w:pPr>
              <w:tabs>
                <w:tab w:val="left" w:pos="8280"/>
              </w:tabs>
              <w:spacing w:after="60"/>
              <w:jc w:val="right"/>
              <w:rPr>
                <w:sz w:val="19"/>
                <w:szCs w:val="19"/>
              </w:rPr>
            </w:pPr>
            <w:r>
              <w:rPr>
                <w:sz w:val="19"/>
              </w:rPr>
              <w:t>477,33</w:t>
            </w:r>
          </w:p>
        </w:tc>
        <w:tc>
          <w:tcPr>
            <w:tcW w:w="457" w:type="pct"/>
            <w:tcMar>
              <w:left w:w="57" w:type="dxa"/>
              <w:right w:w="57" w:type="dxa"/>
            </w:tcMar>
          </w:tcPr>
          <w:p w14:paraId="4E3C085E" w14:textId="3666598D" w:rsidR="007F58F6" w:rsidRPr="00AE494E" w:rsidRDefault="007F58F6" w:rsidP="007F58F6">
            <w:pPr>
              <w:tabs>
                <w:tab w:val="left" w:pos="8280"/>
              </w:tabs>
              <w:spacing w:after="60"/>
              <w:jc w:val="right"/>
              <w:rPr>
                <w:sz w:val="19"/>
                <w:szCs w:val="19"/>
              </w:rPr>
            </w:pPr>
            <w:r>
              <w:rPr>
                <w:sz w:val="19"/>
              </w:rPr>
              <w:t>477,33</w:t>
            </w:r>
          </w:p>
        </w:tc>
        <w:tc>
          <w:tcPr>
            <w:tcW w:w="334" w:type="pct"/>
            <w:tcMar>
              <w:left w:w="57" w:type="dxa"/>
              <w:right w:w="57" w:type="dxa"/>
            </w:tcMar>
          </w:tcPr>
          <w:p w14:paraId="7019ED31" w14:textId="0F864BB8" w:rsidR="007F58F6" w:rsidRPr="00AE494E" w:rsidRDefault="007F58F6" w:rsidP="007F58F6">
            <w:pPr>
              <w:tabs>
                <w:tab w:val="left" w:pos="8280"/>
              </w:tabs>
              <w:spacing w:after="60"/>
              <w:jc w:val="right"/>
              <w:rPr>
                <w:sz w:val="19"/>
                <w:szCs w:val="19"/>
              </w:rPr>
            </w:pPr>
            <w:r>
              <w:rPr>
                <w:sz w:val="19"/>
              </w:rPr>
              <w:t>477,33</w:t>
            </w:r>
          </w:p>
        </w:tc>
        <w:tc>
          <w:tcPr>
            <w:tcW w:w="458" w:type="pct"/>
            <w:tcMar>
              <w:left w:w="57" w:type="dxa"/>
              <w:right w:w="57" w:type="dxa"/>
            </w:tcMar>
          </w:tcPr>
          <w:p w14:paraId="2DAD51FC" w14:textId="2E138EFD" w:rsidR="007F58F6" w:rsidRPr="00AE494E" w:rsidRDefault="007F58F6" w:rsidP="007F58F6">
            <w:pPr>
              <w:tabs>
                <w:tab w:val="left" w:pos="8280"/>
              </w:tabs>
              <w:spacing w:after="60"/>
              <w:jc w:val="right"/>
              <w:rPr>
                <w:sz w:val="19"/>
                <w:szCs w:val="19"/>
              </w:rPr>
            </w:pPr>
            <w:r>
              <w:rPr>
                <w:sz w:val="19"/>
              </w:rPr>
              <w:t>477,33</w:t>
            </w:r>
          </w:p>
        </w:tc>
        <w:tc>
          <w:tcPr>
            <w:tcW w:w="335" w:type="pct"/>
            <w:tcMar>
              <w:left w:w="57" w:type="dxa"/>
              <w:right w:w="57" w:type="dxa"/>
            </w:tcMar>
          </w:tcPr>
          <w:p w14:paraId="4F64493D" w14:textId="3F613BC7" w:rsidR="007F58F6" w:rsidRPr="00AE494E" w:rsidRDefault="007F58F6" w:rsidP="007F58F6">
            <w:pPr>
              <w:tabs>
                <w:tab w:val="left" w:pos="8280"/>
              </w:tabs>
              <w:spacing w:after="60"/>
              <w:jc w:val="right"/>
              <w:rPr>
                <w:sz w:val="19"/>
                <w:szCs w:val="19"/>
              </w:rPr>
            </w:pPr>
            <w:r>
              <w:rPr>
                <w:sz w:val="19"/>
              </w:rPr>
              <w:t>477,33</w:t>
            </w:r>
          </w:p>
        </w:tc>
        <w:tc>
          <w:tcPr>
            <w:tcW w:w="458" w:type="pct"/>
            <w:tcMar>
              <w:left w:w="57" w:type="dxa"/>
              <w:right w:w="57" w:type="dxa"/>
            </w:tcMar>
          </w:tcPr>
          <w:p w14:paraId="6D2EFAA6" w14:textId="103F2028" w:rsidR="007F58F6" w:rsidRPr="00AE494E" w:rsidRDefault="007F58F6" w:rsidP="007F58F6">
            <w:pPr>
              <w:tabs>
                <w:tab w:val="left" w:pos="8280"/>
              </w:tabs>
              <w:spacing w:after="60"/>
              <w:jc w:val="right"/>
              <w:rPr>
                <w:sz w:val="19"/>
                <w:szCs w:val="19"/>
              </w:rPr>
            </w:pPr>
            <w:r>
              <w:rPr>
                <w:sz w:val="19"/>
              </w:rPr>
              <w:t>0,00</w:t>
            </w:r>
          </w:p>
        </w:tc>
        <w:tc>
          <w:tcPr>
            <w:tcW w:w="481" w:type="pct"/>
            <w:tcMar>
              <w:left w:w="57" w:type="dxa"/>
              <w:right w:w="57" w:type="dxa"/>
            </w:tcMar>
          </w:tcPr>
          <w:p w14:paraId="3E52A4CC" w14:textId="7334AB3E" w:rsidR="007F58F6" w:rsidRPr="00AE494E" w:rsidRDefault="007F58F6" w:rsidP="007F58F6">
            <w:pPr>
              <w:tabs>
                <w:tab w:val="left" w:pos="8280"/>
              </w:tabs>
              <w:spacing w:after="60"/>
              <w:jc w:val="right"/>
              <w:rPr>
                <w:sz w:val="19"/>
                <w:szCs w:val="19"/>
              </w:rPr>
            </w:pPr>
            <w:r>
              <w:rPr>
                <w:sz w:val="19"/>
              </w:rPr>
              <w:t>s.o.</w:t>
            </w:r>
          </w:p>
        </w:tc>
      </w:tr>
      <w:tr w:rsidR="007F58F6" w:rsidRPr="00AE494E" w14:paraId="517B4808" w14:textId="77777777" w:rsidTr="007733A1">
        <w:trPr>
          <w:trHeight w:val="66"/>
        </w:trPr>
        <w:tc>
          <w:tcPr>
            <w:tcW w:w="1725" w:type="pct"/>
            <w:gridSpan w:val="3"/>
            <w:shd w:val="clear" w:color="auto" w:fill="auto"/>
          </w:tcPr>
          <w:p w14:paraId="3734FCF4" w14:textId="77777777" w:rsidR="007F58F6" w:rsidRPr="00AE494E" w:rsidRDefault="007F58F6" w:rsidP="007F58F6">
            <w:pPr>
              <w:tabs>
                <w:tab w:val="left" w:pos="8280"/>
              </w:tabs>
              <w:spacing w:after="60"/>
              <w:jc w:val="left"/>
              <w:rPr>
                <w:sz w:val="19"/>
                <w:szCs w:val="19"/>
              </w:rPr>
            </w:pPr>
            <w:r>
              <w:rPr>
                <w:sz w:val="19"/>
              </w:rPr>
              <w:t>Consommation maximale admissible (tonnes PAO)</w:t>
            </w:r>
          </w:p>
        </w:tc>
        <w:tc>
          <w:tcPr>
            <w:tcW w:w="434" w:type="pct"/>
            <w:shd w:val="clear" w:color="auto" w:fill="auto"/>
            <w:tcMar>
              <w:left w:w="57" w:type="dxa"/>
              <w:right w:w="57" w:type="dxa"/>
            </w:tcMar>
          </w:tcPr>
          <w:p w14:paraId="06D8F309" w14:textId="469A50D9" w:rsidR="007F58F6" w:rsidRPr="00AE494E" w:rsidRDefault="007F58F6" w:rsidP="007F58F6">
            <w:pPr>
              <w:tabs>
                <w:tab w:val="left" w:pos="8280"/>
              </w:tabs>
              <w:spacing w:after="60"/>
              <w:jc w:val="right"/>
              <w:rPr>
                <w:sz w:val="19"/>
                <w:szCs w:val="19"/>
              </w:rPr>
            </w:pPr>
            <w:r>
              <w:rPr>
                <w:sz w:val="19"/>
              </w:rPr>
              <w:t>881,22</w:t>
            </w:r>
          </w:p>
        </w:tc>
        <w:tc>
          <w:tcPr>
            <w:tcW w:w="319" w:type="pct"/>
            <w:tcMar>
              <w:left w:w="57" w:type="dxa"/>
              <w:right w:w="57" w:type="dxa"/>
            </w:tcMar>
          </w:tcPr>
          <w:p w14:paraId="4BF0644E" w14:textId="291C8141" w:rsidR="007F58F6" w:rsidRPr="00AE494E" w:rsidRDefault="007F58F6" w:rsidP="007F58F6">
            <w:pPr>
              <w:tabs>
                <w:tab w:val="left" w:pos="8280"/>
              </w:tabs>
              <w:spacing w:after="60"/>
              <w:jc w:val="right"/>
              <w:rPr>
                <w:sz w:val="19"/>
                <w:szCs w:val="19"/>
              </w:rPr>
            </w:pPr>
            <w:r>
              <w:rPr>
                <w:sz w:val="19"/>
              </w:rPr>
              <w:t>477,33</w:t>
            </w:r>
          </w:p>
        </w:tc>
        <w:tc>
          <w:tcPr>
            <w:tcW w:w="457" w:type="pct"/>
            <w:tcMar>
              <w:left w:w="57" w:type="dxa"/>
              <w:right w:w="57" w:type="dxa"/>
            </w:tcMar>
          </w:tcPr>
          <w:p w14:paraId="6044DB7A" w14:textId="45976E15" w:rsidR="007F58F6" w:rsidRPr="00AE494E" w:rsidRDefault="007F58F6" w:rsidP="007F58F6">
            <w:pPr>
              <w:tabs>
                <w:tab w:val="left" w:pos="8280"/>
              </w:tabs>
              <w:spacing w:after="60"/>
              <w:jc w:val="right"/>
              <w:rPr>
                <w:sz w:val="19"/>
                <w:szCs w:val="19"/>
              </w:rPr>
            </w:pPr>
            <w:r>
              <w:rPr>
                <w:sz w:val="19"/>
              </w:rPr>
              <w:t>477,33</w:t>
            </w:r>
          </w:p>
        </w:tc>
        <w:tc>
          <w:tcPr>
            <w:tcW w:w="334" w:type="pct"/>
            <w:tcMar>
              <w:left w:w="57" w:type="dxa"/>
              <w:right w:w="57" w:type="dxa"/>
            </w:tcMar>
          </w:tcPr>
          <w:p w14:paraId="4CA4BAAD" w14:textId="5D6702CE" w:rsidR="007F58F6" w:rsidRPr="00AE494E" w:rsidRDefault="007F58F6" w:rsidP="007F58F6">
            <w:pPr>
              <w:tabs>
                <w:tab w:val="left" w:pos="8280"/>
              </w:tabs>
              <w:spacing w:after="60"/>
              <w:jc w:val="right"/>
              <w:rPr>
                <w:sz w:val="19"/>
                <w:szCs w:val="19"/>
              </w:rPr>
            </w:pPr>
            <w:r>
              <w:rPr>
                <w:sz w:val="19"/>
              </w:rPr>
              <w:t>477,33</w:t>
            </w:r>
          </w:p>
        </w:tc>
        <w:tc>
          <w:tcPr>
            <w:tcW w:w="458" w:type="pct"/>
            <w:tcMar>
              <w:left w:w="57" w:type="dxa"/>
              <w:right w:w="57" w:type="dxa"/>
            </w:tcMar>
          </w:tcPr>
          <w:p w14:paraId="669A5324" w14:textId="53E3773F" w:rsidR="007F58F6" w:rsidRPr="00AE494E" w:rsidRDefault="007F58F6" w:rsidP="007F58F6">
            <w:pPr>
              <w:tabs>
                <w:tab w:val="left" w:pos="8280"/>
              </w:tabs>
              <w:spacing w:after="60"/>
              <w:jc w:val="right"/>
              <w:rPr>
                <w:sz w:val="19"/>
                <w:szCs w:val="19"/>
              </w:rPr>
            </w:pPr>
            <w:r>
              <w:rPr>
                <w:sz w:val="19"/>
              </w:rPr>
              <w:t>477,33</w:t>
            </w:r>
          </w:p>
        </w:tc>
        <w:tc>
          <w:tcPr>
            <w:tcW w:w="335" w:type="pct"/>
            <w:tcMar>
              <w:left w:w="57" w:type="dxa"/>
              <w:right w:w="57" w:type="dxa"/>
            </w:tcMar>
          </w:tcPr>
          <w:p w14:paraId="3782A2EA" w14:textId="586280A1" w:rsidR="007F58F6" w:rsidRPr="00AE494E" w:rsidRDefault="007F58F6" w:rsidP="007F58F6">
            <w:pPr>
              <w:tabs>
                <w:tab w:val="left" w:pos="8280"/>
              </w:tabs>
              <w:spacing w:after="60"/>
              <w:jc w:val="right"/>
              <w:rPr>
                <w:sz w:val="19"/>
                <w:szCs w:val="19"/>
              </w:rPr>
            </w:pPr>
            <w:r>
              <w:rPr>
                <w:sz w:val="19"/>
              </w:rPr>
              <w:t>477,33</w:t>
            </w:r>
          </w:p>
        </w:tc>
        <w:tc>
          <w:tcPr>
            <w:tcW w:w="458" w:type="pct"/>
            <w:tcMar>
              <w:left w:w="57" w:type="dxa"/>
              <w:right w:w="57" w:type="dxa"/>
            </w:tcMar>
          </w:tcPr>
          <w:p w14:paraId="4974732E" w14:textId="55ED8B09" w:rsidR="007F58F6" w:rsidRPr="00AE494E" w:rsidRDefault="007F58F6" w:rsidP="007F58F6">
            <w:pPr>
              <w:tabs>
                <w:tab w:val="left" w:pos="8280"/>
              </w:tabs>
              <w:spacing w:after="60"/>
              <w:jc w:val="right"/>
              <w:rPr>
                <w:sz w:val="19"/>
                <w:szCs w:val="19"/>
              </w:rPr>
            </w:pPr>
            <w:r>
              <w:rPr>
                <w:sz w:val="19"/>
              </w:rPr>
              <w:t>0,00</w:t>
            </w:r>
          </w:p>
        </w:tc>
        <w:tc>
          <w:tcPr>
            <w:tcW w:w="481" w:type="pct"/>
            <w:tcMar>
              <w:left w:w="57" w:type="dxa"/>
              <w:right w:w="57" w:type="dxa"/>
            </w:tcMar>
          </w:tcPr>
          <w:p w14:paraId="13738328" w14:textId="189BDA73" w:rsidR="007F58F6" w:rsidRPr="00AE494E" w:rsidRDefault="007F58F6" w:rsidP="007F58F6">
            <w:pPr>
              <w:tabs>
                <w:tab w:val="left" w:pos="8280"/>
              </w:tabs>
              <w:spacing w:after="60"/>
              <w:jc w:val="right"/>
              <w:rPr>
                <w:sz w:val="19"/>
                <w:szCs w:val="19"/>
              </w:rPr>
            </w:pPr>
            <w:r>
              <w:rPr>
                <w:sz w:val="19"/>
              </w:rPr>
              <w:t>s.o.</w:t>
            </w:r>
          </w:p>
        </w:tc>
      </w:tr>
      <w:tr w:rsidR="007733A1" w:rsidRPr="00AE494E" w14:paraId="6CA95ED3" w14:textId="77777777" w:rsidTr="007733A1">
        <w:trPr>
          <w:trHeight w:val="59"/>
        </w:trPr>
        <w:tc>
          <w:tcPr>
            <w:tcW w:w="624" w:type="pct"/>
            <w:vMerge w:val="restart"/>
            <w:shd w:val="clear" w:color="auto" w:fill="auto"/>
            <w:vAlign w:val="center"/>
          </w:tcPr>
          <w:p w14:paraId="01874515" w14:textId="77777777" w:rsidR="00B34287" w:rsidRPr="00AE494E" w:rsidRDefault="00B34287" w:rsidP="005D7F8C">
            <w:pPr>
              <w:tabs>
                <w:tab w:val="left" w:pos="8280"/>
              </w:tabs>
              <w:spacing w:after="60"/>
              <w:jc w:val="left"/>
              <w:rPr>
                <w:sz w:val="19"/>
                <w:szCs w:val="19"/>
              </w:rPr>
            </w:pPr>
            <w:r>
              <w:rPr>
                <w:sz w:val="19"/>
              </w:rPr>
              <w:t>Coûts totaux du projet – demande de principe ($ US)</w:t>
            </w:r>
          </w:p>
        </w:tc>
        <w:tc>
          <w:tcPr>
            <w:tcW w:w="412" w:type="pct"/>
            <w:vMerge w:val="restart"/>
            <w:shd w:val="clear" w:color="auto" w:fill="auto"/>
            <w:vAlign w:val="center"/>
          </w:tcPr>
          <w:p w14:paraId="3D71F8DE" w14:textId="51DE3366" w:rsidR="00B34287" w:rsidRPr="00AE494E" w:rsidRDefault="00B34287" w:rsidP="005D7F8C">
            <w:pPr>
              <w:tabs>
                <w:tab w:val="left" w:pos="8280"/>
              </w:tabs>
              <w:spacing w:after="60"/>
              <w:jc w:val="center"/>
              <w:rPr>
                <w:sz w:val="19"/>
                <w:szCs w:val="19"/>
              </w:rPr>
            </w:pPr>
            <w:r>
              <w:rPr>
                <w:color w:val="000000" w:themeColor="text1"/>
                <w:sz w:val="19"/>
              </w:rPr>
              <w:t>ONUDI</w:t>
            </w:r>
          </w:p>
        </w:tc>
        <w:tc>
          <w:tcPr>
            <w:tcW w:w="688" w:type="pct"/>
            <w:shd w:val="clear" w:color="auto" w:fill="auto"/>
          </w:tcPr>
          <w:p w14:paraId="58652601" w14:textId="77777777" w:rsidR="00B34287" w:rsidRPr="00AE494E" w:rsidRDefault="00B34287" w:rsidP="005D7F8C">
            <w:pPr>
              <w:tabs>
                <w:tab w:val="left" w:pos="8280"/>
              </w:tabs>
              <w:spacing w:after="60"/>
              <w:jc w:val="left"/>
              <w:rPr>
                <w:sz w:val="19"/>
                <w:szCs w:val="19"/>
              </w:rPr>
            </w:pPr>
            <w:r>
              <w:rPr>
                <w:sz w:val="19"/>
              </w:rPr>
              <w:t>Coûts de projet</w:t>
            </w:r>
          </w:p>
        </w:tc>
        <w:tc>
          <w:tcPr>
            <w:tcW w:w="434" w:type="pct"/>
            <w:shd w:val="clear" w:color="auto" w:fill="auto"/>
            <w:tcMar>
              <w:left w:w="57" w:type="dxa"/>
              <w:right w:w="57" w:type="dxa"/>
            </w:tcMar>
          </w:tcPr>
          <w:p w14:paraId="3B6FD300" w14:textId="234628C9" w:rsidR="00B34287" w:rsidRPr="00AE494E" w:rsidRDefault="003145E9" w:rsidP="005D7F8C">
            <w:pPr>
              <w:tabs>
                <w:tab w:val="left" w:pos="8280"/>
              </w:tabs>
              <w:spacing w:after="60"/>
              <w:jc w:val="right"/>
              <w:rPr>
                <w:sz w:val="19"/>
                <w:szCs w:val="19"/>
              </w:rPr>
            </w:pPr>
            <w:r>
              <w:rPr>
                <w:sz w:val="19"/>
              </w:rPr>
              <w:t>4 708 516</w:t>
            </w:r>
          </w:p>
        </w:tc>
        <w:tc>
          <w:tcPr>
            <w:tcW w:w="319" w:type="pct"/>
            <w:tcMar>
              <w:left w:w="57" w:type="dxa"/>
              <w:right w:w="57" w:type="dxa"/>
            </w:tcMar>
          </w:tcPr>
          <w:p w14:paraId="4BFE6A49" w14:textId="2C902EFA" w:rsidR="00B34287" w:rsidRPr="00AE494E" w:rsidRDefault="00276108" w:rsidP="005D7F8C">
            <w:pPr>
              <w:tabs>
                <w:tab w:val="left" w:pos="8280"/>
              </w:tabs>
              <w:spacing w:after="60"/>
              <w:jc w:val="right"/>
              <w:rPr>
                <w:sz w:val="19"/>
                <w:szCs w:val="19"/>
              </w:rPr>
            </w:pPr>
            <w:r>
              <w:rPr>
                <w:sz w:val="19"/>
              </w:rPr>
              <w:t>0</w:t>
            </w:r>
          </w:p>
        </w:tc>
        <w:tc>
          <w:tcPr>
            <w:tcW w:w="457" w:type="pct"/>
            <w:tcMar>
              <w:left w:w="57" w:type="dxa"/>
              <w:right w:w="57" w:type="dxa"/>
            </w:tcMar>
          </w:tcPr>
          <w:p w14:paraId="7A4050B3" w14:textId="2914F683" w:rsidR="00B34287" w:rsidRPr="00AE494E" w:rsidRDefault="00D230BC" w:rsidP="005D7F8C">
            <w:pPr>
              <w:tabs>
                <w:tab w:val="left" w:pos="8280"/>
              </w:tabs>
              <w:spacing w:after="60"/>
              <w:jc w:val="right"/>
              <w:rPr>
                <w:sz w:val="19"/>
                <w:szCs w:val="19"/>
              </w:rPr>
            </w:pPr>
            <w:r>
              <w:rPr>
                <w:sz w:val="19"/>
              </w:rPr>
              <w:t>4 088 516</w:t>
            </w:r>
          </w:p>
        </w:tc>
        <w:tc>
          <w:tcPr>
            <w:tcW w:w="334" w:type="pct"/>
            <w:tcMar>
              <w:left w:w="57" w:type="dxa"/>
              <w:right w:w="57" w:type="dxa"/>
            </w:tcMar>
          </w:tcPr>
          <w:p w14:paraId="1064EF99" w14:textId="017BCDF2" w:rsidR="00B34287" w:rsidRPr="00AE494E" w:rsidRDefault="00276108" w:rsidP="005D7F8C">
            <w:pPr>
              <w:tabs>
                <w:tab w:val="left" w:pos="8280"/>
              </w:tabs>
              <w:spacing w:after="60"/>
              <w:jc w:val="right"/>
              <w:rPr>
                <w:sz w:val="19"/>
                <w:szCs w:val="19"/>
              </w:rPr>
            </w:pPr>
            <w:r>
              <w:rPr>
                <w:sz w:val="19"/>
              </w:rPr>
              <w:t>0</w:t>
            </w:r>
          </w:p>
        </w:tc>
        <w:tc>
          <w:tcPr>
            <w:tcW w:w="458" w:type="pct"/>
            <w:tcMar>
              <w:left w:w="57" w:type="dxa"/>
              <w:right w:w="57" w:type="dxa"/>
            </w:tcMar>
          </w:tcPr>
          <w:p w14:paraId="0B486AC5" w14:textId="3AE1C316" w:rsidR="00B34287" w:rsidRPr="00AE494E" w:rsidRDefault="00D230BC" w:rsidP="005D7F8C">
            <w:pPr>
              <w:tabs>
                <w:tab w:val="left" w:pos="8280"/>
              </w:tabs>
              <w:spacing w:after="60"/>
              <w:jc w:val="right"/>
              <w:rPr>
                <w:sz w:val="19"/>
                <w:szCs w:val="19"/>
              </w:rPr>
            </w:pPr>
            <w:r>
              <w:rPr>
                <w:sz w:val="19"/>
              </w:rPr>
              <w:t>3 573 516</w:t>
            </w:r>
          </w:p>
        </w:tc>
        <w:tc>
          <w:tcPr>
            <w:tcW w:w="335" w:type="pct"/>
            <w:tcMar>
              <w:left w:w="57" w:type="dxa"/>
              <w:right w:w="57" w:type="dxa"/>
            </w:tcMar>
          </w:tcPr>
          <w:p w14:paraId="4E4C9E67" w14:textId="73E7E8F3" w:rsidR="00B34287" w:rsidRPr="00AE494E" w:rsidRDefault="00276108" w:rsidP="005D7F8C">
            <w:pPr>
              <w:tabs>
                <w:tab w:val="left" w:pos="8280"/>
              </w:tabs>
              <w:spacing w:after="60"/>
              <w:jc w:val="right"/>
              <w:rPr>
                <w:sz w:val="19"/>
                <w:szCs w:val="19"/>
              </w:rPr>
            </w:pPr>
            <w:r>
              <w:rPr>
                <w:sz w:val="19"/>
              </w:rPr>
              <w:t>0</w:t>
            </w:r>
          </w:p>
        </w:tc>
        <w:tc>
          <w:tcPr>
            <w:tcW w:w="458" w:type="pct"/>
            <w:tcMar>
              <w:left w:w="57" w:type="dxa"/>
              <w:right w:w="57" w:type="dxa"/>
            </w:tcMar>
          </w:tcPr>
          <w:p w14:paraId="7434C528" w14:textId="6AB9F29C" w:rsidR="00B34287" w:rsidRPr="00AE494E" w:rsidRDefault="00D230BC" w:rsidP="005D7F8C">
            <w:pPr>
              <w:tabs>
                <w:tab w:val="left" w:pos="8280"/>
              </w:tabs>
              <w:spacing w:after="60"/>
              <w:jc w:val="right"/>
              <w:rPr>
                <w:sz w:val="19"/>
                <w:szCs w:val="19"/>
              </w:rPr>
            </w:pPr>
            <w:r>
              <w:rPr>
                <w:sz w:val="19"/>
              </w:rPr>
              <w:t>1 055 016</w:t>
            </w:r>
          </w:p>
        </w:tc>
        <w:tc>
          <w:tcPr>
            <w:tcW w:w="481" w:type="pct"/>
            <w:tcMar>
              <w:left w:w="57" w:type="dxa"/>
              <w:right w:w="57" w:type="dxa"/>
            </w:tcMar>
          </w:tcPr>
          <w:p w14:paraId="277C7536" w14:textId="77BF27E2" w:rsidR="00B34287" w:rsidRPr="00AE494E" w:rsidRDefault="00056050" w:rsidP="005D7F8C">
            <w:pPr>
              <w:tabs>
                <w:tab w:val="left" w:pos="8280"/>
              </w:tabs>
              <w:spacing w:after="60"/>
              <w:jc w:val="right"/>
              <w:rPr>
                <w:sz w:val="19"/>
                <w:szCs w:val="19"/>
              </w:rPr>
            </w:pPr>
            <w:r>
              <w:rPr>
                <w:sz w:val="19"/>
              </w:rPr>
              <w:t>13 425 564</w:t>
            </w:r>
          </w:p>
        </w:tc>
      </w:tr>
      <w:tr w:rsidR="007733A1" w:rsidRPr="00AE494E" w14:paraId="58E70436" w14:textId="77777777" w:rsidTr="007733A1">
        <w:trPr>
          <w:trHeight w:val="127"/>
        </w:trPr>
        <w:tc>
          <w:tcPr>
            <w:tcW w:w="624" w:type="pct"/>
            <w:vMerge/>
            <w:shd w:val="clear" w:color="auto" w:fill="auto"/>
          </w:tcPr>
          <w:p w14:paraId="38A7A60F" w14:textId="77777777" w:rsidR="00B34287" w:rsidRPr="00AE494E" w:rsidRDefault="00B34287" w:rsidP="005D7F8C">
            <w:pPr>
              <w:tabs>
                <w:tab w:val="left" w:pos="8280"/>
              </w:tabs>
              <w:spacing w:after="60"/>
              <w:jc w:val="left"/>
              <w:rPr>
                <w:sz w:val="19"/>
                <w:szCs w:val="19"/>
              </w:rPr>
            </w:pPr>
          </w:p>
        </w:tc>
        <w:tc>
          <w:tcPr>
            <w:tcW w:w="412" w:type="pct"/>
            <w:vMerge/>
            <w:shd w:val="clear" w:color="auto" w:fill="auto"/>
            <w:vAlign w:val="center"/>
          </w:tcPr>
          <w:p w14:paraId="129A6C63" w14:textId="77777777" w:rsidR="00B34287" w:rsidRPr="00AE494E" w:rsidRDefault="00B34287" w:rsidP="005D7F8C">
            <w:pPr>
              <w:tabs>
                <w:tab w:val="left" w:pos="8280"/>
              </w:tabs>
              <w:spacing w:after="60"/>
              <w:jc w:val="left"/>
              <w:rPr>
                <w:sz w:val="19"/>
                <w:szCs w:val="19"/>
              </w:rPr>
            </w:pPr>
          </w:p>
        </w:tc>
        <w:tc>
          <w:tcPr>
            <w:tcW w:w="688" w:type="pct"/>
            <w:shd w:val="clear" w:color="auto" w:fill="auto"/>
          </w:tcPr>
          <w:p w14:paraId="493CCAC3" w14:textId="77777777" w:rsidR="00B34287" w:rsidRPr="00AE494E" w:rsidRDefault="00B34287" w:rsidP="005D7F8C">
            <w:pPr>
              <w:tabs>
                <w:tab w:val="left" w:pos="8280"/>
              </w:tabs>
              <w:spacing w:after="60"/>
              <w:jc w:val="left"/>
              <w:rPr>
                <w:sz w:val="19"/>
                <w:szCs w:val="19"/>
              </w:rPr>
            </w:pPr>
            <w:r>
              <w:rPr>
                <w:sz w:val="19"/>
              </w:rPr>
              <w:t>Coûts d’appui</w:t>
            </w:r>
          </w:p>
        </w:tc>
        <w:tc>
          <w:tcPr>
            <w:tcW w:w="434" w:type="pct"/>
            <w:shd w:val="clear" w:color="auto" w:fill="auto"/>
            <w:tcMar>
              <w:left w:w="57" w:type="dxa"/>
              <w:right w:w="57" w:type="dxa"/>
            </w:tcMar>
          </w:tcPr>
          <w:p w14:paraId="3C3B688B" w14:textId="30F0762C" w:rsidR="00B34287" w:rsidRPr="00AE494E" w:rsidRDefault="009F5E98" w:rsidP="005D7F8C">
            <w:pPr>
              <w:tabs>
                <w:tab w:val="left" w:pos="8280"/>
              </w:tabs>
              <w:spacing w:after="60"/>
              <w:jc w:val="right"/>
              <w:rPr>
                <w:sz w:val="19"/>
                <w:szCs w:val="19"/>
              </w:rPr>
            </w:pPr>
            <w:r>
              <w:rPr>
                <w:sz w:val="19"/>
              </w:rPr>
              <w:t>329 596</w:t>
            </w:r>
          </w:p>
        </w:tc>
        <w:tc>
          <w:tcPr>
            <w:tcW w:w="319" w:type="pct"/>
            <w:tcMar>
              <w:left w:w="57" w:type="dxa"/>
              <w:right w:w="57" w:type="dxa"/>
            </w:tcMar>
          </w:tcPr>
          <w:p w14:paraId="4E265DD5" w14:textId="3266EEFC" w:rsidR="00B34287" w:rsidRPr="00AE494E" w:rsidRDefault="00276108" w:rsidP="005D7F8C">
            <w:pPr>
              <w:tabs>
                <w:tab w:val="left" w:pos="8280"/>
              </w:tabs>
              <w:spacing w:after="60"/>
              <w:jc w:val="right"/>
              <w:rPr>
                <w:sz w:val="19"/>
                <w:szCs w:val="19"/>
              </w:rPr>
            </w:pPr>
            <w:r>
              <w:rPr>
                <w:sz w:val="19"/>
              </w:rPr>
              <w:t>0</w:t>
            </w:r>
          </w:p>
        </w:tc>
        <w:tc>
          <w:tcPr>
            <w:tcW w:w="457" w:type="pct"/>
            <w:tcMar>
              <w:left w:w="57" w:type="dxa"/>
              <w:right w:w="57" w:type="dxa"/>
            </w:tcMar>
          </w:tcPr>
          <w:p w14:paraId="30EA9D34" w14:textId="66EB4725" w:rsidR="00B34287" w:rsidRPr="00AE494E" w:rsidRDefault="00C5159E" w:rsidP="005D7F8C">
            <w:pPr>
              <w:tabs>
                <w:tab w:val="left" w:pos="8280"/>
              </w:tabs>
              <w:spacing w:after="60"/>
              <w:jc w:val="right"/>
              <w:rPr>
                <w:sz w:val="19"/>
                <w:szCs w:val="19"/>
              </w:rPr>
            </w:pPr>
            <w:r>
              <w:rPr>
                <w:sz w:val="19"/>
              </w:rPr>
              <w:t>286 196</w:t>
            </w:r>
          </w:p>
        </w:tc>
        <w:tc>
          <w:tcPr>
            <w:tcW w:w="334" w:type="pct"/>
            <w:tcMar>
              <w:left w:w="57" w:type="dxa"/>
              <w:right w:w="57" w:type="dxa"/>
            </w:tcMar>
          </w:tcPr>
          <w:p w14:paraId="339DB227" w14:textId="05986C93" w:rsidR="00B34287" w:rsidRPr="00AE494E" w:rsidRDefault="00276108" w:rsidP="005D7F8C">
            <w:pPr>
              <w:tabs>
                <w:tab w:val="left" w:pos="8280"/>
              </w:tabs>
              <w:spacing w:after="60"/>
              <w:jc w:val="right"/>
              <w:rPr>
                <w:sz w:val="19"/>
                <w:szCs w:val="19"/>
              </w:rPr>
            </w:pPr>
            <w:r>
              <w:rPr>
                <w:sz w:val="19"/>
              </w:rPr>
              <w:t>0</w:t>
            </w:r>
          </w:p>
        </w:tc>
        <w:tc>
          <w:tcPr>
            <w:tcW w:w="458" w:type="pct"/>
            <w:tcMar>
              <w:left w:w="57" w:type="dxa"/>
              <w:right w:w="57" w:type="dxa"/>
            </w:tcMar>
          </w:tcPr>
          <w:p w14:paraId="43C848FA" w14:textId="4389B296" w:rsidR="00B34287" w:rsidRPr="00AE494E" w:rsidRDefault="00B17298" w:rsidP="005D7F8C">
            <w:pPr>
              <w:tabs>
                <w:tab w:val="left" w:pos="8280"/>
              </w:tabs>
              <w:spacing w:after="60"/>
              <w:jc w:val="right"/>
              <w:rPr>
                <w:sz w:val="19"/>
                <w:szCs w:val="19"/>
              </w:rPr>
            </w:pPr>
            <w:r>
              <w:rPr>
                <w:sz w:val="19"/>
              </w:rPr>
              <w:t>250 146</w:t>
            </w:r>
          </w:p>
        </w:tc>
        <w:tc>
          <w:tcPr>
            <w:tcW w:w="335" w:type="pct"/>
            <w:tcMar>
              <w:left w:w="57" w:type="dxa"/>
              <w:right w:w="57" w:type="dxa"/>
            </w:tcMar>
          </w:tcPr>
          <w:p w14:paraId="67D996F7" w14:textId="01E28046" w:rsidR="00B34287" w:rsidRPr="00AE494E" w:rsidRDefault="00276108" w:rsidP="00276108">
            <w:pPr>
              <w:tabs>
                <w:tab w:val="left" w:pos="8280"/>
              </w:tabs>
              <w:spacing w:after="60"/>
              <w:jc w:val="right"/>
              <w:rPr>
                <w:sz w:val="19"/>
                <w:szCs w:val="19"/>
              </w:rPr>
            </w:pPr>
            <w:r>
              <w:rPr>
                <w:sz w:val="19"/>
              </w:rPr>
              <w:t>0</w:t>
            </w:r>
          </w:p>
        </w:tc>
        <w:tc>
          <w:tcPr>
            <w:tcW w:w="458" w:type="pct"/>
            <w:tcMar>
              <w:left w:w="57" w:type="dxa"/>
              <w:right w:w="57" w:type="dxa"/>
            </w:tcMar>
          </w:tcPr>
          <w:p w14:paraId="75A46B3F" w14:textId="2ACDAFCD" w:rsidR="00B34287" w:rsidRPr="00AE494E" w:rsidRDefault="005340F4" w:rsidP="005D7F8C">
            <w:pPr>
              <w:tabs>
                <w:tab w:val="left" w:pos="8280"/>
              </w:tabs>
              <w:spacing w:after="60"/>
              <w:jc w:val="right"/>
              <w:rPr>
                <w:sz w:val="19"/>
                <w:szCs w:val="19"/>
              </w:rPr>
            </w:pPr>
            <w:r>
              <w:rPr>
                <w:sz w:val="19"/>
              </w:rPr>
              <w:t>73 851</w:t>
            </w:r>
          </w:p>
        </w:tc>
        <w:tc>
          <w:tcPr>
            <w:tcW w:w="481" w:type="pct"/>
            <w:tcMar>
              <w:left w:w="57" w:type="dxa"/>
              <w:right w:w="57" w:type="dxa"/>
            </w:tcMar>
          </w:tcPr>
          <w:p w14:paraId="3FB33437" w14:textId="65C2F47B" w:rsidR="00B34287" w:rsidRPr="00AE494E" w:rsidRDefault="00AE7D02" w:rsidP="0023059C">
            <w:pPr>
              <w:tabs>
                <w:tab w:val="left" w:pos="8280"/>
              </w:tabs>
              <w:spacing w:after="60"/>
              <w:jc w:val="right"/>
              <w:rPr>
                <w:sz w:val="19"/>
                <w:szCs w:val="19"/>
              </w:rPr>
            </w:pPr>
            <w:r>
              <w:rPr>
                <w:sz w:val="19"/>
              </w:rPr>
              <w:t>939 789</w:t>
            </w:r>
          </w:p>
        </w:tc>
      </w:tr>
      <w:tr w:rsidR="007733A1" w:rsidRPr="00AE494E" w14:paraId="7965199A" w14:textId="77777777" w:rsidTr="007733A1">
        <w:trPr>
          <w:trHeight w:val="59"/>
        </w:trPr>
        <w:tc>
          <w:tcPr>
            <w:tcW w:w="624" w:type="pct"/>
            <w:vMerge/>
            <w:shd w:val="clear" w:color="auto" w:fill="auto"/>
          </w:tcPr>
          <w:p w14:paraId="31996A7A" w14:textId="77777777" w:rsidR="00B34287" w:rsidRPr="00AE494E" w:rsidRDefault="00B34287" w:rsidP="005D7F8C">
            <w:pPr>
              <w:tabs>
                <w:tab w:val="left" w:pos="8280"/>
              </w:tabs>
              <w:spacing w:after="60"/>
              <w:jc w:val="left"/>
              <w:rPr>
                <w:sz w:val="19"/>
                <w:szCs w:val="19"/>
              </w:rPr>
            </w:pPr>
          </w:p>
        </w:tc>
        <w:tc>
          <w:tcPr>
            <w:tcW w:w="412" w:type="pct"/>
            <w:vMerge w:val="restart"/>
            <w:shd w:val="clear" w:color="auto" w:fill="auto"/>
            <w:vAlign w:val="center"/>
          </w:tcPr>
          <w:p w14:paraId="6596A282" w14:textId="69D1F943" w:rsidR="00B34287" w:rsidRPr="00AE494E" w:rsidRDefault="00B34287" w:rsidP="005D7F8C">
            <w:pPr>
              <w:tabs>
                <w:tab w:val="left" w:pos="8280"/>
              </w:tabs>
              <w:spacing w:after="60"/>
              <w:jc w:val="center"/>
              <w:rPr>
                <w:sz w:val="19"/>
                <w:szCs w:val="19"/>
              </w:rPr>
            </w:pPr>
            <w:r>
              <w:rPr>
                <w:color w:val="000000" w:themeColor="text1"/>
                <w:sz w:val="19"/>
              </w:rPr>
              <w:t>PNUE</w:t>
            </w:r>
          </w:p>
        </w:tc>
        <w:tc>
          <w:tcPr>
            <w:tcW w:w="688" w:type="pct"/>
            <w:shd w:val="clear" w:color="auto" w:fill="auto"/>
          </w:tcPr>
          <w:p w14:paraId="5EE54D69" w14:textId="77777777" w:rsidR="00B34287" w:rsidRPr="00AE494E" w:rsidRDefault="00B34287" w:rsidP="005D7F8C">
            <w:pPr>
              <w:tabs>
                <w:tab w:val="left" w:pos="8280"/>
              </w:tabs>
              <w:spacing w:after="60"/>
              <w:jc w:val="left"/>
              <w:rPr>
                <w:sz w:val="19"/>
                <w:szCs w:val="19"/>
              </w:rPr>
            </w:pPr>
            <w:r>
              <w:rPr>
                <w:sz w:val="19"/>
              </w:rPr>
              <w:t>Coûts de projet</w:t>
            </w:r>
          </w:p>
        </w:tc>
        <w:tc>
          <w:tcPr>
            <w:tcW w:w="434" w:type="pct"/>
            <w:shd w:val="clear" w:color="auto" w:fill="auto"/>
            <w:tcMar>
              <w:left w:w="57" w:type="dxa"/>
              <w:right w:w="57" w:type="dxa"/>
            </w:tcMar>
          </w:tcPr>
          <w:p w14:paraId="1DD79C79" w14:textId="5D94DBE8" w:rsidR="00B34287" w:rsidRPr="00AE494E" w:rsidRDefault="00B13B50" w:rsidP="005D7F8C">
            <w:pPr>
              <w:tabs>
                <w:tab w:val="left" w:pos="8280"/>
              </w:tabs>
              <w:spacing w:after="60"/>
              <w:jc w:val="right"/>
              <w:rPr>
                <w:sz w:val="19"/>
                <w:szCs w:val="19"/>
              </w:rPr>
            </w:pPr>
            <w:r>
              <w:rPr>
                <w:sz w:val="19"/>
              </w:rPr>
              <w:t>2 161 213</w:t>
            </w:r>
          </w:p>
        </w:tc>
        <w:tc>
          <w:tcPr>
            <w:tcW w:w="319" w:type="pct"/>
            <w:tcMar>
              <w:left w:w="57" w:type="dxa"/>
              <w:right w:w="57" w:type="dxa"/>
            </w:tcMar>
          </w:tcPr>
          <w:p w14:paraId="739A93F0" w14:textId="31EAFBEF" w:rsidR="00B34287" w:rsidRPr="00AE494E" w:rsidRDefault="00276108" w:rsidP="005D7F8C">
            <w:pPr>
              <w:tabs>
                <w:tab w:val="left" w:pos="8280"/>
              </w:tabs>
              <w:spacing w:after="60"/>
              <w:jc w:val="right"/>
              <w:rPr>
                <w:sz w:val="19"/>
                <w:szCs w:val="19"/>
              </w:rPr>
            </w:pPr>
            <w:r>
              <w:rPr>
                <w:sz w:val="19"/>
              </w:rPr>
              <w:t>0</w:t>
            </w:r>
          </w:p>
        </w:tc>
        <w:tc>
          <w:tcPr>
            <w:tcW w:w="457" w:type="pct"/>
            <w:tcMar>
              <w:left w:w="57" w:type="dxa"/>
              <w:right w:w="57" w:type="dxa"/>
            </w:tcMar>
          </w:tcPr>
          <w:p w14:paraId="0C2A510E" w14:textId="67EE3468" w:rsidR="00B34287" w:rsidRPr="00AE494E" w:rsidRDefault="00D651D5" w:rsidP="005D7F8C">
            <w:pPr>
              <w:tabs>
                <w:tab w:val="left" w:pos="8280"/>
              </w:tabs>
              <w:spacing w:after="60"/>
              <w:jc w:val="right"/>
              <w:rPr>
                <w:sz w:val="19"/>
                <w:szCs w:val="19"/>
              </w:rPr>
            </w:pPr>
            <w:r>
              <w:rPr>
                <w:sz w:val="19"/>
              </w:rPr>
              <w:t>2 207 463</w:t>
            </w:r>
          </w:p>
        </w:tc>
        <w:tc>
          <w:tcPr>
            <w:tcW w:w="334" w:type="pct"/>
            <w:tcMar>
              <w:left w:w="57" w:type="dxa"/>
              <w:right w:w="57" w:type="dxa"/>
            </w:tcMar>
          </w:tcPr>
          <w:p w14:paraId="4E744B18" w14:textId="4389E499" w:rsidR="00B34287" w:rsidRPr="00AE494E" w:rsidRDefault="00276108" w:rsidP="005D7F8C">
            <w:pPr>
              <w:tabs>
                <w:tab w:val="left" w:pos="8280"/>
              </w:tabs>
              <w:spacing w:after="60"/>
              <w:jc w:val="right"/>
              <w:rPr>
                <w:sz w:val="19"/>
                <w:szCs w:val="19"/>
              </w:rPr>
            </w:pPr>
            <w:r>
              <w:rPr>
                <w:sz w:val="19"/>
              </w:rPr>
              <w:t>0</w:t>
            </w:r>
          </w:p>
        </w:tc>
        <w:tc>
          <w:tcPr>
            <w:tcW w:w="458" w:type="pct"/>
            <w:tcMar>
              <w:left w:w="57" w:type="dxa"/>
              <w:right w:w="57" w:type="dxa"/>
            </w:tcMar>
          </w:tcPr>
          <w:p w14:paraId="5E71BCB8" w14:textId="6750CCF2" w:rsidR="00B34287" w:rsidRPr="00AE494E" w:rsidRDefault="00D651D5" w:rsidP="005D7F8C">
            <w:pPr>
              <w:tabs>
                <w:tab w:val="left" w:pos="8280"/>
              </w:tabs>
              <w:spacing w:after="60"/>
              <w:jc w:val="right"/>
              <w:rPr>
                <w:sz w:val="19"/>
                <w:szCs w:val="19"/>
              </w:rPr>
            </w:pPr>
            <w:r>
              <w:rPr>
                <w:sz w:val="19"/>
              </w:rPr>
              <w:t>1 789 214</w:t>
            </w:r>
          </w:p>
        </w:tc>
        <w:tc>
          <w:tcPr>
            <w:tcW w:w="335" w:type="pct"/>
            <w:tcMar>
              <w:left w:w="57" w:type="dxa"/>
              <w:right w:w="57" w:type="dxa"/>
            </w:tcMar>
          </w:tcPr>
          <w:p w14:paraId="185AD809" w14:textId="20265620" w:rsidR="00B34287" w:rsidRPr="00AE494E" w:rsidRDefault="00276108" w:rsidP="005D7F8C">
            <w:pPr>
              <w:tabs>
                <w:tab w:val="left" w:pos="8280"/>
              </w:tabs>
              <w:spacing w:after="60"/>
              <w:jc w:val="right"/>
              <w:rPr>
                <w:sz w:val="19"/>
                <w:szCs w:val="19"/>
              </w:rPr>
            </w:pPr>
            <w:r>
              <w:rPr>
                <w:sz w:val="19"/>
              </w:rPr>
              <w:t>0</w:t>
            </w:r>
          </w:p>
        </w:tc>
        <w:tc>
          <w:tcPr>
            <w:tcW w:w="458" w:type="pct"/>
            <w:tcMar>
              <w:left w:w="57" w:type="dxa"/>
              <w:right w:w="57" w:type="dxa"/>
            </w:tcMar>
          </w:tcPr>
          <w:p w14:paraId="4C61D95A" w14:textId="6313B1E4" w:rsidR="00B34287" w:rsidRPr="00AE494E" w:rsidRDefault="00D651D5" w:rsidP="005D7F8C">
            <w:pPr>
              <w:tabs>
                <w:tab w:val="left" w:pos="8280"/>
              </w:tabs>
              <w:spacing w:after="60"/>
              <w:jc w:val="right"/>
              <w:rPr>
                <w:sz w:val="19"/>
                <w:szCs w:val="19"/>
              </w:rPr>
            </w:pPr>
            <w:r>
              <w:rPr>
                <w:sz w:val="19"/>
              </w:rPr>
              <w:t>1 218 214</w:t>
            </w:r>
          </w:p>
        </w:tc>
        <w:tc>
          <w:tcPr>
            <w:tcW w:w="481" w:type="pct"/>
            <w:tcMar>
              <w:left w:w="57" w:type="dxa"/>
              <w:right w:w="57" w:type="dxa"/>
            </w:tcMar>
          </w:tcPr>
          <w:p w14:paraId="60DC2ADC" w14:textId="74331DBD" w:rsidR="00B34287" w:rsidRPr="00AE494E" w:rsidRDefault="00D651D5" w:rsidP="005D7F8C">
            <w:pPr>
              <w:tabs>
                <w:tab w:val="left" w:pos="8280"/>
              </w:tabs>
              <w:spacing w:after="60"/>
              <w:jc w:val="right"/>
              <w:rPr>
                <w:sz w:val="19"/>
                <w:szCs w:val="19"/>
              </w:rPr>
            </w:pPr>
            <w:r>
              <w:rPr>
                <w:sz w:val="19"/>
              </w:rPr>
              <w:t>7 376 104</w:t>
            </w:r>
          </w:p>
        </w:tc>
      </w:tr>
      <w:tr w:rsidR="007733A1" w:rsidRPr="00AE494E" w14:paraId="159C8BDC" w14:textId="77777777" w:rsidTr="007733A1">
        <w:trPr>
          <w:trHeight w:val="59"/>
        </w:trPr>
        <w:tc>
          <w:tcPr>
            <w:tcW w:w="624" w:type="pct"/>
            <w:vMerge/>
            <w:shd w:val="clear" w:color="auto" w:fill="auto"/>
          </w:tcPr>
          <w:p w14:paraId="3694276D" w14:textId="77777777" w:rsidR="00B34287" w:rsidRPr="00AE494E" w:rsidRDefault="00B34287" w:rsidP="005D7F8C">
            <w:pPr>
              <w:tabs>
                <w:tab w:val="left" w:pos="8280"/>
              </w:tabs>
              <w:spacing w:after="60"/>
              <w:jc w:val="center"/>
              <w:rPr>
                <w:sz w:val="19"/>
                <w:szCs w:val="19"/>
              </w:rPr>
            </w:pPr>
          </w:p>
        </w:tc>
        <w:tc>
          <w:tcPr>
            <w:tcW w:w="412" w:type="pct"/>
            <w:vMerge/>
            <w:shd w:val="clear" w:color="auto" w:fill="auto"/>
          </w:tcPr>
          <w:p w14:paraId="6CB94B73" w14:textId="77777777" w:rsidR="00B34287" w:rsidRPr="00AE494E" w:rsidRDefault="00B34287" w:rsidP="005D7F8C">
            <w:pPr>
              <w:tabs>
                <w:tab w:val="left" w:pos="8280"/>
              </w:tabs>
              <w:spacing w:after="60"/>
              <w:jc w:val="center"/>
              <w:rPr>
                <w:sz w:val="19"/>
                <w:szCs w:val="19"/>
              </w:rPr>
            </w:pPr>
          </w:p>
        </w:tc>
        <w:tc>
          <w:tcPr>
            <w:tcW w:w="688" w:type="pct"/>
            <w:shd w:val="clear" w:color="auto" w:fill="auto"/>
          </w:tcPr>
          <w:p w14:paraId="1B90663A" w14:textId="77777777" w:rsidR="00B34287" w:rsidRPr="00AE494E" w:rsidRDefault="00B34287" w:rsidP="005D7F8C">
            <w:pPr>
              <w:tabs>
                <w:tab w:val="left" w:pos="8280"/>
              </w:tabs>
              <w:spacing w:after="60"/>
              <w:jc w:val="left"/>
              <w:rPr>
                <w:sz w:val="19"/>
                <w:szCs w:val="19"/>
              </w:rPr>
            </w:pPr>
            <w:r>
              <w:rPr>
                <w:sz w:val="19"/>
              </w:rPr>
              <w:t>Coûts d’appui</w:t>
            </w:r>
          </w:p>
        </w:tc>
        <w:tc>
          <w:tcPr>
            <w:tcW w:w="434" w:type="pct"/>
            <w:shd w:val="clear" w:color="auto" w:fill="auto"/>
            <w:tcMar>
              <w:left w:w="57" w:type="dxa"/>
              <w:right w:w="57" w:type="dxa"/>
            </w:tcMar>
          </w:tcPr>
          <w:p w14:paraId="0DAE84D5" w14:textId="226FFC99" w:rsidR="00B34287" w:rsidRPr="00AE494E" w:rsidRDefault="006C2AFE" w:rsidP="005D7F8C">
            <w:pPr>
              <w:tabs>
                <w:tab w:val="left" w:pos="8280"/>
              </w:tabs>
              <w:spacing w:after="60"/>
              <w:jc w:val="right"/>
              <w:rPr>
                <w:sz w:val="19"/>
                <w:szCs w:val="19"/>
              </w:rPr>
            </w:pPr>
            <w:r>
              <w:rPr>
                <w:sz w:val="19"/>
              </w:rPr>
              <w:t>240 663</w:t>
            </w:r>
          </w:p>
        </w:tc>
        <w:tc>
          <w:tcPr>
            <w:tcW w:w="319" w:type="pct"/>
            <w:tcMar>
              <w:left w:w="57" w:type="dxa"/>
              <w:right w:w="57" w:type="dxa"/>
            </w:tcMar>
          </w:tcPr>
          <w:p w14:paraId="7B2A96F9" w14:textId="1ECFD71E" w:rsidR="00B34287" w:rsidRPr="00AE494E" w:rsidRDefault="00276108" w:rsidP="005D7F8C">
            <w:pPr>
              <w:tabs>
                <w:tab w:val="left" w:pos="8280"/>
              </w:tabs>
              <w:spacing w:after="60"/>
              <w:jc w:val="right"/>
              <w:rPr>
                <w:sz w:val="19"/>
                <w:szCs w:val="19"/>
              </w:rPr>
            </w:pPr>
            <w:r>
              <w:rPr>
                <w:sz w:val="19"/>
              </w:rPr>
              <w:t>0</w:t>
            </w:r>
          </w:p>
        </w:tc>
        <w:tc>
          <w:tcPr>
            <w:tcW w:w="457" w:type="pct"/>
            <w:tcMar>
              <w:left w:w="57" w:type="dxa"/>
              <w:right w:w="57" w:type="dxa"/>
            </w:tcMar>
          </w:tcPr>
          <w:p w14:paraId="2BEEC61E" w14:textId="0555365F" w:rsidR="00B34287" w:rsidRPr="00AE494E" w:rsidRDefault="00F55E66" w:rsidP="005D7F8C">
            <w:pPr>
              <w:tabs>
                <w:tab w:val="left" w:pos="8280"/>
              </w:tabs>
              <w:spacing w:after="60"/>
              <w:jc w:val="right"/>
              <w:rPr>
                <w:sz w:val="19"/>
                <w:szCs w:val="19"/>
              </w:rPr>
            </w:pPr>
            <w:r>
              <w:rPr>
                <w:sz w:val="19"/>
              </w:rPr>
              <w:t>245 814</w:t>
            </w:r>
          </w:p>
        </w:tc>
        <w:tc>
          <w:tcPr>
            <w:tcW w:w="334" w:type="pct"/>
            <w:tcMar>
              <w:left w:w="57" w:type="dxa"/>
              <w:right w:w="57" w:type="dxa"/>
            </w:tcMar>
          </w:tcPr>
          <w:p w14:paraId="023349E3" w14:textId="1C139277" w:rsidR="00B34287" w:rsidRPr="00AE494E" w:rsidRDefault="00276108" w:rsidP="005D7F8C">
            <w:pPr>
              <w:tabs>
                <w:tab w:val="left" w:pos="8280"/>
              </w:tabs>
              <w:spacing w:after="60"/>
              <w:jc w:val="right"/>
              <w:rPr>
                <w:sz w:val="19"/>
                <w:szCs w:val="19"/>
              </w:rPr>
            </w:pPr>
            <w:r>
              <w:rPr>
                <w:sz w:val="19"/>
              </w:rPr>
              <w:t>0</w:t>
            </w:r>
          </w:p>
        </w:tc>
        <w:tc>
          <w:tcPr>
            <w:tcW w:w="458" w:type="pct"/>
            <w:tcMar>
              <w:left w:w="57" w:type="dxa"/>
              <w:right w:w="57" w:type="dxa"/>
            </w:tcMar>
          </w:tcPr>
          <w:p w14:paraId="04A64CE7" w14:textId="62D30CA8" w:rsidR="00B34287" w:rsidRPr="00AE494E" w:rsidRDefault="00F55E66" w:rsidP="005D7F8C">
            <w:pPr>
              <w:tabs>
                <w:tab w:val="left" w:pos="8280"/>
              </w:tabs>
              <w:spacing w:after="60"/>
              <w:jc w:val="right"/>
              <w:rPr>
                <w:sz w:val="19"/>
                <w:szCs w:val="19"/>
              </w:rPr>
            </w:pPr>
            <w:r>
              <w:rPr>
                <w:sz w:val="19"/>
              </w:rPr>
              <w:t>199 239</w:t>
            </w:r>
          </w:p>
        </w:tc>
        <w:tc>
          <w:tcPr>
            <w:tcW w:w="335" w:type="pct"/>
            <w:tcMar>
              <w:left w:w="57" w:type="dxa"/>
              <w:right w:w="57" w:type="dxa"/>
            </w:tcMar>
          </w:tcPr>
          <w:p w14:paraId="62880466" w14:textId="79C2DA65" w:rsidR="00B34287" w:rsidRPr="00AE494E" w:rsidRDefault="00276108" w:rsidP="005D7F8C">
            <w:pPr>
              <w:tabs>
                <w:tab w:val="left" w:pos="8280"/>
              </w:tabs>
              <w:spacing w:after="60"/>
              <w:jc w:val="right"/>
              <w:rPr>
                <w:sz w:val="19"/>
                <w:szCs w:val="19"/>
              </w:rPr>
            </w:pPr>
            <w:r>
              <w:rPr>
                <w:sz w:val="19"/>
              </w:rPr>
              <w:t>0</w:t>
            </w:r>
          </w:p>
        </w:tc>
        <w:tc>
          <w:tcPr>
            <w:tcW w:w="458" w:type="pct"/>
            <w:tcMar>
              <w:left w:w="57" w:type="dxa"/>
              <w:right w:w="57" w:type="dxa"/>
            </w:tcMar>
          </w:tcPr>
          <w:p w14:paraId="7AE0FFAD" w14:textId="7599CD55" w:rsidR="00B34287" w:rsidRPr="00AE494E" w:rsidRDefault="00FB3C18" w:rsidP="005D7F8C">
            <w:pPr>
              <w:tabs>
                <w:tab w:val="left" w:pos="8280"/>
              </w:tabs>
              <w:spacing w:after="60"/>
              <w:jc w:val="right"/>
              <w:rPr>
                <w:sz w:val="19"/>
                <w:szCs w:val="19"/>
              </w:rPr>
            </w:pPr>
            <w:r>
              <w:rPr>
                <w:sz w:val="19"/>
              </w:rPr>
              <w:t>135 655</w:t>
            </w:r>
          </w:p>
        </w:tc>
        <w:tc>
          <w:tcPr>
            <w:tcW w:w="481" w:type="pct"/>
            <w:tcMar>
              <w:left w:w="57" w:type="dxa"/>
              <w:right w:w="57" w:type="dxa"/>
            </w:tcMar>
          </w:tcPr>
          <w:p w14:paraId="24BD84CE" w14:textId="2D344BC0" w:rsidR="00B34287" w:rsidRPr="00AE494E" w:rsidRDefault="00FB3C18" w:rsidP="005D7F8C">
            <w:pPr>
              <w:tabs>
                <w:tab w:val="left" w:pos="8280"/>
              </w:tabs>
              <w:spacing w:after="60"/>
              <w:jc w:val="right"/>
              <w:rPr>
                <w:sz w:val="19"/>
                <w:szCs w:val="19"/>
              </w:rPr>
            </w:pPr>
            <w:r>
              <w:rPr>
                <w:sz w:val="19"/>
              </w:rPr>
              <w:t>821 371</w:t>
            </w:r>
          </w:p>
        </w:tc>
      </w:tr>
      <w:tr w:rsidR="006364C6" w:rsidRPr="00AE494E" w14:paraId="4D26CB33" w14:textId="77777777" w:rsidTr="007733A1">
        <w:trPr>
          <w:trHeight w:val="157"/>
        </w:trPr>
        <w:tc>
          <w:tcPr>
            <w:tcW w:w="1725" w:type="pct"/>
            <w:gridSpan w:val="3"/>
            <w:shd w:val="clear" w:color="auto" w:fill="auto"/>
          </w:tcPr>
          <w:p w14:paraId="31AE332A" w14:textId="33D4B84B" w:rsidR="006364C6" w:rsidRPr="00AE494E" w:rsidRDefault="006364C6" w:rsidP="006364C6">
            <w:pPr>
              <w:tabs>
                <w:tab w:val="left" w:pos="8280"/>
              </w:tabs>
              <w:spacing w:after="60"/>
              <w:jc w:val="left"/>
              <w:rPr>
                <w:sz w:val="19"/>
                <w:szCs w:val="19"/>
              </w:rPr>
            </w:pPr>
            <w:r>
              <w:rPr>
                <w:sz w:val="19"/>
              </w:rPr>
              <w:t>Total des coûts de projet demandés ($ US)</w:t>
            </w:r>
          </w:p>
        </w:tc>
        <w:tc>
          <w:tcPr>
            <w:tcW w:w="434" w:type="pct"/>
            <w:shd w:val="clear" w:color="auto" w:fill="auto"/>
            <w:tcMar>
              <w:left w:w="57" w:type="dxa"/>
              <w:right w:w="57" w:type="dxa"/>
            </w:tcMar>
          </w:tcPr>
          <w:p w14:paraId="02EDAD99" w14:textId="19C171DC" w:rsidR="006364C6" w:rsidRPr="00AE494E" w:rsidRDefault="006364C6" w:rsidP="006364C6">
            <w:pPr>
              <w:tabs>
                <w:tab w:val="left" w:pos="8280"/>
              </w:tabs>
              <w:spacing w:after="60"/>
              <w:jc w:val="right"/>
              <w:rPr>
                <w:sz w:val="19"/>
                <w:szCs w:val="19"/>
              </w:rPr>
            </w:pPr>
            <w:r>
              <w:rPr>
                <w:sz w:val="19"/>
              </w:rPr>
              <w:t>6 869 729</w:t>
            </w:r>
          </w:p>
        </w:tc>
        <w:tc>
          <w:tcPr>
            <w:tcW w:w="319" w:type="pct"/>
            <w:tcMar>
              <w:left w:w="57" w:type="dxa"/>
              <w:right w:w="57" w:type="dxa"/>
            </w:tcMar>
          </w:tcPr>
          <w:p w14:paraId="73298A2A" w14:textId="267C64D4" w:rsidR="006364C6" w:rsidRPr="00AE494E" w:rsidRDefault="00276108" w:rsidP="006364C6">
            <w:pPr>
              <w:tabs>
                <w:tab w:val="left" w:pos="8280"/>
              </w:tabs>
              <w:spacing w:after="60"/>
              <w:jc w:val="right"/>
              <w:rPr>
                <w:sz w:val="19"/>
                <w:szCs w:val="19"/>
              </w:rPr>
            </w:pPr>
            <w:r>
              <w:rPr>
                <w:sz w:val="19"/>
              </w:rPr>
              <w:t>0</w:t>
            </w:r>
          </w:p>
        </w:tc>
        <w:tc>
          <w:tcPr>
            <w:tcW w:w="457" w:type="pct"/>
            <w:tcMar>
              <w:left w:w="57" w:type="dxa"/>
              <w:right w:w="57" w:type="dxa"/>
            </w:tcMar>
          </w:tcPr>
          <w:p w14:paraId="1BA66752" w14:textId="2D39B6E7" w:rsidR="006364C6" w:rsidRPr="00AE494E" w:rsidRDefault="006364C6" w:rsidP="006364C6">
            <w:pPr>
              <w:tabs>
                <w:tab w:val="left" w:pos="8280"/>
              </w:tabs>
              <w:spacing w:after="60"/>
              <w:jc w:val="right"/>
              <w:rPr>
                <w:sz w:val="19"/>
                <w:szCs w:val="19"/>
              </w:rPr>
            </w:pPr>
            <w:r>
              <w:rPr>
                <w:sz w:val="19"/>
              </w:rPr>
              <w:t>6 295 979</w:t>
            </w:r>
          </w:p>
        </w:tc>
        <w:tc>
          <w:tcPr>
            <w:tcW w:w="334" w:type="pct"/>
            <w:tcMar>
              <w:left w:w="57" w:type="dxa"/>
              <w:right w:w="57" w:type="dxa"/>
            </w:tcMar>
          </w:tcPr>
          <w:p w14:paraId="59D67B25" w14:textId="35E6A165" w:rsidR="006364C6" w:rsidRPr="00AE494E" w:rsidRDefault="00276108" w:rsidP="006364C6">
            <w:pPr>
              <w:tabs>
                <w:tab w:val="left" w:pos="8280"/>
              </w:tabs>
              <w:spacing w:after="60"/>
              <w:jc w:val="right"/>
              <w:rPr>
                <w:sz w:val="19"/>
                <w:szCs w:val="19"/>
              </w:rPr>
            </w:pPr>
            <w:r>
              <w:rPr>
                <w:sz w:val="19"/>
              </w:rPr>
              <w:t>0</w:t>
            </w:r>
          </w:p>
        </w:tc>
        <w:tc>
          <w:tcPr>
            <w:tcW w:w="458" w:type="pct"/>
            <w:tcMar>
              <w:left w:w="57" w:type="dxa"/>
              <w:right w:w="57" w:type="dxa"/>
            </w:tcMar>
          </w:tcPr>
          <w:p w14:paraId="143F29CA" w14:textId="1A2A7551" w:rsidR="006364C6" w:rsidRPr="00AE494E" w:rsidRDefault="006364C6" w:rsidP="006364C6">
            <w:pPr>
              <w:tabs>
                <w:tab w:val="left" w:pos="8280"/>
              </w:tabs>
              <w:spacing w:after="60"/>
              <w:jc w:val="right"/>
              <w:rPr>
                <w:sz w:val="19"/>
                <w:szCs w:val="19"/>
              </w:rPr>
            </w:pPr>
            <w:r>
              <w:rPr>
                <w:sz w:val="19"/>
              </w:rPr>
              <w:t>5 362 730</w:t>
            </w:r>
          </w:p>
        </w:tc>
        <w:tc>
          <w:tcPr>
            <w:tcW w:w="335" w:type="pct"/>
            <w:tcMar>
              <w:left w:w="57" w:type="dxa"/>
              <w:right w:w="57" w:type="dxa"/>
            </w:tcMar>
          </w:tcPr>
          <w:p w14:paraId="0F691E39" w14:textId="43414D8D" w:rsidR="006364C6" w:rsidRPr="00AE494E" w:rsidRDefault="00276108" w:rsidP="006364C6">
            <w:pPr>
              <w:tabs>
                <w:tab w:val="left" w:pos="8280"/>
              </w:tabs>
              <w:spacing w:after="60"/>
              <w:jc w:val="right"/>
              <w:rPr>
                <w:sz w:val="19"/>
                <w:szCs w:val="19"/>
              </w:rPr>
            </w:pPr>
            <w:r>
              <w:rPr>
                <w:sz w:val="19"/>
              </w:rPr>
              <w:t>0</w:t>
            </w:r>
          </w:p>
        </w:tc>
        <w:tc>
          <w:tcPr>
            <w:tcW w:w="458" w:type="pct"/>
            <w:tcMar>
              <w:left w:w="57" w:type="dxa"/>
              <w:right w:w="57" w:type="dxa"/>
            </w:tcMar>
          </w:tcPr>
          <w:p w14:paraId="5632DAB6" w14:textId="69E35D25" w:rsidR="006364C6" w:rsidRPr="00AE494E" w:rsidRDefault="006364C6" w:rsidP="006364C6">
            <w:pPr>
              <w:tabs>
                <w:tab w:val="left" w:pos="8280"/>
              </w:tabs>
              <w:spacing w:after="60"/>
              <w:jc w:val="right"/>
              <w:rPr>
                <w:sz w:val="19"/>
                <w:szCs w:val="19"/>
              </w:rPr>
            </w:pPr>
            <w:r>
              <w:rPr>
                <w:sz w:val="19"/>
              </w:rPr>
              <w:t>2 273 230</w:t>
            </w:r>
          </w:p>
        </w:tc>
        <w:tc>
          <w:tcPr>
            <w:tcW w:w="481" w:type="pct"/>
            <w:tcMar>
              <w:left w:w="57" w:type="dxa"/>
              <w:right w:w="57" w:type="dxa"/>
            </w:tcMar>
          </w:tcPr>
          <w:p w14:paraId="77FD5806" w14:textId="52794189" w:rsidR="006364C6" w:rsidRPr="00AE494E" w:rsidRDefault="006364C6" w:rsidP="006364C6">
            <w:pPr>
              <w:tabs>
                <w:tab w:val="left" w:pos="8280"/>
              </w:tabs>
              <w:spacing w:after="60"/>
              <w:jc w:val="right"/>
              <w:rPr>
                <w:sz w:val="19"/>
                <w:szCs w:val="19"/>
              </w:rPr>
            </w:pPr>
            <w:r>
              <w:rPr>
                <w:sz w:val="19"/>
              </w:rPr>
              <w:t>20 801 668</w:t>
            </w:r>
          </w:p>
        </w:tc>
      </w:tr>
      <w:tr w:rsidR="00507283" w:rsidRPr="00AE494E" w14:paraId="30F65A8D" w14:textId="77777777" w:rsidTr="007733A1">
        <w:trPr>
          <w:trHeight w:val="201"/>
        </w:trPr>
        <w:tc>
          <w:tcPr>
            <w:tcW w:w="1725" w:type="pct"/>
            <w:gridSpan w:val="3"/>
            <w:shd w:val="clear" w:color="auto" w:fill="auto"/>
          </w:tcPr>
          <w:p w14:paraId="644E4874" w14:textId="4DC89C4A" w:rsidR="00B34287" w:rsidRPr="00AE494E" w:rsidRDefault="00B34287" w:rsidP="006122FD">
            <w:pPr>
              <w:tabs>
                <w:tab w:val="left" w:pos="8280"/>
              </w:tabs>
              <w:spacing w:after="60"/>
              <w:ind w:right="-52"/>
              <w:jc w:val="left"/>
              <w:rPr>
                <w:sz w:val="19"/>
                <w:szCs w:val="19"/>
              </w:rPr>
            </w:pPr>
            <w:r>
              <w:rPr>
                <w:sz w:val="19"/>
              </w:rPr>
              <w:t>Total des coûts d’appui demandés ($ US)</w:t>
            </w:r>
          </w:p>
        </w:tc>
        <w:tc>
          <w:tcPr>
            <w:tcW w:w="434" w:type="pct"/>
            <w:shd w:val="clear" w:color="auto" w:fill="auto"/>
            <w:tcMar>
              <w:left w:w="57" w:type="dxa"/>
              <w:right w:w="57" w:type="dxa"/>
            </w:tcMar>
          </w:tcPr>
          <w:p w14:paraId="2A3E7DAF" w14:textId="15B2051F" w:rsidR="00B34287" w:rsidRPr="00AE494E" w:rsidRDefault="00BD2F6D" w:rsidP="005D7F8C">
            <w:pPr>
              <w:tabs>
                <w:tab w:val="left" w:pos="8280"/>
              </w:tabs>
              <w:spacing w:after="60"/>
              <w:jc w:val="right"/>
              <w:rPr>
                <w:sz w:val="19"/>
                <w:szCs w:val="19"/>
              </w:rPr>
            </w:pPr>
            <w:r>
              <w:rPr>
                <w:sz w:val="19"/>
              </w:rPr>
              <w:t>570 259</w:t>
            </w:r>
          </w:p>
        </w:tc>
        <w:tc>
          <w:tcPr>
            <w:tcW w:w="319" w:type="pct"/>
            <w:tcMar>
              <w:left w:w="57" w:type="dxa"/>
              <w:right w:w="57" w:type="dxa"/>
            </w:tcMar>
          </w:tcPr>
          <w:p w14:paraId="3A68597F" w14:textId="0D34E512" w:rsidR="00B34287" w:rsidRPr="00AE494E" w:rsidRDefault="00276108" w:rsidP="005D7F8C">
            <w:pPr>
              <w:tabs>
                <w:tab w:val="left" w:pos="8280"/>
              </w:tabs>
              <w:spacing w:after="60"/>
              <w:jc w:val="right"/>
              <w:rPr>
                <w:sz w:val="19"/>
                <w:szCs w:val="19"/>
              </w:rPr>
            </w:pPr>
            <w:r>
              <w:rPr>
                <w:sz w:val="19"/>
              </w:rPr>
              <w:t>0</w:t>
            </w:r>
          </w:p>
        </w:tc>
        <w:tc>
          <w:tcPr>
            <w:tcW w:w="457" w:type="pct"/>
            <w:tcMar>
              <w:left w:w="57" w:type="dxa"/>
              <w:right w:w="57" w:type="dxa"/>
            </w:tcMar>
          </w:tcPr>
          <w:p w14:paraId="503E3C72" w14:textId="287A749D" w:rsidR="00B34287" w:rsidRPr="00AE494E" w:rsidRDefault="001B3B0C" w:rsidP="005D7F8C">
            <w:pPr>
              <w:tabs>
                <w:tab w:val="left" w:pos="8280"/>
              </w:tabs>
              <w:spacing w:after="60"/>
              <w:jc w:val="right"/>
              <w:rPr>
                <w:sz w:val="19"/>
                <w:szCs w:val="19"/>
              </w:rPr>
            </w:pPr>
            <w:r>
              <w:rPr>
                <w:sz w:val="19"/>
              </w:rPr>
              <w:t>532 010</w:t>
            </w:r>
          </w:p>
        </w:tc>
        <w:tc>
          <w:tcPr>
            <w:tcW w:w="334" w:type="pct"/>
            <w:tcMar>
              <w:left w:w="57" w:type="dxa"/>
              <w:right w:w="57" w:type="dxa"/>
            </w:tcMar>
          </w:tcPr>
          <w:p w14:paraId="7EA1BD0C" w14:textId="6BCA6213" w:rsidR="00B34287" w:rsidRPr="00AE494E" w:rsidRDefault="00276108" w:rsidP="005D7F8C">
            <w:pPr>
              <w:tabs>
                <w:tab w:val="left" w:pos="8280"/>
              </w:tabs>
              <w:spacing w:after="60"/>
              <w:jc w:val="right"/>
              <w:rPr>
                <w:sz w:val="19"/>
                <w:szCs w:val="19"/>
              </w:rPr>
            </w:pPr>
            <w:r>
              <w:rPr>
                <w:sz w:val="19"/>
              </w:rPr>
              <w:t>0</w:t>
            </w:r>
          </w:p>
        </w:tc>
        <w:tc>
          <w:tcPr>
            <w:tcW w:w="458" w:type="pct"/>
            <w:tcMar>
              <w:left w:w="57" w:type="dxa"/>
              <w:right w:w="57" w:type="dxa"/>
            </w:tcMar>
          </w:tcPr>
          <w:p w14:paraId="1DDE7B2F" w14:textId="18B2D807" w:rsidR="00B34287" w:rsidRPr="00CD274D" w:rsidRDefault="007A61F7" w:rsidP="005D7F8C">
            <w:pPr>
              <w:tabs>
                <w:tab w:val="left" w:pos="8280"/>
              </w:tabs>
              <w:spacing w:after="60"/>
              <w:jc w:val="right"/>
              <w:rPr>
                <w:sz w:val="19"/>
                <w:szCs w:val="19"/>
              </w:rPr>
            </w:pPr>
            <w:r>
              <w:rPr>
                <w:sz w:val="19"/>
              </w:rPr>
              <w:t>449 385</w:t>
            </w:r>
          </w:p>
        </w:tc>
        <w:tc>
          <w:tcPr>
            <w:tcW w:w="335" w:type="pct"/>
            <w:tcMar>
              <w:left w:w="57" w:type="dxa"/>
              <w:right w:w="57" w:type="dxa"/>
            </w:tcMar>
          </w:tcPr>
          <w:p w14:paraId="0E8DF7F8" w14:textId="10958218" w:rsidR="00B34287" w:rsidRPr="00AE494E" w:rsidRDefault="00276108" w:rsidP="005D7F8C">
            <w:pPr>
              <w:tabs>
                <w:tab w:val="left" w:pos="8280"/>
              </w:tabs>
              <w:spacing w:after="60"/>
              <w:jc w:val="right"/>
              <w:rPr>
                <w:sz w:val="19"/>
                <w:szCs w:val="19"/>
              </w:rPr>
            </w:pPr>
            <w:r>
              <w:rPr>
                <w:sz w:val="19"/>
              </w:rPr>
              <w:t>0</w:t>
            </w:r>
          </w:p>
        </w:tc>
        <w:tc>
          <w:tcPr>
            <w:tcW w:w="458" w:type="pct"/>
            <w:tcMar>
              <w:left w:w="57" w:type="dxa"/>
              <w:right w:w="57" w:type="dxa"/>
            </w:tcMar>
          </w:tcPr>
          <w:p w14:paraId="7B287D6E" w14:textId="422BEFD2" w:rsidR="00B34287" w:rsidRPr="00AE494E" w:rsidRDefault="00853456" w:rsidP="005D7F8C">
            <w:pPr>
              <w:tabs>
                <w:tab w:val="left" w:pos="8280"/>
              </w:tabs>
              <w:spacing w:after="60"/>
              <w:jc w:val="right"/>
              <w:rPr>
                <w:sz w:val="19"/>
                <w:szCs w:val="19"/>
              </w:rPr>
            </w:pPr>
            <w:r>
              <w:rPr>
                <w:sz w:val="19"/>
              </w:rPr>
              <w:t>209 506</w:t>
            </w:r>
          </w:p>
        </w:tc>
        <w:tc>
          <w:tcPr>
            <w:tcW w:w="481" w:type="pct"/>
            <w:tcMar>
              <w:left w:w="57" w:type="dxa"/>
              <w:right w:w="57" w:type="dxa"/>
            </w:tcMar>
          </w:tcPr>
          <w:p w14:paraId="5B60F07A" w14:textId="0A20A6CE" w:rsidR="00B34287" w:rsidRPr="00AE494E" w:rsidRDefault="004E310B" w:rsidP="005D7F8C">
            <w:pPr>
              <w:tabs>
                <w:tab w:val="left" w:pos="8280"/>
              </w:tabs>
              <w:spacing w:after="60"/>
              <w:jc w:val="right"/>
              <w:rPr>
                <w:sz w:val="19"/>
                <w:szCs w:val="19"/>
              </w:rPr>
            </w:pPr>
            <w:r>
              <w:rPr>
                <w:sz w:val="19"/>
              </w:rPr>
              <w:t>1 761 160</w:t>
            </w:r>
          </w:p>
        </w:tc>
      </w:tr>
      <w:tr w:rsidR="00507283" w:rsidRPr="00AE494E" w14:paraId="009AACE6" w14:textId="77777777" w:rsidTr="007733A1">
        <w:trPr>
          <w:trHeight w:val="95"/>
        </w:trPr>
        <w:tc>
          <w:tcPr>
            <w:tcW w:w="1725" w:type="pct"/>
            <w:gridSpan w:val="3"/>
            <w:shd w:val="clear" w:color="auto" w:fill="auto"/>
          </w:tcPr>
          <w:p w14:paraId="75FCB214" w14:textId="4B04CEC3" w:rsidR="00B34287" w:rsidRPr="00AE494E" w:rsidRDefault="00B34287" w:rsidP="006122FD">
            <w:pPr>
              <w:tabs>
                <w:tab w:val="left" w:pos="8280"/>
              </w:tabs>
              <w:spacing w:after="60"/>
              <w:ind w:right="-52"/>
              <w:jc w:val="left"/>
              <w:rPr>
                <w:sz w:val="19"/>
                <w:szCs w:val="19"/>
              </w:rPr>
            </w:pPr>
            <w:r>
              <w:rPr>
                <w:sz w:val="19"/>
              </w:rPr>
              <w:t>Total des fonds demandés ($ US)</w:t>
            </w:r>
          </w:p>
        </w:tc>
        <w:tc>
          <w:tcPr>
            <w:tcW w:w="434" w:type="pct"/>
            <w:shd w:val="clear" w:color="auto" w:fill="auto"/>
            <w:tcMar>
              <w:left w:w="57" w:type="dxa"/>
              <w:right w:w="57" w:type="dxa"/>
            </w:tcMar>
          </w:tcPr>
          <w:p w14:paraId="7A48A7D1" w14:textId="6CACA917" w:rsidR="00B34287" w:rsidRPr="00AE494E" w:rsidRDefault="00963628" w:rsidP="00963628">
            <w:pPr>
              <w:tabs>
                <w:tab w:val="left" w:pos="390"/>
                <w:tab w:val="left" w:pos="8280"/>
              </w:tabs>
              <w:spacing w:after="60"/>
              <w:jc w:val="right"/>
              <w:rPr>
                <w:sz w:val="19"/>
                <w:szCs w:val="19"/>
              </w:rPr>
            </w:pPr>
            <w:r>
              <w:rPr>
                <w:sz w:val="19"/>
              </w:rPr>
              <w:t>7 439 988</w:t>
            </w:r>
          </w:p>
        </w:tc>
        <w:tc>
          <w:tcPr>
            <w:tcW w:w="319" w:type="pct"/>
            <w:tcMar>
              <w:left w:w="57" w:type="dxa"/>
              <w:right w:w="57" w:type="dxa"/>
            </w:tcMar>
          </w:tcPr>
          <w:p w14:paraId="505AF52F" w14:textId="4144A507" w:rsidR="00B34287" w:rsidRPr="00AE494E" w:rsidRDefault="00276108" w:rsidP="005D7F8C">
            <w:pPr>
              <w:tabs>
                <w:tab w:val="left" w:pos="8280"/>
              </w:tabs>
              <w:spacing w:after="60"/>
              <w:jc w:val="right"/>
              <w:rPr>
                <w:sz w:val="19"/>
                <w:szCs w:val="19"/>
              </w:rPr>
            </w:pPr>
            <w:r>
              <w:rPr>
                <w:sz w:val="19"/>
              </w:rPr>
              <w:t>0</w:t>
            </w:r>
          </w:p>
        </w:tc>
        <w:tc>
          <w:tcPr>
            <w:tcW w:w="457" w:type="pct"/>
            <w:tcMar>
              <w:left w:w="57" w:type="dxa"/>
              <w:right w:w="57" w:type="dxa"/>
            </w:tcMar>
          </w:tcPr>
          <w:p w14:paraId="4C7CFA71" w14:textId="4A867BCE" w:rsidR="00B34287" w:rsidRPr="00AE494E" w:rsidRDefault="00C04A96" w:rsidP="005D7F8C">
            <w:pPr>
              <w:tabs>
                <w:tab w:val="left" w:pos="8280"/>
              </w:tabs>
              <w:spacing w:after="60"/>
              <w:jc w:val="right"/>
              <w:rPr>
                <w:sz w:val="19"/>
                <w:szCs w:val="19"/>
              </w:rPr>
            </w:pPr>
            <w:r>
              <w:rPr>
                <w:sz w:val="19"/>
              </w:rPr>
              <w:t>6 827 989</w:t>
            </w:r>
          </w:p>
        </w:tc>
        <w:tc>
          <w:tcPr>
            <w:tcW w:w="334" w:type="pct"/>
            <w:tcMar>
              <w:left w:w="57" w:type="dxa"/>
              <w:right w:w="57" w:type="dxa"/>
            </w:tcMar>
          </w:tcPr>
          <w:p w14:paraId="71A0B03E" w14:textId="4E21708E" w:rsidR="00B34287" w:rsidRPr="00AE494E" w:rsidRDefault="00276108" w:rsidP="005D7F8C">
            <w:pPr>
              <w:tabs>
                <w:tab w:val="left" w:pos="8280"/>
              </w:tabs>
              <w:spacing w:after="60"/>
              <w:jc w:val="right"/>
              <w:rPr>
                <w:sz w:val="19"/>
                <w:szCs w:val="19"/>
              </w:rPr>
            </w:pPr>
            <w:r>
              <w:rPr>
                <w:sz w:val="19"/>
              </w:rPr>
              <w:t>0</w:t>
            </w:r>
          </w:p>
        </w:tc>
        <w:tc>
          <w:tcPr>
            <w:tcW w:w="458" w:type="pct"/>
            <w:tcMar>
              <w:left w:w="57" w:type="dxa"/>
              <w:right w:w="57" w:type="dxa"/>
            </w:tcMar>
          </w:tcPr>
          <w:p w14:paraId="3C9629A5" w14:textId="3E8F9E0C" w:rsidR="00B34287" w:rsidRPr="00AE494E" w:rsidRDefault="00AA407B" w:rsidP="005D7F8C">
            <w:pPr>
              <w:tabs>
                <w:tab w:val="left" w:pos="8280"/>
              </w:tabs>
              <w:spacing w:after="60"/>
              <w:jc w:val="right"/>
              <w:rPr>
                <w:sz w:val="19"/>
                <w:szCs w:val="19"/>
              </w:rPr>
            </w:pPr>
            <w:r>
              <w:rPr>
                <w:sz w:val="19"/>
              </w:rPr>
              <w:t>5 812 115</w:t>
            </w:r>
          </w:p>
        </w:tc>
        <w:tc>
          <w:tcPr>
            <w:tcW w:w="335" w:type="pct"/>
            <w:tcMar>
              <w:left w:w="57" w:type="dxa"/>
              <w:right w:w="57" w:type="dxa"/>
            </w:tcMar>
          </w:tcPr>
          <w:p w14:paraId="2C1EB645" w14:textId="52AC9EC5" w:rsidR="00B34287" w:rsidRPr="00AE494E" w:rsidRDefault="00276108" w:rsidP="005D7F8C">
            <w:pPr>
              <w:tabs>
                <w:tab w:val="left" w:pos="8280"/>
              </w:tabs>
              <w:spacing w:after="60"/>
              <w:jc w:val="right"/>
              <w:rPr>
                <w:sz w:val="19"/>
                <w:szCs w:val="19"/>
              </w:rPr>
            </w:pPr>
            <w:r>
              <w:rPr>
                <w:sz w:val="19"/>
              </w:rPr>
              <w:t>0</w:t>
            </w:r>
          </w:p>
        </w:tc>
        <w:tc>
          <w:tcPr>
            <w:tcW w:w="458" w:type="pct"/>
            <w:tcMar>
              <w:left w:w="57" w:type="dxa"/>
              <w:right w:w="57" w:type="dxa"/>
            </w:tcMar>
          </w:tcPr>
          <w:p w14:paraId="67C860CD" w14:textId="3D318BD1" w:rsidR="00B34287" w:rsidRPr="00AE494E" w:rsidRDefault="000C4F11" w:rsidP="005D7F8C">
            <w:pPr>
              <w:tabs>
                <w:tab w:val="left" w:pos="8280"/>
              </w:tabs>
              <w:spacing w:after="60"/>
              <w:jc w:val="right"/>
              <w:rPr>
                <w:sz w:val="19"/>
                <w:szCs w:val="19"/>
              </w:rPr>
            </w:pPr>
            <w:r>
              <w:rPr>
                <w:sz w:val="19"/>
              </w:rPr>
              <w:t>2 482 736</w:t>
            </w:r>
          </w:p>
        </w:tc>
        <w:tc>
          <w:tcPr>
            <w:tcW w:w="481" w:type="pct"/>
            <w:tcMar>
              <w:left w:w="57" w:type="dxa"/>
              <w:right w:w="57" w:type="dxa"/>
            </w:tcMar>
          </w:tcPr>
          <w:p w14:paraId="0D368BB7" w14:textId="554F2B71" w:rsidR="00B34287" w:rsidRPr="00AE494E" w:rsidRDefault="005E2D6D" w:rsidP="005D7F8C">
            <w:pPr>
              <w:tabs>
                <w:tab w:val="left" w:pos="8280"/>
              </w:tabs>
              <w:spacing w:after="60"/>
              <w:jc w:val="right"/>
              <w:rPr>
                <w:sz w:val="19"/>
                <w:szCs w:val="19"/>
              </w:rPr>
            </w:pPr>
            <w:r>
              <w:rPr>
                <w:sz w:val="19"/>
              </w:rPr>
              <w:t>22 562 828</w:t>
            </w:r>
          </w:p>
        </w:tc>
      </w:tr>
      <w:bookmarkEnd w:id="0"/>
    </w:tbl>
    <w:p w14:paraId="48E7969F" w14:textId="3AEDACE3" w:rsidR="004177A6" w:rsidRPr="001F4E08" w:rsidRDefault="004177A6" w:rsidP="002047D4">
      <w:pPr>
        <w:ind w:left="-426" w:right="-561"/>
        <w:rPr>
          <w:sz w:val="18"/>
          <w:szCs w:val="18"/>
        </w:rPr>
      </w:pPr>
    </w:p>
    <w:tbl>
      <w:tblPr>
        <w:tblStyle w:val="TableGrid10"/>
        <w:tblW w:w="5775" w:type="pct"/>
        <w:tblInd w:w="-725" w:type="dxa"/>
        <w:tblLook w:val="04A0" w:firstRow="1" w:lastRow="0" w:firstColumn="1" w:lastColumn="0" w:noHBand="0" w:noVBand="1"/>
      </w:tblPr>
      <w:tblGrid>
        <w:gridCol w:w="3963"/>
        <w:gridCol w:w="3404"/>
        <w:gridCol w:w="3432"/>
      </w:tblGrid>
      <w:tr w:rsidR="004177A6" w:rsidRPr="00EB31E3" w14:paraId="0AC30F91" w14:textId="77777777" w:rsidTr="007733A1">
        <w:trPr>
          <w:trHeight w:hRule="exact" w:val="272"/>
        </w:trPr>
        <w:tc>
          <w:tcPr>
            <w:tcW w:w="5000" w:type="pct"/>
            <w:gridSpan w:val="3"/>
            <w:shd w:val="clear" w:color="auto" w:fill="auto"/>
          </w:tcPr>
          <w:p w14:paraId="778A2BE6" w14:textId="3452FA3D" w:rsidR="004177A6" w:rsidRPr="00996241" w:rsidRDefault="004177A6" w:rsidP="009D02B5">
            <w:pPr>
              <w:spacing w:after="120"/>
              <w:rPr>
                <w:b/>
                <w:color w:val="000000" w:themeColor="text1"/>
                <w:sz w:val="20"/>
              </w:rPr>
            </w:pPr>
            <w:r>
              <w:rPr>
                <w:b/>
                <w:color w:val="000000" w:themeColor="text1"/>
                <w:sz w:val="20"/>
              </w:rPr>
              <w:t>(VII) Demande d’approbation du financement pour la première tranche (2024)</w:t>
            </w:r>
          </w:p>
        </w:tc>
      </w:tr>
      <w:tr w:rsidR="004177A6" w:rsidRPr="00EB31E3" w14:paraId="58033D9A" w14:textId="77777777" w:rsidTr="007733A1">
        <w:trPr>
          <w:trHeight w:hRule="exact" w:val="272"/>
        </w:trPr>
        <w:tc>
          <w:tcPr>
            <w:tcW w:w="1835" w:type="pct"/>
            <w:shd w:val="clear" w:color="auto" w:fill="auto"/>
          </w:tcPr>
          <w:p w14:paraId="7838EEA3" w14:textId="77777777" w:rsidR="004177A6" w:rsidRPr="009931F4" w:rsidRDefault="004177A6" w:rsidP="009D02B5">
            <w:pPr>
              <w:jc w:val="center"/>
              <w:rPr>
                <w:b/>
                <w:color w:val="000000" w:themeColor="text1"/>
                <w:sz w:val="20"/>
              </w:rPr>
            </w:pPr>
            <w:r>
              <w:rPr>
                <w:b/>
                <w:color w:val="000000" w:themeColor="text1"/>
                <w:sz w:val="20"/>
              </w:rPr>
              <w:t>Agence d’exécution</w:t>
            </w:r>
          </w:p>
        </w:tc>
        <w:tc>
          <w:tcPr>
            <w:tcW w:w="1576" w:type="pct"/>
            <w:shd w:val="clear" w:color="auto" w:fill="auto"/>
          </w:tcPr>
          <w:p w14:paraId="3B27CF90" w14:textId="77777777" w:rsidR="004177A6" w:rsidRPr="00996241" w:rsidRDefault="004177A6" w:rsidP="009D02B5">
            <w:pPr>
              <w:jc w:val="center"/>
              <w:rPr>
                <w:b/>
                <w:color w:val="000000" w:themeColor="text1"/>
                <w:sz w:val="20"/>
              </w:rPr>
            </w:pPr>
            <w:r>
              <w:rPr>
                <w:b/>
                <w:color w:val="000000" w:themeColor="text1"/>
                <w:sz w:val="20"/>
              </w:rPr>
              <w:t>Financement recommandé ($ US)</w:t>
            </w:r>
          </w:p>
        </w:tc>
        <w:tc>
          <w:tcPr>
            <w:tcW w:w="1589" w:type="pct"/>
            <w:shd w:val="clear" w:color="auto" w:fill="auto"/>
          </w:tcPr>
          <w:p w14:paraId="015293F8" w14:textId="77777777" w:rsidR="004177A6" w:rsidRPr="00996241" w:rsidRDefault="004177A6" w:rsidP="009D02B5">
            <w:pPr>
              <w:jc w:val="center"/>
              <w:rPr>
                <w:b/>
                <w:color w:val="000000" w:themeColor="text1"/>
                <w:sz w:val="20"/>
              </w:rPr>
            </w:pPr>
            <w:r>
              <w:rPr>
                <w:b/>
                <w:color w:val="000000" w:themeColor="text1"/>
                <w:sz w:val="20"/>
              </w:rPr>
              <w:t>Coûts d’appui ($ US)</w:t>
            </w:r>
          </w:p>
        </w:tc>
      </w:tr>
      <w:tr w:rsidR="004177A6" w:rsidRPr="00EB31E3" w14:paraId="567D13D9" w14:textId="77777777" w:rsidTr="007733A1">
        <w:trPr>
          <w:trHeight w:hRule="exact" w:val="272"/>
        </w:trPr>
        <w:tc>
          <w:tcPr>
            <w:tcW w:w="1835" w:type="pct"/>
            <w:shd w:val="clear" w:color="auto" w:fill="auto"/>
          </w:tcPr>
          <w:p w14:paraId="0F5F12BE" w14:textId="10EB9E6D" w:rsidR="004177A6" w:rsidRPr="00996241" w:rsidRDefault="00DF0D1A" w:rsidP="009D02B5">
            <w:pPr>
              <w:rPr>
                <w:color w:val="000000" w:themeColor="text1"/>
                <w:sz w:val="20"/>
              </w:rPr>
            </w:pPr>
            <w:r>
              <w:rPr>
                <w:color w:val="000000" w:themeColor="text1"/>
                <w:sz w:val="20"/>
              </w:rPr>
              <w:t>ONUDI</w:t>
            </w:r>
          </w:p>
        </w:tc>
        <w:tc>
          <w:tcPr>
            <w:tcW w:w="1576" w:type="pct"/>
            <w:shd w:val="clear" w:color="auto" w:fill="auto"/>
          </w:tcPr>
          <w:p w14:paraId="4D5EC123" w14:textId="022DEB24" w:rsidR="004177A6" w:rsidRPr="00996241" w:rsidRDefault="0044627D" w:rsidP="009D02B5">
            <w:pPr>
              <w:jc w:val="right"/>
              <w:rPr>
                <w:color w:val="000000" w:themeColor="text1"/>
                <w:sz w:val="20"/>
              </w:rPr>
            </w:pPr>
            <w:r>
              <w:rPr>
                <w:color w:val="000000" w:themeColor="text1"/>
                <w:sz w:val="20"/>
              </w:rPr>
              <w:t>4 708 516</w:t>
            </w:r>
          </w:p>
        </w:tc>
        <w:tc>
          <w:tcPr>
            <w:tcW w:w="1589" w:type="pct"/>
            <w:shd w:val="clear" w:color="auto" w:fill="auto"/>
          </w:tcPr>
          <w:p w14:paraId="47244BCF" w14:textId="29A9D15F" w:rsidR="004177A6" w:rsidRPr="00996241" w:rsidRDefault="005607AA" w:rsidP="009D02B5">
            <w:pPr>
              <w:jc w:val="right"/>
              <w:rPr>
                <w:color w:val="000000" w:themeColor="text1"/>
                <w:sz w:val="20"/>
              </w:rPr>
            </w:pPr>
            <w:r>
              <w:rPr>
                <w:color w:val="000000" w:themeColor="text1"/>
                <w:sz w:val="20"/>
              </w:rPr>
              <w:t>329 596</w:t>
            </w:r>
          </w:p>
        </w:tc>
      </w:tr>
      <w:tr w:rsidR="004177A6" w:rsidRPr="00EB31E3" w14:paraId="445D70AE" w14:textId="77777777" w:rsidTr="007733A1">
        <w:trPr>
          <w:trHeight w:hRule="exact" w:val="272"/>
        </w:trPr>
        <w:tc>
          <w:tcPr>
            <w:tcW w:w="1835" w:type="pct"/>
            <w:shd w:val="clear" w:color="auto" w:fill="auto"/>
          </w:tcPr>
          <w:p w14:paraId="176F48E5" w14:textId="503E45EC" w:rsidR="004177A6" w:rsidRPr="009931F4" w:rsidRDefault="00DF0D1A" w:rsidP="009D02B5">
            <w:pPr>
              <w:rPr>
                <w:color w:val="000000" w:themeColor="text1"/>
                <w:sz w:val="20"/>
              </w:rPr>
            </w:pPr>
            <w:r>
              <w:rPr>
                <w:color w:val="000000" w:themeColor="text1"/>
                <w:sz w:val="20"/>
              </w:rPr>
              <w:t>PNUE</w:t>
            </w:r>
          </w:p>
        </w:tc>
        <w:tc>
          <w:tcPr>
            <w:tcW w:w="1576" w:type="pct"/>
            <w:shd w:val="clear" w:color="auto" w:fill="auto"/>
          </w:tcPr>
          <w:p w14:paraId="234C4399" w14:textId="678C242C" w:rsidR="004177A6" w:rsidRPr="00996241" w:rsidRDefault="006D557E" w:rsidP="009D02B5">
            <w:pPr>
              <w:jc w:val="right"/>
              <w:rPr>
                <w:color w:val="000000" w:themeColor="text1"/>
                <w:sz w:val="20"/>
              </w:rPr>
            </w:pPr>
            <w:r>
              <w:rPr>
                <w:color w:val="000000" w:themeColor="text1"/>
                <w:sz w:val="20"/>
              </w:rPr>
              <w:t>2 161 213</w:t>
            </w:r>
          </w:p>
        </w:tc>
        <w:tc>
          <w:tcPr>
            <w:tcW w:w="1589" w:type="pct"/>
            <w:shd w:val="clear" w:color="auto" w:fill="auto"/>
          </w:tcPr>
          <w:p w14:paraId="3FCA0638" w14:textId="7E6CAF8D" w:rsidR="004177A6" w:rsidRPr="00996241" w:rsidRDefault="005607AA" w:rsidP="009D02B5">
            <w:pPr>
              <w:jc w:val="right"/>
              <w:rPr>
                <w:color w:val="000000" w:themeColor="text1"/>
                <w:sz w:val="20"/>
              </w:rPr>
            </w:pPr>
            <w:r>
              <w:rPr>
                <w:color w:val="000000" w:themeColor="text1"/>
                <w:sz w:val="20"/>
              </w:rPr>
              <w:t>240 663</w:t>
            </w:r>
          </w:p>
        </w:tc>
      </w:tr>
      <w:tr w:rsidR="004177A6" w:rsidRPr="00EB31E3" w14:paraId="1A330436" w14:textId="77777777" w:rsidTr="007733A1">
        <w:trPr>
          <w:trHeight w:hRule="exact" w:val="272"/>
        </w:trPr>
        <w:tc>
          <w:tcPr>
            <w:tcW w:w="1835" w:type="pct"/>
            <w:shd w:val="clear" w:color="auto" w:fill="auto"/>
          </w:tcPr>
          <w:p w14:paraId="4FB890FC" w14:textId="77777777" w:rsidR="004177A6" w:rsidRPr="009931F4" w:rsidRDefault="004177A6" w:rsidP="009D02B5">
            <w:pPr>
              <w:rPr>
                <w:color w:val="000000" w:themeColor="text1"/>
                <w:sz w:val="20"/>
                <w:highlight w:val="cyan"/>
              </w:rPr>
            </w:pPr>
            <w:r>
              <w:rPr>
                <w:color w:val="000000" w:themeColor="text1"/>
                <w:sz w:val="20"/>
              </w:rPr>
              <w:t>Total</w:t>
            </w:r>
          </w:p>
        </w:tc>
        <w:tc>
          <w:tcPr>
            <w:tcW w:w="1576" w:type="pct"/>
            <w:shd w:val="clear" w:color="auto" w:fill="auto"/>
          </w:tcPr>
          <w:p w14:paraId="769F0237" w14:textId="7903DD10" w:rsidR="004177A6" w:rsidRPr="00996241" w:rsidRDefault="00CA1469" w:rsidP="006D557E">
            <w:pPr>
              <w:tabs>
                <w:tab w:val="left" w:pos="300"/>
              </w:tabs>
              <w:jc w:val="right"/>
              <w:rPr>
                <w:color w:val="000000" w:themeColor="text1"/>
                <w:sz w:val="20"/>
              </w:rPr>
            </w:pPr>
            <w:r>
              <w:rPr>
                <w:color w:val="000000" w:themeColor="text1"/>
                <w:sz w:val="20"/>
              </w:rPr>
              <w:t>6 869 729</w:t>
            </w:r>
          </w:p>
        </w:tc>
        <w:tc>
          <w:tcPr>
            <w:tcW w:w="1589" w:type="pct"/>
            <w:shd w:val="clear" w:color="auto" w:fill="auto"/>
          </w:tcPr>
          <w:p w14:paraId="4D24DCAF" w14:textId="0739F378" w:rsidR="004177A6" w:rsidRPr="00996241" w:rsidRDefault="00796CA2" w:rsidP="009D02B5">
            <w:pPr>
              <w:jc w:val="right"/>
              <w:rPr>
                <w:color w:val="000000" w:themeColor="text1"/>
                <w:sz w:val="20"/>
              </w:rPr>
            </w:pPr>
            <w:r>
              <w:rPr>
                <w:color w:val="000000" w:themeColor="text1"/>
                <w:sz w:val="20"/>
              </w:rPr>
              <w:t>570 259</w:t>
            </w:r>
          </w:p>
        </w:tc>
      </w:tr>
    </w:tbl>
    <w:p w14:paraId="32354EE7" w14:textId="77777777" w:rsidR="004177A6" w:rsidRPr="009931F4" w:rsidRDefault="004177A6" w:rsidP="004177A6">
      <w:pPr>
        <w:jc w:val="center"/>
        <w:rPr>
          <w:sz w:val="20"/>
        </w:rPr>
      </w:pPr>
    </w:p>
    <w:tbl>
      <w:tblPr>
        <w:tblStyle w:val="TableGrid"/>
        <w:tblW w:w="5813" w:type="pct"/>
        <w:tblInd w:w="-725" w:type="dxa"/>
        <w:tblLook w:val="04A0" w:firstRow="1" w:lastRow="0" w:firstColumn="1" w:lastColumn="0" w:noHBand="0" w:noVBand="1"/>
      </w:tblPr>
      <w:tblGrid>
        <w:gridCol w:w="3955"/>
        <w:gridCol w:w="6915"/>
      </w:tblGrid>
      <w:tr w:rsidR="004177A6" w:rsidRPr="00EB31E3" w14:paraId="433051DA" w14:textId="77777777" w:rsidTr="007733A1">
        <w:trPr>
          <w:trHeight w:hRule="exact" w:val="312"/>
        </w:trPr>
        <w:tc>
          <w:tcPr>
            <w:tcW w:w="1819" w:type="pct"/>
            <w:shd w:val="clear" w:color="auto" w:fill="auto"/>
          </w:tcPr>
          <w:p w14:paraId="4220D21A" w14:textId="77777777" w:rsidR="004177A6" w:rsidRPr="00996241" w:rsidRDefault="004177A6" w:rsidP="009D02B5">
            <w:pPr>
              <w:jc w:val="left"/>
              <w:rPr>
                <w:b/>
                <w:color w:val="000000" w:themeColor="text1"/>
                <w:sz w:val="20"/>
              </w:rPr>
            </w:pPr>
            <w:r>
              <w:rPr>
                <w:b/>
                <w:color w:val="000000" w:themeColor="text1"/>
                <w:sz w:val="20"/>
              </w:rPr>
              <w:t>Recommandation du Secrétariat :</w:t>
            </w:r>
          </w:p>
        </w:tc>
        <w:tc>
          <w:tcPr>
            <w:tcW w:w="3181" w:type="pct"/>
            <w:shd w:val="clear" w:color="auto" w:fill="auto"/>
          </w:tcPr>
          <w:p w14:paraId="002915A7" w14:textId="50487A49" w:rsidR="004177A6" w:rsidRPr="00996241" w:rsidRDefault="004177A6" w:rsidP="009D02B5">
            <w:pPr>
              <w:jc w:val="center"/>
              <w:rPr>
                <w:color w:val="000000" w:themeColor="text1"/>
                <w:sz w:val="20"/>
              </w:rPr>
            </w:pPr>
            <w:r>
              <w:rPr>
                <w:color w:val="000000" w:themeColor="text1"/>
                <w:sz w:val="20"/>
              </w:rPr>
              <w:t>À examiner individuellement</w:t>
            </w:r>
          </w:p>
        </w:tc>
      </w:tr>
    </w:tbl>
    <w:p w14:paraId="2FC0FC27" w14:textId="149A4199" w:rsidR="004177A6" w:rsidRPr="00996241" w:rsidRDefault="004177A6" w:rsidP="007733A1">
      <w:pPr>
        <w:keepNext/>
        <w:keepLines/>
        <w:tabs>
          <w:tab w:val="left" w:pos="2880"/>
          <w:tab w:val="left" w:pos="5760"/>
        </w:tabs>
        <w:spacing w:after="240"/>
        <w:jc w:val="center"/>
        <w:rPr>
          <w:b/>
        </w:rPr>
      </w:pPr>
      <w:r>
        <w:rPr>
          <w:b/>
        </w:rPr>
        <w:lastRenderedPageBreak/>
        <w:t>DESCRIPTION DU PROJET</w:t>
      </w:r>
    </w:p>
    <w:p w14:paraId="27383820" w14:textId="46273657" w:rsidR="00F92B96" w:rsidRPr="00F12215" w:rsidRDefault="00C0319C" w:rsidP="007733A1">
      <w:pPr>
        <w:keepNext/>
        <w:keepLines/>
        <w:spacing w:after="240"/>
        <w:rPr>
          <w:b/>
        </w:rPr>
      </w:pPr>
      <w:r>
        <w:rPr>
          <w:b/>
        </w:rPr>
        <w:t>Contexte</w:t>
      </w:r>
    </w:p>
    <w:p w14:paraId="542058F9" w14:textId="12C7D7F0" w:rsidR="00953931" w:rsidRDefault="004177A6">
      <w:pPr>
        <w:pStyle w:val="Heading1"/>
        <w:numPr>
          <w:ilvl w:val="0"/>
          <w:numId w:val="14"/>
        </w:numPr>
        <w:tabs>
          <w:tab w:val="clear" w:pos="993"/>
          <w:tab w:val="num" w:pos="0"/>
        </w:tabs>
        <w:ind w:left="0"/>
      </w:pPr>
      <w:r>
        <w:t>Au nom du Gouvernement d</w:t>
      </w:r>
      <w:r w:rsidR="007518D4">
        <w:t>e l</w:t>
      </w:r>
      <w:r>
        <w:t>’Arabie saoudite, l’ONUDI, à titre d’agence d’exécution principale, a présenté une demande pour la phase II du plan de gestion de l’élimination des HCFC (PGEH), pour un montant total de 22 562 828 $ US, soit 13 425 564 $ US, plus des coûts d’appui à l’agence de 939 789 $</w:t>
      </w:r>
      <w:r w:rsidR="007733A1">
        <w:t> </w:t>
      </w:r>
      <w:r>
        <w:t>US, pour l’ONUDI, et 7 376 104 $ US, plus des coûts d’appui à l’agence de 821 371 $ US, pour le PNUE, conformément à la proposition initiale.</w:t>
      </w:r>
      <w:r w:rsidRPr="00792B03">
        <w:rPr>
          <w:vertAlign w:val="superscript"/>
        </w:rPr>
        <w:footnoteReference w:id="3"/>
      </w:r>
      <w:r>
        <w:t xml:space="preserve"> La mise en œuvre de la phase II du PGEH éliminera la consommation de HCFC restante d’ici 2030.</w:t>
      </w:r>
    </w:p>
    <w:p w14:paraId="5D81B428" w14:textId="6770CF6B" w:rsidR="004177A6" w:rsidRPr="00985984" w:rsidRDefault="004177A6">
      <w:pPr>
        <w:pStyle w:val="Heading1"/>
        <w:numPr>
          <w:ilvl w:val="0"/>
          <w:numId w:val="14"/>
        </w:numPr>
        <w:tabs>
          <w:tab w:val="clear" w:pos="993"/>
          <w:tab w:val="num" w:pos="0"/>
        </w:tabs>
        <w:ind w:left="0"/>
      </w:pPr>
      <w:r>
        <w:t>La première tranche de la phase II du PGEH demandée à cette réunion s’élève à 7 439 988 $ US</w:t>
      </w:r>
      <w:r>
        <w:rPr>
          <w:color w:val="000000" w:themeColor="text1"/>
        </w:rPr>
        <w:t xml:space="preserve">, </w:t>
      </w:r>
      <w:r>
        <w:t xml:space="preserve">dont </w:t>
      </w:r>
      <w:r>
        <w:rPr>
          <w:color w:val="000000" w:themeColor="text1"/>
        </w:rPr>
        <w:t>4 708 516</w:t>
      </w:r>
      <w:r>
        <w:t xml:space="preserve"> $ US, plus les coûts d’appui à l’agence de </w:t>
      </w:r>
      <w:r>
        <w:rPr>
          <w:color w:val="000000" w:themeColor="text1"/>
        </w:rPr>
        <w:t>329 596</w:t>
      </w:r>
      <w:r>
        <w:t> $ US</w:t>
      </w:r>
      <w:r w:rsidR="00D744AE">
        <w:t>,</w:t>
      </w:r>
      <w:r>
        <w:t xml:space="preserve"> pour l’ONUDI et </w:t>
      </w:r>
      <w:r>
        <w:rPr>
          <w:color w:val="000000" w:themeColor="text1"/>
        </w:rPr>
        <w:t>2 161 213</w:t>
      </w:r>
      <w:r>
        <w:t xml:space="preserve"> $ US, plus les coûts d’appui à l’agence de </w:t>
      </w:r>
      <w:r>
        <w:rPr>
          <w:color w:val="000000" w:themeColor="text1"/>
        </w:rPr>
        <w:t>240 663</w:t>
      </w:r>
      <w:r>
        <w:t> $ US</w:t>
      </w:r>
      <w:r w:rsidR="00D744AE">
        <w:t>,</w:t>
      </w:r>
      <w:r>
        <w:t xml:space="preserve"> pour le PNUE, conformément à la proposition initiale.</w:t>
      </w:r>
    </w:p>
    <w:p w14:paraId="53E940CA" w14:textId="00A25AF9" w:rsidR="004177A6" w:rsidRDefault="004177A6" w:rsidP="004177A6">
      <w:pPr>
        <w:spacing w:after="240"/>
        <w:outlineLvl w:val="0"/>
        <w:rPr>
          <w:b/>
        </w:rPr>
      </w:pPr>
      <w:r>
        <w:rPr>
          <w:b/>
        </w:rPr>
        <w:t>État de la mise en œuvre de la phase I</w:t>
      </w:r>
      <w:r>
        <w:t xml:space="preserve"> </w:t>
      </w:r>
      <w:r>
        <w:rPr>
          <w:b/>
        </w:rPr>
        <w:t>du plan de gestion de l’élimination des HCFC</w:t>
      </w:r>
    </w:p>
    <w:p w14:paraId="39A27E03" w14:textId="67651469" w:rsidR="004177A6" w:rsidRDefault="004177A6" w:rsidP="00953931">
      <w:pPr>
        <w:pStyle w:val="Heading1"/>
        <w:numPr>
          <w:ilvl w:val="0"/>
          <w:numId w:val="14"/>
        </w:numPr>
        <w:tabs>
          <w:tab w:val="clear" w:pos="993"/>
          <w:tab w:val="num" w:pos="0"/>
        </w:tabs>
        <w:ind w:left="0"/>
      </w:pPr>
      <w:r>
        <w:t>La phase I du PGEH pour l’Arabie saoudite a été approuvée à la 68</w:t>
      </w:r>
      <w:r>
        <w:rPr>
          <w:vertAlign w:val="superscript"/>
        </w:rPr>
        <w:t>e</w:t>
      </w:r>
      <w:r>
        <w:t> réunion</w:t>
      </w:r>
      <w:r w:rsidRPr="00996241">
        <w:rPr>
          <w:vertAlign w:val="superscript"/>
        </w:rPr>
        <w:footnoteReference w:id="4"/>
      </w:r>
      <w:r>
        <w:t xml:space="preserve"> et révisée à la 72</w:t>
      </w:r>
      <w:r>
        <w:rPr>
          <w:vertAlign w:val="superscript"/>
        </w:rPr>
        <w:t>e</w:t>
      </w:r>
      <w:r>
        <w:t> réunion</w:t>
      </w:r>
      <w:r w:rsidR="000159B0" w:rsidRPr="00D057DA">
        <w:rPr>
          <w:vertAlign w:val="superscript"/>
        </w:rPr>
        <w:footnoteReference w:id="5"/>
      </w:r>
      <w:r>
        <w:t xml:space="preserve"> pour l’élimination de 703,29 tonnes PAO de HCFC utilisées dans le secteur de l’entretien de l’équipement de réfrigération et de climatisation afin de respecter la réduction de 40 pour cent par rapport à la valeur de référence avant 2020, pour un coût total de 13 420 971 $ US, plus des coûts d’appui à l’agence ; ceci inclue les deux projets pour l’élimination de 180,6 tonnes PAO de HCFC-22 et de HCFC</w:t>
      </w:r>
      <w:r w:rsidR="007733A1">
        <w:noBreakHyphen/>
      </w:r>
      <w:r>
        <w:t>142b dans le secteur de la mousse de polystyrène extrudé (XPS) qui avaient déjà été approuvés à la 62</w:t>
      </w:r>
      <w:r>
        <w:rPr>
          <w:vertAlign w:val="superscript"/>
        </w:rPr>
        <w:t>e</w:t>
      </w:r>
      <w:r>
        <w:t> réunion.</w:t>
      </w:r>
      <w:r w:rsidR="0098594A" w:rsidRPr="00831526">
        <w:rPr>
          <w:vertAlign w:val="superscript"/>
        </w:rPr>
        <w:footnoteReference w:id="6"/>
      </w:r>
      <w:r>
        <w:t xml:space="preserve"> La phase I du PGEH </w:t>
      </w:r>
      <w:r w:rsidR="00152D89">
        <w:t>s’est</w:t>
      </w:r>
      <w:r>
        <w:t xml:space="preserve"> achevée le 31 décembre 2022 et terminée financièrement à la 93</w:t>
      </w:r>
      <w:r>
        <w:rPr>
          <w:vertAlign w:val="superscript"/>
        </w:rPr>
        <w:t>e</w:t>
      </w:r>
      <w:r>
        <w:t> réunion, et le rapport d’achèvement des projets a été remis le 5 février 2024.</w:t>
      </w:r>
      <w:r w:rsidR="00B744C7" w:rsidRPr="00831526">
        <w:rPr>
          <w:rStyle w:val="FootnoteReference"/>
        </w:rPr>
        <w:footnoteReference w:id="7"/>
      </w:r>
    </w:p>
    <w:p w14:paraId="29C91D6C" w14:textId="2BC75826" w:rsidR="004177A6" w:rsidRPr="002C5D9E" w:rsidRDefault="004177A6" w:rsidP="004177A6">
      <w:pPr>
        <w:keepNext/>
        <w:keepLines/>
        <w:spacing w:after="240"/>
      </w:pPr>
      <w:r>
        <w:rPr>
          <w:u w:val="single"/>
        </w:rPr>
        <w:t>Rapport sur la consommation de HCFC</w:t>
      </w:r>
    </w:p>
    <w:p w14:paraId="237A7407" w14:textId="622064EB" w:rsidR="004177A6" w:rsidRPr="00996241" w:rsidRDefault="004177A6" w:rsidP="00953931">
      <w:pPr>
        <w:pStyle w:val="Heading1"/>
        <w:numPr>
          <w:ilvl w:val="0"/>
          <w:numId w:val="14"/>
        </w:numPr>
        <w:tabs>
          <w:tab w:val="clear" w:pos="993"/>
          <w:tab w:val="num" w:pos="0"/>
        </w:tabs>
        <w:ind w:left="0"/>
      </w:pPr>
      <w:bookmarkStart w:id="1" w:name="_Hlk141281293"/>
      <w:r>
        <w:t>Le Gouvernement de l’Arabie saoudite a indiqué, dans le rapport sur la mise en œuvre du programme de pays, une consommation de 697,60 tonnes PAO de HCFC en 2023, qui est inférieure de 52,5 pour cent au niveau de référence de HCFC pour conformité. Les données de l’Article 7 pour 2023 n’ont pas encore été déclarées. Le tableau 1 indique la consommation de HCFC pour la période 2019–2023.</w:t>
      </w:r>
    </w:p>
    <w:bookmarkEnd w:id="1"/>
    <w:p w14:paraId="2BC2086F" w14:textId="7A89A47C" w:rsidR="004177A6" w:rsidRPr="00996241" w:rsidRDefault="004177A6" w:rsidP="004177A6">
      <w:pPr>
        <w:rPr>
          <w:b/>
        </w:rPr>
      </w:pPr>
      <w:r>
        <w:rPr>
          <w:b/>
        </w:rPr>
        <w:t>Tableau 1. Consommation de HCFC en Arabie saoudite (données de l’Article 7 pour 2019–2023)</w:t>
      </w:r>
    </w:p>
    <w:tbl>
      <w:tblPr>
        <w:tblW w:w="5000" w:type="pct"/>
        <w:tblLook w:val="04A0" w:firstRow="1" w:lastRow="0" w:firstColumn="1" w:lastColumn="0" w:noHBand="0" w:noVBand="1"/>
      </w:tblPr>
      <w:tblGrid>
        <w:gridCol w:w="1918"/>
        <w:gridCol w:w="1099"/>
        <w:gridCol w:w="1099"/>
        <w:gridCol w:w="1099"/>
        <w:gridCol w:w="1099"/>
        <w:gridCol w:w="1099"/>
        <w:gridCol w:w="1937"/>
      </w:tblGrid>
      <w:tr w:rsidR="004177A6" w:rsidRPr="00EB31E3" w14:paraId="2C7B8530" w14:textId="77777777" w:rsidTr="009D02B5">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DCA66A3" w14:textId="77777777" w:rsidR="004177A6" w:rsidRPr="00996241" w:rsidRDefault="004177A6" w:rsidP="009D02B5">
            <w:pPr>
              <w:widowControl w:val="0"/>
              <w:jc w:val="left"/>
              <w:rPr>
                <w:b/>
                <w:color w:val="000000"/>
                <w:sz w:val="20"/>
              </w:rPr>
            </w:pPr>
            <w:r>
              <w:rPr>
                <w:b/>
                <w:color w:val="000000"/>
                <w:sz w:val="20"/>
              </w:rPr>
              <w:t>HCFC-22</w:t>
            </w:r>
          </w:p>
        </w:tc>
        <w:tc>
          <w:tcPr>
            <w:tcW w:w="625" w:type="pct"/>
            <w:tcBorders>
              <w:top w:val="single" w:sz="4" w:space="0" w:color="auto"/>
              <w:left w:val="nil"/>
              <w:bottom w:val="single" w:sz="4" w:space="0" w:color="auto"/>
              <w:right w:val="single" w:sz="4" w:space="0" w:color="auto"/>
            </w:tcBorders>
            <w:shd w:val="clear" w:color="auto" w:fill="auto"/>
            <w:noWrap/>
            <w:hideMark/>
          </w:tcPr>
          <w:p w14:paraId="68D04CA9" w14:textId="788472B2" w:rsidR="004177A6" w:rsidRPr="00996241" w:rsidRDefault="004177A6" w:rsidP="009D02B5">
            <w:pPr>
              <w:widowControl w:val="0"/>
              <w:jc w:val="center"/>
              <w:rPr>
                <w:b/>
                <w:color w:val="000000"/>
                <w:sz w:val="20"/>
              </w:rPr>
            </w:pPr>
            <w:r>
              <w:rPr>
                <w:b/>
                <w:color w:val="000000"/>
                <w:sz w:val="20"/>
              </w:rPr>
              <w:t>2019</w:t>
            </w:r>
          </w:p>
        </w:tc>
        <w:tc>
          <w:tcPr>
            <w:tcW w:w="626" w:type="pct"/>
            <w:tcBorders>
              <w:top w:val="single" w:sz="4" w:space="0" w:color="auto"/>
              <w:left w:val="nil"/>
              <w:bottom w:val="single" w:sz="4" w:space="0" w:color="auto"/>
              <w:right w:val="single" w:sz="4" w:space="0" w:color="auto"/>
            </w:tcBorders>
          </w:tcPr>
          <w:p w14:paraId="1A19DA3F" w14:textId="4A982354" w:rsidR="004177A6" w:rsidRPr="00996241" w:rsidRDefault="004177A6" w:rsidP="009D02B5">
            <w:pPr>
              <w:widowControl w:val="0"/>
              <w:jc w:val="center"/>
              <w:rPr>
                <w:b/>
                <w:color w:val="000000"/>
                <w:sz w:val="20"/>
              </w:rPr>
            </w:pPr>
            <w:r>
              <w:rPr>
                <w:b/>
                <w:color w:val="000000"/>
                <w:sz w:val="20"/>
              </w:rPr>
              <w:t>2020</w:t>
            </w:r>
          </w:p>
        </w:tc>
        <w:tc>
          <w:tcPr>
            <w:tcW w:w="625" w:type="pct"/>
            <w:tcBorders>
              <w:top w:val="single" w:sz="4" w:space="0" w:color="auto"/>
              <w:left w:val="single" w:sz="4" w:space="0" w:color="auto"/>
              <w:bottom w:val="single" w:sz="4" w:space="0" w:color="auto"/>
              <w:right w:val="single" w:sz="4" w:space="0" w:color="auto"/>
            </w:tcBorders>
          </w:tcPr>
          <w:p w14:paraId="6CD6571C" w14:textId="3B370BBE" w:rsidR="004177A6" w:rsidRPr="00996241" w:rsidRDefault="004177A6" w:rsidP="009D02B5">
            <w:pPr>
              <w:widowControl w:val="0"/>
              <w:jc w:val="center"/>
              <w:rPr>
                <w:b/>
                <w:color w:val="000000"/>
                <w:sz w:val="20"/>
              </w:rPr>
            </w:pPr>
            <w:r>
              <w:rPr>
                <w:b/>
                <w:color w:val="000000"/>
                <w:sz w:val="20"/>
              </w:rPr>
              <w:t>2021</w:t>
            </w:r>
          </w:p>
        </w:tc>
        <w:tc>
          <w:tcPr>
            <w:tcW w:w="626" w:type="pct"/>
            <w:tcBorders>
              <w:top w:val="single" w:sz="4" w:space="0" w:color="auto"/>
              <w:left w:val="single" w:sz="4" w:space="0" w:color="auto"/>
              <w:bottom w:val="single" w:sz="4" w:space="0" w:color="auto"/>
              <w:right w:val="single" w:sz="4" w:space="0" w:color="auto"/>
            </w:tcBorders>
            <w:vAlign w:val="center"/>
          </w:tcPr>
          <w:p w14:paraId="75D8BE29" w14:textId="6F85B60B" w:rsidR="004177A6" w:rsidRPr="00996241" w:rsidRDefault="004177A6" w:rsidP="009D02B5">
            <w:pPr>
              <w:widowControl w:val="0"/>
              <w:jc w:val="center"/>
              <w:rPr>
                <w:b/>
                <w:color w:val="000000"/>
                <w:sz w:val="20"/>
              </w:rPr>
            </w:pPr>
            <w:r>
              <w:rPr>
                <w:b/>
                <w:color w:val="000000"/>
                <w:sz w:val="20"/>
              </w:rPr>
              <w:t>2022</w:t>
            </w:r>
          </w:p>
        </w:tc>
        <w:tc>
          <w:tcPr>
            <w:tcW w:w="625" w:type="pct"/>
            <w:tcBorders>
              <w:top w:val="single" w:sz="4" w:space="0" w:color="auto"/>
              <w:left w:val="single" w:sz="4" w:space="0" w:color="auto"/>
              <w:bottom w:val="single" w:sz="4" w:space="0" w:color="auto"/>
              <w:right w:val="single" w:sz="4" w:space="0" w:color="auto"/>
            </w:tcBorders>
            <w:vAlign w:val="center"/>
          </w:tcPr>
          <w:p w14:paraId="170427CE" w14:textId="2C67B5A8" w:rsidR="004177A6" w:rsidRPr="00996241" w:rsidRDefault="004177A6" w:rsidP="009D02B5">
            <w:pPr>
              <w:widowControl w:val="0"/>
              <w:jc w:val="center"/>
              <w:rPr>
                <w:b/>
                <w:color w:val="000000"/>
                <w:sz w:val="20"/>
              </w:rPr>
            </w:pPr>
            <w:r>
              <w:rPr>
                <w:b/>
                <w:color w:val="000000"/>
                <w:sz w:val="20"/>
              </w:rPr>
              <w:t>2023</w:t>
            </w:r>
            <w:r>
              <w:rPr>
                <w:b/>
                <w:color w:val="000000"/>
                <w:sz w:val="20"/>
                <w:vertAlign w:val="superscript"/>
              </w:rPr>
              <w:t>*</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77B586" w14:textId="24DBC896" w:rsidR="004177A6" w:rsidRPr="00996241" w:rsidRDefault="004177A6" w:rsidP="009D02B5">
            <w:pPr>
              <w:widowControl w:val="0"/>
              <w:jc w:val="center"/>
              <w:rPr>
                <w:b/>
                <w:color w:val="000000"/>
                <w:sz w:val="20"/>
              </w:rPr>
            </w:pPr>
            <w:r>
              <w:rPr>
                <w:b/>
                <w:color w:val="000000"/>
                <w:sz w:val="20"/>
              </w:rPr>
              <w:t>Valeur de référence</w:t>
            </w:r>
            <w:r>
              <w:rPr>
                <w:b/>
                <w:color w:val="000000"/>
                <w:sz w:val="20"/>
                <w:vertAlign w:val="superscript"/>
              </w:rPr>
              <w:t>**</w:t>
            </w:r>
          </w:p>
        </w:tc>
      </w:tr>
      <w:tr w:rsidR="004177A6" w:rsidRPr="00EB31E3" w14:paraId="25BAD3B4" w14:textId="77777777" w:rsidTr="009D02B5">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B13C0F" w14:textId="7DD51A2A" w:rsidR="004177A6" w:rsidRPr="00987590" w:rsidRDefault="004177A6" w:rsidP="009D02B5">
            <w:pPr>
              <w:widowControl w:val="0"/>
              <w:jc w:val="left"/>
              <w:rPr>
                <w:b/>
                <w:bCs/>
                <w:color w:val="000000"/>
                <w:sz w:val="20"/>
              </w:rPr>
            </w:pPr>
            <w:r>
              <w:rPr>
                <w:b/>
                <w:color w:val="000000"/>
                <w:sz w:val="20"/>
              </w:rPr>
              <w:t>Tonnes métriques (tm)</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3F59D913" w14:textId="3621F24F" w:rsidR="004177A6" w:rsidRPr="00996241" w:rsidRDefault="0049323A" w:rsidP="00365F58">
            <w:pPr>
              <w:jc w:val="right"/>
              <w:rPr>
                <w:sz w:val="20"/>
              </w:rPr>
            </w:pPr>
            <w:r>
              <w:rPr>
                <w:sz w:val="20"/>
              </w:rPr>
              <w:t>17 330,06</w:t>
            </w:r>
          </w:p>
        </w:tc>
        <w:tc>
          <w:tcPr>
            <w:tcW w:w="626" w:type="pct"/>
            <w:tcBorders>
              <w:top w:val="single" w:sz="4" w:space="0" w:color="auto"/>
              <w:left w:val="nil"/>
              <w:bottom w:val="single" w:sz="4" w:space="0" w:color="auto"/>
              <w:right w:val="single" w:sz="4" w:space="0" w:color="auto"/>
            </w:tcBorders>
            <w:tcMar>
              <w:left w:w="115" w:type="dxa"/>
              <w:right w:w="230" w:type="dxa"/>
            </w:tcMar>
          </w:tcPr>
          <w:p w14:paraId="74E98EA2" w14:textId="451C734E" w:rsidR="004177A6" w:rsidRPr="00996241" w:rsidRDefault="00543840" w:rsidP="00365F58">
            <w:pPr>
              <w:jc w:val="right"/>
              <w:rPr>
                <w:sz w:val="20"/>
              </w:rPr>
            </w:pPr>
            <w:r>
              <w:rPr>
                <w:sz w:val="20"/>
              </w:rPr>
              <w:t>16 009,09</w:t>
            </w:r>
          </w:p>
        </w:tc>
        <w:tc>
          <w:tcPr>
            <w:tcW w:w="625" w:type="pct"/>
            <w:tcBorders>
              <w:top w:val="nil"/>
              <w:left w:val="single" w:sz="4" w:space="0" w:color="auto"/>
              <w:bottom w:val="single" w:sz="4" w:space="0" w:color="auto"/>
              <w:right w:val="single" w:sz="4" w:space="0" w:color="auto"/>
            </w:tcBorders>
            <w:tcMar>
              <w:left w:w="115" w:type="dxa"/>
              <w:right w:w="230" w:type="dxa"/>
            </w:tcMar>
          </w:tcPr>
          <w:p w14:paraId="3F11C9CC" w14:textId="5876B13B" w:rsidR="004177A6" w:rsidRPr="00996241" w:rsidRDefault="00CE3C83" w:rsidP="00365F58">
            <w:pPr>
              <w:jc w:val="right"/>
              <w:rPr>
                <w:sz w:val="20"/>
              </w:rPr>
            </w:pPr>
            <w:r>
              <w:rPr>
                <w:sz w:val="20"/>
              </w:rPr>
              <w:t>15 998,01</w:t>
            </w:r>
          </w:p>
        </w:tc>
        <w:tc>
          <w:tcPr>
            <w:tcW w:w="626" w:type="pct"/>
            <w:tcBorders>
              <w:top w:val="nil"/>
              <w:left w:val="single" w:sz="4" w:space="0" w:color="auto"/>
              <w:bottom w:val="single" w:sz="4" w:space="0" w:color="auto"/>
              <w:right w:val="single" w:sz="4" w:space="0" w:color="auto"/>
            </w:tcBorders>
            <w:tcMar>
              <w:left w:w="115" w:type="dxa"/>
              <w:right w:w="230" w:type="dxa"/>
            </w:tcMar>
          </w:tcPr>
          <w:p w14:paraId="28777525" w14:textId="16DA02B2" w:rsidR="004177A6" w:rsidRPr="00996241" w:rsidRDefault="00EF28EF" w:rsidP="00365F58">
            <w:pPr>
              <w:widowControl w:val="0"/>
              <w:jc w:val="right"/>
              <w:rPr>
                <w:rFonts w:eastAsiaTheme="minorHAnsi"/>
                <w:color w:val="000000"/>
                <w:sz w:val="20"/>
              </w:rPr>
            </w:pPr>
            <w:r>
              <w:rPr>
                <w:sz w:val="20"/>
              </w:rPr>
              <w:t>15 927,28</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09D5E4B6" w14:textId="717E6D7E" w:rsidR="004177A6" w:rsidRPr="00996241" w:rsidRDefault="00681B71" w:rsidP="009D02B5">
            <w:pPr>
              <w:jc w:val="right"/>
              <w:rPr>
                <w:color w:val="000000"/>
                <w:sz w:val="20"/>
              </w:rPr>
            </w:pPr>
            <w:r>
              <w:rPr>
                <w:sz w:val="20"/>
              </w:rPr>
              <w:t>12 683,61</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6DB3CC8B" w14:textId="47FC0D90" w:rsidR="004177A6" w:rsidRPr="00996241" w:rsidRDefault="00EE67A5" w:rsidP="009D02B5">
            <w:pPr>
              <w:widowControl w:val="0"/>
              <w:jc w:val="right"/>
              <w:rPr>
                <w:color w:val="000000"/>
                <w:sz w:val="20"/>
              </w:rPr>
            </w:pPr>
            <w:r>
              <w:rPr>
                <w:color w:val="000000"/>
                <w:sz w:val="20"/>
              </w:rPr>
              <w:t>18 393,50</w:t>
            </w:r>
          </w:p>
        </w:tc>
      </w:tr>
      <w:tr w:rsidR="004177A6" w:rsidRPr="00EB31E3" w14:paraId="6A7EC93D" w14:textId="77777777" w:rsidTr="009D02B5">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5866C0" w14:textId="7304F038" w:rsidR="004177A6" w:rsidRPr="00987590" w:rsidRDefault="004177A6" w:rsidP="009D02B5">
            <w:pPr>
              <w:widowControl w:val="0"/>
              <w:jc w:val="left"/>
              <w:rPr>
                <w:b/>
                <w:bCs/>
                <w:color w:val="000000"/>
                <w:sz w:val="20"/>
              </w:rPr>
            </w:pPr>
            <w:r>
              <w:rPr>
                <w:b/>
                <w:color w:val="000000"/>
                <w:sz w:val="20"/>
              </w:rPr>
              <w:t>Tonnes PAO</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596A9CBB" w14:textId="51076E9A" w:rsidR="004177A6" w:rsidRPr="00996241" w:rsidRDefault="00D05EF6" w:rsidP="00365F58">
            <w:pPr>
              <w:jc w:val="right"/>
              <w:rPr>
                <w:sz w:val="20"/>
              </w:rPr>
            </w:pPr>
            <w:r>
              <w:rPr>
                <w:sz w:val="20"/>
              </w:rPr>
              <w:t>953,15</w:t>
            </w:r>
          </w:p>
        </w:tc>
        <w:tc>
          <w:tcPr>
            <w:tcW w:w="626" w:type="pct"/>
            <w:tcBorders>
              <w:top w:val="single" w:sz="4" w:space="0" w:color="auto"/>
              <w:left w:val="nil"/>
              <w:bottom w:val="single" w:sz="4" w:space="0" w:color="auto"/>
              <w:right w:val="single" w:sz="4" w:space="0" w:color="auto"/>
            </w:tcBorders>
            <w:tcMar>
              <w:left w:w="115" w:type="dxa"/>
              <w:right w:w="230" w:type="dxa"/>
            </w:tcMar>
          </w:tcPr>
          <w:p w14:paraId="6A0B88A0" w14:textId="264433C8" w:rsidR="004177A6" w:rsidRPr="00996241" w:rsidRDefault="00D05EF6" w:rsidP="00365F58">
            <w:pPr>
              <w:jc w:val="right"/>
              <w:rPr>
                <w:sz w:val="20"/>
              </w:rPr>
            </w:pPr>
            <w:r>
              <w:rPr>
                <w:sz w:val="20"/>
              </w:rPr>
              <w:t>880,50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57854208" w14:textId="141289FC" w:rsidR="004177A6" w:rsidRPr="00996241" w:rsidRDefault="0048376A" w:rsidP="00365F58">
            <w:pPr>
              <w:jc w:val="right"/>
              <w:rPr>
                <w:sz w:val="20"/>
              </w:rPr>
            </w:pPr>
            <w:r>
              <w:rPr>
                <w:sz w:val="20"/>
              </w:rPr>
              <w:t>879,89</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2E4319EE" w14:textId="4452A65B" w:rsidR="004177A6" w:rsidRPr="00996241" w:rsidRDefault="0048376A" w:rsidP="00365F58">
            <w:pPr>
              <w:jc w:val="right"/>
              <w:rPr>
                <w:rFonts w:eastAsiaTheme="minorHAnsi"/>
                <w:color w:val="000000"/>
                <w:sz w:val="20"/>
              </w:rPr>
            </w:pPr>
            <w:r>
              <w:rPr>
                <w:sz w:val="20"/>
              </w:rPr>
              <w:t>876,00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5F467DF3" w14:textId="5222463E" w:rsidR="004177A6" w:rsidRPr="00996241" w:rsidRDefault="00C8650C" w:rsidP="009D02B5">
            <w:pPr>
              <w:jc w:val="right"/>
              <w:rPr>
                <w:rFonts w:eastAsiaTheme="minorHAnsi"/>
                <w:color w:val="000000"/>
                <w:sz w:val="20"/>
              </w:rPr>
            </w:pPr>
            <w:r>
              <w:rPr>
                <w:sz w:val="20"/>
              </w:rPr>
              <w:t>697,60</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2E5ABFDA" w14:textId="43A49945" w:rsidR="004177A6" w:rsidRPr="00996241" w:rsidRDefault="008C54AD" w:rsidP="009D02B5">
            <w:pPr>
              <w:jc w:val="right"/>
              <w:rPr>
                <w:rFonts w:eastAsiaTheme="minorHAnsi"/>
                <w:color w:val="000000"/>
                <w:sz w:val="20"/>
              </w:rPr>
            </w:pPr>
            <w:r>
              <w:rPr>
                <w:color w:val="000000"/>
                <w:sz w:val="20"/>
              </w:rPr>
              <w:t>1 011,64</w:t>
            </w:r>
          </w:p>
        </w:tc>
      </w:tr>
    </w:tbl>
    <w:p w14:paraId="1CFB0819" w14:textId="2604A96E" w:rsidR="004177A6" w:rsidRPr="006E1D11" w:rsidRDefault="004177A6" w:rsidP="004177A6">
      <w:pPr>
        <w:rPr>
          <w:sz w:val="18"/>
          <w:szCs w:val="18"/>
        </w:rPr>
      </w:pPr>
      <w:r>
        <w:rPr>
          <w:sz w:val="18"/>
        </w:rPr>
        <w:t>* Données du programme de pays.</w:t>
      </w:r>
    </w:p>
    <w:p w14:paraId="2E098EA4" w14:textId="25688BE1" w:rsidR="008C54AD" w:rsidRPr="006E1D11" w:rsidRDefault="008C54AD" w:rsidP="004177A6">
      <w:pPr>
        <w:rPr>
          <w:sz w:val="18"/>
          <w:szCs w:val="18"/>
        </w:rPr>
      </w:pPr>
      <w:r>
        <w:rPr>
          <w:sz w:val="18"/>
        </w:rPr>
        <w:t>** La valeur de référence pour la conformité du pays de 1 468,70 tonnes PAO comprend également 0,19 tonne PAO de HCFC</w:t>
      </w:r>
      <w:r w:rsidR="007733A1">
        <w:rPr>
          <w:sz w:val="18"/>
        </w:rPr>
        <w:noBreakHyphen/>
      </w:r>
      <w:r>
        <w:rPr>
          <w:sz w:val="18"/>
        </w:rPr>
        <w:t>123, 341,00 tonnes PAO de HCFC-141b et 115,86 tonnes PAO de HCFC-142b. Ces substances ont respectivement été consommées pour la dernière fois en 2016, 2017 et 2013.</w:t>
      </w:r>
    </w:p>
    <w:p w14:paraId="0DB18F41" w14:textId="77777777" w:rsidR="005B1639" w:rsidRPr="007733A1" w:rsidRDefault="005B1639" w:rsidP="00C31532">
      <w:pPr>
        <w:rPr>
          <w:rFonts w:eastAsia="SimSun"/>
        </w:rPr>
      </w:pPr>
    </w:p>
    <w:p w14:paraId="4057A403" w14:textId="23B89870" w:rsidR="00576088" w:rsidRPr="001E7736" w:rsidRDefault="00565233">
      <w:pPr>
        <w:pStyle w:val="Heading1"/>
        <w:numPr>
          <w:ilvl w:val="0"/>
          <w:numId w:val="14"/>
        </w:numPr>
        <w:tabs>
          <w:tab w:val="clear" w:pos="993"/>
          <w:tab w:val="num" w:pos="0"/>
        </w:tabs>
        <w:ind w:left="0"/>
        <w:rPr>
          <w:i/>
          <w:color w:val="000000" w:themeColor="text1"/>
        </w:rPr>
      </w:pPr>
      <w:r>
        <w:rPr>
          <w:color w:val="000000" w:themeColor="text1"/>
        </w:rPr>
        <w:t xml:space="preserve">Depuis 2018, le pays n’a consommé du HCFC-22 </w:t>
      </w:r>
      <w:r w:rsidR="00152D89">
        <w:rPr>
          <w:color w:val="000000" w:themeColor="text1"/>
        </w:rPr>
        <w:t xml:space="preserve">que </w:t>
      </w:r>
      <w:r>
        <w:rPr>
          <w:color w:val="000000" w:themeColor="text1"/>
        </w:rPr>
        <w:t xml:space="preserve">dans le secteur de l’entretien et pour fabriquer de l’équipement de climatisation à usages résidentiel et commercial. La consommation de </w:t>
      </w:r>
      <w:r>
        <w:rPr>
          <w:color w:val="000000" w:themeColor="text1"/>
        </w:rPr>
        <w:lastRenderedPageBreak/>
        <w:t>HCFC</w:t>
      </w:r>
      <w:r w:rsidR="007733A1">
        <w:rPr>
          <w:color w:val="000000" w:themeColor="text1"/>
        </w:rPr>
        <w:noBreakHyphen/>
      </w:r>
      <w:r>
        <w:rPr>
          <w:color w:val="000000" w:themeColor="text1"/>
        </w:rPr>
        <w:t>22 dans le secteur de la fabrication de systèmes de climatisation a connu une décroissance constante avec la fabrication accrue d’équipements sans HCFC, alors que la consommation de HCFC-22 pour l’entretien a augmenté (comme indiqué dans le tableau 2). Les raisons de cette augmentation sont abordées au paragraphe 19 du présent document.</w:t>
      </w:r>
    </w:p>
    <w:p w14:paraId="639CF8B0" w14:textId="693DB02F" w:rsidR="00DD0A92" w:rsidRDefault="00DD0A92" w:rsidP="001E7736">
      <w:pPr>
        <w:rPr>
          <w:b/>
        </w:rPr>
      </w:pPr>
      <w:bookmarkStart w:id="2" w:name="_Hlk126915671"/>
      <w:r>
        <w:rPr>
          <w:b/>
        </w:rPr>
        <w:t>Tableau 2. Consommation de HCFC-22 dans les secteurs de la fabrication et de l’entretien de climatiseurs (tm)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093"/>
        <w:gridCol w:w="1092"/>
        <w:gridCol w:w="1092"/>
        <w:gridCol w:w="1094"/>
        <w:gridCol w:w="1092"/>
        <w:gridCol w:w="1092"/>
        <w:gridCol w:w="1094"/>
      </w:tblGrid>
      <w:tr w:rsidR="00A03D8A" w:rsidRPr="00A03D8A" w14:paraId="026CC61F" w14:textId="77777777" w:rsidTr="00DE3E07">
        <w:trPr>
          <w:trHeight w:val="248"/>
          <w:tblHeader/>
        </w:trPr>
        <w:tc>
          <w:tcPr>
            <w:tcW w:w="909" w:type="pct"/>
            <w:shd w:val="clear" w:color="auto" w:fill="auto"/>
            <w:noWrap/>
            <w:tcMar>
              <w:left w:w="85" w:type="dxa"/>
              <w:right w:w="85" w:type="dxa"/>
            </w:tcMar>
          </w:tcPr>
          <w:p w14:paraId="58D022B6" w14:textId="14216A39" w:rsidR="00A03D8A" w:rsidRPr="00A03D8A" w:rsidRDefault="00A03D8A" w:rsidP="00A03D8A">
            <w:pPr>
              <w:widowControl w:val="0"/>
              <w:jc w:val="left"/>
              <w:rPr>
                <w:b/>
                <w:bCs/>
                <w:color w:val="000000"/>
                <w:sz w:val="20"/>
                <w:szCs w:val="20"/>
              </w:rPr>
            </w:pPr>
            <w:r>
              <w:rPr>
                <w:b/>
                <w:sz w:val="20"/>
              </w:rPr>
              <w:t>Secteurs</w:t>
            </w:r>
          </w:p>
        </w:tc>
        <w:tc>
          <w:tcPr>
            <w:tcW w:w="584" w:type="pct"/>
            <w:shd w:val="clear" w:color="auto" w:fill="auto"/>
            <w:tcMar>
              <w:left w:w="85" w:type="dxa"/>
              <w:right w:w="85" w:type="dxa"/>
            </w:tcMar>
          </w:tcPr>
          <w:p w14:paraId="37A76B8C" w14:textId="60F4DB9B" w:rsidR="00A03D8A" w:rsidRPr="00A03D8A" w:rsidRDefault="00A03D8A" w:rsidP="00DE3E07">
            <w:pPr>
              <w:widowControl w:val="0"/>
              <w:jc w:val="center"/>
              <w:rPr>
                <w:b/>
                <w:bCs/>
                <w:color w:val="000000"/>
                <w:sz w:val="20"/>
                <w:szCs w:val="20"/>
              </w:rPr>
            </w:pPr>
            <w:r>
              <w:rPr>
                <w:b/>
                <w:sz w:val="20"/>
              </w:rPr>
              <w:t>2017</w:t>
            </w:r>
          </w:p>
        </w:tc>
        <w:tc>
          <w:tcPr>
            <w:tcW w:w="584" w:type="pct"/>
            <w:shd w:val="clear" w:color="auto" w:fill="auto"/>
            <w:noWrap/>
            <w:tcMar>
              <w:left w:w="85" w:type="dxa"/>
              <w:right w:w="85" w:type="dxa"/>
            </w:tcMar>
          </w:tcPr>
          <w:p w14:paraId="2CD5B460" w14:textId="2C99AD6A" w:rsidR="00A03D8A" w:rsidRPr="00A03D8A" w:rsidRDefault="00A03D8A" w:rsidP="00DE3E07">
            <w:pPr>
              <w:widowControl w:val="0"/>
              <w:jc w:val="center"/>
              <w:rPr>
                <w:b/>
                <w:bCs/>
                <w:color w:val="000000"/>
                <w:sz w:val="20"/>
                <w:szCs w:val="20"/>
              </w:rPr>
            </w:pPr>
            <w:r>
              <w:rPr>
                <w:b/>
                <w:sz w:val="20"/>
              </w:rPr>
              <w:t>2018</w:t>
            </w:r>
          </w:p>
        </w:tc>
        <w:tc>
          <w:tcPr>
            <w:tcW w:w="584" w:type="pct"/>
            <w:tcMar>
              <w:left w:w="85" w:type="dxa"/>
              <w:right w:w="85" w:type="dxa"/>
            </w:tcMar>
          </w:tcPr>
          <w:p w14:paraId="1D758A8A" w14:textId="1E9E88C3" w:rsidR="00A03D8A" w:rsidRPr="00A03D8A" w:rsidRDefault="00A03D8A" w:rsidP="00DE3E07">
            <w:pPr>
              <w:widowControl w:val="0"/>
              <w:jc w:val="center"/>
              <w:rPr>
                <w:b/>
                <w:bCs/>
                <w:color w:val="000000"/>
                <w:sz w:val="20"/>
                <w:szCs w:val="20"/>
              </w:rPr>
            </w:pPr>
            <w:r>
              <w:rPr>
                <w:b/>
                <w:sz w:val="20"/>
              </w:rPr>
              <w:t>2019</w:t>
            </w:r>
          </w:p>
        </w:tc>
        <w:tc>
          <w:tcPr>
            <w:tcW w:w="585" w:type="pct"/>
            <w:tcMar>
              <w:left w:w="85" w:type="dxa"/>
              <w:right w:w="85" w:type="dxa"/>
            </w:tcMar>
          </w:tcPr>
          <w:p w14:paraId="4150846F" w14:textId="42F15EBB" w:rsidR="00A03D8A" w:rsidRPr="00A03D8A" w:rsidRDefault="00A03D8A" w:rsidP="00DE3E07">
            <w:pPr>
              <w:widowControl w:val="0"/>
              <w:jc w:val="center"/>
              <w:rPr>
                <w:b/>
                <w:bCs/>
                <w:color w:val="000000"/>
                <w:sz w:val="20"/>
                <w:szCs w:val="20"/>
              </w:rPr>
            </w:pPr>
            <w:r>
              <w:rPr>
                <w:b/>
                <w:sz w:val="20"/>
              </w:rPr>
              <w:t>2020</w:t>
            </w:r>
          </w:p>
        </w:tc>
        <w:tc>
          <w:tcPr>
            <w:tcW w:w="584" w:type="pct"/>
            <w:tcMar>
              <w:left w:w="85" w:type="dxa"/>
              <w:right w:w="85" w:type="dxa"/>
            </w:tcMar>
          </w:tcPr>
          <w:p w14:paraId="48F567EC" w14:textId="40CC071F" w:rsidR="00A03D8A" w:rsidRPr="00A03D8A" w:rsidRDefault="00A03D8A" w:rsidP="00DE3E07">
            <w:pPr>
              <w:widowControl w:val="0"/>
              <w:jc w:val="center"/>
              <w:rPr>
                <w:b/>
                <w:bCs/>
                <w:color w:val="000000"/>
                <w:sz w:val="20"/>
                <w:szCs w:val="20"/>
              </w:rPr>
            </w:pPr>
            <w:r>
              <w:rPr>
                <w:b/>
                <w:sz w:val="20"/>
              </w:rPr>
              <w:t>2021</w:t>
            </w:r>
          </w:p>
        </w:tc>
        <w:tc>
          <w:tcPr>
            <w:tcW w:w="584" w:type="pct"/>
            <w:tcMar>
              <w:left w:w="85" w:type="dxa"/>
              <w:right w:w="85" w:type="dxa"/>
            </w:tcMar>
          </w:tcPr>
          <w:p w14:paraId="09A09B29" w14:textId="6E3A0C45" w:rsidR="00A03D8A" w:rsidRPr="00A03D8A" w:rsidRDefault="00A03D8A" w:rsidP="00DE3E07">
            <w:pPr>
              <w:widowControl w:val="0"/>
              <w:jc w:val="center"/>
              <w:rPr>
                <w:b/>
                <w:bCs/>
                <w:color w:val="000000"/>
                <w:sz w:val="20"/>
                <w:szCs w:val="20"/>
              </w:rPr>
            </w:pPr>
            <w:r>
              <w:rPr>
                <w:b/>
                <w:sz w:val="20"/>
              </w:rPr>
              <w:t>2022</w:t>
            </w:r>
          </w:p>
        </w:tc>
        <w:tc>
          <w:tcPr>
            <w:tcW w:w="585" w:type="pct"/>
            <w:shd w:val="clear" w:color="auto" w:fill="auto"/>
            <w:noWrap/>
            <w:tcMar>
              <w:left w:w="85" w:type="dxa"/>
              <w:right w:w="85" w:type="dxa"/>
            </w:tcMar>
          </w:tcPr>
          <w:p w14:paraId="716D1FE0" w14:textId="43F5B55E" w:rsidR="00A03D8A" w:rsidRPr="00A03D8A" w:rsidRDefault="00A03D8A" w:rsidP="00DE3E07">
            <w:pPr>
              <w:widowControl w:val="0"/>
              <w:jc w:val="center"/>
              <w:rPr>
                <w:b/>
                <w:bCs/>
                <w:color w:val="000000"/>
                <w:sz w:val="20"/>
                <w:szCs w:val="20"/>
              </w:rPr>
            </w:pPr>
            <w:r>
              <w:rPr>
                <w:b/>
                <w:sz w:val="20"/>
              </w:rPr>
              <w:t>2023</w:t>
            </w:r>
          </w:p>
        </w:tc>
      </w:tr>
      <w:tr w:rsidR="00A03D8A" w:rsidRPr="00A03D8A" w14:paraId="2951FCED" w14:textId="77777777" w:rsidTr="00DE3E07">
        <w:trPr>
          <w:trHeight w:val="240"/>
        </w:trPr>
        <w:tc>
          <w:tcPr>
            <w:tcW w:w="909" w:type="pct"/>
            <w:shd w:val="clear" w:color="auto" w:fill="auto"/>
            <w:noWrap/>
            <w:tcMar>
              <w:left w:w="85" w:type="dxa"/>
              <w:right w:w="85" w:type="dxa"/>
            </w:tcMar>
          </w:tcPr>
          <w:p w14:paraId="1DF542EB" w14:textId="634476E2" w:rsidR="00A03D8A" w:rsidRPr="00A03D8A" w:rsidRDefault="00A03D8A" w:rsidP="00A03D8A">
            <w:pPr>
              <w:widowControl w:val="0"/>
              <w:jc w:val="left"/>
              <w:rPr>
                <w:b/>
                <w:bCs/>
                <w:color w:val="000000"/>
                <w:sz w:val="20"/>
                <w:szCs w:val="20"/>
              </w:rPr>
            </w:pPr>
            <w:r>
              <w:rPr>
                <w:sz w:val="20"/>
              </w:rPr>
              <w:t>Fabrication de climatiseurs</w:t>
            </w:r>
          </w:p>
        </w:tc>
        <w:tc>
          <w:tcPr>
            <w:tcW w:w="584" w:type="pct"/>
            <w:shd w:val="clear" w:color="auto" w:fill="auto"/>
            <w:tcMar>
              <w:left w:w="85" w:type="dxa"/>
              <w:right w:w="85" w:type="dxa"/>
            </w:tcMar>
          </w:tcPr>
          <w:p w14:paraId="21F93C8D" w14:textId="5448413E" w:rsidR="00A03D8A" w:rsidRPr="00A03D8A" w:rsidRDefault="00A03D8A" w:rsidP="00DE3E07">
            <w:pPr>
              <w:widowControl w:val="0"/>
              <w:jc w:val="right"/>
              <w:rPr>
                <w:b/>
                <w:bCs/>
                <w:color w:val="000000"/>
                <w:sz w:val="20"/>
                <w:szCs w:val="20"/>
              </w:rPr>
            </w:pPr>
            <w:r>
              <w:rPr>
                <w:sz w:val="20"/>
              </w:rPr>
              <w:t>7 430,18</w:t>
            </w:r>
          </w:p>
        </w:tc>
        <w:tc>
          <w:tcPr>
            <w:tcW w:w="584" w:type="pct"/>
            <w:shd w:val="clear" w:color="auto" w:fill="auto"/>
            <w:noWrap/>
            <w:tcMar>
              <w:left w:w="85" w:type="dxa"/>
              <w:right w:w="85" w:type="dxa"/>
            </w:tcMar>
          </w:tcPr>
          <w:p w14:paraId="7194A3EC" w14:textId="4D4D3D5F" w:rsidR="00A03D8A" w:rsidRPr="00A03D8A" w:rsidRDefault="00A03D8A" w:rsidP="00DE3E07">
            <w:pPr>
              <w:jc w:val="right"/>
              <w:rPr>
                <w:sz w:val="20"/>
                <w:szCs w:val="20"/>
              </w:rPr>
            </w:pPr>
            <w:r>
              <w:rPr>
                <w:sz w:val="20"/>
              </w:rPr>
              <w:t>7 388,70</w:t>
            </w:r>
          </w:p>
        </w:tc>
        <w:tc>
          <w:tcPr>
            <w:tcW w:w="584" w:type="pct"/>
            <w:tcMar>
              <w:left w:w="85" w:type="dxa"/>
              <w:right w:w="85" w:type="dxa"/>
            </w:tcMar>
          </w:tcPr>
          <w:p w14:paraId="6E617623" w14:textId="27383430" w:rsidR="00A03D8A" w:rsidRPr="00A03D8A" w:rsidRDefault="00A03D8A" w:rsidP="00DE3E07">
            <w:pPr>
              <w:jc w:val="right"/>
              <w:rPr>
                <w:sz w:val="20"/>
                <w:szCs w:val="20"/>
              </w:rPr>
            </w:pPr>
            <w:r>
              <w:rPr>
                <w:sz w:val="20"/>
              </w:rPr>
              <w:t>6 295,35</w:t>
            </w:r>
          </w:p>
        </w:tc>
        <w:tc>
          <w:tcPr>
            <w:tcW w:w="585" w:type="pct"/>
            <w:tcMar>
              <w:left w:w="85" w:type="dxa"/>
              <w:right w:w="85" w:type="dxa"/>
            </w:tcMar>
          </w:tcPr>
          <w:p w14:paraId="2BFE2204" w14:textId="0F881A26" w:rsidR="00A03D8A" w:rsidRPr="00A03D8A" w:rsidRDefault="00A03D8A" w:rsidP="00DE3E07">
            <w:pPr>
              <w:jc w:val="right"/>
              <w:rPr>
                <w:sz w:val="20"/>
                <w:szCs w:val="20"/>
              </w:rPr>
            </w:pPr>
            <w:r>
              <w:rPr>
                <w:sz w:val="20"/>
              </w:rPr>
              <w:t>5 569,62</w:t>
            </w:r>
          </w:p>
        </w:tc>
        <w:tc>
          <w:tcPr>
            <w:tcW w:w="584" w:type="pct"/>
            <w:tcMar>
              <w:left w:w="85" w:type="dxa"/>
              <w:right w:w="85" w:type="dxa"/>
            </w:tcMar>
          </w:tcPr>
          <w:p w14:paraId="4F6BAC53" w14:textId="735FE344" w:rsidR="00A03D8A" w:rsidRPr="00A03D8A" w:rsidRDefault="00A03D8A" w:rsidP="00DE3E07">
            <w:pPr>
              <w:widowControl w:val="0"/>
              <w:jc w:val="right"/>
              <w:rPr>
                <w:rFonts w:eastAsiaTheme="minorHAnsi"/>
                <w:color w:val="000000"/>
                <w:sz w:val="20"/>
                <w:szCs w:val="20"/>
              </w:rPr>
            </w:pPr>
            <w:r>
              <w:rPr>
                <w:sz w:val="20"/>
              </w:rPr>
              <w:t>5 513,46</w:t>
            </w:r>
          </w:p>
        </w:tc>
        <w:tc>
          <w:tcPr>
            <w:tcW w:w="584" w:type="pct"/>
            <w:tcMar>
              <w:left w:w="85" w:type="dxa"/>
              <w:right w:w="85" w:type="dxa"/>
            </w:tcMar>
          </w:tcPr>
          <w:p w14:paraId="70BEC0D2" w14:textId="574C9030" w:rsidR="00A03D8A" w:rsidRPr="00A03D8A" w:rsidRDefault="00A03D8A" w:rsidP="00DE3E07">
            <w:pPr>
              <w:jc w:val="right"/>
              <w:rPr>
                <w:color w:val="000000"/>
                <w:sz w:val="20"/>
                <w:szCs w:val="20"/>
              </w:rPr>
            </w:pPr>
            <w:r>
              <w:rPr>
                <w:sz w:val="20"/>
              </w:rPr>
              <w:t>5 272,73</w:t>
            </w:r>
          </w:p>
        </w:tc>
        <w:tc>
          <w:tcPr>
            <w:tcW w:w="585" w:type="pct"/>
            <w:shd w:val="clear" w:color="auto" w:fill="auto"/>
            <w:noWrap/>
            <w:tcMar>
              <w:left w:w="85" w:type="dxa"/>
              <w:right w:w="85" w:type="dxa"/>
            </w:tcMar>
          </w:tcPr>
          <w:p w14:paraId="60F81BDE" w14:textId="2F44774D" w:rsidR="00A03D8A" w:rsidRPr="00A03D8A" w:rsidRDefault="00A03D8A" w:rsidP="00DE3E07">
            <w:pPr>
              <w:widowControl w:val="0"/>
              <w:jc w:val="right"/>
              <w:rPr>
                <w:color w:val="000000"/>
                <w:sz w:val="20"/>
                <w:szCs w:val="20"/>
              </w:rPr>
            </w:pPr>
            <w:r>
              <w:rPr>
                <w:sz w:val="20"/>
              </w:rPr>
              <w:t>2 281,82</w:t>
            </w:r>
          </w:p>
        </w:tc>
      </w:tr>
      <w:tr w:rsidR="00A03D8A" w:rsidRPr="00A03D8A" w14:paraId="59288264" w14:textId="77777777" w:rsidTr="00DE3E07">
        <w:trPr>
          <w:trHeight w:val="40"/>
        </w:trPr>
        <w:tc>
          <w:tcPr>
            <w:tcW w:w="909" w:type="pct"/>
            <w:shd w:val="clear" w:color="auto" w:fill="auto"/>
            <w:noWrap/>
            <w:tcMar>
              <w:left w:w="85" w:type="dxa"/>
              <w:right w:w="85" w:type="dxa"/>
            </w:tcMar>
          </w:tcPr>
          <w:p w14:paraId="63000DBA" w14:textId="2FF4F414" w:rsidR="00A03D8A" w:rsidRPr="00A03D8A" w:rsidRDefault="00A03D8A" w:rsidP="00A03D8A">
            <w:pPr>
              <w:widowControl w:val="0"/>
              <w:jc w:val="left"/>
              <w:rPr>
                <w:b/>
                <w:bCs/>
                <w:color w:val="000000"/>
                <w:sz w:val="20"/>
                <w:szCs w:val="20"/>
              </w:rPr>
            </w:pPr>
            <w:r>
              <w:rPr>
                <w:sz w:val="20"/>
              </w:rPr>
              <w:t>Entretien</w:t>
            </w:r>
          </w:p>
        </w:tc>
        <w:tc>
          <w:tcPr>
            <w:tcW w:w="584" w:type="pct"/>
            <w:shd w:val="clear" w:color="auto" w:fill="auto"/>
            <w:tcMar>
              <w:left w:w="85" w:type="dxa"/>
              <w:right w:w="85" w:type="dxa"/>
            </w:tcMar>
          </w:tcPr>
          <w:p w14:paraId="4960CB71" w14:textId="72FBD0CB" w:rsidR="00A03D8A" w:rsidRPr="00A03D8A" w:rsidRDefault="00A03D8A" w:rsidP="00DE3E07">
            <w:pPr>
              <w:widowControl w:val="0"/>
              <w:jc w:val="right"/>
              <w:rPr>
                <w:b/>
                <w:bCs/>
                <w:color w:val="000000"/>
                <w:sz w:val="20"/>
                <w:szCs w:val="20"/>
              </w:rPr>
            </w:pPr>
            <w:r>
              <w:rPr>
                <w:sz w:val="20"/>
              </w:rPr>
              <w:t>8 346,29</w:t>
            </w:r>
          </w:p>
        </w:tc>
        <w:tc>
          <w:tcPr>
            <w:tcW w:w="584" w:type="pct"/>
            <w:shd w:val="clear" w:color="auto" w:fill="auto"/>
            <w:noWrap/>
            <w:tcMar>
              <w:left w:w="85" w:type="dxa"/>
              <w:right w:w="85" w:type="dxa"/>
            </w:tcMar>
          </w:tcPr>
          <w:p w14:paraId="2169827F" w14:textId="418603D1" w:rsidR="00A03D8A" w:rsidRPr="00A03D8A" w:rsidRDefault="00A03D8A" w:rsidP="00DE3E07">
            <w:pPr>
              <w:jc w:val="right"/>
              <w:rPr>
                <w:sz w:val="20"/>
                <w:szCs w:val="20"/>
              </w:rPr>
            </w:pPr>
            <w:r>
              <w:rPr>
                <w:sz w:val="20"/>
              </w:rPr>
              <w:t>9 941,36</w:t>
            </w:r>
          </w:p>
        </w:tc>
        <w:tc>
          <w:tcPr>
            <w:tcW w:w="584" w:type="pct"/>
            <w:tcMar>
              <w:left w:w="85" w:type="dxa"/>
              <w:right w:w="85" w:type="dxa"/>
            </w:tcMar>
          </w:tcPr>
          <w:p w14:paraId="67C010CF" w14:textId="3236E4A3" w:rsidR="00A03D8A" w:rsidRPr="00A03D8A" w:rsidRDefault="00A03D8A" w:rsidP="00DE3E07">
            <w:pPr>
              <w:jc w:val="right"/>
              <w:rPr>
                <w:sz w:val="20"/>
                <w:szCs w:val="20"/>
              </w:rPr>
            </w:pPr>
            <w:r>
              <w:rPr>
                <w:sz w:val="20"/>
              </w:rPr>
              <w:t>11 034,71</w:t>
            </w:r>
          </w:p>
        </w:tc>
        <w:tc>
          <w:tcPr>
            <w:tcW w:w="585" w:type="pct"/>
            <w:tcMar>
              <w:left w:w="85" w:type="dxa"/>
              <w:right w:w="85" w:type="dxa"/>
            </w:tcMar>
          </w:tcPr>
          <w:p w14:paraId="4E51CAC3" w14:textId="7EEE1AD3" w:rsidR="00A03D8A" w:rsidRPr="00A03D8A" w:rsidRDefault="00A03D8A" w:rsidP="00DE3E07">
            <w:pPr>
              <w:jc w:val="right"/>
              <w:rPr>
                <w:sz w:val="20"/>
                <w:szCs w:val="20"/>
              </w:rPr>
            </w:pPr>
            <w:r>
              <w:rPr>
                <w:sz w:val="20"/>
              </w:rPr>
              <w:t>10 439,47</w:t>
            </w:r>
          </w:p>
        </w:tc>
        <w:tc>
          <w:tcPr>
            <w:tcW w:w="584" w:type="pct"/>
            <w:tcMar>
              <w:left w:w="85" w:type="dxa"/>
              <w:right w:w="85" w:type="dxa"/>
            </w:tcMar>
          </w:tcPr>
          <w:p w14:paraId="32DC7475" w14:textId="409EA223" w:rsidR="00A03D8A" w:rsidRPr="00A03D8A" w:rsidRDefault="00A03D8A" w:rsidP="00DE3E07">
            <w:pPr>
              <w:jc w:val="right"/>
              <w:rPr>
                <w:rFonts w:eastAsiaTheme="minorHAnsi"/>
                <w:color w:val="000000"/>
                <w:sz w:val="20"/>
                <w:szCs w:val="20"/>
              </w:rPr>
            </w:pPr>
            <w:r>
              <w:rPr>
                <w:sz w:val="20"/>
              </w:rPr>
              <w:t>10 484,55</w:t>
            </w:r>
          </w:p>
        </w:tc>
        <w:tc>
          <w:tcPr>
            <w:tcW w:w="584" w:type="pct"/>
            <w:tcMar>
              <w:left w:w="85" w:type="dxa"/>
              <w:right w:w="85" w:type="dxa"/>
            </w:tcMar>
          </w:tcPr>
          <w:p w14:paraId="4E6C6945" w14:textId="20BEEB10" w:rsidR="00A03D8A" w:rsidRPr="00A03D8A" w:rsidRDefault="00A03D8A" w:rsidP="00DE3E07">
            <w:pPr>
              <w:jc w:val="right"/>
              <w:rPr>
                <w:rFonts w:eastAsiaTheme="minorHAnsi"/>
                <w:color w:val="000000"/>
                <w:sz w:val="20"/>
                <w:szCs w:val="20"/>
              </w:rPr>
            </w:pPr>
            <w:r>
              <w:rPr>
                <w:sz w:val="20"/>
              </w:rPr>
              <w:t>10 654,55</w:t>
            </w:r>
          </w:p>
        </w:tc>
        <w:tc>
          <w:tcPr>
            <w:tcW w:w="585" w:type="pct"/>
            <w:shd w:val="clear" w:color="auto" w:fill="auto"/>
            <w:noWrap/>
            <w:tcMar>
              <w:left w:w="85" w:type="dxa"/>
              <w:right w:w="85" w:type="dxa"/>
            </w:tcMar>
          </w:tcPr>
          <w:p w14:paraId="300F61D2" w14:textId="70A19418" w:rsidR="00A03D8A" w:rsidRPr="00A03D8A" w:rsidRDefault="00A03D8A" w:rsidP="00DE3E07">
            <w:pPr>
              <w:jc w:val="right"/>
              <w:rPr>
                <w:rFonts w:eastAsiaTheme="minorHAnsi"/>
                <w:color w:val="000000"/>
                <w:sz w:val="20"/>
                <w:szCs w:val="20"/>
              </w:rPr>
            </w:pPr>
            <w:r>
              <w:rPr>
                <w:sz w:val="20"/>
              </w:rPr>
              <w:t>10 401,79</w:t>
            </w:r>
          </w:p>
        </w:tc>
      </w:tr>
      <w:tr w:rsidR="00A03D8A" w:rsidRPr="00A03D8A" w14:paraId="64954A84" w14:textId="77777777" w:rsidTr="00DE3E07">
        <w:trPr>
          <w:trHeight w:val="40"/>
        </w:trPr>
        <w:tc>
          <w:tcPr>
            <w:tcW w:w="909" w:type="pct"/>
            <w:shd w:val="clear" w:color="auto" w:fill="auto"/>
            <w:noWrap/>
            <w:tcMar>
              <w:left w:w="85" w:type="dxa"/>
              <w:right w:w="85" w:type="dxa"/>
            </w:tcMar>
          </w:tcPr>
          <w:p w14:paraId="00A4049C" w14:textId="49A73DA6" w:rsidR="00A03D8A" w:rsidRPr="00A03D8A" w:rsidRDefault="00A03D8A" w:rsidP="00A03D8A">
            <w:pPr>
              <w:widowControl w:val="0"/>
              <w:jc w:val="left"/>
              <w:rPr>
                <w:b/>
                <w:bCs/>
                <w:color w:val="000000"/>
                <w:sz w:val="20"/>
                <w:szCs w:val="20"/>
              </w:rPr>
            </w:pPr>
            <w:r>
              <w:rPr>
                <w:b/>
                <w:sz w:val="20"/>
              </w:rPr>
              <w:t>Total</w:t>
            </w:r>
          </w:p>
        </w:tc>
        <w:tc>
          <w:tcPr>
            <w:tcW w:w="584" w:type="pct"/>
            <w:shd w:val="clear" w:color="auto" w:fill="auto"/>
            <w:tcMar>
              <w:left w:w="85" w:type="dxa"/>
              <w:right w:w="85" w:type="dxa"/>
            </w:tcMar>
          </w:tcPr>
          <w:p w14:paraId="2F518F6B" w14:textId="3BBC80D5" w:rsidR="00A03D8A" w:rsidRPr="00A03D8A" w:rsidRDefault="00A03D8A" w:rsidP="00DE3E07">
            <w:pPr>
              <w:widowControl w:val="0"/>
              <w:jc w:val="right"/>
              <w:rPr>
                <w:b/>
                <w:bCs/>
                <w:color w:val="000000"/>
                <w:sz w:val="20"/>
                <w:szCs w:val="20"/>
              </w:rPr>
            </w:pPr>
            <w:r>
              <w:rPr>
                <w:b/>
                <w:sz w:val="20"/>
              </w:rPr>
              <w:t>15 776,47</w:t>
            </w:r>
          </w:p>
        </w:tc>
        <w:tc>
          <w:tcPr>
            <w:tcW w:w="584" w:type="pct"/>
            <w:shd w:val="clear" w:color="auto" w:fill="auto"/>
            <w:noWrap/>
            <w:tcMar>
              <w:left w:w="85" w:type="dxa"/>
              <w:right w:w="85" w:type="dxa"/>
            </w:tcMar>
          </w:tcPr>
          <w:p w14:paraId="66F7BEEE" w14:textId="35669706" w:rsidR="00A03D8A" w:rsidRPr="00A03D8A" w:rsidRDefault="00A03D8A" w:rsidP="00DE3E07">
            <w:pPr>
              <w:jc w:val="right"/>
              <w:rPr>
                <w:b/>
                <w:bCs/>
                <w:sz w:val="20"/>
                <w:szCs w:val="20"/>
              </w:rPr>
            </w:pPr>
            <w:r>
              <w:rPr>
                <w:b/>
                <w:sz w:val="20"/>
              </w:rPr>
              <w:t>17 330,06</w:t>
            </w:r>
          </w:p>
        </w:tc>
        <w:tc>
          <w:tcPr>
            <w:tcW w:w="584" w:type="pct"/>
            <w:tcMar>
              <w:left w:w="85" w:type="dxa"/>
              <w:right w:w="85" w:type="dxa"/>
            </w:tcMar>
          </w:tcPr>
          <w:p w14:paraId="4964AB9B" w14:textId="2A9BC879" w:rsidR="00A03D8A" w:rsidRPr="00A03D8A" w:rsidRDefault="00A03D8A" w:rsidP="00DE3E07">
            <w:pPr>
              <w:jc w:val="right"/>
              <w:rPr>
                <w:b/>
                <w:bCs/>
                <w:sz w:val="20"/>
                <w:szCs w:val="20"/>
              </w:rPr>
            </w:pPr>
            <w:r>
              <w:rPr>
                <w:b/>
                <w:sz w:val="20"/>
              </w:rPr>
              <w:t>17 330,06</w:t>
            </w:r>
          </w:p>
        </w:tc>
        <w:tc>
          <w:tcPr>
            <w:tcW w:w="585" w:type="pct"/>
            <w:tcMar>
              <w:left w:w="85" w:type="dxa"/>
              <w:right w:w="85" w:type="dxa"/>
            </w:tcMar>
          </w:tcPr>
          <w:p w14:paraId="3618341F" w14:textId="179AD9A2" w:rsidR="00A03D8A" w:rsidRPr="00A03D8A" w:rsidRDefault="00A03D8A" w:rsidP="00DE3E07">
            <w:pPr>
              <w:jc w:val="right"/>
              <w:rPr>
                <w:b/>
                <w:bCs/>
                <w:sz w:val="20"/>
                <w:szCs w:val="20"/>
              </w:rPr>
            </w:pPr>
            <w:r>
              <w:rPr>
                <w:b/>
                <w:sz w:val="20"/>
              </w:rPr>
              <w:t>16 009,09</w:t>
            </w:r>
          </w:p>
        </w:tc>
        <w:tc>
          <w:tcPr>
            <w:tcW w:w="584" w:type="pct"/>
            <w:tcMar>
              <w:left w:w="85" w:type="dxa"/>
              <w:right w:w="85" w:type="dxa"/>
            </w:tcMar>
          </w:tcPr>
          <w:p w14:paraId="599468CB" w14:textId="1B39E88B" w:rsidR="00A03D8A" w:rsidRPr="00A03D8A" w:rsidRDefault="00A03D8A" w:rsidP="00DE3E07">
            <w:pPr>
              <w:jc w:val="right"/>
              <w:rPr>
                <w:rFonts w:eastAsiaTheme="minorHAnsi"/>
                <w:b/>
                <w:bCs/>
                <w:color w:val="000000"/>
                <w:sz w:val="20"/>
                <w:szCs w:val="20"/>
              </w:rPr>
            </w:pPr>
            <w:r>
              <w:rPr>
                <w:b/>
                <w:sz w:val="20"/>
              </w:rPr>
              <w:t>15 998,01</w:t>
            </w:r>
          </w:p>
        </w:tc>
        <w:tc>
          <w:tcPr>
            <w:tcW w:w="584" w:type="pct"/>
            <w:tcMar>
              <w:left w:w="85" w:type="dxa"/>
              <w:right w:w="85" w:type="dxa"/>
            </w:tcMar>
          </w:tcPr>
          <w:p w14:paraId="2D85244A" w14:textId="0AD4A7E6" w:rsidR="00A03D8A" w:rsidRPr="00A03D8A" w:rsidRDefault="00A03D8A" w:rsidP="00DE3E07">
            <w:pPr>
              <w:jc w:val="right"/>
              <w:rPr>
                <w:rFonts w:eastAsiaTheme="minorHAnsi"/>
                <w:b/>
                <w:bCs/>
                <w:color w:val="000000"/>
                <w:sz w:val="20"/>
                <w:szCs w:val="20"/>
              </w:rPr>
            </w:pPr>
            <w:r>
              <w:rPr>
                <w:b/>
                <w:sz w:val="20"/>
              </w:rPr>
              <w:t>15 927,28</w:t>
            </w:r>
          </w:p>
        </w:tc>
        <w:tc>
          <w:tcPr>
            <w:tcW w:w="585" w:type="pct"/>
            <w:shd w:val="clear" w:color="auto" w:fill="auto"/>
            <w:noWrap/>
            <w:tcMar>
              <w:left w:w="85" w:type="dxa"/>
              <w:right w:w="85" w:type="dxa"/>
            </w:tcMar>
          </w:tcPr>
          <w:p w14:paraId="67CDFDFA" w14:textId="01BB55BB" w:rsidR="00A03D8A" w:rsidRPr="00A03D8A" w:rsidRDefault="00A03D8A" w:rsidP="00DE3E07">
            <w:pPr>
              <w:jc w:val="right"/>
              <w:rPr>
                <w:rFonts w:eastAsiaTheme="minorHAnsi"/>
                <w:b/>
                <w:bCs/>
                <w:color w:val="000000"/>
                <w:sz w:val="20"/>
                <w:szCs w:val="20"/>
              </w:rPr>
            </w:pPr>
            <w:r>
              <w:rPr>
                <w:b/>
                <w:sz w:val="20"/>
              </w:rPr>
              <w:t>12 683,61</w:t>
            </w:r>
          </w:p>
        </w:tc>
      </w:tr>
    </w:tbl>
    <w:p w14:paraId="6FD50870" w14:textId="2B88D452" w:rsidR="004177A6" w:rsidRPr="00470BAF" w:rsidRDefault="004177A6" w:rsidP="00631A40">
      <w:pPr>
        <w:spacing w:before="240" w:after="240"/>
        <w:rPr>
          <w:i/>
        </w:rPr>
      </w:pPr>
      <w:r>
        <w:rPr>
          <w:i/>
        </w:rPr>
        <w:t>Rapport de mise en œuvre du programme de pays</w:t>
      </w:r>
    </w:p>
    <w:bookmarkEnd w:id="2"/>
    <w:p w14:paraId="5AB19863" w14:textId="5491B137" w:rsidR="004177A6" w:rsidRPr="00470BAF" w:rsidRDefault="004177A6" w:rsidP="00953931">
      <w:pPr>
        <w:pStyle w:val="Heading1"/>
        <w:numPr>
          <w:ilvl w:val="0"/>
          <w:numId w:val="14"/>
        </w:numPr>
        <w:tabs>
          <w:tab w:val="clear" w:pos="993"/>
          <w:tab w:val="num" w:pos="0"/>
        </w:tabs>
        <w:ind w:left="0"/>
      </w:pPr>
      <w:r>
        <w:t>Les données de consommation de HCFC communiquées par le Gouvernement de l’Arabie saoudite dans son rapport de mise en œuvre du programme de pays pour 2022 correspondent aux données fournies au titre de l’Article 7 du Protocole de Montréal.</w:t>
      </w:r>
    </w:p>
    <w:p w14:paraId="35142A68" w14:textId="6465ECA0" w:rsidR="004177A6" w:rsidRPr="00996241" w:rsidRDefault="004177A6" w:rsidP="004177A6">
      <w:pPr>
        <w:keepNext/>
        <w:autoSpaceDE w:val="0"/>
        <w:autoSpaceDN w:val="0"/>
        <w:adjustRightInd w:val="0"/>
        <w:spacing w:after="240"/>
        <w:rPr>
          <w:b/>
        </w:rPr>
      </w:pPr>
      <w:bookmarkStart w:id="3" w:name="_Hlk126915708"/>
      <w:r>
        <w:rPr>
          <w:b/>
        </w:rPr>
        <w:t>Phase II du plan de gestion de l’élimination des HCFC</w:t>
      </w:r>
    </w:p>
    <w:p w14:paraId="61AB9BAA" w14:textId="77777777" w:rsidR="004177A6" w:rsidRPr="00996241" w:rsidRDefault="004177A6" w:rsidP="004177A6">
      <w:pPr>
        <w:keepNext/>
        <w:spacing w:after="240"/>
        <w:outlineLvl w:val="0"/>
        <w:rPr>
          <w:u w:val="single"/>
        </w:rPr>
      </w:pPr>
      <w:r>
        <w:rPr>
          <w:u w:val="single"/>
        </w:rPr>
        <w:t>Consommation restante admissible au financement</w:t>
      </w:r>
    </w:p>
    <w:bookmarkEnd w:id="3"/>
    <w:p w14:paraId="3B9E7927" w14:textId="77777777" w:rsidR="00234AAA" w:rsidRDefault="004177A6" w:rsidP="00953931">
      <w:pPr>
        <w:pStyle w:val="Heading1"/>
        <w:numPr>
          <w:ilvl w:val="0"/>
          <w:numId w:val="14"/>
        </w:numPr>
        <w:tabs>
          <w:tab w:val="clear" w:pos="993"/>
          <w:tab w:val="num" w:pos="0"/>
        </w:tabs>
        <w:ind w:left="0"/>
      </w:pPr>
      <w:r>
        <w:t>Après la déduction de 703,29 tonnes PAO de HCFC associée à la phase I du PGEH, la consommation restante admissible au financement pour la phase II s’élève à 765,41 tonnes PAO de HCFC</w:t>
      </w:r>
      <w:r>
        <w:noBreakHyphen/>
        <w:t>22.</w:t>
      </w:r>
      <w:bookmarkStart w:id="4" w:name="_Hlk126915728"/>
    </w:p>
    <w:p w14:paraId="31CF33C0" w14:textId="211D448F" w:rsidR="004177A6" w:rsidRPr="00F163A7" w:rsidRDefault="004177A6" w:rsidP="009D02B5">
      <w:pPr>
        <w:pStyle w:val="Heading1"/>
        <w:keepNext/>
        <w:keepLines/>
        <w:rPr>
          <w:u w:val="single"/>
        </w:rPr>
      </w:pPr>
      <w:r>
        <w:rPr>
          <w:u w:val="single"/>
        </w:rPr>
        <w:t>Répartition sectorielle des HCFC</w:t>
      </w:r>
    </w:p>
    <w:bookmarkEnd w:id="4"/>
    <w:p w14:paraId="11A8DD29" w14:textId="501ED5B0" w:rsidR="007F2280" w:rsidRDefault="006411FA" w:rsidP="00953931">
      <w:pPr>
        <w:pStyle w:val="Heading1"/>
        <w:numPr>
          <w:ilvl w:val="0"/>
          <w:numId w:val="14"/>
        </w:numPr>
        <w:tabs>
          <w:tab w:val="clear" w:pos="993"/>
          <w:tab w:val="num" w:pos="0"/>
        </w:tabs>
        <w:ind w:left="0"/>
      </w:pPr>
      <w:r>
        <w:t>Les deux tiers environ de la consommation de HCFC-22 du pays sont utilisés pour l’entretien de l’équipement de réfrigération et de climatisation, incluant la climatisation domestique, la climatisation à usage commercial, la réfrigération pour transports, la grande réfrigération à usage commercial et la réfrigération à usage industriel, et le tiers restant est utilisé pour fabriquer de l’équipement de climatisation à usages résidentiel et commercial.</w:t>
      </w:r>
    </w:p>
    <w:p w14:paraId="4740CB64" w14:textId="49F8A976" w:rsidR="004177A6" w:rsidRDefault="00AB3694" w:rsidP="00953931">
      <w:pPr>
        <w:pStyle w:val="Heading1"/>
        <w:numPr>
          <w:ilvl w:val="0"/>
          <w:numId w:val="14"/>
        </w:numPr>
        <w:tabs>
          <w:tab w:val="clear" w:pos="993"/>
          <w:tab w:val="num" w:pos="0"/>
        </w:tabs>
        <w:ind w:left="0"/>
      </w:pPr>
      <w:r>
        <w:t>Le pays compte entre 30 000 et 50 000 techniciens et 7 250 ateliers enregistrés, consommant du HCFC</w:t>
      </w:r>
      <w:r>
        <w:noBreakHyphen/>
        <w:t>22 pour l’entretien des climatiseurs individuels monoblocs et biblocs, des systèmes de climatisation de toiture gainés et des refroidisseurs, de la réfrigération pour transports (navires frigorifiques et chalutiers), et des condenseurs de moyenne à grande dimension, comme indiqué au tableau 3. Le HCFC</w:t>
      </w:r>
      <w:r>
        <w:noBreakHyphen/>
        <w:t>22 représente 58 pour cent des frigorigènes utilisés dans le secteur de l’entretien, suivi du R</w:t>
      </w:r>
      <w:r>
        <w:noBreakHyphen/>
        <w:t>410A, du R</w:t>
      </w:r>
      <w:r>
        <w:noBreakHyphen/>
        <w:t>407C et du R</w:t>
      </w:r>
      <w:r>
        <w:noBreakHyphen/>
        <w:t>404A ; et environ 19 pour cent dans le secteur de la fabrication de climatiseurs domestiques, le R</w:t>
      </w:r>
      <w:r>
        <w:noBreakHyphen/>
        <w:t>410A représentant pratiquement tout le reste de la consommation pour la fabrication du pays.</w:t>
      </w:r>
    </w:p>
    <w:p w14:paraId="51A7131A" w14:textId="34829704" w:rsidR="00F172CA" w:rsidRPr="002D4874" w:rsidRDefault="00F172CA" w:rsidP="002D4874">
      <w:pPr>
        <w:pStyle w:val="Caption"/>
        <w:spacing w:after="0"/>
        <w:rPr>
          <w:color w:val="auto"/>
        </w:rPr>
      </w:pPr>
      <w:bookmarkStart w:id="5" w:name="_Hlk126915738"/>
      <w:r>
        <w:rPr>
          <w:color w:val="auto"/>
        </w:rPr>
        <w:t>Tableau 3 : Estimation de la demande de HCFC-22 dans le secteur de l’entretien de l’équipement de réfrigération et de climatisation en Arabie saoudite (2022)</w:t>
      </w:r>
    </w:p>
    <w:tbl>
      <w:tblPr>
        <w:tblW w:w="94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472"/>
        <w:gridCol w:w="1238"/>
        <w:gridCol w:w="1275"/>
        <w:gridCol w:w="1194"/>
        <w:gridCol w:w="1419"/>
      </w:tblGrid>
      <w:tr w:rsidR="00F172CA" w:rsidRPr="003D0931" w14:paraId="6227A433" w14:textId="77777777" w:rsidTr="007733A1">
        <w:trPr>
          <w:trHeight w:val="667"/>
          <w:tblHeader/>
        </w:trPr>
        <w:tc>
          <w:tcPr>
            <w:tcW w:w="3119" w:type="dxa"/>
            <w:shd w:val="clear" w:color="auto" w:fill="auto"/>
            <w:noWrap/>
            <w:vAlign w:val="center"/>
            <w:hideMark/>
          </w:tcPr>
          <w:p w14:paraId="1194AD7B" w14:textId="77777777" w:rsidR="00F172CA" w:rsidRPr="002D4874" w:rsidRDefault="00F172CA" w:rsidP="00953931">
            <w:pPr>
              <w:jc w:val="left"/>
              <w:rPr>
                <w:b/>
                <w:bCs/>
                <w:sz w:val="20"/>
                <w:szCs w:val="20"/>
              </w:rPr>
            </w:pPr>
            <w:r>
              <w:rPr>
                <w:b/>
                <w:sz w:val="20"/>
              </w:rPr>
              <w:t>Applications</w:t>
            </w:r>
          </w:p>
        </w:tc>
        <w:tc>
          <w:tcPr>
            <w:tcW w:w="1172" w:type="dxa"/>
            <w:shd w:val="clear" w:color="auto" w:fill="auto"/>
            <w:vAlign w:val="center"/>
            <w:hideMark/>
          </w:tcPr>
          <w:p w14:paraId="0FD003C8" w14:textId="60B2C988" w:rsidR="00F172CA" w:rsidRPr="002D4874" w:rsidRDefault="00562DCB" w:rsidP="009D02B5">
            <w:pPr>
              <w:jc w:val="center"/>
              <w:rPr>
                <w:b/>
                <w:bCs/>
                <w:sz w:val="20"/>
                <w:szCs w:val="20"/>
              </w:rPr>
            </w:pPr>
            <w:r>
              <w:rPr>
                <w:b/>
                <w:sz w:val="20"/>
              </w:rPr>
              <w:t>Nombre d’équipements</w:t>
            </w:r>
          </w:p>
        </w:tc>
        <w:tc>
          <w:tcPr>
            <w:tcW w:w="1238" w:type="dxa"/>
            <w:shd w:val="clear" w:color="auto" w:fill="auto"/>
            <w:vAlign w:val="center"/>
            <w:hideMark/>
          </w:tcPr>
          <w:p w14:paraId="3A2DB6B2" w14:textId="77777777" w:rsidR="00F172CA" w:rsidRPr="002D4874" w:rsidRDefault="00F172CA" w:rsidP="009D02B5">
            <w:pPr>
              <w:jc w:val="center"/>
              <w:rPr>
                <w:b/>
                <w:bCs/>
                <w:sz w:val="20"/>
                <w:szCs w:val="20"/>
              </w:rPr>
            </w:pPr>
            <w:r>
              <w:rPr>
                <w:b/>
                <w:sz w:val="20"/>
              </w:rPr>
              <w:t>Charge moyenne (kg)</w:t>
            </w:r>
          </w:p>
        </w:tc>
        <w:tc>
          <w:tcPr>
            <w:tcW w:w="1275" w:type="dxa"/>
            <w:shd w:val="clear" w:color="auto" w:fill="auto"/>
            <w:vAlign w:val="center"/>
            <w:hideMark/>
          </w:tcPr>
          <w:p w14:paraId="06C6967F" w14:textId="31A0DD19" w:rsidR="00F172CA" w:rsidRPr="002D4874" w:rsidRDefault="006109D4" w:rsidP="009D02B5">
            <w:pPr>
              <w:jc w:val="center"/>
              <w:rPr>
                <w:b/>
                <w:bCs/>
                <w:sz w:val="20"/>
                <w:szCs w:val="20"/>
              </w:rPr>
            </w:pPr>
            <w:r>
              <w:rPr>
                <w:b/>
                <w:sz w:val="20"/>
              </w:rPr>
              <w:t>Quantité de HCFC (tm)</w:t>
            </w:r>
          </w:p>
        </w:tc>
        <w:tc>
          <w:tcPr>
            <w:tcW w:w="1194" w:type="dxa"/>
            <w:shd w:val="clear" w:color="auto" w:fill="auto"/>
            <w:vAlign w:val="center"/>
            <w:hideMark/>
          </w:tcPr>
          <w:p w14:paraId="0B8832B9" w14:textId="566903D6" w:rsidR="00F172CA" w:rsidRPr="002D4874" w:rsidRDefault="004627AF" w:rsidP="009D02B5">
            <w:pPr>
              <w:jc w:val="center"/>
              <w:rPr>
                <w:b/>
                <w:bCs/>
                <w:sz w:val="20"/>
                <w:szCs w:val="20"/>
              </w:rPr>
            </w:pPr>
            <w:r>
              <w:rPr>
                <w:b/>
                <w:sz w:val="20"/>
              </w:rPr>
              <w:t>Taux de fuite estimé (%)</w:t>
            </w:r>
          </w:p>
        </w:tc>
        <w:tc>
          <w:tcPr>
            <w:tcW w:w="1419" w:type="dxa"/>
            <w:shd w:val="clear" w:color="auto" w:fill="auto"/>
            <w:vAlign w:val="center"/>
            <w:hideMark/>
          </w:tcPr>
          <w:p w14:paraId="030E999C" w14:textId="75AB985A" w:rsidR="00F172CA" w:rsidRPr="002D4874" w:rsidRDefault="006C36B8" w:rsidP="009D02B5">
            <w:pPr>
              <w:jc w:val="center"/>
              <w:rPr>
                <w:b/>
                <w:bCs/>
                <w:sz w:val="20"/>
                <w:szCs w:val="20"/>
              </w:rPr>
            </w:pPr>
            <w:r>
              <w:rPr>
                <w:b/>
                <w:sz w:val="20"/>
              </w:rPr>
              <w:t>Besoin annuel en entretien (tm)</w:t>
            </w:r>
          </w:p>
        </w:tc>
      </w:tr>
      <w:tr w:rsidR="00F172CA" w:rsidRPr="003D0931" w14:paraId="45FB6EE0" w14:textId="77777777" w:rsidTr="006936DC">
        <w:trPr>
          <w:trHeight w:val="145"/>
        </w:trPr>
        <w:tc>
          <w:tcPr>
            <w:tcW w:w="3119" w:type="dxa"/>
            <w:shd w:val="clear" w:color="auto" w:fill="auto"/>
            <w:noWrap/>
            <w:hideMark/>
          </w:tcPr>
          <w:p w14:paraId="25D33104" w14:textId="1F41EC8E" w:rsidR="00F172CA" w:rsidRPr="002D4874" w:rsidRDefault="00CC5275" w:rsidP="00CC5275">
            <w:pPr>
              <w:jc w:val="left"/>
              <w:rPr>
                <w:sz w:val="20"/>
                <w:szCs w:val="20"/>
              </w:rPr>
            </w:pPr>
            <w:r>
              <w:rPr>
                <w:sz w:val="20"/>
              </w:rPr>
              <w:t>Climatisation individuelle (monobloc et bibloc)</w:t>
            </w:r>
          </w:p>
        </w:tc>
        <w:tc>
          <w:tcPr>
            <w:tcW w:w="1172" w:type="dxa"/>
            <w:shd w:val="clear" w:color="auto" w:fill="auto"/>
            <w:noWrap/>
            <w:hideMark/>
          </w:tcPr>
          <w:p w14:paraId="320C33EE" w14:textId="77777777" w:rsidR="00F172CA" w:rsidRPr="002D4874" w:rsidRDefault="00F172CA" w:rsidP="00953931">
            <w:pPr>
              <w:jc w:val="right"/>
              <w:rPr>
                <w:sz w:val="20"/>
                <w:szCs w:val="20"/>
              </w:rPr>
            </w:pPr>
            <w:r>
              <w:rPr>
                <w:sz w:val="20"/>
              </w:rPr>
              <w:t>10 693 983</w:t>
            </w:r>
          </w:p>
        </w:tc>
        <w:tc>
          <w:tcPr>
            <w:tcW w:w="1238" w:type="dxa"/>
            <w:shd w:val="clear" w:color="auto" w:fill="auto"/>
            <w:noWrap/>
            <w:hideMark/>
          </w:tcPr>
          <w:p w14:paraId="19310442" w14:textId="21C71E07" w:rsidR="00F172CA" w:rsidRPr="002D4874" w:rsidRDefault="00F172CA" w:rsidP="00953931">
            <w:pPr>
              <w:jc w:val="right"/>
              <w:rPr>
                <w:sz w:val="20"/>
                <w:szCs w:val="20"/>
              </w:rPr>
            </w:pPr>
            <w:r>
              <w:rPr>
                <w:sz w:val="20"/>
              </w:rPr>
              <w:t>1,88</w:t>
            </w:r>
          </w:p>
        </w:tc>
        <w:tc>
          <w:tcPr>
            <w:tcW w:w="1275" w:type="dxa"/>
            <w:shd w:val="clear" w:color="auto" w:fill="auto"/>
            <w:noWrap/>
            <w:hideMark/>
          </w:tcPr>
          <w:p w14:paraId="087D26CE" w14:textId="6ED7C470" w:rsidR="00F172CA" w:rsidRPr="002D4874" w:rsidRDefault="00F172CA" w:rsidP="00953931">
            <w:pPr>
              <w:jc w:val="right"/>
              <w:rPr>
                <w:sz w:val="20"/>
                <w:szCs w:val="20"/>
              </w:rPr>
            </w:pPr>
            <w:r>
              <w:rPr>
                <w:sz w:val="20"/>
              </w:rPr>
              <w:t>20 091,81</w:t>
            </w:r>
          </w:p>
        </w:tc>
        <w:tc>
          <w:tcPr>
            <w:tcW w:w="1194" w:type="dxa"/>
            <w:shd w:val="clear" w:color="auto" w:fill="auto"/>
            <w:noWrap/>
            <w:hideMark/>
          </w:tcPr>
          <w:p w14:paraId="4446639C" w14:textId="057A00A9" w:rsidR="00F172CA" w:rsidRPr="002D4874" w:rsidRDefault="00F172CA" w:rsidP="00953931">
            <w:pPr>
              <w:jc w:val="right"/>
              <w:rPr>
                <w:sz w:val="20"/>
                <w:szCs w:val="20"/>
              </w:rPr>
            </w:pPr>
            <w:r>
              <w:rPr>
                <w:sz w:val="20"/>
              </w:rPr>
              <w:t>11</w:t>
            </w:r>
          </w:p>
        </w:tc>
        <w:tc>
          <w:tcPr>
            <w:tcW w:w="1419" w:type="dxa"/>
            <w:shd w:val="clear" w:color="auto" w:fill="auto"/>
            <w:noWrap/>
            <w:hideMark/>
          </w:tcPr>
          <w:p w14:paraId="5B68290B" w14:textId="3C545B52" w:rsidR="00F172CA" w:rsidRPr="002D4874" w:rsidRDefault="00F172CA" w:rsidP="00953931">
            <w:pPr>
              <w:jc w:val="right"/>
              <w:rPr>
                <w:sz w:val="20"/>
                <w:szCs w:val="20"/>
              </w:rPr>
            </w:pPr>
            <w:r>
              <w:rPr>
                <w:sz w:val="20"/>
              </w:rPr>
              <w:t>2 210,10</w:t>
            </w:r>
          </w:p>
        </w:tc>
      </w:tr>
      <w:tr w:rsidR="00F172CA" w:rsidRPr="003D0931" w14:paraId="152B4A6C" w14:textId="77777777" w:rsidTr="006936DC">
        <w:trPr>
          <w:trHeight w:val="185"/>
        </w:trPr>
        <w:tc>
          <w:tcPr>
            <w:tcW w:w="3119" w:type="dxa"/>
            <w:shd w:val="clear" w:color="auto" w:fill="auto"/>
            <w:noWrap/>
            <w:hideMark/>
          </w:tcPr>
          <w:p w14:paraId="59D96615" w14:textId="12BA9CFA" w:rsidR="00F172CA" w:rsidRPr="002D4874" w:rsidRDefault="00F172CA" w:rsidP="00762C71">
            <w:pPr>
              <w:jc w:val="left"/>
              <w:rPr>
                <w:sz w:val="20"/>
                <w:szCs w:val="20"/>
              </w:rPr>
            </w:pPr>
            <w:r>
              <w:rPr>
                <w:sz w:val="20"/>
              </w:rPr>
              <w:t>Climatisation à usages commercial et industriel (unités autonomes gainées</w:t>
            </w:r>
            <w:r w:rsidR="00DA6A50">
              <w:rPr>
                <w:sz w:val="20"/>
              </w:rPr>
              <w:t>)</w:t>
            </w:r>
            <w:r>
              <w:rPr>
                <w:sz w:val="20"/>
              </w:rPr>
              <w:t xml:space="preserve"> et refroidisseurs</w:t>
            </w:r>
          </w:p>
        </w:tc>
        <w:tc>
          <w:tcPr>
            <w:tcW w:w="1172" w:type="dxa"/>
            <w:shd w:val="clear" w:color="auto" w:fill="auto"/>
            <w:noWrap/>
            <w:hideMark/>
          </w:tcPr>
          <w:p w14:paraId="042E2440" w14:textId="77777777" w:rsidR="00F172CA" w:rsidRPr="002D4874" w:rsidRDefault="00F172CA" w:rsidP="00953931">
            <w:pPr>
              <w:jc w:val="right"/>
              <w:rPr>
                <w:sz w:val="20"/>
                <w:szCs w:val="20"/>
              </w:rPr>
            </w:pPr>
            <w:r>
              <w:rPr>
                <w:sz w:val="20"/>
              </w:rPr>
              <w:t>429 913</w:t>
            </w:r>
          </w:p>
        </w:tc>
        <w:tc>
          <w:tcPr>
            <w:tcW w:w="1238" w:type="dxa"/>
            <w:shd w:val="clear" w:color="auto" w:fill="auto"/>
            <w:noWrap/>
            <w:hideMark/>
          </w:tcPr>
          <w:p w14:paraId="79315EF3" w14:textId="6D1E8768" w:rsidR="00F172CA" w:rsidRPr="002D4874" w:rsidRDefault="00F172CA" w:rsidP="00953931">
            <w:pPr>
              <w:jc w:val="right"/>
              <w:rPr>
                <w:sz w:val="20"/>
                <w:szCs w:val="20"/>
              </w:rPr>
            </w:pPr>
            <w:r>
              <w:rPr>
                <w:sz w:val="20"/>
              </w:rPr>
              <w:t>112,88</w:t>
            </w:r>
          </w:p>
        </w:tc>
        <w:tc>
          <w:tcPr>
            <w:tcW w:w="1275" w:type="dxa"/>
            <w:shd w:val="clear" w:color="auto" w:fill="auto"/>
            <w:noWrap/>
            <w:hideMark/>
          </w:tcPr>
          <w:p w14:paraId="761476DA" w14:textId="6697EAFB" w:rsidR="00F172CA" w:rsidRPr="002D4874" w:rsidRDefault="00F172CA" w:rsidP="00953931">
            <w:pPr>
              <w:jc w:val="right"/>
              <w:rPr>
                <w:sz w:val="20"/>
                <w:szCs w:val="20"/>
              </w:rPr>
            </w:pPr>
            <w:r>
              <w:rPr>
                <w:sz w:val="20"/>
              </w:rPr>
              <w:t>48 529,59</w:t>
            </w:r>
          </w:p>
        </w:tc>
        <w:tc>
          <w:tcPr>
            <w:tcW w:w="1194" w:type="dxa"/>
            <w:shd w:val="clear" w:color="auto" w:fill="auto"/>
            <w:noWrap/>
            <w:hideMark/>
          </w:tcPr>
          <w:p w14:paraId="0A207CAA" w14:textId="45C08824" w:rsidR="00F172CA" w:rsidRPr="002D4874" w:rsidRDefault="00F172CA" w:rsidP="00953931">
            <w:pPr>
              <w:jc w:val="right"/>
              <w:rPr>
                <w:sz w:val="20"/>
                <w:szCs w:val="20"/>
              </w:rPr>
            </w:pPr>
            <w:r>
              <w:rPr>
                <w:sz w:val="20"/>
              </w:rPr>
              <w:t>11</w:t>
            </w:r>
          </w:p>
        </w:tc>
        <w:tc>
          <w:tcPr>
            <w:tcW w:w="1419" w:type="dxa"/>
            <w:shd w:val="clear" w:color="auto" w:fill="auto"/>
            <w:noWrap/>
            <w:hideMark/>
          </w:tcPr>
          <w:p w14:paraId="1B5B35CA" w14:textId="0B403F5F" w:rsidR="00F172CA" w:rsidRPr="002D4874" w:rsidRDefault="00F172CA" w:rsidP="00953931">
            <w:pPr>
              <w:jc w:val="right"/>
              <w:rPr>
                <w:sz w:val="20"/>
                <w:szCs w:val="20"/>
              </w:rPr>
            </w:pPr>
            <w:r>
              <w:rPr>
                <w:sz w:val="20"/>
              </w:rPr>
              <w:t>5 338,26</w:t>
            </w:r>
          </w:p>
        </w:tc>
      </w:tr>
      <w:tr w:rsidR="00F172CA" w:rsidRPr="003D0931" w14:paraId="63DF1875" w14:textId="77777777" w:rsidTr="006936DC">
        <w:trPr>
          <w:trHeight w:val="141"/>
        </w:trPr>
        <w:tc>
          <w:tcPr>
            <w:tcW w:w="3119" w:type="dxa"/>
            <w:shd w:val="clear" w:color="auto" w:fill="auto"/>
            <w:noWrap/>
            <w:hideMark/>
          </w:tcPr>
          <w:p w14:paraId="38D2C203" w14:textId="51D20855" w:rsidR="00F172CA" w:rsidRPr="002D4874" w:rsidRDefault="00F172CA" w:rsidP="00762C71">
            <w:pPr>
              <w:jc w:val="left"/>
              <w:rPr>
                <w:sz w:val="20"/>
                <w:szCs w:val="20"/>
              </w:rPr>
            </w:pPr>
            <w:r>
              <w:rPr>
                <w:sz w:val="20"/>
              </w:rPr>
              <w:t>Transports frigorifiques</w:t>
            </w:r>
          </w:p>
        </w:tc>
        <w:tc>
          <w:tcPr>
            <w:tcW w:w="1172" w:type="dxa"/>
            <w:shd w:val="clear" w:color="auto" w:fill="auto"/>
            <w:noWrap/>
            <w:hideMark/>
          </w:tcPr>
          <w:p w14:paraId="0869D073" w14:textId="77777777" w:rsidR="00F172CA" w:rsidRPr="002D4874" w:rsidRDefault="00F172CA" w:rsidP="00953931">
            <w:pPr>
              <w:jc w:val="right"/>
              <w:rPr>
                <w:sz w:val="20"/>
                <w:szCs w:val="20"/>
              </w:rPr>
            </w:pPr>
            <w:r>
              <w:rPr>
                <w:sz w:val="20"/>
              </w:rPr>
              <w:t>39 276</w:t>
            </w:r>
          </w:p>
        </w:tc>
        <w:tc>
          <w:tcPr>
            <w:tcW w:w="1238" w:type="dxa"/>
            <w:shd w:val="clear" w:color="auto" w:fill="auto"/>
            <w:noWrap/>
            <w:hideMark/>
          </w:tcPr>
          <w:p w14:paraId="5E6E79B5" w14:textId="473D9405" w:rsidR="00F172CA" w:rsidRPr="002D4874" w:rsidRDefault="00F172CA" w:rsidP="00953931">
            <w:pPr>
              <w:jc w:val="right"/>
              <w:rPr>
                <w:sz w:val="20"/>
                <w:szCs w:val="20"/>
              </w:rPr>
            </w:pPr>
            <w:r>
              <w:rPr>
                <w:sz w:val="20"/>
              </w:rPr>
              <w:t>6,77</w:t>
            </w:r>
          </w:p>
        </w:tc>
        <w:tc>
          <w:tcPr>
            <w:tcW w:w="1275" w:type="dxa"/>
            <w:shd w:val="clear" w:color="auto" w:fill="auto"/>
            <w:noWrap/>
            <w:hideMark/>
          </w:tcPr>
          <w:p w14:paraId="4F3FFBDB" w14:textId="1B11863B" w:rsidR="00F172CA" w:rsidRPr="002D4874" w:rsidRDefault="00F172CA" w:rsidP="00953931">
            <w:pPr>
              <w:jc w:val="right"/>
              <w:rPr>
                <w:sz w:val="20"/>
                <w:szCs w:val="20"/>
              </w:rPr>
            </w:pPr>
            <w:r>
              <w:rPr>
                <w:sz w:val="20"/>
              </w:rPr>
              <w:t>265,72</w:t>
            </w:r>
          </w:p>
        </w:tc>
        <w:tc>
          <w:tcPr>
            <w:tcW w:w="1194" w:type="dxa"/>
            <w:shd w:val="clear" w:color="auto" w:fill="auto"/>
            <w:noWrap/>
            <w:hideMark/>
          </w:tcPr>
          <w:p w14:paraId="64ADD7FF" w14:textId="5FA3F531" w:rsidR="00F172CA" w:rsidRPr="002D4874" w:rsidRDefault="00F172CA" w:rsidP="00953931">
            <w:pPr>
              <w:jc w:val="right"/>
              <w:rPr>
                <w:sz w:val="20"/>
                <w:szCs w:val="20"/>
              </w:rPr>
            </w:pPr>
            <w:r>
              <w:rPr>
                <w:sz w:val="20"/>
              </w:rPr>
              <w:t>20</w:t>
            </w:r>
          </w:p>
        </w:tc>
        <w:tc>
          <w:tcPr>
            <w:tcW w:w="1419" w:type="dxa"/>
            <w:shd w:val="clear" w:color="auto" w:fill="auto"/>
            <w:noWrap/>
            <w:hideMark/>
          </w:tcPr>
          <w:p w14:paraId="7C4450DD" w14:textId="0A5742F4" w:rsidR="00F172CA" w:rsidRPr="002D4874" w:rsidRDefault="00F172CA" w:rsidP="00953931">
            <w:pPr>
              <w:jc w:val="right"/>
              <w:rPr>
                <w:sz w:val="20"/>
                <w:szCs w:val="20"/>
              </w:rPr>
            </w:pPr>
            <w:r>
              <w:rPr>
                <w:sz w:val="20"/>
              </w:rPr>
              <w:t>53,14</w:t>
            </w:r>
          </w:p>
        </w:tc>
      </w:tr>
      <w:tr w:rsidR="00F172CA" w:rsidRPr="003D0931" w14:paraId="1666731A" w14:textId="77777777" w:rsidTr="006936DC">
        <w:trPr>
          <w:trHeight w:val="254"/>
        </w:trPr>
        <w:tc>
          <w:tcPr>
            <w:tcW w:w="3119" w:type="dxa"/>
            <w:shd w:val="clear" w:color="auto" w:fill="auto"/>
            <w:noWrap/>
            <w:hideMark/>
          </w:tcPr>
          <w:p w14:paraId="00BA292F" w14:textId="39A07E2C" w:rsidR="00F172CA" w:rsidRPr="002D4874" w:rsidRDefault="00A369D7" w:rsidP="00762C71">
            <w:pPr>
              <w:jc w:val="left"/>
              <w:rPr>
                <w:sz w:val="20"/>
                <w:szCs w:val="20"/>
              </w:rPr>
            </w:pPr>
            <w:r>
              <w:rPr>
                <w:sz w:val="20"/>
              </w:rPr>
              <w:lastRenderedPageBreak/>
              <w:t>Réfrigération commerciale (condenseurs de moyenne dimension)</w:t>
            </w:r>
          </w:p>
        </w:tc>
        <w:tc>
          <w:tcPr>
            <w:tcW w:w="1172" w:type="dxa"/>
            <w:shd w:val="clear" w:color="auto" w:fill="auto"/>
            <w:noWrap/>
            <w:hideMark/>
          </w:tcPr>
          <w:p w14:paraId="00CA9A0A" w14:textId="77777777" w:rsidR="00F172CA" w:rsidRPr="002D4874" w:rsidRDefault="00F172CA" w:rsidP="00953931">
            <w:pPr>
              <w:jc w:val="right"/>
              <w:rPr>
                <w:sz w:val="20"/>
                <w:szCs w:val="20"/>
              </w:rPr>
            </w:pPr>
            <w:r>
              <w:rPr>
                <w:sz w:val="20"/>
              </w:rPr>
              <w:t>18 026</w:t>
            </w:r>
          </w:p>
        </w:tc>
        <w:tc>
          <w:tcPr>
            <w:tcW w:w="1238" w:type="dxa"/>
            <w:shd w:val="clear" w:color="auto" w:fill="auto"/>
            <w:noWrap/>
            <w:hideMark/>
          </w:tcPr>
          <w:p w14:paraId="77841A51" w14:textId="20646BBF" w:rsidR="00F172CA" w:rsidRPr="002D4874" w:rsidRDefault="00F172CA" w:rsidP="00953931">
            <w:pPr>
              <w:jc w:val="right"/>
              <w:rPr>
                <w:sz w:val="20"/>
                <w:szCs w:val="20"/>
              </w:rPr>
            </w:pPr>
            <w:r>
              <w:rPr>
                <w:sz w:val="20"/>
              </w:rPr>
              <w:t>73,75</w:t>
            </w:r>
          </w:p>
        </w:tc>
        <w:tc>
          <w:tcPr>
            <w:tcW w:w="1275" w:type="dxa"/>
            <w:shd w:val="clear" w:color="auto" w:fill="auto"/>
            <w:noWrap/>
            <w:hideMark/>
          </w:tcPr>
          <w:p w14:paraId="21F292F8" w14:textId="5ED13600" w:rsidR="00F172CA" w:rsidRPr="002D4874" w:rsidRDefault="00F172CA" w:rsidP="00953931">
            <w:pPr>
              <w:jc w:val="right"/>
              <w:rPr>
                <w:sz w:val="20"/>
                <w:szCs w:val="20"/>
              </w:rPr>
            </w:pPr>
            <w:r>
              <w:rPr>
                <w:sz w:val="20"/>
              </w:rPr>
              <w:t>1 329,40</w:t>
            </w:r>
          </w:p>
        </w:tc>
        <w:tc>
          <w:tcPr>
            <w:tcW w:w="1194" w:type="dxa"/>
            <w:shd w:val="clear" w:color="auto" w:fill="auto"/>
            <w:noWrap/>
            <w:hideMark/>
          </w:tcPr>
          <w:p w14:paraId="71FCF0DC" w14:textId="03C71CA9" w:rsidR="00F172CA" w:rsidRPr="002D4874" w:rsidRDefault="00F172CA" w:rsidP="00953931">
            <w:pPr>
              <w:jc w:val="right"/>
              <w:rPr>
                <w:sz w:val="20"/>
                <w:szCs w:val="20"/>
              </w:rPr>
            </w:pPr>
            <w:r>
              <w:rPr>
                <w:sz w:val="20"/>
              </w:rPr>
              <w:t>20</w:t>
            </w:r>
          </w:p>
        </w:tc>
        <w:tc>
          <w:tcPr>
            <w:tcW w:w="1419" w:type="dxa"/>
            <w:shd w:val="clear" w:color="auto" w:fill="auto"/>
            <w:noWrap/>
            <w:hideMark/>
          </w:tcPr>
          <w:p w14:paraId="0FB10DAE" w14:textId="50B042FC" w:rsidR="00F172CA" w:rsidRPr="002D4874" w:rsidRDefault="00F172CA" w:rsidP="00953931">
            <w:pPr>
              <w:jc w:val="right"/>
              <w:rPr>
                <w:sz w:val="20"/>
                <w:szCs w:val="20"/>
              </w:rPr>
            </w:pPr>
            <w:r>
              <w:rPr>
                <w:sz w:val="20"/>
              </w:rPr>
              <w:t>265,88</w:t>
            </w:r>
          </w:p>
        </w:tc>
      </w:tr>
      <w:tr w:rsidR="00F172CA" w:rsidRPr="003D0931" w14:paraId="2163A356" w14:textId="77777777" w:rsidTr="006936DC">
        <w:trPr>
          <w:trHeight w:val="254"/>
        </w:trPr>
        <w:tc>
          <w:tcPr>
            <w:tcW w:w="3119" w:type="dxa"/>
            <w:shd w:val="clear" w:color="auto" w:fill="auto"/>
            <w:noWrap/>
            <w:hideMark/>
          </w:tcPr>
          <w:p w14:paraId="735A6A55" w14:textId="1EB15377" w:rsidR="00F172CA" w:rsidRPr="002D4874" w:rsidRDefault="00F172CA" w:rsidP="00762C71">
            <w:pPr>
              <w:jc w:val="left"/>
              <w:rPr>
                <w:sz w:val="20"/>
                <w:szCs w:val="20"/>
              </w:rPr>
            </w:pPr>
            <w:r>
              <w:rPr>
                <w:sz w:val="20"/>
              </w:rPr>
              <w:t>Réfrigération industrielle (condenseurs de grande dimension)</w:t>
            </w:r>
          </w:p>
        </w:tc>
        <w:tc>
          <w:tcPr>
            <w:tcW w:w="1172" w:type="dxa"/>
            <w:shd w:val="clear" w:color="auto" w:fill="auto"/>
            <w:noWrap/>
            <w:hideMark/>
          </w:tcPr>
          <w:p w14:paraId="6EAE406D" w14:textId="77777777" w:rsidR="00F172CA" w:rsidRPr="002D4874" w:rsidRDefault="00F172CA" w:rsidP="00953931">
            <w:pPr>
              <w:jc w:val="right"/>
              <w:rPr>
                <w:sz w:val="20"/>
                <w:szCs w:val="20"/>
              </w:rPr>
            </w:pPr>
            <w:r>
              <w:rPr>
                <w:sz w:val="20"/>
              </w:rPr>
              <w:t>7 321</w:t>
            </w:r>
          </w:p>
        </w:tc>
        <w:tc>
          <w:tcPr>
            <w:tcW w:w="1238" w:type="dxa"/>
            <w:shd w:val="clear" w:color="auto" w:fill="auto"/>
            <w:noWrap/>
            <w:hideMark/>
          </w:tcPr>
          <w:p w14:paraId="2DEA980D" w14:textId="47862F64" w:rsidR="00F172CA" w:rsidRPr="002D4874" w:rsidRDefault="00F172CA" w:rsidP="00953931">
            <w:pPr>
              <w:jc w:val="right"/>
              <w:rPr>
                <w:sz w:val="20"/>
                <w:szCs w:val="20"/>
              </w:rPr>
            </w:pPr>
            <w:r>
              <w:rPr>
                <w:sz w:val="20"/>
              </w:rPr>
              <w:t>36,05</w:t>
            </w:r>
          </w:p>
        </w:tc>
        <w:tc>
          <w:tcPr>
            <w:tcW w:w="1275" w:type="dxa"/>
            <w:shd w:val="clear" w:color="auto" w:fill="auto"/>
            <w:noWrap/>
            <w:hideMark/>
          </w:tcPr>
          <w:p w14:paraId="1BD7E758" w14:textId="01D4E13B" w:rsidR="00F172CA" w:rsidRPr="002D4874" w:rsidRDefault="00F172CA" w:rsidP="00953931">
            <w:pPr>
              <w:jc w:val="right"/>
              <w:rPr>
                <w:sz w:val="20"/>
                <w:szCs w:val="20"/>
              </w:rPr>
            </w:pPr>
            <w:r>
              <w:rPr>
                <w:sz w:val="20"/>
              </w:rPr>
              <w:t>263,91</w:t>
            </w:r>
          </w:p>
        </w:tc>
        <w:tc>
          <w:tcPr>
            <w:tcW w:w="1194" w:type="dxa"/>
            <w:shd w:val="clear" w:color="auto" w:fill="auto"/>
            <w:noWrap/>
            <w:hideMark/>
          </w:tcPr>
          <w:p w14:paraId="44D2CC6C" w14:textId="07A5A0FF" w:rsidR="00F172CA" w:rsidRPr="002D4874" w:rsidRDefault="00F172CA" w:rsidP="00953931">
            <w:pPr>
              <w:jc w:val="right"/>
              <w:rPr>
                <w:sz w:val="20"/>
                <w:szCs w:val="20"/>
              </w:rPr>
            </w:pPr>
            <w:r>
              <w:rPr>
                <w:sz w:val="20"/>
              </w:rPr>
              <w:t>20</w:t>
            </w:r>
          </w:p>
        </w:tc>
        <w:tc>
          <w:tcPr>
            <w:tcW w:w="1419" w:type="dxa"/>
            <w:shd w:val="clear" w:color="auto" w:fill="auto"/>
            <w:noWrap/>
            <w:hideMark/>
          </w:tcPr>
          <w:p w14:paraId="65F92093" w14:textId="1506AE2B" w:rsidR="00F172CA" w:rsidRPr="002D4874" w:rsidRDefault="00F172CA" w:rsidP="00953931">
            <w:pPr>
              <w:jc w:val="right"/>
              <w:rPr>
                <w:sz w:val="20"/>
                <w:szCs w:val="20"/>
              </w:rPr>
            </w:pPr>
            <w:r>
              <w:rPr>
                <w:sz w:val="20"/>
              </w:rPr>
              <w:t>52,78</w:t>
            </w:r>
          </w:p>
        </w:tc>
      </w:tr>
      <w:tr w:rsidR="00F172CA" w:rsidRPr="00D8230E" w14:paraId="41D84181" w14:textId="77777777" w:rsidTr="006936DC">
        <w:trPr>
          <w:trHeight w:val="105"/>
        </w:trPr>
        <w:tc>
          <w:tcPr>
            <w:tcW w:w="3119" w:type="dxa"/>
            <w:shd w:val="clear" w:color="auto" w:fill="auto"/>
            <w:noWrap/>
            <w:hideMark/>
          </w:tcPr>
          <w:p w14:paraId="067DDE5B" w14:textId="77777777" w:rsidR="00F172CA" w:rsidRPr="00D8230E" w:rsidRDefault="00F172CA" w:rsidP="00762C71">
            <w:pPr>
              <w:jc w:val="left"/>
              <w:rPr>
                <w:b/>
                <w:sz w:val="20"/>
                <w:szCs w:val="20"/>
              </w:rPr>
            </w:pPr>
            <w:r>
              <w:rPr>
                <w:b/>
                <w:sz w:val="20"/>
              </w:rPr>
              <w:t>Total</w:t>
            </w:r>
          </w:p>
        </w:tc>
        <w:tc>
          <w:tcPr>
            <w:tcW w:w="1172" w:type="dxa"/>
            <w:shd w:val="clear" w:color="auto" w:fill="auto"/>
            <w:noWrap/>
            <w:hideMark/>
          </w:tcPr>
          <w:p w14:paraId="25C800CF" w14:textId="77777777" w:rsidR="00F172CA" w:rsidRPr="00D8230E" w:rsidRDefault="00F172CA" w:rsidP="00953931">
            <w:pPr>
              <w:jc w:val="right"/>
              <w:rPr>
                <w:b/>
                <w:sz w:val="20"/>
                <w:szCs w:val="20"/>
              </w:rPr>
            </w:pPr>
            <w:r>
              <w:rPr>
                <w:b/>
                <w:sz w:val="20"/>
              </w:rPr>
              <w:t>11 188 519</w:t>
            </w:r>
          </w:p>
        </w:tc>
        <w:tc>
          <w:tcPr>
            <w:tcW w:w="1238" w:type="dxa"/>
            <w:shd w:val="clear" w:color="auto" w:fill="auto"/>
            <w:noWrap/>
            <w:hideMark/>
          </w:tcPr>
          <w:p w14:paraId="04D3BE13" w14:textId="77777777" w:rsidR="00F172CA" w:rsidRPr="00D8230E" w:rsidRDefault="00F172CA" w:rsidP="00953931">
            <w:pPr>
              <w:jc w:val="right"/>
              <w:rPr>
                <w:b/>
                <w:sz w:val="20"/>
                <w:szCs w:val="20"/>
              </w:rPr>
            </w:pPr>
            <w:r>
              <w:rPr>
                <w:b/>
                <w:sz w:val="20"/>
              </w:rPr>
              <w:t>-</w:t>
            </w:r>
          </w:p>
        </w:tc>
        <w:tc>
          <w:tcPr>
            <w:tcW w:w="1275" w:type="dxa"/>
            <w:shd w:val="clear" w:color="auto" w:fill="auto"/>
            <w:noWrap/>
            <w:hideMark/>
          </w:tcPr>
          <w:p w14:paraId="4A2F8D35" w14:textId="367E7BB3" w:rsidR="00F172CA" w:rsidRPr="00D8230E" w:rsidRDefault="00F172CA" w:rsidP="00953931">
            <w:pPr>
              <w:jc w:val="right"/>
              <w:rPr>
                <w:b/>
                <w:sz w:val="20"/>
                <w:szCs w:val="20"/>
              </w:rPr>
            </w:pPr>
            <w:r>
              <w:rPr>
                <w:b/>
                <w:sz w:val="20"/>
              </w:rPr>
              <w:t>70 480,43</w:t>
            </w:r>
          </w:p>
        </w:tc>
        <w:tc>
          <w:tcPr>
            <w:tcW w:w="1194" w:type="dxa"/>
            <w:shd w:val="clear" w:color="auto" w:fill="auto"/>
            <w:noWrap/>
            <w:hideMark/>
          </w:tcPr>
          <w:p w14:paraId="1D490DD6" w14:textId="77777777" w:rsidR="00F172CA" w:rsidRPr="00D8230E" w:rsidRDefault="00F172CA" w:rsidP="00953931">
            <w:pPr>
              <w:jc w:val="right"/>
              <w:rPr>
                <w:b/>
                <w:sz w:val="20"/>
                <w:szCs w:val="20"/>
              </w:rPr>
            </w:pPr>
            <w:r>
              <w:rPr>
                <w:b/>
                <w:sz w:val="20"/>
              </w:rPr>
              <w:t>-</w:t>
            </w:r>
          </w:p>
        </w:tc>
        <w:tc>
          <w:tcPr>
            <w:tcW w:w="1419" w:type="dxa"/>
            <w:shd w:val="clear" w:color="auto" w:fill="auto"/>
            <w:noWrap/>
            <w:hideMark/>
          </w:tcPr>
          <w:p w14:paraId="16A48D95" w14:textId="3ACBC62D" w:rsidR="00F172CA" w:rsidRPr="00D8230E" w:rsidRDefault="00F172CA" w:rsidP="00953931">
            <w:pPr>
              <w:jc w:val="right"/>
              <w:rPr>
                <w:b/>
                <w:sz w:val="20"/>
                <w:szCs w:val="20"/>
              </w:rPr>
            </w:pPr>
            <w:r>
              <w:rPr>
                <w:b/>
                <w:sz w:val="20"/>
              </w:rPr>
              <w:t>7 920,16</w:t>
            </w:r>
            <w:r>
              <w:rPr>
                <w:b/>
                <w:sz w:val="20"/>
                <w:vertAlign w:val="superscript"/>
              </w:rPr>
              <w:t>*</w:t>
            </w:r>
          </w:p>
        </w:tc>
      </w:tr>
    </w:tbl>
    <w:p w14:paraId="27030EC0" w14:textId="2290C941" w:rsidR="00E03AD8" w:rsidRPr="00E03AD8" w:rsidRDefault="00E03AD8" w:rsidP="00E03AD8">
      <w:pPr>
        <w:keepNext/>
        <w:rPr>
          <w:sz w:val="18"/>
          <w:szCs w:val="18"/>
        </w:rPr>
      </w:pPr>
      <w:r>
        <w:rPr>
          <w:sz w:val="18"/>
        </w:rPr>
        <w:t>*2 725,39 tm supplémentaires de HCFC-22 ont été consommées en 2022 pour l’entretien d’équipement de réfrigération et de climatisation non spécifié.</w:t>
      </w:r>
    </w:p>
    <w:p w14:paraId="03B1ECB0" w14:textId="387621FF" w:rsidR="004177A6" w:rsidRPr="00A523F8" w:rsidRDefault="004177A6" w:rsidP="00953931">
      <w:pPr>
        <w:keepNext/>
        <w:spacing w:before="240" w:after="240"/>
        <w:rPr>
          <w:b/>
        </w:rPr>
      </w:pPr>
      <w:r>
        <w:rPr>
          <w:u w:val="single"/>
        </w:rPr>
        <w:t>Stratégie d’élimination</w:t>
      </w:r>
    </w:p>
    <w:p w14:paraId="6D0DE498" w14:textId="7920AF86" w:rsidR="008D06C1" w:rsidRPr="00A523F8" w:rsidRDefault="004177A6" w:rsidP="00953931">
      <w:pPr>
        <w:pStyle w:val="Heading1"/>
        <w:numPr>
          <w:ilvl w:val="0"/>
          <w:numId w:val="14"/>
        </w:numPr>
        <w:tabs>
          <w:tab w:val="clear" w:pos="993"/>
          <w:tab w:val="num" w:pos="0"/>
        </w:tabs>
        <w:ind w:left="0"/>
      </w:pPr>
      <w:bookmarkStart w:id="6" w:name="_Hlk125636542"/>
      <w:bookmarkEnd w:id="5"/>
      <w:r>
        <w:t xml:space="preserve">La phase II </w:t>
      </w:r>
      <w:bookmarkEnd w:id="6"/>
      <w:r>
        <w:t>du PGEH renforcera encore la capacité du secteur de l’entretien, en se concentrant sur les sous-secteurs de la climatisation à usages domestique et commercial et de la réfrigération à usages commercial et industriel ; renforcera encore le cadre réglementaire ; et favorisera la transition aux technologies à faible potentiel de réchauffement de la planète (PRP) dans le secteur de la réfrigération et la climatisation. Les entreprises fabriquant de l’équipement à usage</w:t>
      </w:r>
      <w:r w:rsidR="003910A3">
        <w:t>s</w:t>
      </w:r>
      <w:r>
        <w:t xml:space="preserve"> résidentiel et commercial élimineront leur consommation de HCFC-22 par reconversion au R-410A et au R-407C avec leurs propres moyens.</w:t>
      </w:r>
    </w:p>
    <w:p w14:paraId="19D59547" w14:textId="78261709" w:rsidR="004177A6" w:rsidRPr="00A523F8" w:rsidRDefault="004177A6" w:rsidP="007733A1">
      <w:pPr>
        <w:keepNext/>
        <w:spacing w:after="120"/>
        <w:rPr>
          <w:i/>
          <w:iCs/>
        </w:rPr>
      </w:pPr>
      <w:r>
        <w:rPr>
          <w:i/>
        </w:rPr>
        <w:t>Activités proposées</w:t>
      </w:r>
    </w:p>
    <w:p w14:paraId="31CC9305" w14:textId="09779E8B" w:rsidR="004177A6" w:rsidRPr="00A523F8" w:rsidRDefault="004177A6" w:rsidP="007733A1">
      <w:pPr>
        <w:pStyle w:val="Heading1"/>
        <w:numPr>
          <w:ilvl w:val="0"/>
          <w:numId w:val="14"/>
        </w:numPr>
        <w:tabs>
          <w:tab w:val="clear" w:pos="993"/>
          <w:tab w:val="num" w:pos="0"/>
        </w:tabs>
        <w:spacing w:after="120"/>
        <w:ind w:left="0"/>
      </w:pPr>
      <w:bookmarkStart w:id="7" w:name="_Hlk126915743"/>
      <w:r>
        <w:t xml:space="preserve">Les activités suivantes sont proposées pour la phase II : </w:t>
      </w:r>
    </w:p>
    <w:p w14:paraId="1030F292" w14:textId="48A7A76E" w:rsidR="004177A6" w:rsidRPr="00A523F8" w:rsidRDefault="00FD3A4A" w:rsidP="007733A1">
      <w:pPr>
        <w:pStyle w:val="Heading2"/>
        <w:spacing w:after="120"/>
      </w:pPr>
      <w:r>
        <w:t>p</w:t>
      </w:r>
      <w:r w:rsidR="0036453F">
        <w:t>olitique et application : mise en place d’une interdiction des importations et de la fabrication d’équipements et de produits utilisant des HCFC d’ici au 1</w:t>
      </w:r>
      <w:r w:rsidR="0036453F">
        <w:rPr>
          <w:vertAlign w:val="superscript"/>
        </w:rPr>
        <w:t>er</w:t>
      </w:r>
      <w:r w:rsidR="0036453F">
        <w:t> janvier 2025, et examen des politiques et réglementations existantes pour le reliquat à des fins d’entretien de 2030 à 2040 ; consultation des parties prenantes et analyse du cadre juridique intégrant les mécanismes d’application ; amélioration et mise en œuvre du système électronique d’octroi de permis, et formation de l’UNO, de l’autorité émettrice d’autorisation, et des importateurs à l’utilisation du système pour le suivi et la communication des résultats et à l’émission des permis électroniques ; établissement d’un système</w:t>
      </w:r>
      <w:r w:rsidR="001E437D">
        <w:t xml:space="preserve"> national</w:t>
      </w:r>
      <w:r w:rsidR="0036453F">
        <w:t xml:space="preserve"> de certification pour les techniciens de réfrigération et climatisation incluant les exigences de qualification obligatoires et le cadre juridique requis, et élaboration et mise en œuvre d’un système d’enregistrement électronique pour les techniciens certifiés ; et élaboration et mise en œuvre d’un système d’enregistrement électronique pour les ateliers d’entretien (PNUE) (730 000 $ US) ; et élaboration de réglementations sur la gestion des frigorigènes à base de HCFC pour soutenir la mise en œuvre d’un programme de récupération, réutilisation et régénération des frigorigènes, dont l’entrée en vigueur est prévue pour le 1</w:t>
      </w:r>
      <w:r w:rsidR="0036453F">
        <w:rPr>
          <w:vertAlign w:val="superscript"/>
        </w:rPr>
        <w:t>er</w:t>
      </w:r>
      <w:r w:rsidR="0036453F">
        <w:t> janvier 2026 (ONUDI) (25 000 $ US) ;</w:t>
      </w:r>
    </w:p>
    <w:p w14:paraId="40D69704" w14:textId="5AF787E0" w:rsidR="004177A6" w:rsidRPr="002E0658" w:rsidRDefault="00301BEA" w:rsidP="007733A1">
      <w:pPr>
        <w:pStyle w:val="Heading2"/>
        <w:widowControl/>
        <w:spacing w:after="120"/>
      </w:pPr>
      <w:r>
        <w:t xml:space="preserve">renforcement de la capacité des douanes : deux ateliers pour la formation d’au moins 22 formateurs (au moins un de chaque port douanier) pour le service des douanes, et 16 ateliers pour la formation de 320 agents des douanes au contrôle des HCFC, incluant le profilage des risques ; trois dialogues aux frontières avec les pays voisins sur la lutte contre le commerce illicite des SAO ; 10 ateliers pour la formation de 200 agents d’application de 22 ports aux réglementations sur les SAO pour soutenir l’application au-delà des points de contrôle douanier ; cinq ateliers pour la formation de 80 agents des douanes et importateurs de HCFC, de frigorigènes et d’équipement de réfrigération et de climatisation aux nouvelles mesures réglementaires ; et assistance technique pour le renforcement des opérations des douanes pour le contrôle des importations/exportations de HCFC par la </w:t>
      </w:r>
      <w:r>
        <w:lastRenderedPageBreak/>
        <w:t>gestion du profilage des risques (PNUE) (575 000 $ US) ; et achat d’équipement pour soutenir le contrôle du commerce (ONUDI) (682 500 $ US) ;</w:t>
      </w:r>
      <w:r w:rsidR="00112E60" w:rsidRPr="00985A57">
        <w:rPr>
          <w:rStyle w:val="FootnoteReference"/>
        </w:rPr>
        <w:footnoteReference w:id="8"/>
      </w:r>
    </w:p>
    <w:p w14:paraId="036C5557" w14:textId="0F027363" w:rsidR="004177A6" w:rsidRPr="000B24E6" w:rsidRDefault="00343F1D" w:rsidP="004177A6">
      <w:pPr>
        <w:pStyle w:val="Heading2"/>
      </w:pPr>
      <w:r>
        <w:t xml:space="preserve">élaboration de normes : </w:t>
      </w:r>
      <w:bookmarkStart w:id="8" w:name="_Hlk164348119"/>
      <w:r>
        <w:t>mise à jour des normes nationales relatives aux produits de réfrigération et de climatisation conformément aux normes internationales</w:t>
      </w:r>
      <w:bookmarkEnd w:id="8"/>
      <w:r>
        <w:t> ; et élaboration et mise en œuvre de modes opératoires normalisés pour les ateliers d’entretien pour la manipulation des frigorigènes inflammables et dangereux (PNUE) (60 000 $ US) ;</w:t>
      </w:r>
    </w:p>
    <w:p w14:paraId="4FB2B9DC" w14:textId="77777777" w:rsidR="004C5F08" w:rsidRDefault="00D00155" w:rsidP="000E616B">
      <w:pPr>
        <w:pStyle w:val="Heading2"/>
        <w:widowControl/>
      </w:pPr>
      <w:r>
        <w:t>renforcement de la capacité des techniciens :</w:t>
      </w:r>
    </w:p>
    <w:p w14:paraId="585E358F" w14:textId="67014C2C" w:rsidR="007A0B1D" w:rsidRDefault="00804B06" w:rsidP="007A0B1D">
      <w:pPr>
        <w:keepNext/>
        <w:numPr>
          <w:ilvl w:val="2"/>
          <w:numId w:val="16"/>
        </w:numPr>
        <w:tabs>
          <w:tab w:val="clear" w:pos="-270"/>
          <w:tab w:val="num" w:pos="0"/>
        </w:tabs>
        <w:spacing w:after="240"/>
        <w:ind w:left="2160"/>
        <w:outlineLvl w:val="2"/>
      </w:pPr>
      <w:r>
        <w:t>formation des formateurs : dix-huit ateliers pour la formation de 126 maîtres formateurs dans 13 provinces ; 26 ateliers pour la formation d’au moins 260 enseignants au nouveau programme de formation aux bonnes pratiques pour l’entretien ; et deux formations pilotes pour le propriétaire de refroidisseurs au HCFC-123 pour l’élimination complète de ce frigorigène dans le secteur de l’entretien (PNUE) (690 000 $ US) ;</w:t>
      </w:r>
    </w:p>
    <w:p w14:paraId="0B0473BC" w14:textId="727DBAA0" w:rsidR="007A0B1D" w:rsidRPr="00324F62" w:rsidRDefault="00804B06" w:rsidP="007A0B1D">
      <w:pPr>
        <w:keepNext/>
        <w:numPr>
          <w:ilvl w:val="2"/>
          <w:numId w:val="16"/>
        </w:numPr>
        <w:tabs>
          <w:tab w:val="clear" w:pos="-270"/>
          <w:tab w:val="num" w:pos="0"/>
        </w:tabs>
        <w:spacing w:after="240"/>
        <w:ind w:left="2160"/>
        <w:outlineLvl w:val="2"/>
      </w:pPr>
      <w:r>
        <w:t>formation et certification des techniciens : le PNUE propose 194 ateliers de trois jours pour la formation de 3 880 techniciens aux bonnes pratiques pour l’entretien et à la manipulation sans danger des nouveaux frigorigènes, les coûts comprenant la salle, le marketing, les consommables et un consultant pour l’organisation et la logistique (2 910 000 $ US) ; et soutien pour la couverture de l’essai d’évaluation pour la certification de 3 880 techniciens de réfrigération et climatisation (1 164 000 $ US). L’ONUDI fournirait l’équipement et les outils</w:t>
      </w:r>
      <w:r w:rsidR="003F523B" w:rsidRPr="003F523B">
        <w:rPr>
          <w:rStyle w:val="FootnoteReference"/>
        </w:rPr>
        <w:footnoteReference w:id="9"/>
      </w:r>
      <w:r>
        <w:t xml:space="preserve"> à 3 880 techniciens comme incitation à leur participation au programme de formation et de certification (2 328 000 $ US), pour un coût moyen pour la formation et la certification de 1 650 $ US par technicien ;</w:t>
      </w:r>
    </w:p>
    <w:p w14:paraId="6E1298C2" w14:textId="62AA156D" w:rsidR="004177A6" w:rsidRPr="00BB2F1E" w:rsidRDefault="00D672CE" w:rsidP="007A0B1D">
      <w:pPr>
        <w:keepNext/>
        <w:numPr>
          <w:ilvl w:val="2"/>
          <w:numId w:val="16"/>
        </w:numPr>
        <w:tabs>
          <w:tab w:val="clear" w:pos="-270"/>
          <w:tab w:val="num" w:pos="0"/>
        </w:tabs>
        <w:spacing w:after="240"/>
        <w:ind w:left="2160"/>
        <w:outlineLvl w:val="2"/>
      </w:pPr>
      <w:r>
        <w:t>équipement et outils : fourniture de 100 ensembles d’équipement de formation aux instituts de formation et d’évaluation professionnelles, et outils et équipement pour 5 655 ateliers d’entretien choisis, enregistrés dans le cadre du programme d’enregistrement électronique (ONUDI) (7 986 000 $ US) ;</w:t>
      </w:r>
      <w:r w:rsidR="00112E60" w:rsidRPr="00BB2F1E">
        <w:rPr>
          <w:rStyle w:val="FootnoteReference"/>
        </w:rPr>
        <w:footnoteReference w:id="10"/>
      </w:r>
    </w:p>
    <w:p w14:paraId="42034900" w14:textId="3A51222E" w:rsidR="00617709" w:rsidRPr="000B24E6" w:rsidRDefault="00617709" w:rsidP="007A0B1D">
      <w:pPr>
        <w:keepNext/>
        <w:numPr>
          <w:ilvl w:val="2"/>
          <w:numId w:val="16"/>
        </w:numPr>
        <w:tabs>
          <w:tab w:val="clear" w:pos="-270"/>
          <w:tab w:val="num" w:pos="0"/>
        </w:tabs>
        <w:spacing w:after="240"/>
        <w:ind w:left="2160"/>
        <w:outlineLvl w:val="2"/>
      </w:pPr>
      <w:r>
        <w:t>constitution de réseau pour le secteur de la réfrigération et la climatisation : établissement d’une association et d’un réseau de réfrigération et de climatisation pour la sensibilisation des techniciens et pour soutenir le programme de formation et de certification (PNUE) (75 248 $ US) ;</w:t>
      </w:r>
    </w:p>
    <w:p w14:paraId="2FF95111" w14:textId="0DBFBEFC" w:rsidR="00915811" w:rsidRPr="00D32980" w:rsidRDefault="0078773A" w:rsidP="00915811">
      <w:pPr>
        <w:pStyle w:val="Heading2"/>
      </w:pPr>
      <w:r>
        <w:t>recyclage, récupération et régénération (RRR) : élaboration de lignes directrices locales pour les installations de régénération et un modèle d’activité pour les centres de récupération, établissement de deux centres nationaux de RRR supplémentaires pour la régénération des frigorigènes à renvoyer dans le secteur de l’entretien,</w:t>
      </w:r>
      <w:r w:rsidR="002340A9" w:rsidRPr="00D32980">
        <w:rPr>
          <w:rStyle w:val="FootnoteReference"/>
        </w:rPr>
        <w:footnoteReference w:id="11"/>
      </w:r>
      <w:r>
        <w:t xml:space="preserve"> et fondation de réseaux de RRR par la fourniture de 400 kits d’entretien aux ateliers comptant des techniciens certifiés</w:t>
      </w:r>
      <w:r w:rsidR="009B5870" w:rsidRPr="00D32980">
        <w:rPr>
          <w:rStyle w:val="FootnoteReference"/>
        </w:rPr>
        <w:footnoteReference w:id="12"/>
      </w:r>
      <w:r>
        <w:t xml:space="preserve"> (ONUDI) (1 320 000 $ US) ; quatre ateliers pour la formation de </w:t>
      </w:r>
      <w:r w:rsidR="00C14906">
        <w:t>techniciens de réfrigération et</w:t>
      </w:r>
      <w:r>
        <w:t xml:space="preserve"> climatisation certifiés à la récupération et la régénération (un dans chacun des quatre centres de formation professionnelle) ; élaboration de procédures de certification pour les hôtes des centres de récupération, les </w:t>
      </w:r>
      <w:r w:rsidR="00C14906">
        <w:t xml:space="preserve">techniciens de réfrigération </w:t>
      </w:r>
      <w:r w:rsidR="00C14906">
        <w:lastRenderedPageBreak/>
        <w:t>et</w:t>
      </w:r>
      <w:r>
        <w:t xml:space="preserve"> climatisation, et les ateliers d’entretien ; et étude de faisabilité de la destruction finale des frigorigènes indésirables (PNUE) (140 000 $ US) ;</w:t>
      </w:r>
    </w:p>
    <w:p w14:paraId="79EB085B" w14:textId="069F175A" w:rsidR="00816597" w:rsidRDefault="009C3479" w:rsidP="00816597">
      <w:pPr>
        <w:pStyle w:val="Heading2"/>
      </w:pPr>
      <w:r>
        <w:t>renforcement de la capacité de fabrication : organisation de deux visites d’étude d’une semaine pour 22 représentants de 11 fabricants sur la fabrication de technologies à faible PRP ; formations spécialisées pour cinq entreprises de fabrication de climatiseurs à la production, au stockage, au transport et à l’installation des produits de climatisation utilisant des technologies à faible PRP et aux hydrocarbures ; recherche sur la sécurité et les performances des technologies à faible PRP et diffusion des résultats aux techniciens et aux parties prenantes ; 20 sessions pour diffuser des informations sur les technologies émergentes dans la fabrication et l’entretien d’équipement de réfrigération et de climatisation, incluant la préparation d’une brochure ; assistance technique à de grands utilisateurs finaux pour la réduction des fuites ; et création d’un profil du marché des équipements utilisant des HCFC et des frigorigènes à faible PRP (PNUE) (435 000 $ US) ; et fourniture d’équipement et formation des installateurs pour cinq fabricants de climatiseurs à usages domestique et commercial</w:t>
      </w:r>
      <w:r w:rsidR="00CF5FA5">
        <w:rPr>
          <w:rStyle w:val="FootnoteReference"/>
        </w:rPr>
        <w:footnoteReference w:id="13"/>
      </w:r>
      <w:r>
        <w:t xml:space="preserve"> (ONUDI) (600 000 $ US) ; et</w:t>
      </w:r>
    </w:p>
    <w:p w14:paraId="76C9BD82" w14:textId="637BBA51" w:rsidR="00324271" w:rsidRPr="00324271" w:rsidRDefault="00324271" w:rsidP="00324271">
      <w:pPr>
        <w:pStyle w:val="Heading2"/>
      </w:pPr>
      <w:r>
        <w:t>sensibilisation : campagne sur l’élimination des HCFC et les solutions de remplacement à faible PRP, incluant la production et la diffusion de documents imprimés (par exemple des publicités dans les journaux, des articles de journal) et dans les médias (par exemple des courts-métrages) dans la langue locale ; organisation d’événements annuels pour la promotion des technologies respectueuses de la couche d’ozone et du climat ; et sensibilisation des ateliers d’entretien aux programmes de formation, à un programme de reconnaissance des acquis et aux technologies émergentes (PNUE) (435 500 $ US).</w:t>
      </w:r>
    </w:p>
    <w:p w14:paraId="1F7AA5CD" w14:textId="6FB50BCE" w:rsidR="004177A6" w:rsidRPr="00F42294" w:rsidRDefault="004177A6" w:rsidP="004177A6">
      <w:pPr>
        <w:widowControl w:val="0"/>
        <w:spacing w:before="240" w:after="240"/>
        <w:rPr>
          <w:i/>
          <w:iCs/>
        </w:rPr>
      </w:pPr>
      <w:bookmarkStart w:id="9" w:name="_Hlk126915749"/>
      <w:bookmarkEnd w:id="7"/>
      <w:r>
        <w:rPr>
          <w:i/>
        </w:rPr>
        <w:t>Mise en œuvre et suivi de projet</w:t>
      </w:r>
    </w:p>
    <w:bookmarkEnd w:id="9"/>
    <w:p w14:paraId="4D3A2251" w14:textId="252ACE3F" w:rsidR="004177A6" w:rsidRPr="00AA1F64" w:rsidRDefault="004177A6" w:rsidP="00953931">
      <w:pPr>
        <w:pStyle w:val="Heading1"/>
        <w:numPr>
          <w:ilvl w:val="0"/>
          <w:numId w:val="14"/>
        </w:numPr>
        <w:tabs>
          <w:tab w:val="clear" w:pos="993"/>
          <w:tab w:val="num" w:pos="0"/>
        </w:tabs>
        <w:ind w:left="0"/>
      </w:pPr>
      <w:r>
        <w:t xml:space="preserve">Le système mis en place durant la phase I du PGEH sera maintenu durant la </w:t>
      </w:r>
      <w:bookmarkStart w:id="10" w:name="_Hlk125636825"/>
      <w:r>
        <w:t>phase II</w:t>
      </w:r>
      <w:bookmarkEnd w:id="10"/>
      <w:r>
        <w:t>, avec les activités de suivi de l’ONUDI, du PNUE et de l’UNO, les rapports d’avancement et la collaboration avec les parties prenantes pour éliminer les HCFC. Ces activités représentent des coûts de 645 420 $ US pour l’ONUDI et le PNUE, ventilés comme suit : personnel de projet et consultants (360 000 $ US), location de bureaux (60 000 $ US), déplacements, frais de terminal inclus (154 170 $ US), réunions et ateliers (60 000 $ US) et autres coûts divers (11 250 $ US).</w:t>
      </w:r>
    </w:p>
    <w:p w14:paraId="6BA1C676" w14:textId="77777777" w:rsidR="004177A6" w:rsidRPr="00030B44" w:rsidRDefault="004177A6" w:rsidP="004177A6">
      <w:pPr>
        <w:keepNext/>
        <w:spacing w:after="240"/>
        <w:rPr>
          <w:i/>
        </w:rPr>
      </w:pPr>
      <w:bookmarkStart w:id="11" w:name="_Hlk126915810"/>
      <w:r>
        <w:rPr>
          <w:i/>
        </w:rPr>
        <w:t>Mise en œuvre de la politique d’égalité des sexes</w:t>
      </w:r>
      <w:bookmarkEnd w:id="11"/>
    </w:p>
    <w:p w14:paraId="32A69253" w14:textId="4245A1BE" w:rsidR="00BF2A07" w:rsidRPr="00BF2A07" w:rsidRDefault="00E85F18" w:rsidP="00953931">
      <w:pPr>
        <w:pStyle w:val="Heading1"/>
        <w:numPr>
          <w:ilvl w:val="0"/>
          <w:numId w:val="14"/>
        </w:numPr>
        <w:tabs>
          <w:tab w:val="clear" w:pos="993"/>
          <w:tab w:val="num" w:pos="0"/>
        </w:tabs>
        <w:ind w:left="0"/>
      </w:pPr>
      <w:r>
        <w:t>Pendant la mise en œuvre de la phase II du PGEH, l’UNO fera des efforts pour collecter des données ventilées par sexe et des informations pour suivre des indicateurs sur les exigences et les performances en matière de genre, et permettre de les communiquer. L’équilibre des genres sera également pris en compte dans la sélection de consultants et d’équipes</w:t>
      </w:r>
      <w:r w:rsidR="007334D8">
        <w:t xml:space="preserve"> de mise en œuvre</w:t>
      </w:r>
      <w:r>
        <w:t xml:space="preserve">, d’équipes de suivi de projet, et de participants aux formations pour les techniciens, les agents des douanes et les agents d’application. L’équipe de mise en œuvre s’efforcera de </w:t>
      </w:r>
      <w:r w:rsidR="00F13E2C">
        <w:t>s</w:t>
      </w:r>
      <w:r>
        <w:t>’assurer de la participation active des femmes dans les ateliers consultatifs, les réunions des parties prenantes et les programmes de renforcement de la capacité. Lors de la planification d’études et d’enquêtes financées par le projet, l’UNO recherchera activement l’avis d’experts des questions de genre. Les formations et les sessions de réunion sur les questions relatives à l’ozone intégreront en outre des sessions sur les questions de genre afin de sensibiliser les participants à l’importance de l’intégration des questions de genre et de la participation et l’autonomisation des femmes.</w:t>
      </w:r>
    </w:p>
    <w:p w14:paraId="2A95F900" w14:textId="3582672A" w:rsidR="004177A6" w:rsidRPr="00996241" w:rsidRDefault="004177A6" w:rsidP="004177A6">
      <w:pPr>
        <w:keepNext/>
        <w:spacing w:after="240"/>
        <w:outlineLvl w:val="0"/>
        <w:rPr>
          <w:u w:val="single"/>
        </w:rPr>
      </w:pPr>
      <w:bookmarkStart w:id="12" w:name="_Hlk126915819"/>
      <w:r>
        <w:rPr>
          <w:u w:val="single"/>
        </w:rPr>
        <w:lastRenderedPageBreak/>
        <w:t>Coût total de la phase II du plan de gestion de l’élimination des HCFC</w:t>
      </w:r>
    </w:p>
    <w:bookmarkEnd w:id="12"/>
    <w:p w14:paraId="567E3AD5" w14:textId="7EBC52DD" w:rsidR="004177A6" w:rsidRPr="00996241" w:rsidRDefault="004177A6" w:rsidP="00953931">
      <w:pPr>
        <w:pStyle w:val="Heading1"/>
        <w:numPr>
          <w:ilvl w:val="0"/>
          <w:numId w:val="14"/>
        </w:numPr>
        <w:tabs>
          <w:tab w:val="clear" w:pos="993"/>
          <w:tab w:val="num" w:pos="0"/>
        </w:tabs>
        <w:ind w:left="0"/>
      </w:pPr>
      <w:r>
        <w:t>Le coût total de la phase II du PGEH pour l’Arabie saoudite a été estimé à 20 801 668 $ US (plus</w:t>
      </w:r>
      <w:r w:rsidR="007733A1">
        <w:t> </w:t>
      </w:r>
      <w:r>
        <w:t xml:space="preserve">des coûts d’appui </w:t>
      </w:r>
      <w:r w:rsidR="006B4F60">
        <w:t xml:space="preserve">aux </w:t>
      </w:r>
      <w:r>
        <w:t>agence</w:t>
      </w:r>
      <w:r w:rsidR="006B4F60">
        <w:t>s</w:t>
      </w:r>
      <w:r>
        <w:t>), conformément à la présentation initiale, pour atteindre une réduction de 67,5 pour cent par rapport à sa consommation de base de HCFC d’ici 2025 et une réduction de 100 pour cent d’ici 2030. Les activités proposées et la répartition des coûts sont résumées dans le tableau 4.</w:t>
      </w:r>
    </w:p>
    <w:p w14:paraId="43A3E24F" w14:textId="56192592" w:rsidR="004177A6" w:rsidRPr="00996241" w:rsidRDefault="004177A6" w:rsidP="004177A6">
      <w:pPr>
        <w:keepNext/>
        <w:rPr>
          <w:b/>
        </w:rPr>
      </w:pPr>
      <w:r>
        <w:rPr>
          <w:b/>
        </w:rPr>
        <w:t>Tableau 4. Coût total de la phase II</w:t>
      </w:r>
      <w:r>
        <w:t xml:space="preserve"> </w:t>
      </w:r>
      <w:r>
        <w:rPr>
          <w:b/>
        </w:rPr>
        <w:t>du PGEH de l’Arabie saoudite conformément à la demande</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5"/>
        <w:gridCol w:w="1323"/>
        <w:gridCol w:w="1323"/>
        <w:gridCol w:w="1325"/>
      </w:tblGrid>
      <w:tr w:rsidR="005A50CA" w:rsidRPr="00EB31E3" w14:paraId="5CAB197E" w14:textId="3C36106F" w:rsidTr="00D57889">
        <w:trPr>
          <w:trHeight w:val="251"/>
        </w:trPr>
        <w:tc>
          <w:tcPr>
            <w:tcW w:w="2878" w:type="pct"/>
            <w:tcBorders>
              <w:bottom w:val="single" w:sz="4" w:space="0" w:color="auto"/>
            </w:tcBorders>
            <w:shd w:val="clear" w:color="auto" w:fill="auto"/>
            <w:vAlign w:val="center"/>
            <w:hideMark/>
          </w:tcPr>
          <w:p w14:paraId="012DBDE1" w14:textId="77777777" w:rsidR="005A50CA" w:rsidRPr="00996241" w:rsidRDefault="005A50CA" w:rsidP="00806DE6">
            <w:pPr>
              <w:jc w:val="left"/>
              <w:rPr>
                <w:b/>
                <w:color w:val="000000"/>
                <w:sz w:val="20"/>
              </w:rPr>
            </w:pPr>
            <w:r>
              <w:rPr>
                <w:b/>
                <w:color w:val="000000"/>
                <w:sz w:val="20"/>
              </w:rPr>
              <w:t>Activité</w:t>
            </w:r>
          </w:p>
        </w:tc>
        <w:tc>
          <w:tcPr>
            <w:tcW w:w="707" w:type="pct"/>
            <w:vAlign w:val="center"/>
          </w:tcPr>
          <w:p w14:paraId="52DA17A9" w14:textId="0ADB7E9D" w:rsidR="005A50CA" w:rsidRPr="00996241" w:rsidRDefault="00D57889" w:rsidP="004C4884">
            <w:pPr>
              <w:jc w:val="center"/>
              <w:rPr>
                <w:b/>
                <w:color w:val="000000"/>
                <w:sz w:val="20"/>
              </w:rPr>
            </w:pPr>
            <w:r>
              <w:rPr>
                <w:b/>
                <w:color w:val="000000"/>
                <w:sz w:val="20"/>
              </w:rPr>
              <w:t>ONUDI</w:t>
            </w:r>
          </w:p>
        </w:tc>
        <w:tc>
          <w:tcPr>
            <w:tcW w:w="707" w:type="pct"/>
            <w:shd w:val="clear" w:color="auto" w:fill="auto"/>
            <w:vAlign w:val="center"/>
            <w:hideMark/>
          </w:tcPr>
          <w:p w14:paraId="13CA8DB5" w14:textId="27169166" w:rsidR="005A50CA" w:rsidRPr="00996241" w:rsidRDefault="00D57889" w:rsidP="009D02B5">
            <w:pPr>
              <w:jc w:val="center"/>
              <w:rPr>
                <w:b/>
                <w:color w:val="000000"/>
                <w:sz w:val="20"/>
              </w:rPr>
            </w:pPr>
            <w:r>
              <w:rPr>
                <w:b/>
                <w:color w:val="000000"/>
                <w:sz w:val="20"/>
              </w:rPr>
              <w:t>PNUE</w:t>
            </w:r>
          </w:p>
        </w:tc>
        <w:tc>
          <w:tcPr>
            <w:tcW w:w="708" w:type="pct"/>
          </w:tcPr>
          <w:p w14:paraId="0121498B" w14:textId="6320C3B4" w:rsidR="005A50CA" w:rsidRPr="00996241" w:rsidRDefault="005A50CA" w:rsidP="009D02B5">
            <w:pPr>
              <w:jc w:val="center"/>
              <w:rPr>
                <w:b/>
                <w:color w:val="000000"/>
                <w:sz w:val="20"/>
              </w:rPr>
            </w:pPr>
            <w:r>
              <w:rPr>
                <w:b/>
                <w:color w:val="000000"/>
                <w:sz w:val="20"/>
              </w:rPr>
              <w:t>Total ($ US)</w:t>
            </w:r>
          </w:p>
        </w:tc>
      </w:tr>
      <w:tr w:rsidR="00D93F51" w:rsidRPr="00EB31E3" w14:paraId="5BF9F02D" w14:textId="2A839CDD" w:rsidTr="006B5918">
        <w:trPr>
          <w:trHeight w:val="82"/>
        </w:trPr>
        <w:tc>
          <w:tcPr>
            <w:tcW w:w="2878" w:type="pct"/>
            <w:tcBorders>
              <w:bottom w:val="single" w:sz="4" w:space="0" w:color="auto"/>
            </w:tcBorders>
            <w:shd w:val="clear" w:color="auto" w:fill="auto"/>
            <w:noWrap/>
          </w:tcPr>
          <w:p w14:paraId="2AFDCE37" w14:textId="29782FF9" w:rsidR="00D93F51" w:rsidRPr="00996241" w:rsidRDefault="00D93F51" w:rsidP="009D02B5">
            <w:pPr>
              <w:jc w:val="left"/>
              <w:rPr>
                <w:color w:val="000000"/>
                <w:sz w:val="20"/>
              </w:rPr>
            </w:pPr>
            <w:r>
              <w:rPr>
                <w:color w:val="000000"/>
                <w:sz w:val="20"/>
              </w:rPr>
              <w:t>Politique et application</w:t>
            </w:r>
          </w:p>
        </w:tc>
        <w:tc>
          <w:tcPr>
            <w:tcW w:w="707" w:type="pct"/>
          </w:tcPr>
          <w:p w14:paraId="65DCECD8" w14:textId="78138376" w:rsidR="00D93F51" w:rsidRPr="00996241" w:rsidRDefault="00D57889" w:rsidP="006B5918">
            <w:pPr>
              <w:jc w:val="right"/>
              <w:rPr>
                <w:color w:val="000000"/>
                <w:sz w:val="20"/>
              </w:rPr>
            </w:pPr>
            <w:r>
              <w:rPr>
                <w:color w:val="000000"/>
                <w:sz w:val="20"/>
              </w:rPr>
              <w:t>25 000</w:t>
            </w:r>
          </w:p>
        </w:tc>
        <w:tc>
          <w:tcPr>
            <w:tcW w:w="707" w:type="pct"/>
            <w:shd w:val="clear" w:color="auto" w:fill="auto"/>
          </w:tcPr>
          <w:p w14:paraId="677704A4" w14:textId="6B0918BF" w:rsidR="00D93F51" w:rsidRPr="00996241" w:rsidRDefault="00D57889" w:rsidP="009D02B5">
            <w:pPr>
              <w:jc w:val="right"/>
              <w:rPr>
                <w:color w:val="000000"/>
                <w:sz w:val="20"/>
              </w:rPr>
            </w:pPr>
            <w:r>
              <w:rPr>
                <w:color w:val="000000"/>
                <w:sz w:val="20"/>
              </w:rPr>
              <w:t>730 000</w:t>
            </w:r>
          </w:p>
        </w:tc>
        <w:tc>
          <w:tcPr>
            <w:tcW w:w="708" w:type="pct"/>
          </w:tcPr>
          <w:p w14:paraId="16259D29" w14:textId="1E1D0DDB" w:rsidR="00D93F51" w:rsidRDefault="00D93F51" w:rsidP="009D02B5">
            <w:pPr>
              <w:jc w:val="right"/>
              <w:rPr>
                <w:color w:val="000000"/>
                <w:sz w:val="20"/>
              </w:rPr>
            </w:pPr>
            <w:r>
              <w:rPr>
                <w:color w:val="000000"/>
                <w:sz w:val="20"/>
              </w:rPr>
              <w:t>755 000</w:t>
            </w:r>
          </w:p>
        </w:tc>
      </w:tr>
      <w:tr w:rsidR="00D93F51" w:rsidRPr="00EB31E3" w14:paraId="45AD1FBF" w14:textId="33FAB22F" w:rsidTr="006B5918">
        <w:trPr>
          <w:trHeight w:val="129"/>
        </w:trPr>
        <w:tc>
          <w:tcPr>
            <w:tcW w:w="2878" w:type="pct"/>
            <w:tcBorders>
              <w:top w:val="single" w:sz="4" w:space="0" w:color="auto"/>
            </w:tcBorders>
            <w:shd w:val="clear" w:color="auto" w:fill="auto"/>
            <w:noWrap/>
          </w:tcPr>
          <w:p w14:paraId="1E7FDE11" w14:textId="47918A48" w:rsidR="00D93F51" w:rsidRPr="00996241" w:rsidRDefault="0071517D" w:rsidP="00D2200F">
            <w:pPr>
              <w:jc w:val="left"/>
              <w:rPr>
                <w:color w:val="000000"/>
                <w:sz w:val="20"/>
              </w:rPr>
            </w:pPr>
            <w:r>
              <w:rPr>
                <w:color w:val="000000"/>
                <w:sz w:val="20"/>
              </w:rPr>
              <w:t>Renforcement de la capacité des douanes</w:t>
            </w:r>
          </w:p>
        </w:tc>
        <w:tc>
          <w:tcPr>
            <w:tcW w:w="707" w:type="pct"/>
          </w:tcPr>
          <w:p w14:paraId="2A770559" w14:textId="086DFB53" w:rsidR="00D93F51" w:rsidRPr="00996241" w:rsidRDefault="00D57889" w:rsidP="006B5918">
            <w:pPr>
              <w:jc w:val="right"/>
              <w:rPr>
                <w:color w:val="000000"/>
                <w:sz w:val="20"/>
              </w:rPr>
            </w:pPr>
            <w:r>
              <w:rPr>
                <w:color w:val="000000"/>
                <w:sz w:val="20"/>
              </w:rPr>
              <w:t>682 500</w:t>
            </w:r>
          </w:p>
        </w:tc>
        <w:tc>
          <w:tcPr>
            <w:tcW w:w="707" w:type="pct"/>
            <w:shd w:val="clear" w:color="auto" w:fill="auto"/>
          </w:tcPr>
          <w:p w14:paraId="3314F2A3" w14:textId="1E51028C" w:rsidR="00D93F51" w:rsidRPr="00996241" w:rsidRDefault="00D57889" w:rsidP="00D2200F">
            <w:pPr>
              <w:jc w:val="right"/>
              <w:rPr>
                <w:color w:val="000000"/>
                <w:sz w:val="20"/>
              </w:rPr>
            </w:pPr>
            <w:r>
              <w:rPr>
                <w:color w:val="000000"/>
                <w:sz w:val="20"/>
              </w:rPr>
              <w:t>575 000</w:t>
            </w:r>
          </w:p>
        </w:tc>
        <w:tc>
          <w:tcPr>
            <w:tcW w:w="708" w:type="pct"/>
          </w:tcPr>
          <w:p w14:paraId="3392816D" w14:textId="599604D3" w:rsidR="00D93F51" w:rsidRDefault="00C35EBC" w:rsidP="00D2200F">
            <w:pPr>
              <w:jc w:val="right"/>
              <w:rPr>
                <w:color w:val="000000"/>
                <w:sz w:val="20"/>
              </w:rPr>
            </w:pPr>
            <w:r>
              <w:rPr>
                <w:color w:val="000000"/>
                <w:sz w:val="20"/>
              </w:rPr>
              <w:t>1 257 500</w:t>
            </w:r>
          </w:p>
        </w:tc>
      </w:tr>
      <w:tr w:rsidR="005A50CA" w:rsidRPr="00EB31E3" w14:paraId="76A0FA0E" w14:textId="770A8671" w:rsidTr="006B5918">
        <w:tc>
          <w:tcPr>
            <w:tcW w:w="2878" w:type="pct"/>
            <w:shd w:val="clear" w:color="auto" w:fill="auto"/>
            <w:noWrap/>
          </w:tcPr>
          <w:p w14:paraId="6A215CBE" w14:textId="56A0A89D" w:rsidR="005A50CA" w:rsidRPr="00D2200F" w:rsidRDefault="00E130D5" w:rsidP="0057570A">
            <w:pPr>
              <w:jc w:val="left"/>
              <w:rPr>
                <w:color w:val="000000"/>
                <w:sz w:val="20"/>
              </w:rPr>
            </w:pPr>
            <w:r>
              <w:rPr>
                <w:color w:val="000000"/>
                <w:sz w:val="20"/>
              </w:rPr>
              <w:t>Élaboration de normes</w:t>
            </w:r>
          </w:p>
        </w:tc>
        <w:tc>
          <w:tcPr>
            <w:tcW w:w="707" w:type="pct"/>
          </w:tcPr>
          <w:p w14:paraId="1CEFD199" w14:textId="6989D046" w:rsidR="005A50CA" w:rsidRPr="00D2200F" w:rsidRDefault="00D57889" w:rsidP="006B5918">
            <w:pPr>
              <w:jc w:val="right"/>
              <w:rPr>
                <w:color w:val="000000"/>
                <w:sz w:val="20"/>
              </w:rPr>
            </w:pPr>
            <w:r>
              <w:rPr>
                <w:color w:val="000000"/>
                <w:sz w:val="20"/>
              </w:rPr>
              <w:t>0</w:t>
            </w:r>
          </w:p>
        </w:tc>
        <w:tc>
          <w:tcPr>
            <w:tcW w:w="707" w:type="pct"/>
            <w:shd w:val="clear" w:color="auto" w:fill="auto"/>
          </w:tcPr>
          <w:p w14:paraId="374895A0" w14:textId="1578B485" w:rsidR="005A50CA" w:rsidRPr="00996241" w:rsidRDefault="005A50CA" w:rsidP="0057570A">
            <w:pPr>
              <w:jc w:val="right"/>
              <w:rPr>
                <w:color w:val="000000"/>
                <w:sz w:val="20"/>
              </w:rPr>
            </w:pPr>
            <w:r>
              <w:rPr>
                <w:color w:val="000000"/>
                <w:sz w:val="20"/>
              </w:rPr>
              <w:t>60 000</w:t>
            </w:r>
          </w:p>
        </w:tc>
        <w:tc>
          <w:tcPr>
            <w:tcW w:w="708" w:type="pct"/>
          </w:tcPr>
          <w:p w14:paraId="69D481FA" w14:textId="17A0A164" w:rsidR="005A50CA" w:rsidRDefault="00C35EBC" w:rsidP="0057570A">
            <w:pPr>
              <w:jc w:val="right"/>
              <w:rPr>
                <w:color w:val="000000"/>
                <w:sz w:val="20"/>
              </w:rPr>
            </w:pPr>
            <w:r>
              <w:rPr>
                <w:color w:val="000000"/>
                <w:sz w:val="20"/>
              </w:rPr>
              <w:t>60 000</w:t>
            </w:r>
          </w:p>
        </w:tc>
      </w:tr>
      <w:tr w:rsidR="00B60721" w:rsidRPr="00EB31E3" w14:paraId="646761A9" w14:textId="688675F4" w:rsidTr="006B5918">
        <w:trPr>
          <w:trHeight w:val="60"/>
        </w:trPr>
        <w:tc>
          <w:tcPr>
            <w:tcW w:w="2878" w:type="pct"/>
            <w:shd w:val="clear" w:color="auto" w:fill="auto"/>
            <w:noWrap/>
          </w:tcPr>
          <w:p w14:paraId="1A7865EA" w14:textId="63606599" w:rsidR="00B60721" w:rsidRPr="00D2200F" w:rsidRDefault="00D85555" w:rsidP="0057570A">
            <w:pPr>
              <w:jc w:val="left"/>
              <w:rPr>
                <w:color w:val="000000"/>
                <w:sz w:val="20"/>
              </w:rPr>
            </w:pPr>
            <w:r>
              <w:rPr>
                <w:color w:val="000000"/>
                <w:sz w:val="20"/>
              </w:rPr>
              <w:t>Renforcement de la capacité des techniciens</w:t>
            </w:r>
          </w:p>
        </w:tc>
        <w:tc>
          <w:tcPr>
            <w:tcW w:w="707" w:type="pct"/>
          </w:tcPr>
          <w:p w14:paraId="17EA82E6" w14:textId="5919AEC2" w:rsidR="00B60721" w:rsidRPr="00D2200F" w:rsidRDefault="00D57889" w:rsidP="006B5918">
            <w:pPr>
              <w:jc w:val="right"/>
              <w:rPr>
                <w:color w:val="000000"/>
                <w:sz w:val="20"/>
              </w:rPr>
            </w:pPr>
            <w:r>
              <w:rPr>
                <w:color w:val="000000"/>
                <w:sz w:val="20"/>
              </w:rPr>
              <w:t>10 314 000</w:t>
            </w:r>
          </w:p>
        </w:tc>
        <w:tc>
          <w:tcPr>
            <w:tcW w:w="707" w:type="pct"/>
            <w:shd w:val="clear" w:color="auto" w:fill="auto"/>
          </w:tcPr>
          <w:p w14:paraId="1AAC7092" w14:textId="3CF47238" w:rsidR="00B60721" w:rsidRPr="00996241" w:rsidRDefault="00D57889" w:rsidP="0057570A">
            <w:pPr>
              <w:jc w:val="right"/>
              <w:rPr>
                <w:color w:val="000000"/>
                <w:sz w:val="20"/>
              </w:rPr>
            </w:pPr>
            <w:r>
              <w:rPr>
                <w:color w:val="000000"/>
                <w:sz w:val="20"/>
              </w:rPr>
              <w:t>4 839 248</w:t>
            </w:r>
          </w:p>
        </w:tc>
        <w:tc>
          <w:tcPr>
            <w:tcW w:w="708" w:type="pct"/>
          </w:tcPr>
          <w:p w14:paraId="0967EDA8" w14:textId="1164EBEA" w:rsidR="00B60721" w:rsidRPr="00E8448F" w:rsidRDefault="00B60721" w:rsidP="0057570A">
            <w:pPr>
              <w:jc w:val="right"/>
              <w:rPr>
                <w:color w:val="000000"/>
                <w:sz w:val="20"/>
              </w:rPr>
            </w:pPr>
            <w:r>
              <w:rPr>
                <w:color w:val="000000"/>
                <w:sz w:val="20"/>
              </w:rPr>
              <w:t>15 153 248</w:t>
            </w:r>
          </w:p>
        </w:tc>
      </w:tr>
      <w:tr w:rsidR="00B60721" w:rsidRPr="00EB31E3" w14:paraId="076CA917" w14:textId="0C368CCA" w:rsidTr="006B5918">
        <w:trPr>
          <w:trHeight w:val="252"/>
        </w:trPr>
        <w:tc>
          <w:tcPr>
            <w:tcW w:w="2878" w:type="pct"/>
            <w:shd w:val="clear" w:color="auto" w:fill="auto"/>
            <w:noWrap/>
          </w:tcPr>
          <w:p w14:paraId="72FD1152" w14:textId="76C6B011" w:rsidR="00B60721" w:rsidRPr="00D2200F" w:rsidRDefault="00D85555" w:rsidP="00D2200F">
            <w:pPr>
              <w:jc w:val="left"/>
              <w:rPr>
                <w:color w:val="000000"/>
                <w:sz w:val="20"/>
              </w:rPr>
            </w:pPr>
            <w:r>
              <w:rPr>
                <w:color w:val="000000"/>
                <w:sz w:val="20"/>
              </w:rPr>
              <w:t>RRR</w:t>
            </w:r>
          </w:p>
        </w:tc>
        <w:tc>
          <w:tcPr>
            <w:tcW w:w="707" w:type="pct"/>
          </w:tcPr>
          <w:p w14:paraId="718E7D5C" w14:textId="5455C74D" w:rsidR="00B60721" w:rsidRPr="00D2200F" w:rsidRDefault="00D57889" w:rsidP="006B5918">
            <w:pPr>
              <w:jc w:val="right"/>
              <w:rPr>
                <w:color w:val="000000"/>
                <w:sz w:val="20"/>
              </w:rPr>
            </w:pPr>
            <w:r>
              <w:rPr>
                <w:color w:val="000000"/>
                <w:sz w:val="20"/>
              </w:rPr>
              <w:t>1 320 000</w:t>
            </w:r>
          </w:p>
        </w:tc>
        <w:tc>
          <w:tcPr>
            <w:tcW w:w="707" w:type="pct"/>
            <w:shd w:val="clear" w:color="auto" w:fill="auto"/>
          </w:tcPr>
          <w:p w14:paraId="026C14F5" w14:textId="69655677" w:rsidR="00B60721" w:rsidRPr="00996241" w:rsidRDefault="00D57889" w:rsidP="00D2200F">
            <w:pPr>
              <w:jc w:val="right"/>
              <w:rPr>
                <w:color w:val="000000"/>
                <w:sz w:val="20"/>
              </w:rPr>
            </w:pPr>
            <w:r>
              <w:rPr>
                <w:color w:val="000000"/>
                <w:sz w:val="20"/>
              </w:rPr>
              <w:t>140 000</w:t>
            </w:r>
          </w:p>
        </w:tc>
        <w:tc>
          <w:tcPr>
            <w:tcW w:w="708" w:type="pct"/>
          </w:tcPr>
          <w:p w14:paraId="23C3D323" w14:textId="7196C24A" w:rsidR="00B60721" w:rsidRPr="00E8448F" w:rsidRDefault="00190FBD" w:rsidP="00D2200F">
            <w:pPr>
              <w:jc w:val="right"/>
              <w:rPr>
                <w:color w:val="000000"/>
                <w:sz w:val="20"/>
              </w:rPr>
            </w:pPr>
            <w:r>
              <w:rPr>
                <w:color w:val="000000"/>
                <w:sz w:val="20"/>
              </w:rPr>
              <w:t>1 460 000</w:t>
            </w:r>
          </w:p>
        </w:tc>
      </w:tr>
      <w:tr w:rsidR="00190FBD" w:rsidRPr="00EB31E3" w14:paraId="03A370AC" w14:textId="2347FE39" w:rsidTr="006B5918">
        <w:trPr>
          <w:trHeight w:val="142"/>
        </w:trPr>
        <w:tc>
          <w:tcPr>
            <w:tcW w:w="2878" w:type="pct"/>
            <w:shd w:val="clear" w:color="auto" w:fill="auto"/>
            <w:noWrap/>
          </w:tcPr>
          <w:p w14:paraId="4E1E55B6" w14:textId="4149E9A5" w:rsidR="00190FBD" w:rsidRPr="00D2200F" w:rsidRDefault="004D3683" w:rsidP="00D2200F">
            <w:pPr>
              <w:jc w:val="left"/>
              <w:rPr>
                <w:color w:val="000000"/>
                <w:sz w:val="20"/>
              </w:rPr>
            </w:pPr>
            <w:r>
              <w:rPr>
                <w:color w:val="000000"/>
                <w:sz w:val="20"/>
              </w:rPr>
              <w:t>Renforcement de la capacité de fabrication</w:t>
            </w:r>
          </w:p>
        </w:tc>
        <w:tc>
          <w:tcPr>
            <w:tcW w:w="707" w:type="pct"/>
          </w:tcPr>
          <w:p w14:paraId="7CCAF87C" w14:textId="564B86A1" w:rsidR="00190FBD" w:rsidRPr="00D2200F" w:rsidRDefault="00D57889" w:rsidP="006B5918">
            <w:pPr>
              <w:jc w:val="right"/>
              <w:rPr>
                <w:color w:val="000000"/>
                <w:sz w:val="20"/>
              </w:rPr>
            </w:pPr>
            <w:r>
              <w:rPr>
                <w:color w:val="000000"/>
                <w:sz w:val="20"/>
              </w:rPr>
              <w:t>600 000</w:t>
            </w:r>
          </w:p>
        </w:tc>
        <w:tc>
          <w:tcPr>
            <w:tcW w:w="707" w:type="pct"/>
            <w:shd w:val="clear" w:color="auto" w:fill="auto"/>
          </w:tcPr>
          <w:p w14:paraId="11ABB74B" w14:textId="0F9B0780" w:rsidR="00190FBD" w:rsidRPr="00996241" w:rsidRDefault="00D57889" w:rsidP="00D2200F">
            <w:pPr>
              <w:jc w:val="right"/>
              <w:rPr>
                <w:color w:val="000000"/>
                <w:sz w:val="20"/>
              </w:rPr>
            </w:pPr>
            <w:r>
              <w:rPr>
                <w:color w:val="000000"/>
                <w:sz w:val="20"/>
              </w:rPr>
              <w:t>435 000</w:t>
            </w:r>
          </w:p>
        </w:tc>
        <w:tc>
          <w:tcPr>
            <w:tcW w:w="708" w:type="pct"/>
          </w:tcPr>
          <w:p w14:paraId="1BF09D70" w14:textId="58A3B06F" w:rsidR="00190FBD" w:rsidRDefault="00526914" w:rsidP="00D2200F">
            <w:pPr>
              <w:jc w:val="right"/>
              <w:rPr>
                <w:color w:val="000000"/>
                <w:sz w:val="20"/>
              </w:rPr>
            </w:pPr>
            <w:r>
              <w:rPr>
                <w:color w:val="000000"/>
                <w:sz w:val="20"/>
              </w:rPr>
              <w:t>1 035 000</w:t>
            </w:r>
          </w:p>
        </w:tc>
      </w:tr>
      <w:tr w:rsidR="005A50CA" w:rsidRPr="00EB31E3" w14:paraId="7DEB7367" w14:textId="58DCB7F4" w:rsidTr="006B5918">
        <w:tc>
          <w:tcPr>
            <w:tcW w:w="2878" w:type="pct"/>
            <w:shd w:val="clear" w:color="auto" w:fill="auto"/>
            <w:noWrap/>
          </w:tcPr>
          <w:p w14:paraId="7E910CE6" w14:textId="4564D3DE" w:rsidR="005A50CA" w:rsidRPr="00D2200F" w:rsidRDefault="005A50CA" w:rsidP="00D2200F">
            <w:pPr>
              <w:jc w:val="left"/>
              <w:rPr>
                <w:color w:val="000000"/>
                <w:sz w:val="20"/>
              </w:rPr>
            </w:pPr>
            <w:r>
              <w:rPr>
                <w:color w:val="000000"/>
                <w:sz w:val="20"/>
              </w:rPr>
              <w:t>Sensibilisation</w:t>
            </w:r>
          </w:p>
        </w:tc>
        <w:tc>
          <w:tcPr>
            <w:tcW w:w="707" w:type="pct"/>
          </w:tcPr>
          <w:p w14:paraId="1DA8CA9E" w14:textId="11F27555" w:rsidR="005A50CA" w:rsidRPr="00D2200F" w:rsidRDefault="00D57889" w:rsidP="006B5918">
            <w:pPr>
              <w:jc w:val="right"/>
              <w:rPr>
                <w:color w:val="000000"/>
                <w:sz w:val="20"/>
              </w:rPr>
            </w:pPr>
            <w:r>
              <w:rPr>
                <w:color w:val="000000"/>
                <w:sz w:val="20"/>
              </w:rPr>
              <w:t>0</w:t>
            </w:r>
          </w:p>
        </w:tc>
        <w:tc>
          <w:tcPr>
            <w:tcW w:w="707" w:type="pct"/>
            <w:shd w:val="clear" w:color="auto" w:fill="auto"/>
          </w:tcPr>
          <w:p w14:paraId="6F71DB00" w14:textId="55106C03" w:rsidR="005A50CA" w:rsidRPr="00996241" w:rsidRDefault="005A50CA" w:rsidP="00D2200F">
            <w:pPr>
              <w:jc w:val="right"/>
              <w:rPr>
                <w:color w:val="000000"/>
                <w:sz w:val="20"/>
              </w:rPr>
            </w:pPr>
            <w:r>
              <w:rPr>
                <w:color w:val="000000"/>
                <w:sz w:val="20"/>
              </w:rPr>
              <w:t>435 500</w:t>
            </w:r>
          </w:p>
        </w:tc>
        <w:tc>
          <w:tcPr>
            <w:tcW w:w="708" w:type="pct"/>
          </w:tcPr>
          <w:p w14:paraId="2689FF8E" w14:textId="3B3536CD" w:rsidR="005A50CA" w:rsidRDefault="00526914" w:rsidP="00526914">
            <w:pPr>
              <w:jc w:val="right"/>
              <w:rPr>
                <w:color w:val="000000"/>
                <w:sz w:val="20"/>
              </w:rPr>
            </w:pPr>
            <w:r>
              <w:rPr>
                <w:color w:val="000000"/>
                <w:sz w:val="20"/>
              </w:rPr>
              <w:t>435 500</w:t>
            </w:r>
          </w:p>
        </w:tc>
      </w:tr>
      <w:tr w:rsidR="00526914" w:rsidRPr="00EB31E3" w14:paraId="5017C1D0" w14:textId="3644D591" w:rsidTr="006B5918">
        <w:trPr>
          <w:trHeight w:val="234"/>
        </w:trPr>
        <w:tc>
          <w:tcPr>
            <w:tcW w:w="2878" w:type="pct"/>
            <w:shd w:val="clear" w:color="auto" w:fill="auto"/>
            <w:noWrap/>
          </w:tcPr>
          <w:p w14:paraId="319416B1" w14:textId="739E4605" w:rsidR="00526914" w:rsidRPr="009931F4" w:rsidRDefault="002F3143" w:rsidP="009D02B5">
            <w:pPr>
              <w:tabs>
                <w:tab w:val="left" w:pos="360"/>
              </w:tabs>
              <w:jc w:val="left"/>
              <w:rPr>
                <w:color w:val="000000"/>
                <w:sz w:val="20"/>
              </w:rPr>
            </w:pPr>
            <w:r>
              <w:rPr>
                <w:color w:val="000000"/>
                <w:sz w:val="20"/>
              </w:rPr>
              <w:t>Mise en œuvre et suivi de projet</w:t>
            </w:r>
          </w:p>
        </w:tc>
        <w:tc>
          <w:tcPr>
            <w:tcW w:w="707" w:type="pct"/>
          </w:tcPr>
          <w:p w14:paraId="1937632A" w14:textId="5B7B4B38" w:rsidR="00526914" w:rsidRPr="00996241" w:rsidRDefault="00D57889" w:rsidP="006B5918">
            <w:pPr>
              <w:ind w:right="-69"/>
              <w:jc w:val="right"/>
              <w:rPr>
                <w:color w:val="000000"/>
                <w:sz w:val="20"/>
              </w:rPr>
            </w:pPr>
            <w:r>
              <w:rPr>
                <w:color w:val="000000"/>
                <w:sz w:val="20"/>
              </w:rPr>
              <w:t>484 065</w:t>
            </w:r>
          </w:p>
        </w:tc>
        <w:tc>
          <w:tcPr>
            <w:tcW w:w="707" w:type="pct"/>
            <w:shd w:val="clear" w:color="auto" w:fill="auto"/>
            <w:noWrap/>
            <w:tcMar>
              <w:left w:w="115" w:type="dxa"/>
              <w:right w:w="432" w:type="dxa"/>
            </w:tcMar>
          </w:tcPr>
          <w:p w14:paraId="7CE3F415" w14:textId="0683A1D7" w:rsidR="00526914" w:rsidRPr="00996241" w:rsidRDefault="00D57889" w:rsidP="009D02B5">
            <w:pPr>
              <w:ind w:right="-297"/>
              <w:jc w:val="right"/>
              <w:rPr>
                <w:color w:val="000000"/>
                <w:sz w:val="20"/>
              </w:rPr>
            </w:pPr>
            <w:r>
              <w:rPr>
                <w:color w:val="000000"/>
                <w:sz w:val="20"/>
              </w:rPr>
              <w:t>161 355</w:t>
            </w:r>
          </w:p>
        </w:tc>
        <w:tc>
          <w:tcPr>
            <w:tcW w:w="708" w:type="pct"/>
          </w:tcPr>
          <w:p w14:paraId="09C1E988" w14:textId="33F42E3E" w:rsidR="00526914" w:rsidRDefault="00CC3157" w:rsidP="00CC3157">
            <w:pPr>
              <w:jc w:val="right"/>
              <w:rPr>
                <w:color w:val="000000"/>
                <w:sz w:val="20"/>
              </w:rPr>
            </w:pPr>
            <w:r>
              <w:rPr>
                <w:color w:val="000000"/>
                <w:sz w:val="20"/>
              </w:rPr>
              <w:t>645 420</w:t>
            </w:r>
          </w:p>
        </w:tc>
      </w:tr>
      <w:tr w:rsidR="009622B6" w:rsidRPr="00EB31E3" w14:paraId="1EBBD059" w14:textId="0471D0E9" w:rsidTr="006B5918">
        <w:trPr>
          <w:trHeight w:val="125"/>
        </w:trPr>
        <w:tc>
          <w:tcPr>
            <w:tcW w:w="2878" w:type="pct"/>
            <w:shd w:val="clear" w:color="auto" w:fill="auto"/>
            <w:noWrap/>
            <w:vAlign w:val="center"/>
            <w:hideMark/>
          </w:tcPr>
          <w:p w14:paraId="7CA52426" w14:textId="71469565" w:rsidR="009622B6" w:rsidRPr="009931F4" w:rsidRDefault="009622B6" w:rsidP="00892655">
            <w:pPr>
              <w:jc w:val="left"/>
              <w:rPr>
                <w:b/>
                <w:color w:val="000000"/>
                <w:sz w:val="20"/>
              </w:rPr>
            </w:pPr>
            <w:r>
              <w:rPr>
                <w:b/>
                <w:color w:val="000000"/>
                <w:sz w:val="20"/>
              </w:rPr>
              <w:t>Total</w:t>
            </w:r>
          </w:p>
        </w:tc>
        <w:tc>
          <w:tcPr>
            <w:tcW w:w="707" w:type="pct"/>
          </w:tcPr>
          <w:p w14:paraId="6668C75B" w14:textId="42BA2623" w:rsidR="009622B6" w:rsidRPr="00996241" w:rsidRDefault="00D57889" w:rsidP="006B5918">
            <w:pPr>
              <w:ind w:right="-69"/>
              <w:jc w:val="right"/>
              <w:rPr>
                <w:b/>
                <w:color w:val="000000"/>
                <w:sz w:val="20"/>
              </w:rPr>
            </w:pPr>
            <w:r>
              <w:rPr>
                <w:b/>
                <w:color w:val="000000"/>
                <w:sz w:val="20"/>
              </w:rPr>
              <w:t>13 425 565</w:t>
            </w:r>
          </w:p>
        </w:tc>
        <w:tc>
          <w:tcPr>
            <w:tcW w:w="707" w:type="pct"/>
            <w:shd w:val="clear" w:color="auto" w:fill="auto"/>
            <w:tcMar>
              <w:left w:w="115" w:type="dxa"/>
              <w:right w:w="432" w:type="dxa"/>
            </w:tcMar>
          </w:tcPr>
          <w:p w14:paraId="5CB4CA25" w14:textId="27B1BC1D" w:rsidR="009622B6" w:rsidRPr="00456986" w:rsidRDefault="00D57889" w:rsidP="00892655">
            <w:pPr>
              <w:ind w:right="-301"/>
              <w:jc w:val="right"/>
              <w:rPr>
                <w:b/>
                <w:bCs/>
                <w:color w:val="000000"/>
                <w:sz w:val="20"/>
              </w:rPr>
            </w:pPr>
            <w:r>
              <w:rPr>
                <w:b/>
                <w:color w:val="000000"/>
                <w:sz w:val="20"/>
              </w:rPr>
              <w:t>7 376 103</w:t>
            </w:r>
          </w:p>
        </w:tc>
        <w:tc>
          <w:tcPr>
            <w:tcW w:w="708" w:type="pct"/>
          </w:tcPr>
          <w:p w14:paraId="1D682FB2" w14:textId="26EB63FD" w:rsidR="009622B6" w:rsidRPr="00456986" w:rsidRDefault="009622B6" w:rsidP="00073F6D">
            <w:pPr>
              <w:jc w:val="right"/>
              <w:rPr>
                <w:b/>
                <w:bCs/>
                <w:color w:val="000000"/>
                <w:sz w:val="20"/>
              </w:rPr>
            </w:pPr>
            <w:r>
              <w:rPr>
                <w:b/>
                <w:color w:val="000000"/>
                <w:sz w:val="20"/>
              </w:rPr>
              <w:t>20 801 668</w:t>
            </w:r>
          </w:p>
        </w:tc>
      </w:tr>
    </w:tbl>
    <w:p w14:paraId="2634B72E" w14:textId="287BC924" w:rsidR="004177A6" w:rsidRPr="00812F88" w:rsidRDefault="004177A6" w:rsidP="004177A6">
      <w:pPr>
        <w:keepNext/>
        <w:keepLines/>
        <w:widowControl w:val="0"/>
        <w:spacing w:before="240" w:after="240"/>
        <w:rPr>
          <w:u w:val="single"/>
        </w:rPr>
      </w:pPr>
      <w:bookmarkStart w:id="13" w:name="_Hlk126915832"/>
      <w:r>
        <w:rPr>
          <w:u w:val="single"/>
        </w:rPr>
        <w:t>Plan de mise en œuvre pour la première tranche de la phase II du plan de gestion de l’élimination des HCFC</w:t>
      </w:r>
    </w:p>
    <w:bookmarkEnd w:id="13"/>
    <w:p w14:paraId="77653B22" w14:textId="342A72F0" w:rsidR="002C5204" w:rsidRPr="002C5204" w:rsidRDefault="004177A6" w:rsidP="00953931">
      <w:pPr>
        <w:pStyle w:val="Heading1"/>
        <w:numPr>
          <w:ilvl w:val="0"/>
          <w:numId w:val="14"/>
        </w:numPr>
        <w:tabs>
          <w:tab w:val="clear" w:pos="993"/>
          <w:tab w:val="num" w:pos="0"/>
        </w:tabs>
        <w:ind w:left="0"/>
      </w:pPr>
      <w:r>
        <w:t>La première tranche de financement de la phase II du PGEH, au montant total de 6 869 729 $ US, sera mise en œuvre entre juillet 2024 et juin 2026 et inclura les activités suivantes :</w:t>
      </w:r>
    </w:p>
    <w:p w14:paraId="52F2488A" w14:textId="0A2B4710" w:rsidR="004177A6" w:rsidRPr="00457C88" w:rsidRDefault="00055033" w:rsidP="004177A6">
      <w:pPr>
        <w:pStyle w:val="Heading2"/>
      </w:pPr>
      <w:r>
        <w:rPr>
          <w:color w:val="000000"/>
        </w:rPr>
        <w:t>p</w:t>
      </w:r>
      <w:r w:rsidR="0035614B">
        <w:rPr>
          <w:color w:val="000000"/>
        </w:rPr>
        <w:t xml:space="preserve">olitique et application : </w:t>
      </w:r>
      <w:r w:rsidR="0035614B">
        <w:t>mise en place d’une interdiction des importations et de la fabrication d’équipements et de produits utilisant des HCFC d’ici au 1</w:t>
      </w:r>
      <w:r w:rsidR="0035614B">
        <w:rPr>
          <w:vertAlign w:val="superscript"/>
        </w:rPr>
        <w:t>er</w:t>
      </w:r>
      <w:r w:rsidR="0035614B">
        <w:t> janvier 2025, et examen de sept politiques et réglementations existantes</w:t>
      </w:r>
      <w:r w:rsidR="0035614B">
        <w:rPr>
          <w:color w:val="000000"/>
        </w:rPr>
        <w:t xml:space="preserve"> ; consultation des parties prenantes </w:t>
      </w:r>
      <w:r w:rsidR="0035614B">
        <w:t>et analyse du cadre juridique</w:t>
      </w:r>
      <w:r w:rsidR="0035614B">
        <w:rPr>
          <w:color w:val="000000"/>
        </w:rPr>
        <w:t xml:space="preserve"> ; lancement de l’amélioration et de </w:t>
      </w:r>
      <w:r w:rsidR="0035614B">
        <w:t>la mise en œuvre du système d’octroi de permis électronique</w:t>
      </w:r>
      <w:r w:rsidR="0035614B">
        <w:rPr>
          <w:color w:val="000000"/>
        </w:rPr>
        <w:t xml:space="preserve"> ; élaboration d’exigences de qualification pour la </w:t>
      </w:r>
      <w:r w:rsidR="0035614B">
        <w:t xml:space="preserve">certification des </w:t>
      </w:r>
      <w:r w:rsidR="00C14906">
        <w:t>techniciens de réfrigération et</w:t>
      </w:r>
      <w:r w:rsidR="0035614B">
        <w:t xml:space="preserve"> climatisation</w:t>
      </w:r>
      <w:r w:rsidR="0035614B">
        <w:rPr>
          <w:color w:val="000000"/>
        </w:rPr>
        <w:t> ;</w:t>
      </w:r>
      <w:r w:rsidR="0035614B">
        <w:t xml:space="preserve"> et lancement de l’élaboration du système d’enregistrement électronique pour les ateliers d’entretien (PNUE) (330 000 $</w:t>
      </w:r>
      <w:r w:rsidR="007733A1">
        <w:t> </w:t>
      </w:r>
      <w:r w:rsidR="0035614B">
        <w:t xml:space="preserve">US) ; </w:t>
      </w:r>
      <w:r w:rsidR="0035614B">
        <w:rPr>
          <w:color w:val="000000"/>
        </w:rPr>
        <w:t xml:space="preserve">et </w:t>
      </w:r>
      <w:r w:rsidR="0035614B">
        <w:t>élaboration d’une réglementation sur la gestion des frigorigènes à base de HCFC pour soutenir la mise en œuvre du programme de RRR (ONUDI) (25 000 $ US) ;</w:t>
      </w:r>
    </w:p>
    <w:p w14:paraId="33D5C421" w14:textId="1539E1DC" w:rsidR="004177A6" w:rsidRDefault="00DE691C" w:rsidP="004177A6">
      <w:pPr>
        <w:pStyle w:val="Heading2"/>
      </w:pPr>
      <w:r>
        <w:t>renforcement de la capacité des douanes </w:t>
      </w:r>
      <w:r>
        <w:rPr>
          <w:color w:val="000000"/>
        </w:rPr>
        <w:t xml:space="preserve">: </w:t>
      </w:r>
      <w:r>
        <w:t>un atelier pour la formation de 11 formateurs pour le service des douanes</w:t>
      </w:r>
      <w:r>
        <w:rPr>
          <w:color w:val="000000"/>
        </w:rPr>
        <w:t xml:space="preserve">, </w:t>
      </w:r>
      <w:r>
        <w:t>et quatre ateliers pour la formation de 80 agents des douanes au contrôle des HCFC, incluant le profilage des risques ; un dialogue aux frontières avec les pays voisins sur la lutte contre le commerce illicite des SAO ; trois ateliers pour la formation de 60 agents d’application aux réglementations sur les SAO pour soutenir l’application au-delà des points de contrôle douaniers ; et un atelier pour la formation de 16 agents des douanes et importateurs de HCFC, frigorigènes et équipement de réfrigération et de climatisation aux nouvelles mesures réglementaires (PNUE) (145 000 $</w:t>
      </w:r>
      <w:r w:rsidR="007733A1">
        <w:t> </w:t>
      </w:r>
      <w:r>
        <w:t>US) ; et fourniture d’équipement pour soutenir le contrôle du commerce, incluant 21 identificateurs de frigorigènes inflammables, un spectromètre de masse de bureau pour la chromatographie des gaz (GC</w:t>
      </w:r>
      <w:r>
        <w:noBreakHyphen/>
        <w:t>MS), et trois instruments de GS-MS portables (ONUDI) (577 500 $ US) ;</w:t>
      </w:r>
    </w:p>
    <w:p w14:paraId="2AD1F258" w14:textId="2E410B4C" w:rsidR="004177A6" w:rsidRDefault="00877269" w:rsidP="004177A6">
      <w:pPr>
        <w:pStyle w:val="Heading2"/>
      </w:pPr>
      <w:r>
        <w:t>élaboration de normes </w:t>
      </w:r>
      <w:r>
        <w:rPr>
          <w:color w:val="000000"/>
        </w:rPr>
        <w:t xml:space="preserve">: </w:t>
      </w:r>
      <w:r>
        <w:t>mise à jour des normes nationales relatives aux produits de réfrigération et de climatisation conformément aux normes internationales ; et lancement de l’élaboration de modes opératoires normalisés pour les ateliers d’entretien pour la manipulation des frigorigènes inflammables et dangereux (PNUE) (48 000 $ US) ;</w:t>
      </w:r>
    </w:p>
    <w:p w14:paraId="59A74E61" w14:textId="77777777" w:rsidR="00EF7CAF" w:rsidRPr="002438BD" w:rsidRDefault="00D205C4" w:rsidP="00796C4D">
      <w:pPr>
        <w:pStyle w:val="Heading2"/>
        <w:rPr>
          <w:color w:val="000000"/>
        </w:rPr>
      </w:pPr>
      <w:r>
        <w:t>renforcement de la capacité des techniciens </w:t>
      </w:r>
      <w:r>
        <w:rPr>
          <w:color w:val="000000"/>
        </w:rPr>
        <w:t>:</w:t>
      </w:r>
    </w:p>
    <w:p w14:paraId="5B7AEF70" w14:textId="08E5A8BC" w:rsidR="00EF7CAF" w:rsidRPr="002438BD" w:rsidRDefault="00A3302A" w:rsidP="00EF7CAF">
      <w:pPr>
        <w:keepNext/>
        <w:numPr>
          <w:ilvl w:val="2"/>
          <w:numId w:val="16"/>
        </w:numPr>
        <w:tabs>
          <w:tab w:val="clear" w:pos="-270"/>
          <w:tab w:val="num" w:pos="0"/>
        </w:tabs>
        <w:spacing w:after="240"/>
        <w:ind w:left="2160"/>
        <w:outlineLvl w:val="2"/>
        <w:rPr>
          <w:color w:val="000000"/>
        </w:rPr>
      </w:pPr>
      <w:r>
        <w:rPr>
          <w:color w:val="000000"/>
        </w:rPr>
        <w:lastRenderedPageBreak/>
        <w:t xml:space="preserve">formation des formateurs : trois ateliers pour la </w:t>
      </w:r>
      <w:r>
        <w:t xml:space="preserve">formation de </w:t>
      </w:r>
      <w:r>
        <w:rPr>
          <w:color w:val="000000"/>
        </w:rPr>
        <w:t xml:space="preserve">21 maîtres formateurs ; </w:t>
      </w:r>
      <w:r>
        <w:t>huit ateliers pour la formation de 80 enseignants</w:t>
      </w:r>
      <w:r>
        <w:rPr>
          <w:sz w:val="16"/>
        </w:rPr>
        <w:t xml:space="preserve"> </w:t>
      </w:r>
      <w:r>
        <w:t>au nouveau programme de formation aux bonnes pratiques pour l’entretien ;</w:t>
      </w:r>
      <w:r>
        <w:rPr>
          <w:color w:val="000000"/>
        </w:rPr>
        <w:t xml:space="preserve"> </w:t>
      </w:r>
      <w:r>
        <w:t xml:space="preserve">une formation pilote pour le propriétaire de refroidisseurs au HCFC-123 pour commencer l’élimination de ce frigorigène dans le secteur de l’entretien (PNUE) </w:t>
      </w:r>
      <w:r>
        <w:rPr>
          <w:color w:val="000000" w:themeColor="text1"/>
        </w:rPr>
        <w:t>(210 000 $</w:t>
      </w:r>
      <w:r w:rsidR="007733A1">
        <w:rPr>
          <w:color w:val="000000" w:themeColor="text1"/>
        </w:rPr>
        <w:t> </w:t>
      </w:r>
      <w:r>
        <w:rPr>
          <w:color w:val="000000" w:themeColor="text1"/>
        </w:rPr>
        <w:t>US) </w:t>
      </w:r>
      <w:r>
        <w:rPr>
          <w:color w:val="000000"/>
        </w:rPr>
        <w:t>;</w:t>
      </w:r>
    </w:p>
    <w:p w14:paraId="113949DC" w14:textId="286D2266" w:rsidR="00EF7CAF" w:rsidRPr="002438BD" w:rsidRDefault="00A3302A" w:rsidP="00EF7CAF">
      <w:pPr>
        <w:keepNext/>
        <w:numPr>
          <w:ilvl w:val="2"/>
          <w:numId w:val="16"/>
        </w:numPr>
        <w:tabs>
          <w:tab w:val="clear" w:pos="-270"/>
          <w:tab w:val="num" w:pos="0"/>
        </w:tabs>
        <w:spacing w:after="240"/>
        <w:ind w:left="2160"/>
        <w:outlineLvl w:val="2"/>
        <w:rPr>
          <w:color w:val="000000"/>
        </w:rPr>
      </w:pPr>
      <w:r>
        <w:t>formation et certification des techniciens : 50 ateliers de trois jours pour la formation de 1 000 techniciens aux bonnes pratiques d’entretien et à la manipulation sans danger des nouveaux frigorigènes</w:t>
      </w:r>
      <w:r>
        <w:rPr>
          <w:color w:val="000000"/>
        </w:rPr>
        <w:t xml:space="preserve"> ; </w:t>
      </w:r>
      <w:r>
        <w:t>évaluation et certification de 1 200 </w:t>
      </w:r>
      <w:r w:rsidR="00C14906">
        <w:t>techniciens de réfrigération et</w:t>
      </w:r>
      <w:r>
        <w:t xml:space="preserve"> climatisation (PNUE) (1 110 000 $ US)</w:t>
      </w:r>
      <w:r>
        <w:rPr>
          <w:color w:val="000000"/>
        </w:rPr>
        <w:t> ; et fourniture d’outils et d’équipement à ces 1 200 techniciens certifiés (ONUDI) (720 000 $ US) ;</w:t>
      </w:r>
    </w:p>
    <w:p w14:paraId="1B7CBB00" w14:textId="3CBE26B9" w:rsidR="008D5625" w:rsidRPr="002438BD" w:rsidRDefault="00A3302A" w:rsidP="00EF7CAF">
      <w:pPr>
        <w:keepNext/>
        <w:numPr>
          <w:ilvl w:val="2"/>
          <w:numId w:val="16"/>
        </w:numPr>
        <w:tabs>
          <w:tab w:val="clear" w:pos="-270"/>
          <w:tab w:val="num" w:pos="0"/>
        </w:tabs>
        <w:spacing w:after="240"/>
        <w:ind w:left="2160"/>
        <w:outlineLvl w:val="2"/>
        <w:rPr>
          <w:color w:val="000000"/>
        </w:rPr>
      </w:pPr>
      <w:r>
        <w:rPr>
          <w:color w:val="000000" w:themeColor="text1"/>
        </w:rPr>
        <w:t>équipement et outils : fourniture de 30 ensembles d’équipement de formation aux instituts de formation et d’évaluation professionnelles, et outils et équipement pour 1 800 ateliers d’entretien choisis, enregistrés dans le cadre du programme d’enregistrement électronique (ONUDI) (2 520</w:t>
      </w:r>
      <w:r w:rsidR="00864AB3">
        <w:rPr>
          <w:color w:val="000000" w:themeColor="text1"/>
        </w:rPr>
        <w:t> </w:t>
      </w:r>
      <w:r>
        <w:rPr>
          <w:color w:val="000000" w:themeColor="text1"/>
        </w:rPr>
        <w:t>000</w:t>
      </w:r>
      <w:r w:rsidR="00864AB3">
        <w:rPr>
          <w:color w:val="000000" w:themeColor="text1"/>
        </w:rPr>
        <w:t> </w:t>
      </w:r>
      <w:r>
        <w:rPr>
          <w:color w:val="000000" w:themeColor="text1"/>
        </w:rPr>
        <w:t>$ US) ;</w:t>
      </w:r>
      <w:r w:rsidR="00BB1C81" w:rsidRPr="002438BD">
        <w:rPr>
          <w:rStyle w:val="FootnoteReference"/>
          <w:color w:val="000000" w:themeColor="text1"/>
        </w:rPr>
        <w:footnoteReference w:id="14"/>
      </w:r>
    </w:p>
    <w:p w14:paraId="7BD377E7" w14:textId="1FD15532" w:rsidR="00671E3D" w:rsidRPr="002438BD" w:rsidRDefault="00A3302A">
      <w:pPr>
        <w:keepNext/>
        <w:numPr>
          <w:ilvl w:val="2"/>
          <w:numId w:val="16"/>
        </w:numPr>
        <w:tabs>
          <w:tab w:val="num" w:pos="0"/>
        </w:tabs>
        <w:spacing w:after="240"/>
        <w:ind w:left="2160"/>
        <w:outlineLvl w:val="2"/>
        <w:rPr>
          <w:color w:val="000000"/>
        </w:rPr>
      </w:pPr>
      <w:r>
        <w:rPr>
          <w:color w:val="000000"/>
        </w:rPr>
        <w:t>constitution de réseau pour le secteur de la réfrigération et la climatisation : u</w:t>
      </w:r>
      <w:r>
        <w:t xml:space="preserve">ne session de sensibilisation à l’établissement d’une association et d’un réseau de réfrigération et de climatisation </w:t>
      </w:r>
      <w:r>
        <w:rPr>
          <w:color w:val="000000" w:themeColor="text1"/>
        </w:rPr>
        <w:t>pour soutenir le programme de formation et de certification (PNUE) (37 624 $ US) ;</w:t>
      </w:r>
    </w:p>
    <w:p w14:paraId="75745D1E" w14:textId="4CDB270C" w:rsidR="00796C4D" w:rsidRPr="004A2C24" w:rsidRDefault="007446BE" w:rsidP="00796C4D">
      <w:pPr>
        <w:pStyle w:val="Heading2"/>
        <w:rPr>
          <w:color w:val="000000"/>
        </w:rPr>
      </w:pPr>
      <w:r>
        <w:rPr>
          <w:color w:val="000000"/>
        </w:rPr>
        <w:t xml:space="preserve">RRR : </w:t>
      </w:r>
      <w:r>
        <w:t>élaboration de lignes directrices locales pour les installations de régénération écrites en anglais et en arabe </w:t>
      </w:r>
      <w:r>
        <w:rPr>
          <w:color w:val="000000"/>
        </w:rPr>
        <w:t>;</w:t>
      </w:r>
      <w:r>
        <w:t xml:space="preserve"> </w:t>
      </w:r>
      <w:r>
        <w:rPr>
          <w:color w:val="000000"/>
        </w:rPr>
        <w:t xml:space="preserve">établissement d’un centre national de RRR </w:t>
      </w:r>
      <w:r>
        <w:t>pour la régénération des frigorigènes à renvoyer au secteur de l’entretien </w:t>
      </w:r>
      <w:r>
        <w:rPr>
          <w:color w:val="000000"/>
        </w:rPr>
        <w:t>;</w:t>
      </w:r>
      <w:r w:rsidR="00F374C8" w:rsidRPr="0030314F">
        <w:rPr>
          <w:vertAlign w:val="superscript"/>
        </w:rPr>
        <w:footnoteReference w:id="15"/>
      </w:r>
      <w:r>
        <w:rPr>
          <w:color w:val="000000"/>
        </w:rPr>
        <w:t xml:space="preserve"> et fondation de réseaux de RRR par </w:t>
      </w:r>
      <w:r>
        <w:t xml:space="preserve">la fourniture de </w:t>
      </w:r>
      <w:r>
        <w:rPr>
          <w:color w:val="000000"/>
        </w:rPr>
        <w:t>150 kits d’entretien aux ateliers comptant des techniciens certifiés</w:t>
      </w:r>
      <w:r w:rsidR="00E634E8">
        <w:rPr>
          <w:rStyle w:val="FootnoteReference"/>
          <w:color w:val="000000"/>
        </w:rPr>
        <w:footnoteReference w:id="16"/>
      </w:r>
      <w:r>
        <w:rPr>
          <w:color w:val="000000"/>
        </w:rPr>
        <w:t xml:space="preserve"> (ONUDI) (545 000 $ US) ; et deux ateliers </w:t>
      </w:r>
      <w:r>
        <w:t>pour la formation</w:t>
      </w:r>
      <w:r>
        <w:rPr>
          <w:color w:val="000000"/>
        </w:rPr>
        <w:t xml:space="preserve"> de </w:t>
      </w:r>
      <w:r w:rsidR="00C14906">
        <w:rPr>
          <w:color w:val="000000"/>
        </w:rPr>
        <w:t>techniciens de réfrigération et</w:t>
      </w:r>
      <w:r>
        <w:rPr>
          <w:color w:val="000000"/>
        </w:rPr>
        <w:t xml:space="preserve"> climatisation à la récupération et la régénération (couvrant deux des quatre centres de formation professionnelle) (PNUE) (50 000 $ US) ;</w:t>
      </w:r>
    </w:p>
    <w:p w14:paraId="4A7C1E27" w14:textId="65E04C97" w:rsidR="004D0973" w:rsidRDefault="00A36A1A" w:rsidP="004D0973">
      <w:pPr>
        <w:pStyle w:val="Heading2"/>
        <w:rPr>
          <w:color w:val="000000"/>
        </w:rPr>
      </w:pPr>
      <w:r>
        <w:rPr>
          <w:color w:val="000000"/>
        </w:rPr>
        <w:t>renforcement de la capacité de fabrication : r</w:t>
      </w:r>
      <w:r>
        <w:t>echerches sur la sécurité et les performances des technologies à faible PRP et diffusion des résultats aux techniciens et parties prenantes </w:t>
      </w:r>
      <w:r>
        <w:rPr>
          <w:color w:val="000000"/>
        </w:rPr>
        <w:t>;</w:t>
      </w:r>
      <w:r>
        <w:t xml:space="preserve"> au moins cinq</w:t>
      </w:r>
      <w:r>
        <w:rPr>
          <w:color w:val="000000"/>
        </w:rPr>
        <w:t xml:space="preserve"> sessions </w:t>
      </w:r>
      <w:r>
        <w:t>pour la diffusion d’informations sur les technologies émergentes dans la fabrication et l’entretien de l’équipement de réfrigération et de climatisation </w:t>
      </w:r>
      <w:r>
        <w:rPr>
          <w:color w:val="000000"/>
        </w:rPr>
        <w:t xml:space="preserve">; et </w:t>
      </w:r>
      <w:r>
        <w:t xml:space="preserve">création d’un profil du marché des équipements utilisant des HCFC et des frigorigènes à faible PRP </w:t>
      </w:r>
      <w:r>
        <w:rPr>
          <w:color w:val="000000"/>
        </w:rPr>
        <w:t xml:space="preserve">(PNUE) (95 000 $ US) ; et </w:t>
      </w:r>
      <w:r>
        <w:t>fourniture d’un tiers de l’équipement et formation des installateurs pour cinq fabricants de climatiseurs à usages domestique et commercial</w:t>
      </w:r>
      <w:r w:rsidR="00DF3F5D" w:rsidRPr="00B34531">
        <w:rPr>
          <w:rStyle w:val="FootnoteReference"/>
        </w:rPr>
        <w:footnoteReference w:id="17"/>
      </w:r>
      <w:r>
        <w:rPr>
          <w:color w:val="000000"/>
        </w:rPr>
        <w:t xml:space="preserve"> (ONUDI) (200 000 $ US) ;</w:t>
      </w:r>
    </w:p>
    <w:p w14:paraId="534AD0F7" w14:textId="4A0BD2F8" w:rsidR="004177A6" w:rsidRPr="004A2C24" w:rsidRDefault="008932C0" w:rsidP="00157C67">
      <w:pPr>
        <w:pStyle w:val="Heading2"/>
        <w:widowControl/>
      </w:pPr>
      <w:r>
        <w:rPr>
          <w:color w:val="000000"/>
        </w:rPr>
        <w:t xml:space="preserve">sensibilisation : lancement </w:t>
      </w:r>
      <w:r>
        <w:t>de la campagne sur l’élimination des HCFC et les solutions de remplacement à faible PRP, incluant la production et la distribution de documents imprimés et dans les médias, dans la langue locale ; et organisation de quatre événements pour la promotion des technologies respectueuses de la couche d’ozone et du climat (deux tournées Ozone2Climate et deux célébrations de la Journée mondiale de la réfrigération) (PNUE) (95 250 $ US) ; et</w:t>
      </w:r>
    </w:p>
    <w:p w14:paraId="783F7A01" w14:textId="01453DC4" w:rsidR="004177A6" w:rsidRPr="004A2C24" w:rsidRDefault="004177A6" w:rsidP="004177A6">
      <w:pPr>
        <w:pStyle w:val="Heading2"/>
      </w:pPr>
      <w:r>
        <w:lastRenderedPageBreak/>
        <w:t>mise en œuvre et suivi de projet (ONUDI) (121 016 $ US) et (PNUE) (40 339 $ US).</w:t>
      </w:r>
    </w:p>
    <w:p w14:paraId="3638763E" w14:textId="77777777" w:rsidR="004177A6" w:rsidRPr="00996241" w:rsidRDefault="004177A6" w:rsidP="004177A6">
      <w:pPr>
        <w:widowControl w:val="0"/>
        <w:spacing w:before="360" w:after="240"/>
        <w:jc w:val="center"/>
        <w:rPr>
          <w:b/>
        </w:rPr>
      </w:pPr>
      <w:bookmarkStart w:id="14" w:name="_Hlk126916095"/>
      <w:r>
        <w:rPr>
          <w:b/>
        </w:rPr>
        <w:t>OBSERVATIONS ET RECOMMANDATION DU SECRÉTARIAT</w:t>
      </w:r>
    </w:p>
    <w:p w14:paraId="2F1D085C" w14:textId="77777777" w:rsidR="004177A6" w:rsidRPr="00996241" w:rsidRDefault="004177A6" w:rsidP="004177A6">
      <w:pPr>
        <w:widowControl w:val="0"/>
        <w:spacing w:after="240"/>
        <w:rPr>
          <w:b/>
        </w:rPr>
      </w:pPr>
      <w:r>
        <w:rPr>
          <w:b/>
        </w:rPr>
        <w:t>OBSERVATIONS</w:t>
      </w:r>
    </w:p>
    <w:bookmarkEnd w:id="14"/>
    <w:p w14:paraId="07D6711D" w14:textId="2BB9B807" w:rsidR="004177A6" w:rsidRPr="00996241" w:rsidRDefault="004177A6" w:rsidP="00953931">
      <w:pPr>
        <w:pStyle w:val="Heading1"/>
        <w:numPr>
          <w:ilvl w:val="0"/>
          <w:numId w:val="14"/>
        </w:numPr>
        <w:tabs>
          <w:tab w:val="clear" w:pos="993"/>
          <w:tab w:val="num" w:pos="0"/>
        </w:tabs>
        <w:ind w:left="0"/>
      </w:pPr>
      <w:r>
        <w:t>Le Secrétariat a examiné la phase II du PGEH à la lumière de la phase I, des politiques et lignes directrices du Fonds multilatéral, incluant les critères de financement de l’élimination des HCFC dans le secteur de la consommation pour la phase II des PGEH (décision 74/50), ainsi que du plan d’activités du Fonds multilatéral pour la période 2024–2026.</w:t>
      </w:r>
    </w:p>
    <w:p w14:paraId="48BE2825" w14:textId="77777777" w:rsidR="004177A6" w:rsidRPr="00996241" w:rsidRDefault="004177A6" w:rsidP="004177A6">
      <w:pPr>
        <w:keepNext/>
        <w:spacing w:after="240"/>
        <w:rPr>
          <w:u w:val="single"/>
        </w:rPr>
      </w:pPr>
      <w:bookmarkStart w:id="15" w:name="_Hlk126916105"/>
      <w:r>
        <w:rPr>
          <w:u w:val="single"/>
        </w:rPr>
        <w:t>Stratégie globale</w:t>
      </w:r>
    </w:p>
    <w:bookmarkEnd w:id="15"/>
    <w:p w14:paraId="479C3FD7" w14:textId="005D0878" w:rsidR="00C44859" w:rsidRDefault="004177A6" w:rsidP="00953931">
      <w:pPr>
        <w:pStyle w:val="Heading1"/>
        <w:numPr>
          <w:ilvl w:val="0"/>
          <w:numId w:val="14"/>
        </w:numPr>
        <w:tabs>
          <w:tab w:val="clear" w:pos="993"/>
          <w:tab w:val="num" w:pos="0"/>
        </w:tabs>
        <w:ind w:left="0"/>
      </w:pPr>
      <w:r>
        <w:t>Le Gouvernement de l’Arabie saoudite propose d’atteindre la réduction de 100</w:t>
      </w:r>
      <w:r w:rsidR="00920824">
        <w:t> </w:t>
      </w:r>
      <w:r>
        <w:t>pour</w:t>
      </w:r>
      <w:r w:rsidR="00920824">
        <w:t> </w:t>
      </w:r>
      <w:r>
        <w:t>cent de sa consommation de base de HCFC d’ici 2030 et de maintenir une consommation annuelle maximale de HCFC durant la période de 2030 à 2040 à un niveau conforme à l’Article 5, paragraphe 8 ter e) i) du Protocole de Montréal.</w:t>
      </w:r>
      <w:r w:rsidRPr="00996241">
        <w:rPr>
          <w:vertAlign w:val="superscript"/>
        </w:rPr>
        <w:footnoteReference w:id="18"/>
      </w:r>
    </w:p>
    <w:p w14:paraId="211E599F" w14:textId="29DA7338" w:rsidR="004177A6" w:rsidRDefault="004177A6" w:rsidP="00953931">
      <w:pPr>
        <w:pStyle w:val="Heading1"/>
        <w:numPr>
          <w:ilvl w:val="0"/>
          <w:numId w:val="14"/>
        </w:numPr>
        <w:tabs>
          <w:tab w:val="clear" w:pos="993"/>
          <w:tab w:val="num" w:pos="0"/>
        </w:tabs>
        <w:ind w:left="0"/>
      </w:pPr>
      <w:r>
        <w:t>Conformément à la décision 86/51 et afin de permettre l’examen de la dernière tranche du PGEH, le Gouvernement de l’Arabie saoudite a accepté de fournir une description détaillée du cadre des réglementations et des politiques générales en place pour la mise en œuvre des mesures garantissant que la consommation de HCFC sera conforme au paragraphe 8 ter e) i) de l’Article 5 du Protocole de Montréal pour la période 2030–2040 et dans l’éventualité où l’Arabie saoudite compte consommer des HCFC pendant la période 2030–2040, conformément au paragraphe 8 ter) e) i) de l’Article 5 du Protocole de Montréal, a proposé des modifications à apporter à son accord avec le Comité exécutif pour l’après 2030.</w:t>
      </w:r>
    </w:p>
    <w:p w14:paraId="38F82EB5" w14:textId="6ED429F3" w:rsidR="00192D64" w:rsidRPr="00192D64" w:rsidRDefault="00192D64" w:rsidP="00192D64">
      <w:pPr>
        <w:rPr>
          <w:u w:val="single"/>
        </w:rPr>
      </w:pPr>
      <w:r>
        <w:rPr>
          <w:u w:val="single"/>
        </w:rPr>
        <w:t>Consommation de HCFC</w:t>
      </w:r>
    </w:p>
    <w:p w14:paraId="483C0721" w14:textId="77777777" w:rsidR="00192D64" w:rsidRDefault="00192D64" w:rsidP="00192D64"/>
    <w:p w14:paraId="648699FF" w14:textId="5B4BA7A7" w:rsidR="00C73820" w:rsidRPr="00C73820" w:rsidRDefault="00C40BBC" w:rsidP="00953931">
      <w:pPr>
        <w:pStyle w:val="Heading1"/>
        <w:numPr>
          <w:ilvl w:val="0"/>
          <w:numId w:val="14"/>
        </w:numPr>
        <w:tabs>
          <w:tab w:val="clear" w:pos="993"/>
          <w:tab w:val="num" w:pos="0"/>
        </w:tabs>
        <w:ind w:left="0"/>
        <w:rPr>
          <w:iCs/>
        </w:rPr>
      </w:pPr>
      <w:r>
        <w:t>La consommation de HCFC-22 dans la fabrication de climatiseurs a connu une diminution constante avec l’augmentation de la fabrication d’équipement sans HCFC. À l’inverse, la consommation de HCFC-22 pour l’entretien a augmenté malgré la politique et les mesures réglementaires mises en œuvre par le pays pour renforcer le secteur de l’entretien, incluant entre autres une exigence que toute personne intervenant pour la maintenance et la réparation d’appareils et d’équipement contenant des substances réglementées doit obtenir un permis ou une autorisation ; toute personne intervenant pour la maintenance et la réparation d’appareils et d’équipement contenant des substances réglementées doit bien utiliser un ou plusieurs équipements de récupération lors de la récupération de telles substances, et doit éviter d’évacuer les substances réglementées des appareils et de l’équipement dans l’environnement ; et malgré la formation et la certification de 9 903 </w:t>
      </w:r>
      <w:r w:rsidR="00C14906">
        <w:t>techniciens de réfrigération et</w:t>
      </w:r>
      <w:r>
        <w:t xml:space="preserve"> climatisation. L’ONUDI a expliqué que la consommation accrue dans l’entretien peut être attribuée à la prévalence durable d’ancien équipement de réfrigération et de climatisation au HCFC-22 nécessitant un entretien et une maintenance plus fréquents. De nombreux ateliers d’entretien n’ont pas complètement adopté l’équipement de récupération et de recyclage, souvent à cause d’un manque d’équipement, de formation ou des deux, ce qui entraîne une dépendance continue à des approvisionnements en HCFC-22 neuf plutôt que de maximiser la réutilisation de frigorigène récupéré. Ces problèmes ayant été reconnus, les initiatives prévues au titre de la phase II visent à améliorer l’application des réglementations existantes et l’augmentation de la disponibilité et de l’utilisation de l’équipement de récupération et de recyclage. Cette approche prévoit la réduction de la dépendance à l’approvisionnement en HCFC-22 neuf par l’amélioration de l’efficacité et de la conformité dans les pratiques de récupération des frigorigènes pendant l’entretien.</w:t>
      </w:r>
    </w:p>
    <w:p w14:paraId="057F29B1" w14:textId="6DBDEE59" w:rsidR="007F0D75" w:rsidRDefault="0033433A" w:rsidP="00953931">
      <w:pPr>
        <w:pStyle w:val="Heading1"/>
        <w:numPr>
          <w:ilvl w:val="0"/>
          <w:numId w:val="14"/>
        </w:numPr>
        <w:tabs>
          <w:tab w:val="clear" w:pos="993"/>
          <w:tab w:val="num" w:pos="0"/>
        </w:tabs>
        <w:ind w:left="0"/>
      </w:pPr>
      <w:r>
        <w:lastRenderedPageBreak/>
        <w:t>En ce qui concerne la fabrication accrue d’équipement sans HCFC, le Secrétariat a rappelé que le Comité exécutif avait approuvé deux projets de démonstration pour la fabrication de climatiseurs en Arabie saoudite, l’un chez Petra Engineering Industries (KSA) Co. Ltd. (pour la construction, l’essai et l’optimisation de prototypes de climatiseurs monoblocs utilisant du HFC-32 et du R-290 ; l’évaluation du surcoût de la reconversion et de la performance énergétique des climatiseurs au HFC-32 et au R-290 ; et la diffusion des conclusions et des résultats aux fabricants intéressés en Arabie saoudite et dans d’autres pays) et l’autre chez Alessa Industries Co. (pour l’essai et l’optimisation de modèles pilotes de climatiseurs au R</w:t>
      </w:r>
      <w:r w:rsidR="007733A1">
        <w:noBreakHyphen/>
      </w:r>
      <w:r>
        <w:t>290, pour entreprendre un cycle de production de démonstration et pour reconvertir une ligne de production). Comme ces projets ont été achevés,</w:t>
      </w:r>
      <w:r w:rsidR="00192D64">
        <w:rPr>
          <w:rStyle w:val="FootnoteReference"/>
        </w:rPr>
        <w:footnoteReference w:id="19"/>
      </w:r>
      <w:r>
        <w:t xml:space="preserve"> le Secrétariat s’est enquis de l’état de la fabrication dans ces entreprises. L’ONUDI a indiqué que ces entreprises ne fabriquaient pas d’équipement avec la technologie qui a fait l’objet d’une démonstration et fabriquent à la place de l’équipement utilisant des HFC à fort PRP, étant donné la disponibilité limitée de composants clés, les coûts de fabrication élevés, les problèmes d’inflammabilité et l’acceptation limitée des consommateurs envers les technologies de démonstration.</w:t>
      </w:r>
    </w:p>
    <w:p w14:paraId="5C02585E" w14:textId="6727BD36" w:rsidR="007F0D75" w:rsidRDefault="009050D7" w:rsidP="00953931">
      <w:pPr>
        <w:pStyle w:val="Heading1"/>
        <w:numPr>
          <w:ilvl w:val="0"/>
          <w:numId w:val="14"/>
        </w:numPr>
        <w:tabs>
          <w:tab w:val="clear" w:pos="993"/>
          <w:tab w:val="num" w:pos="0"/>
        </w:tabs>
        <w:ind w:left="0"/>
      </w:pPr>
      <w:r>
        <w:t xml:space="preserve">Prenant note que la dernière année pour laquelle la consommation élevée de HCFC avait été vérifiée était 2015, le Secrétariat a suggéré à l’ONUDI de remettre avec la demande pour la deuxième tranche de la phase II du PGEH une vérification de la consommation de HCFC de 2016 à l’année précédant la présentation de la deuxième tranche de la phase II. </w:t>
      </w:r>
      <w:r w:rsidR="00920824">
        <w:t>Le 5 mai 2024, l</w:t>
      </w:r>
      <w:r>
        <w:t>e PNUE a fourni le rapport de vérification des HCFC du pays pour la période 2016–2019, qui n’avait pas été remis auparavant. Le Secrétariat intégrera son examen de ce rapport de vérification à son examen de la demande pour la deuxième tranche de la phase II, qui comprendra également le rapport de vérification pour la période de 2020 à l’année précédant immédiatement la présentation de la deuxième tranche.</w:t>
      </w:r>
    </w:p>
    <w:p w14:paraId="22CE1585" w14:textId="10186689" w:rsidR="00E81163" w:rsidRDefault="00E81163" w:rsidP="00EF1D08">
      <w:pPr>
        <w:keepNext/>
        <w:rPr>
          <w:u w:val="single"/>
        </w:rPr>
      </w:pPr>
      <w:r>
        <w:rPr>
          <w:u w:val="single"/>
        </w:rPr>
        <w:t>Mise en œuvre de la phase I du PGEH</w:t>
      </w:r>
    </w:p>
    <w:p w14:paraId="1F318FDF" w14:textId="77777777" w:rsidR="00E81163" w:rsidRDefault="00E81163" w:rsidP="00EF1D08">
      <w:pPr>
        <w:keepNext/>
        <w:rPr>
          <w:u w:val="single"/>
        </w:rPr>
      </w:pPr>
    </w:p>
    <w:p w14:paraId="432D4FFA" w14:textId="4C9AEB93" w:rsidR="009E5E3A" w:rsidRDefault="00001DE4" w:rsidP="00953931">
      <w:pPr>
        <w:pStyle w:val="Heading1"/>
        <w:numPr>
          <w:ilvl w:val="0"/>
          <w:numId w:val="14"/>
        </w:numPr>
        <w:tabs>
          <w:tab w:val="clear" w:pos="993"/>
          <w:tab w:val="num" w:pos="0"/>
        </w:tabs>
        <w:ind w:left="0"/>
      </w:pPr>
      <w:r>
        <w:t>En comptant les projets autonomes approuvés à la 62</w:t>
      </w:r>
      <w:r>
        <w:rPr>
          <w:vertAlign w:val="superscript"/>
        </w:rPr>
        <w:t>e</w:t>
      </w:r>
      <w:r>
        <w:t xml:space="preserve"> réunion, le financement total approuvé en principe pour la phase I du PGEH s’élevait à 13 420 971 $ US (plus des coûts d’appui aux agences). De ce financement approuvé en principe, le Gouvernement a demandé, et le Comité exécutif </w:t>
      </w:r>
      <w:r w:rsidR="00F42026">
        <w:t>a</w:t>
      </w:r>
      <w:r>
        <w:t xml:space="preserve"> approuvé, 10 587 388 $ US (79 pour cent du financement approuvé en principe), dont un montant total de 2 841 287 $</w:t>
      </w:r>
      <w:r w:rsidR="007733A1">
        <w:t> </w:t>
      </w:r>
      <w:r>
        <w:t>US a été restitué. Ainsi, seuls 58 pour cent du financement approuvé en principe ont été utilisés pour la mise en œuvre des activités dans le pays. Prenant en compte cette utilisation limitée du financement approuvé et prenant note que le financement demandé au titre de la phase II équivalait presque à trois fois le financement utilisé au titre de la phase I, et que la phase II serait mise en œuvre dans un délai environ deux fois plus court que la phase I, le Secrétariat a considéré prudent d’identifier les mécanismes permettant de s’assurer que ce niveau supérieur de financement annuel pouvait être absorbé sans heurt, de sorte que la mise en œuvre puisse se dérouler comme prévu. À cette fin, le Secrétariat a identifié des objectifs spécifiques pour permettre à la mise en œuvre du projet de se dérouler par étapes, qui sont détaillés au paragraphe 36 ci-dessous.</w:t>
      </w:r>
    </w:p>
    <w:p w14:paraId="3FFA3AC0" w14:textId="21A3B721" w:rsidR="00CA0211" w:rsidRPr="004E4951" w:rsidRDefault="00CA0211" w:rsidP="00953931">
      <w:pPr>
        <w:pStyle w:val="Heading1"/>
        <w:numPr>
          <w:ilvl w:val="0"/>
          <w:numId w:val="14"/>
        </w:numPr>
        <w:tabs>
          <w:tab w:val="clear" w:pos="993"/>
          <w:tab w:val="num" w:pos="0"/>
        </w:tabs>
        <w:ind w:left="0"/>
      </w:pPr>
      <w:r>
        <w:t>Une difficulté rencontrée lors de la mise en œuvre de la phase I était la rétention à la douane de l’équipement importé dans le pays au titre du projet, notamment en raison du besoin de payer des taxes d’importation. Prenant note de la quantité importante d’équipement à fournir au titre de la phase II, et conformément à la décision 22/55, le Gouvernement a confirmé que l’équipement importé dans le pays au titre de la phase II du PGEH serait exempté de prélèvements, taxes et droits, ou que le Gouvernement supporterait le coût de tous ces prélèvements, taxes et droits.</w:t>
      </w:r>
    </w:p>
    <w:p w14:paraId="489ADBA3" w14:textId="6E9C8920" w:rsidR="00751162" w:rsidRPr="00751162" w:rsidRDefault="006027B6" w:rsidP="00953931">
      <w:pPr>
        <w:pStyle w:val="Heading1"/>
        <w:numPr>
          <w:ilvl w:val="0"/>
          <w:numId w:val="14"/>
        </w:numPr>
        <w:tabs>
          <w:tab w:val="clear" w:pos="993"/>
          <w:tab w:val="num" w:pos="0"/>
        </w:tabs>
        <w:ind w:left="0"/>
        <w:rPr>
          <w:u w:val="single"/>
        </w:rPr>
      </w:pPr>
      <w:r>
        <w:t>La phase I comprenait initialement l’établissement de cinq centres de récupération ; un seul centre a été établi en raison des modifications de la mise en œuvre de la phase. En 2023, le centre a récupéré ou régénéré 6,85 tm de HCFC-22, 1,8 tm de HFC-134a et 1,08 tm de CFC-12.</w:t>
      </w:r>
    </w:p>
    <w:p w14:paraId="74CA99EE" w14:textId="3D965B43" w:rsidR="00E81163" w:rsidRPr="00D617E1" w:rsidRDefault="00EF0E0F" w:rsidP="00953931">
      <w:pPr>
        <w:pStyle w:val="Heading1"/>
        <w:numPr>
          <w:ilvl w:val="0"/>
          <w:numId w:val="14"/>
        </w:numPr>
        <w:tabs>
          <w:tab w:val="clear" w:pos="993"/>
          <w:tab w:val="num" w:pos="0"/>
        </w:tabs>
        <w:ind w:left="0"/>
        <w:rPr>
          <w:u w:val="single"/>
        </w:rPr>
      </w:pPr>
      <w:r>
        <w:lastRenderedPageBreak/>
        <w:t xml:space="preserve">Le Secrétariat a pris note qu’une interdiction des conteneurs de frigorigènes jetables pour les frigorigènes utilisant des HCFC avait été mise en place, et qu’un programme national de certification était en place pour les </w:t>
      </w:r>
      <w:r w:rsidR="00C14906">
        <w:t>techniciens de réfrigération et</w:t>
      </w:r>
      <w:r>
        <w:t xml:space="preserve"> climatisation depuis janvier 2017. L</w:t>
      </w:r>
      <w:r w:rsidR="00FF5F1C">
        <w:t>a</w:t>
      </w:r>
      <w:r>
        <w:t xml:space="preserve"> r</w:t>
      </w:r>
      <w:r w:rsidR="00FF5F1C">
        <w:t>é</w:t>
      </w:r>
      <w:r>
        <w:t>glement</w:t>
      </w:r>
      <w:r w:rsidR="00FF5F1C">
        <w:t>ation</w:t>
      </w:r>
      <w:r>
        <w:t xml:space="preserve"> administrati</w:t>
      </w:r>
      <w:r w:rsidR="00FF5F1C">
        <w:t>ve</w:t>
      </w:r>
      <w:r>
        <w:t xml:space="preserve"> des règlements unifiés du Conseil de coopération du Golfe (GCC) couvre le Code de bonnes pratiques pour les techniciens, incluant les conditions associées à la certification, et l’utilisation des frigorigènes par les techniciens certifiés. Le Code</w:t>
      </w:r>
      <w:r w:rsidR="00976896">
        <w:t xml:space="preserve"> national</w:t>
      </w:r>
      <w:r>
        <w:t xml:space="preserve"> de bonnes pratiques a été examiné, révisé et adopté au titre du Décret royal M/165 du 10 septembre 2020.</w:t>
      </w:r>
    </w:p>
    <w:p w14:paraId="782F34F5" w14:textId="571C53E0" w:rsidR="00C816B1" w:rsidRPr="009F5CC7" w:rsidRDefault="00C816B1" w:rsidP="00C2489A">
      <w:pPr>
        <w:rPr>
          <w:u w:val="single"/>
        </w:rPr>
      </w:pPr>
      <w:r>
        <w:rPr>
          <w:u w:val="single"/>
        </w:rPr>
        <w:t>Détermination de la consommation de HCFC admissible au financement</w:t>
      </w:r>
    </w:p>
    <w:p w14:paraId="5D49AE73" w14:textId="77777777" w:rsidR="00C816B1" w:rsidRDefault="00C816B1" w:rsidP="00C2489A"/>
    <w:p w14:paraId="2F9E4359" w14:textId="64FF6442" w:rsidR="00C2489A" w:rsidRDefault="00C816B1" w:rsidP="00953931">
      <w:pPr>
        <w:pStyle w:val="Heading1"/>
        <w:numPr>
          <w:ilvl w:val="0"/>
          <w:numId w:val="14"/>
        </w:numPr>
        <w:tabs>
          <w:tab w:val="clear" w:pos="993"/>
          <w:tab w:val="num" w:pos="0"/>
        </w:tabs>
        <w:ind w:left="0"/>
      </w:pPr>
      <w:r>
        <w:t>La consommation de HCFC-22 restante du pays admissible au financement est de 765,21 tonnes PAO. Le Gouvernement a proposé de prendre en compte un point de départ pour le HCFC</w:t>
      </w:r>
      <w:r w:rsidR="007733A1">
        <w:noBreakHyphen/>
      </w:r>
      <w:r>
        <w:t xml:space="preserve">22 distinct pour les secteurs de l’entretien et de la fabrication. Le Gouvernement </w:t>
      </w:r>
      <w:r w:rsidR="00DF2448">
        <w:t>a</w:t>
      </w:r>
      <w:r>
        <w:t xml:space="preserve"> notamment proposé de baser ces points de départ sur la consommation moyenne en 2009–2010 dans chaque secteur respectif, pour obtenir un point de départ du HCFC-22 de 508,39 tonnes PAO pour le secteur de la fabrication et de 503,25 tonnes PAO pour le secteur de l’entretien. La phase I a permis l’élimination de 64,74 tonnes PAO de HCFC-22 dans le secteur de la fabrication et de 181,69 tonnes PAO dans le secteur de l’entretien, résultant en une consommation de HCFC-22 restante admissible au financement de 321,56 tonnes PAO pour l’entretien, qui est supérieure à la consommation du secteur de l’entretien pour l’année, et à la moyenne des trois années précédant immédiatement la préparation du projet, comme indiqué dans le tableau 5 ci</w:t>
      </w:r>
      <w:r w:rsidR="007733A1">
        <w:noBreakHyphen/>
      </w:r>
      <w:r>
        <w:t>dessous. La consommation de HCFC-22 restante admissible au financement de 431,65 tonnes PAO, et la consommation de HCFC-123 restante admissible au financement de</w:t>
      </w:r>
      <w:r w:rsidR="00DF2448">
        <w:t xml:space="preserve"> </w:t>
      </w:r>
      <w:r>
        <w:t>0,19 tonne PAO, sera déduite de la consommation de HCFC restante du pays pour un financement par le pays, sans financement supplémentaire du Fonds multilatéral.</w:t>
      </w:r>
    </w:p>
    <w:p w14:paraId="2E6D955D" w14:textId="2CDF8218" w:rsidR="00295684" w:rsidRPr="00132A57" w:rsidRDefault="00A0637C" w:rsidP="00295684">
      <w:pPr>
        <w:rPr>
          <w:b/>
          <w:bCs/>
        </w:rPr>
      </w:pPr>
      <w:r>
        <w:rPr>
          <w:b/>
        </w:rPr>
        <w:t>Tableau 5. Point de départ par secteur proposé par le Gouvernement, élimination à la phase I et consommation pour la période 2021–2023 (tonnes PAO)</w:t>
      </w:r>
    </w:p>
    <w:tbl>
      <w:tblPr>
        <w:tblW w:w="0" w:type="auto"/>
        <w:tblLook w:val="04A0" w:firstRow="1" w:lastRow="0" w:firstColumn="1" w:lastColumn="0" w:noHBand="0" w:noVBand="1"/>
      </w:tblPr>
      <w:tblGrid>
        <w:gridCol w:w="2507"/>
        <w:gridCol w:w="1258"/>
        <w:gridCol w:w="1257"/>
        <w:gridCol w:w="1258"/>
        <w:gridCol w:w="1395"/>
        <w:gridCol w:w="1675"/>
      </w:tblGrid>
      <w:tr w:rsidR="00DF33C2" w:rsidRPr="0058576B" w14:paraId="3ABE043D" w14:textId="77777777" w:rsidTr="00EB691C">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CAC30E" w14:textId="393FF72F" w:rsidR="00DF33C2" w:rsidRPr="00DF33C2" w:rsidRDefault="00DF33C2" w:rsidP="0058576B">
            <w:pPr>
              <w:jc w:val="left"/>
              <w:rPr>
                <w:b/>
                <w:bCs/>
                <w:color w:val="000000"/>
                <w:sz w:val="20"/>
                <w:szCs w:val="20"/>
              </w:rPr>
            </w:pPr>
            <w:r>
              <w:rPr>
                <w:b/>
                <w:color w:val="000000"/>
                <w:sz w:val="20"/>
              </w:rPr>
              <w:t>Secteur/substance</w:t>
            </w:r>
          </w:p>
        </w:tc>
        <w:tc>
          <w:tcPr>
            <w:tcW w:w="1276"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5CA9DFCD" w14:textId="6AE4192F" w:rsidR="00DF33C2" w:rsidRPr="00DF33C2" w:rsidRDefault="00DF33C2" w:rsidP="00DF33C2">
            <w:pPr>
              <w:jc w:val="center"/>
              <w:rPr>
                <w:b/>
                <w:bCs/>
                <w:color w:val="000000"/>
                <w:sz w:val="20"/>
                <w:szCs w:val="20"/>
              </w:rPr>
            </w:pPr>
            <w:r>
              <w:rPr>
                <w:b/>
                <w:color w:val="000000"/>
                <w:sz w:val="20"/>
              </w:rPr>
              <w:t>Point de départ</w:t>
            </w:r>
          </w:p>
        </w:tc>
        <w:tc>
          <w:tcPr>
            <w:tcW w:w="1275"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7BFBB514" w14:textId="77777777" w:rsidR="00DF33C2" w:rsidRPr="00DF33C2" w:rsidRDefault="00DF33C2" w:rsidP="00DF33C2">
            <w:pPr>
              <w:jc w:val="center"/>
              <w:rPr>
                <w:b/>
                <w:bCs/>
                <w:color w:val="000000"/>
                <w:sz w:val="20"/>
                <w:szCs w:val="20"/>
              </w:rPr>
            </w:pPr>
            <w:r>
              <w:rPr>
                <w:b/>
                <w:color w:val="000000"/>
                <w:sz w:val="20"/>
              </w:rPr>
              <w:t>Élimination à la phase I</w:t>
            </w:r>
          </w:p>
        </w:tc>
        <w:tc>
          <w:tcPr>
            <w:tcW w:w="1276"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025EB8E7" w14:textId="6A2D61F1" w:rsidR="00DF33C2" w:rsidRPr="00DF33C2" w:rsidRDefault="00DF33C2" w:rsidP="00DF33C2">
            <w:pPr>
              <w:jc w:val="center"/>
              <w:rPr>
                <w:b/>
                <w:bCs/>
                <w:color w:val="000000"/>
                <w:sz w:val="20"/>
                <w:szCs w:val="20"/>
              </w:rPr>
            </w:pPr>
            <w:r>
              <w:rPr>
                <w:b/>
                <w:color w:val="000000"/>
                <w:sz w:val="20"/>
              </w:rPr>
              <w:t>Restant après la phase I</w:t>
            </w:r>
          </w:p>
        </w:tc>
        <w:tc>
          <w:tcPr>
            <w:tcW w:w="1276"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06E83A7B" w14:textId="77777777" w:rsidR="00DF33C2" w:rsidRPr="00DF33C2" w:rsidRDefault="00DF33C2" w:rsidP="00DF33C2">
            <w:pPr>
              <w:jc w:val="center"/>
              <w:rPr>
                <w:b/>
                <w:bCs/>
                <w:color w:val="000000"/>
                <w:sz w:val="20"/>
                <w:szCs w:val="20"/>
              </w:rPr>
            </w:pPr>
            <w:r>
              <w:rPr>
                <w:b/>
                <w:color w:val="000000"/>
                <w:sz w:val="20"/>
              </w:rPr>
              <w:t>Consommation de 2023</w:t>
            </w:r>
          </w:p>
        </w:tc>
        <w:tc>
          <w:tcPr>
            <w:tcW w:w="1700"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16183BE2" w14:textId="77777777" w:rsidR="00DF33C2" w:rsidRPr="00DF33C2" w:rsidRDefault="00DF33C2" w:rsidP="00DF33C2">
            <w:pPr>
              <w:jc w:val="center"/>
              <w:rPr>
                <w:b/>
                <w:bCs/>
                <w:color w:val="000000"/>
                <w:sz w:val="20"/>
                <w:szCs w:val="20"/>
              </w:rPr>
            </w:pPr>
            <w:r>
              <w:rPr>
                <w:b/>
                <w:color w:val="000000"/>
                <w:sz w:val="20"/>
              </w:rPr>
              <w:t>Consommation moyenne pour 2021–2023</w:t>
            </w:r>
          </w:p>
        </w:tc>
      </w:tr>
      <w:tr w:rsidR="00DF33C2" w:rsidRPr="0058576B" w14:paraId="5B817FBA" w14:textId="77777777">
        <w:trPr>
          <w:trHeight w:val="20"/>
        </w:trPr>
        <w:tc>
          <w:tcPr>
            <w:tcW w:w="0" w:type="auto"/>
            <w:gridSpan w:val="6"/>
            <w:tcBorders>
              <w:top w:val="nil"/>
              <w:left w:val="single" w:sz="4" w:space="0" w:color="auto"/>
              <w:bottom w:val="single" w:sz="4" w:space="0" w:color="auto"/>
              <w:right w:val="single" w:sz="4" w:space="0" w:color="auto"/>
            </w:tcBorders>
            <w:shd w:val="clear" w:color="auto" w:fill="auto"/>
            <w:noWrap/>
            <w:hideMark/>
          </w:tcPr>
          <w:p w14:paraId="6B0FE2ED" w14:textId="4E2E4CAB" w:rsidR="00DF33C2" w:rsidRPr="00DF33C2" w:rsidRDefault="0058576B" w:rsidP="00DF33C2">
            <w:pPr>
              <w:jc w:val="left"/>
              <w:rPr>
                <w:color w:val="000000"/>
                <w:sz w:val="20"/>
                <w:szCs w:val="20"/>
              </w:rPr>
            </w:pPr>
            <w:r>
              <w:rPr>
                <w:b/>
                <w:color w:val="000000"/>
                <w:sz w:val="20"/>
              </w:rPr>
              <w:t>Secteur de la fabrication</w:t>
            </w:r>
          </w:p>
        </w:tc>
      </w:tr>
      <w:tr w:rsidR="00BA7921" w:rsidRPr="0058576B" w14:paraId="31051440" w14:textId="77777777" w:rsidTr="00EB691C">
        <w:trPr>
          <w:trHeight w:val="20"/>
        </w:trPr>
        <w:tc>
          <w:tcPr>
            <w:tcW w:w="2547" w:type="dxa"/>
            <w:tcBorders>
              <w:top w:val="nil"/>
              <w:left w:val="single" w:sz="4" w:space="0" w:color="auto"/>
              <w:bottom w:val="single" w:sz="4" w:space="0" w:color="auto"/>
              <w:right w:val="single" w:sz="4" w:space="0" w:color="auto"/>
            </w:tcBorders>
            <w:shd w:val="clear" w:color="auto" w:fill="auto"/>
            <w:noWrap/>
            <w:hideMark/>
          </w:tcPr>
          <w:p w14:paraId="120DF67D" w14:textId="77777777" w:rsidR="00BA7921" w:rsidRPr="00DF33C2" w:rsidRDefault="00BA7921" w:rsidP="00EB691C">
            <w:pPr>
              <w:ind w:left="171"/>
              <w:jc w:val="left"/>
              <w:rPr>
                <w:color w:val="000000"/>
                <w:sz w:val="20"/>
                <w:szCs w:val="20"/>
              </w:rPr>
            </w:pPr>
            <w:r>
              <w:rPr>
                <w:color w:val="000000"/>
                <w:sz w:val="20"/>
              </w:rPr>
              <w:t>HCFC-141b</w:t>
            </w:r>
          </w:p>
        </w:tc>
        <w:tc>
          <w:tcPr>
            <w:tcW w:w="1276" w:type="dxa"/>
            <w:tcBorders>
              <w:top w:val="nil"/>
              <w:left w:val="nil"/>
              <w:bottom w:val="single" w:sz="4" w:space="0" w:color="auto"/>
              <w:right w:val="single" w:sz="4" w:space="0" w:color="auto"/>
            </w:tcBorders>
            <w:shd w:val="clear" w:color="auto" w:fill="auto"/>
            <w:noWrap/>
            <w:hideMark/>
          </w:tcPr>
          <w:p w14:paraId="3CB5CCD0" w14:textId="18E71342" w:rsidR="00BA7921" w:rsidRPr="00DF33C2" w:rsidRDefault="00BA7921" w:rsidP="00BA7921">
            <w:pPr>
              <w:jc w:val="right"/>
              <w:rPr>
                <w:color w:val="000000"/>
                <w:sz w:val="20"/>
                <w:szCs w:val="20"/>
              </w:rPr>
            </w:pPr>
            <w:r>
              <w:rPr>
                <w:color w:val="000000"/>
                <w:sz w:val="20"/>
              </w:rPr>
              <w:t>341,00</w:t>
            </w:r>
          </w:p>
        </w:tc>
        <w:tc>
          <w:tcPr>
            <w:tcW w:w="1275" w:type="dxa"/>
            <w:tcBorders>
              <w:top w:val="nil"/>
              <w:left w:val="nil"/>
              <w:bottom w:val="single" w:sz="4" w:space="0" w:color="auto"/>
              <w:right w:val="single" w:sz="4" w:space="0" w:color="auto"/>
            </w:tcBorders>
            <w:shd w:val="clear" w:color="auto" w:fill="auto"/>
            <w:noWrap/>
            <w:hideMark/>
          </w:tcPr>
          <w:p w14:paraId="257F1245" w14:textId="5FCFBFB8" w:rsidR="00BA7921" w:rsidRPr="00DF33C2" w:rsidRDefault="00BA7921" w:rsidP="00BA7921">
            <w:pPr>
              <w:jc w:val="right"/>
              <w:rPr>
                <w:color w:val="000000"/>
                <w:sz w:val="20"/>
                <w:szCs w:val="20"/>
              </w:rPr>
            </w:pPr>
            <w:r>
              <w:rPr>
                <w:color w:val="000000"/>
                <w:sz w:val="20"/>
              </w:rPr>
              <w:t>341,00</w:t>
            </w:r>
          </w:p>
        </w:tc>
        <w:tc>
          <w:tcPr>
            <w:tcW w:w="1276" w:type="dxa"/>
            <w:tcBorders>
              <w:top w:val="nil"/>
              <w:left w:val="nil"/>
              <w:bottom w:val="single" w:sz="4" w:space="0" w:color="auto"/>
              <w:right w:val="single" w:sz="4" w:space="0" w:color="auto"/>
            </w:tcBorders>
            <w:shd w:val="clear" w:color="auto" w:fill="auto"/>
            <w:noWrap/>
            <w:hideMark/>
          </w:tcPr>
          <w:p w14:paraId="16EC9837" w14:textId="35D285B0" w:rsidR="00BA7921" w:rsidRPr="00DF33C2" w:rsidRDefault="00BA7921" w:rsidP="00BA7921">
            <w:pPr>
              <w:jc w:val="right"/>
              <w:rPr>
                <w:color w:val="000000"/>
                <w:sz w:val="20"/>
                <w:szCs w:val="20"/>
              </w:rPr>
            </w:pPr>
            <w:r>
              <w:rPr>
                <w:color w:val="000000"/>
                <w:sz w:val="20"/>
              </w:rPr>
              <w:t>0,00</w:t>
            </w:r>
          </w:p>
        </w:tc>
        <w:tc>
          <w:tcPr>
            <w:tcW w:w="1276" w:type="dxa"/>
            <w:tcBorders>
              <w:top w:val="nil"/>
              <w:left w:val="nil"/>
              <w:bottom w:val="single" w:sz="4" w:space="0" w:color="auto"/>
              <w:right w:val="single" w:sz="4" w:space="0" w:color="auto"/>
            </w:tcBorders>
            <w:shd w:val="clear" w:color="auto" w:fill="auto"/>
            <w:noWrap/>
            <w:hideMark/>
          </w:tcPr>
          <w:p w14:paraId="0D9843D6" w14:textId="56A87EAC" w:rsidR="00BA7921" w:rsidRPr="00DF33C2" w:rsidRDefault="00BA7921" w:rsidP="00BA7921">
            <w:pPr>
              <w:ind w:right="-18"/>
              <w:jc w:val="right"/>
              <w:rPr>
                <w:color w:val="000000"/>
                <w:sz w:val="20"/>
                <w:szCs w:val="20"/>
              </w:rPr>
            </w:pPr>
            <w:r>
              <w:rPr>
                <w:color w:val="000000"/>
                <w:sz w:val="20"/>
              </w:rPr>
              <w:t>0,00</w:t>
            </w:r>
          </w:p>
        </w:tc>
        <w:tc>
          <w:tcPr>
            <w:tcW w:w="1700" w:type="dxa"/>
            <w:tcBorders>
              <w:top w:val="nil"/>
              <w:left w:val="nil"/>
              <w:bottom w:val="single" w:sz="4" w:space="0" w:color="auto"/>
              <w:right w:val="single" w:sz="4" w:space="0" w:color="auto"/>
            </w:tcBorders>
            <w:shd w:val="clear" w:color="auto" w:fill="auto"/>
            <w:noWrap/>
            <w:hideMark/>
          </w:tcPr>
          <w:p w14:paraId="256F11A8" w14:textId="008B7BF8" w:rsidR="00BA7921" w:rsidRPr="00DF33C2" w:rsidRDefault="00BA7921" w:rsidP="006D34F5">
            <w:pPr>
              <w:jc w:val="right"/>
              <w:rPr>
                <w:color w:val="000000"/>
                <w:sz w:val="20"/>
                <w:szCs w:val="20"/>
              </w:rPr>
            </w:pPr>
            <w:r>
              <w:rPr>
                <w:color w:val="000000"/>
                <w:sz w:val="20"/>
              </w:rPr>
              <w:t>0,00</w:t>
            </w:r>
          </w:p>
        </w:tc>
      </w:tr>
      <w:tr w:rsidR="00BA7921" w:rsidRPr="0058576B" w14:paraId="6BA0D28D" w14:textId="77777777" w:rsidTr="00EB691C">
        <w:trPr>
          <w:trHeight w:val="20"/>
        </w:trPr>
        <w:tc>
          <w:tcPr>
            <w:tcW w:w="2547" w:type="dxa"/>
            <w:tcBorders>
              <w:top w:val="nil"/>
              <w:left w:val="single" w:sz="4" w:space="0" w:color="auto"/>
              <w:bottom w:val="single" w:sz="4" w:space="0" w:color="auto"/>
              <w:right w:val="single" w:sz="4" w:space="0" w:color="auto"/>
            </w:tcBorders>
            <w:shd w:val="clear" w:color="auto" w:fill="auto"/>
            <w:noWrap/>
            <w:hideMark/>
          </w:tcPr>
          <w:p w14:paraId="2AE6BA43" w14:textId="77777777" w:rsidR="00BA7921" w:rsidRPr="00DF33C2" w:rsidRDefault="00BA7921" w:rsidP="00EB691C">
            <w:pPr>
              <w:ind w:left="171"/>
              <w:jc w:val="left"/>
              <w:rPr>
                <w:color w:val="000000"/>
                <w:sz w:val="20"/>
                <w:szCs w:val="20"/>
              </w:rPr>
            </w:pPr>
            <w:r>
              <w:rPr>
                <w:color w:val="000000"/>
                <w:sz w:val="20"/>
              </w:rPr>
              <w:t>HCFC-142b</w:t>
            </w:r>
          </w:p>
        </w:tc>
        <w:tc>
          <w:tcPr>
            <w:tcW w:w="1276" w:type="dxa"/>
            <w:tcBorders>
              <w:top w:val="nil"/>
              <w:left w:val="nil"/>
              <w:bottom w:val="single" w:sz="4" w:space="0" w:color="auto"/>
              <w:right w:val="single" w:sz="4" w:space="0" w:color="auto"/>
            </w:tcBorders>
            <w:shd w:val="clear" w:color="auto" w:fill="auto"/>
            <w:noWrap/>
            <w:hideMark/>
          </w:tcPr>
          <w:p w14:paraId="70845C1A" w14:textId="77777777" w:rsidR="00BA7921" w:rsidRPr="00DF33C2" w:rsidRDefault="00BA7921" w:rsidP="00BA7921">
            <w:pPr>
              <w:jc w:val="right"/>
              <w:rPr>
                <w:color w:val="000000"/>
                <w:sz w:val="20"/>
                <w:szCs w:val="20"/>
              </w:rPr>
            </w:pPr>
            <w:r>
              <w:rPr>
                <w:color w:val="000000"/>
                <w:sz w:val="20"/>
              </w:rPr>
              <w:t>115,86</w:t>
            </w:r>
          </w:p>
        </w:tc>
        <w:tc>
          <w:tcPr>
            <w:tcW w:w="1275" w:type="dxa"/>
            <w:tcBorders>
              <w:top w:val="nil"/>
              <w:left w:val="nil"/>
              <w:bottom w:val="single" w:sz="4" w:space="0" w:color="auto"/>
              <w:right w:val="single" w:sz="4" w:space="0" w:color="auto"/>
            </w:tcBorders>
            <w:shd w:val="clear" w:color="auto" w:fill="auto"/>
            <w:noWrap/>
            <w:hideMark/>
          </w:tcPr>
          <w:p w14:paraId="20CE4164" w14:textId="77777777" w:rsidR="00BA7921" w:rsidRPr="00DF33C2" w:rsidRDefault="00BA7921" w:rsidP="00BA7921">
            <w:pPr>
              <w:jc w:val="right"/>
              <w:rPr>
                <w:color w:val="000000"/>
                <w:sz w:val="20"/>
                <w:szCs w:val="20"/>
              </w:rPr>
            </w:pPr>
            <w:r>
              <w:rPr>
                <w:color w:val="000000"/>
                <w:sz w:val="20"/>
              </w:rPr>
              <w:t>115,86</w:t>
            </w:r>
          </w:p>
        </w:tc>
        <w:tc>
          <w:tcPr>
            <w:tcW w:w="1276" w:type="dxa"/>
            <w:tcBorders>
              <w:top w:val="nil"/>
              <w:left w:val="nil"/>
              <w:bottom w:val="single" w:sz="4" w:space="0" w:color="auto"/>
              <w:right w:val="single" w:sz="4" w:space="0" w:color="auto"/>
            </w:tcBorders>
            <w:shd w:val="clear" w:color="auto" w:fill="auto"/>
            <w:noWrap/>
            <w:hideMark/>
          </w:tcPr>
          <w:p w14:paraId="23AF5B31" w14:textId="2C45110E" w:rsidR="00BA7921" w:rsidRPr="00DF33C2" w:rsidRDefault="00BA7921" w:rsidP="00BA7921">
            <w:pPr>
              <w:jc w:val="right"/>
              <w:rPr>
                <w:color w:val="000000"/>
                <w:sz w:val="20"/>
                <w:szCs w:val="20"/>
              </w:rPr>
            </w:pPr>
            <w:r>
              <w:rPr>
                <w:color w:val="000000"/>
                <w:sz w:val="20"/>
              </w:rPr>
              <w:t>0,00</w:t>
            </w:r>
          </w:p>
        </w:tc>
        <w:tc>
          <w:tcPr>
            <w:tcW w:w="1276" w:type="dxa"/>
            <w:tcBorders>
              <w:top w:val="nil"/>
              <w:left w:val="nil"/>
              <w:bottom w:val="single" w:sz="4" w:space="0" w:color="auto"/>
              <w:right w:val="single" w:sz="4" w:space="0" w:color="auto"/>
            </w:tcBorders>
            <w:shd w:val="clear" w:color="auto" w:fill="auto"/>
            <w:noWrap/>
            <w:hideMark/>
          </w:tcPr>
          <w:p w14:paraId="194A33AE" w14:textId="256064C3" w:rsidR="00BA7921" w:rsidRPr="00DF33C2" w:rsidRDefault="00BA7921" w:rsidP="00BA7921">
            <w:pPr>
              <w:ind w:right="-18"/>
              <w:jc w:val="right"/>
              <w:rPr>
                <w:color w:val="000000"/>
                <w:sz w:val="20"/>
                <w:szCs w:val="20"/>
              </w:rPr>
            </w:pPr>
            <w:r>
              <w:rPr>
                <w:color w:val="000000"/>
                <w:sz w:val="20"/>
              </w:rPr>
              <w:t>0,00</w:t>
            </w:r>
          </w:p>
        </w:tc>
        <w:tc>
          <w:tcPr>
            <w:tcW w:w="1700" w:type="dxa"/>
            <w:tcBorders>
              <w:top w:val="nil"/>
              <w:left w:val="nil"/>
              <w:bottom w:val="single" w:sz="4" w:space="0" w:color="auto"/>
              <w:right w:val="single" w:sz="4" w:space="0" w:color="auto"/>
            </w:tcBorders>
            <w:shd w:val="clear" w:color="auto" w:fill="auto"/>
            <w:noWrap/>
            <w:hideMark/>
          </w:tcPr>
          <w:p w14:paraId="4EAD5B9F" w14:textId="11B0B413" w:rsidR="00BA7921" w:rsidRPr="00DF33C2" w:rsidRDefault="00BA7921" w:rsidP="006D34F5">
            <w:pPr>
              <w:jc w:val="right"/>
              <w:rPr>
                <w:color w:val="000000"/>
                <w:sz w:val="20"/>
                <w:szCs w:val="20"/>
              </w:rPr>
            </w:pPr>
            <w:r>
              <w:rPr>
                <w:color w:val="000000"/>
                <w:sz w:val="20"/>
              </w:rPr>
              <w:t>0,00</w:t>
            </w:r>
          </w:p>
        </w:tc>
      </w:tr>
      <w:tr w:rsidR="00BA7921" w:rsidRPr="0058576B" w14:paraId="658C4394" w14:textId="77777777" w:rsidTr="00EB691C">
        <w:trPr>
          <w:trHeight w:val="20"/>
        </w:trPr>
        <w:tc>
          <w:tcPr>
            <w:tcW w:w="2547" w:type="dxa"/>
            <w:tcBorders>
              <w:top w:val="nil"/>
              <w:left w:val="single" w:sz="4" w:space="0" w:color="auto"/>
              <w:bottom w:val="single" w:sz="4" w:space="0" w:color="auto"/>
              <w:right w:val="single" w:sz="4" w:space="0" w:color="auto"/>
            </w:tcBorders>
            <w:shd w:val="clear" w:color="auto" w:fill="auto"/>
            <w:noWrap/>
            <w:hideMark/>
          </w:tcPr>
          <w:p w14:paraId="13BA6BBA" w14:textId="0D2F95B5" w:rsidR="00BA7921" w:rsidRPr="00DF33C2" w:rsidRDefault="00BA7921" w:rsidP="00EB691C">
            <w:pPr>
              <w:ind w:left="171"/>
              <w:jc w:val="left"/>
              <w:rPr>
                <w:color w:val="000000"/>
                <w:sz w:val="20"/>
                <w:szCs w:val="20"/>
              </w:rPr>
            </w:pPr>
            <w:r>
              <w:rPr>
                <w:color w:val="000000"/>
                <w:sz w:val="20"/>
              </w:rPr>
              <w:t>HCFC-22</w:t>
            </w:r>
          </w:p>
        </w:tc>
        <w:tc>
          <w:tcPr>
            <w:tcW w:w="1276" w:type="dxa"/>
            <w:tcBorders>
              <w:top w:val="nil"/>
              <w:left w:val="nil"/>
              <w:bottom w:val="single" w:sz="4" w:space="0" w:color="auto"/>
              <w:right w:val="single" w:sz="4" w:space="0" w:color="auto"/>
            </w:tcBorders>
            <w:shd w:val="clear" w:color="auto" w:fill="auto"/>
            <w:noWrap/>
            <w:hideMark/>
          </w:tcPr>
          <w:p w14:paraId="71C385D3" w14:textId="4015DC06" w:rsidR="00BA7921" w:rsidRPr="00DF33C2" w:rsidRDefault="00BA7921" w:rsidP="00BA7921">
            <w:pPr>
              <w:jc w:val="right"/>
              <w:rPr>
                <w:color w:val="000000"/>
                <w:sz w:val="20"/>
                <w:szCs w:val="20"/>
              </w:rPr>
            </w:pPr>
            <w:r>
              <w:rPr>
                <w:color w:val="000000"/>
                <w:sz w:val="20"/>
              </w:rPr>
              <w:t>508,39</w:t>
            </w:r>
            <w:r>
              <w:rPr>
                <w:color w:val="000000"/>
                <w:sz w:val="20"/>
                <w:vertAlign w:val="superscript"/>
              </w:rPr>
              <w:t>*</w:t>
            </w:r>
          </w:p>
        </w:tc>
        <w:tc>
          <w:tcPr>
            <w:tcW w:w="1275" w:type="dxa"/>
            <w:tcBorders>
              <w:top w:val="nil"/>
              <w:left w:val="nil"/>
              <w:bottom w:val="single" w:sz="4" w:space="0" w:color="auto"/>
              <w:right w:val="single" w:sz="4" w:space="0" w:color="auto"/>
            </w:tcBorders>
            <w:shd w:val="clear" w:color="auto" w:fill="auto"/>
            <w:noWrap/>
            <w:hideMark/>
          </w:tcPr>
          <w:p w14:paraId="74F1E5E3" w14:textId="77777777" w:rsidR="00BA7921" w:rsidRPr="00DF33C2" w:rsidRDefault="00BA7921" w:rsidP="00BA7921">
            <w:pPr>
              <w:jc w:val="right"/>
              <w:rPr>
                <w:color w:val="000000"/>
                <w:sz w:val="20"/>
                <w:szCs w:val="20"/>
              </w:rPr>
            </w:pPr>
            <w:r>
              <w:rPr>
                <w:color w:val="000000"/>
                <w:sz w:val="20"/>
              </w:rPr>
              <w:t>64,74</w:t>
            </w:r>
          </w:p>
        </w:tc>
        <w:tc>
          <w:tcPr>
            <w:tcW w:w="1276" w:type="dxa"/>
            <w:tcBorders>
              <w:top w:val="nil"/>
              <w:left w:val="nil"/>
              <w:bottom w:val="single" w:sz="4" w:space="0" w:color="auto"/>
              <w:right w:val="single" w:sz="4" w:space="0" w:color="auto"/>
            </w:tcBorders>
            <w:shd w:val="clear" w:color="auto" w:fill="auto"/>
            <w:noWrap/>
            <w:hideMark/>
          </w:tcPr>
          <w:p w14:paraId="7F0D2794" w14:textId="4A9915D5" w:rsidR="00BA7921" w:rsidRPr="00DF33C2" w:rsidRDefault="00BA7921" w:rsidP="00BA7921">
            <w:pPr>
              <w:jc w:val="right"/>
              <w:rPr>
                <w:color w:val="000000"/>
                <w:sz w:val="20"/>
                <w:szCs w:val="20"/>
              </w:rPr>
            </w:pPr>
            <w:r>
              <w:rPr>
                <w:color w:val="000000"/>
                <w:sz w:val="20"/>
              </w:rPr>
              <w:t>443,65</w:t>
            </w:r>
          </w:p>
        </w:tc>
        <w:tc>
          <w:tcPr>
            <w:tcW w:w="1276" w:type="dxa"/>
            <w:tcBorders>
              <w:top w:val="nil"/>
              <w:left w:val="nil"/>
              <w:bottom w:val="single" w:sz="4" w:space="0" w:color="auto"/>
              <w:right w:val="single" w:sz="4" w:space="0" w:color="auto"/>
            </w:tcBorders>
            <w:shd w:val="clear" w:color="auto" w:fill="auto"/>
            <w:noWrap/>
            <w:hideMark/>
          </w:tcPr>
          <w:p w14:paraId="36B44B2F" w14:textId="511FCB01" w:rsidR="00BA7921" w:rsidRPr="00DF33C2" w:rsidRDefault="00BA7921" w:rsidP="00BA7921">
            <w:pPr>
              <w:ind w:right="-18"/>
              <w:jc w:val="right"/>
              <w:rPr>
                <w:color w:val="000000"/>
                <w:sz w:val="20"/>
                <w:szCs w:val="20"/>
              </w:rPr>
            </w:pPr>
            <w:r>
              <w:rPr>
                <w:color w:val="000000"/>
                <w:sz w:val="20"/>
              </w:rPr>
              <w:t>125,50</w:t>
            </w:r>
          </w:p>
        </w:tc>
        <w:tc>
          <w:tcPr>
            <w:tcW w:w="1700" w:type="dxa"/>
            <w:tcBorders>
              <w:top w:val="nil"/>
              <w:left w:val="nil"/>
              <w:bottom w:val="single" w:sz="4" w:space="0" w:color="auto"/>
              <w:right w:val="single" w:sz="4" w:space="0" w:color="auto"/>
            </w:tcBorders>
            <w:shd w:val="clear" w:color="auto" w:fill="auto"/>
            <w:noWrap/>
            <w:hideMark/>
          </w:tcPr>
          <w:p w14:paraId="3DB50BA3" w14:textId="6042C83E" w:rsidR="00BA7921" w:rsidRPr="00DF33C2" w:rsidRDefault="00BA7921" w:rsidP="006D34F5">
            <w:pPr>
              <w:jc w:val="right"/>
              <w:rPr>
                <w:color w:val="000000"/>
                <w:sz w:val="20"/>
                <w:szCs w:val="20"/>
              </w:rPr>
            </w:pPr>
            <w:r>
              <w:rPr>
                <w:color w:val="000000"/>
                <w:sz w:val="20"/>
              </w:rPr>
              <w:t>239,58</w:t>
            </w:r>
          </w:p>
        </w:tc>
      </w:tr>
      <w:tr w:rsidR="00BA7921" w:rsidRPr="00EB691C" w14:paraId="1357444C" w14:textId="77777777" w:rsidTr="00EB691C">
        <w:trPr>
          <w:trHeight w:val="20"/>
        </w:trPr>
        <w:tc>
          <w:tcPr>
            <w:tcW w:w="2547" w:type="dxa"/>
            <w:tcBorders>
              <w:top w:val="nil"/>
              <w:left w:val="single" w:sz="4" w:space="0" w:color="auto"/>
              <w:bottom w:val="single" w:sz="4" w:space="0" w:color="auto"/>
              <w:right w:val="single" w:sz="4" w:space="0" w:color="auto"/>
            </w:tcBorders>
            <w:shd w:val="clear" w:color="auto" w:fill="auto"/>
            <w:noWrap/>
            <w:hideMark/>
          </w:tcPr>
          <w:p w14:paraId="51097D06" w14:textId="3A1BA04D" w:rsidR="00BA7921" w:rsidRPr="00EB691C" w:rsidRDefault="00BA7921" w:rsidP="00BA7921">
            <w:pPr>
              <w:jc w:val="left"/>
              <w:rPr>
                <w:b/>
                <w:color w:val="000000"/>
                <w:sz w:val="20"/>
                <w:szCs w:val="20"/>
              </w:rPr>
            </w:pPr>
            <w:r>
              <w:rPr>
                <w:b/>
                <w:color w:val="000000"/>
                <w:sz w:val="20"/>
              </w:rPr>
              <w:t>Total partiel pour la fabrication</w:t>
            </w:r>
          </w:p>
        </w:tc>
        <w:tc>
          <w:tcPr>
            <w:tcW w:w="1276" w:type="dxa"/>
            <w:tcBorders>
              <w:top w:val="nil"/>
              <w:left w:val="nil"/>
              <w:bottom w:val="single" w:sz="4" w:space="0" w:color="auto"/>
              <w:right w:val="single" w:sz="4" w:space="0" w:color="auto"/>
            </w:tcBorders>
            <w:shd w:val="clear" w:color="auto" w:fill="auto"/>
            <w:noWrap/>
            <w:hideMark/>
          </w:tcPr>
          <w:p w14:paraId="740E3D79" w14:textId="77777777" w:rsidR="00BA7921" w:rsidRPr="00EB691C" w:rsidRDefault="00BA7921" w:rsidP="00BA7921">
            <w:pPr>
              <w:jc w:val="right"/>
              <w:rPr>
                <w:b/>
                <w:color w:val="000000"/>
                <w:sz w:val="20"/>
                <w:szCs w:val="20"/>
              </w:rPr>
            </w:pPr>
            <w:r>
              <w:rPr>
                <w:b/>
                <w:color w:val="000000"/>
                <w:sz w:val="20"/>
              </w:rPr>
              <w:t>965,26</w:t>
            </w:r>
          </w:p>
        </w:tc>
        <w:tc>
          <w:tcPr>
            <w:tcW w:w="1275" w:type="dxa"/>
            <w:tcBorders>
              <w:top w:val="nil"/>
              <w:left w:val="nil"/>
              <w:bottom w:val="single" w:sz="4" w:space="0" w:color="auto"/>
              <w:right w:val="single" w:sz="4" w:space="0" w:color="auto"/>
            </w:tcBorders>
            <w:shd w:val="clear" w:color="auto" w:fill="auto"/>
            <w:noWrap/>
            <w:hideMark/>
          </w:tcPr>
          <w:p w14:paraId="6159332E" w14:textId="77777777" w:rsidR="00BA7921" w:rsidRPr="00EB691C" w:rsidRDefault="00BA7921" w:rsidP="00BA7921">
            <w:pPr>
              <w:jc w:val="right"/>
              <w:rPr>
                <w:b/>
                <w:color w:val="000000"/>
                <w:sz w:val="20"/>
                <w:szCs w:val="20"/>
              </w:rPr>
            </w:pPr>
            <w:r>
              <w:rPr>
                <w:b/>
                <w:color w:val="000000"/>
                <w:sz w:val="20"/>
              </w:rPr>
              <w:t>521,6</w:t>
            </w:r>
          </w:p>
        </w:tc>
        <w:tc>
          <w:tcPr>
            <w:tcW w:w="1276" w:type="dxa"/>
            <w:tcBorders>
              <w:top w:val="nil"/>
              <w:left w:val="nil"/>
              <w:bottom w:val="single" w:sz="4" w:space="0" w:color="auto"/>
              <w:right w:val="single" w:sz="4" w:space="0" w:color="auto"/>
            </w:tcBorders>
            <w:shd w:val="clear" w:color="auto" w:fill="auto"/>
            <w:noWrap/>
            <w:hideMark/>
          </w:tcPr>
          <w:p w14:paraId="360D5F07" w14:textId="5F8BB80F" w:rsidR="00BA7921" w:rsidRPr="00EB691C" w:rsidRDefault="00BA7921" w:rsidP="00BA7921">
            <w:pPr>
              <w:jc w:val="right"/>
              <w:rPr>
                <w:b/>
                <w:color w:val="000000"/>
                <w:sz w:val="20"/>
                <w:szCs w:val="20"/>
              </w:rPr>
            </w:pPr>
            <w:r>
              <w:rPr>
                <w:b/>
                <w:color w:val="000000"/>
                <w:sz w:val="20"/>
              </w:rPr>
              <w:t>443,65</w:t>
            </w:r>
          </w:p>
        </w:tc>
        <w:tc>
          <w:tcPr>
            <w:tcW w:w="1276" w:type="dxa"/>
            <w:tcBorders>
              <w:top w:val="nil"/>
              <w:left w:val="nil"/>
              <w:bottom w:val="single" w:sz="4" w:space="0" w:color="auto"/>
              <w:right w:val="single" w:sz="4" w:space="0" w:color="auto"/>
            </w:tcBorders>
            <w:shd w:val="clear" w:color="auto" w:fill="auto"/>
            <w:noWrap/>
            <w:hideMark/>
          </w:tcPr>
          <w:p w14:paraId="3A0357ED" w14:textId="74735A61" w:rsidR="00BA7921" w:rsidRPr="00EB691C" w:rsidRDefault="00BA7921" w:rsidP="00BA7921">
            <w:pPr>
              <w:ind w:right="-18"/>
              <w:jc w:val="right"/>
              <w:rPr>
                <w:b/>
                <w:color w:val="000000"/>
                <w:sz w:val="20"/>
                <w:szCs w:val="20"/>
              </w:rPr>
            </w:pPr>
            <w:r>
              <w:rPr>
                <w:b/>
                <w:color w:val="000000"/>
                <w:sz w:val="20"/>
              </w:rPr>
              <w:t>125,50</w:t>
            </w:r>
          </w:p>
        </w:tc>
        <w:tc>
          <w:tcPr>
            <w:tcW w:w="1700" w:type="dxa"/>
            <w:tcBorders>
              <w:top w:val="nil"/>
              <w:left w:val="nil"/>
              <w:bottom w:val="single" w:sz="4" w:space="0" w:color="auto"/>
              <w:right w:val="single" w:sz="4" w:space="0" w:color="auto"/>
            </w:tcBorders>
            <w:shd w:val="clear" w:color="auto" w:fill="auto"/>
            <w:noWrap/>
            <w:hideMark/>
          </w:tcPr>
          <w:p w14:paraId="2D50E468" w14:textId="0509A676" w:rsidR="00BA7921" w:rsidRPr="00EB691C" w:rsidRDefault="00BA7921" w:rsidP="006D34F5">
            <w:pPr>
              <w:jc w:val="right"/>
              <w:rPr>
                <w:b/>
                <w:color w:val="000000"/>
                <w:sz w:val="20"/>
                <w:szCs w:val="20"/>
              </w:rPr>
            </w:pPr>
            <w:r>
              <w:rPr>
                <w:b/>
                <w:color w:val="000000"/>
                <w:sz w:val="20"/>
              </w:rPr>
              <w:t>239,58</w:t>
            </w:r>
          </w:p>
        </w:tc>
      </w:tr>
      <w:tr w:rsidR="00BA7921" w:rsidRPr="0058576B" w14:paraId="4806BEA1" w14:textId="77777777" w:rsidTr="0058576B">
        <w:trPr>
          <w:trHeight w:val="20"/>
        </w:trPr>
        <w:tc>
          <w:tcPr>
            <w:tcW w:w="0" w:type="auto"/>
            <w:gridSpan w:val="6"/>
            <w:tcBorders>
              <w:top w:val="nil"/>
              <w:left w:val="single" w:sz="4" w:space="0" w:color="auto"/>
              <w:bottom w:val="single" w:sz="4" w:space="0" w:color="auto"/>
              <w:right w:val="single" w:sz="4" w:space="0" w:color="auto"/>
            </w:tcBorders>
            <w:shd w:val="clear" w:color="auto" w:fill="auto"/>
            <w:noWrap/>
            <w:hideMark/>
          </w:tcPr>
          <w:p w14:paraId="1F9F943E" w14:textId="019F8733" w:rsidR="00BA7921" w:rsidRPr="00DF33C2" w:rsidRDefault="0058576B" w:rsidP="0058576B">
            <w:pPr>
              <w:jc w:val="left"/>
              <w:rPr>
                <w:color w:val="000000"/>
                <w:sz w:val="20"/>
                <w:szCs w:val="20"/>
              </w:rPr>
            </w:pPr>
            <w:r>
              <w:rPr>
                <w:b/>
                <w:color w:val="000000"/>
                <w:sz w:val="20"/>
              </w:rPr>
              <w:t>Secteur de l’entretien</w:t>
            </w:r>
          </w:p>
        </w:tc>
      </w:tr>
      <w:tr w:rsidR="00BA7921" w:rsidRPr="0058576B" w14:paraId="269AB1DE" w14:textId="77777777" w:rsidTr="00EB691C">
        <w:trPr>
          <w:trHeight w:val="20"/>
        </w:trPr>
        <w:tc>
          <w:tcPr>
            <w:tcW w:w="2547" w:type="dxa"/>
            <w:tcBorders>
              <w:top w:val="nil"/>
              <w:left w:val="single" w:sz="4" w:space="0" w:color="auto"/>
              <w:bottom w:val="single" w:sz="4" w:space="0" w:color="auto"/>
              <w:right w:val="single" w:sz="4" w:space="0" w:color="auto"/>
            </w:tcBorders>
            <w:shd w:val="clear" w:color="auto" w:fill="auto"/>
            <w:noWrap/>
            <w:hideMark/>
          </w:tcPr>
          <w:p w14:paraId="45CBF17E" w14:textId="77777777" w:rsidR="00BA7921" w:rsidRPr="00DF33C2" w:rsidRDefault="00BA7921" w:rsidP="00EB691C">
            <w:pPr>
              <w:ind w:left="171"/>
              <w:jc w:val="left"/>
              <w:rPr>
                <w:color w:val="000000"/>
                <w:sz w:val="20"/>
                <w:szCs w:val="20"/>
              </w:rPr>
            </w:pPr>
            <w:r>
              <w:rPr>
                <w:color w:val="000000"/>
                <w:sz w:val="20"/>
              </w:rPr>
              <w:t>HCFC-22</w:t>
            </w:r>
          </w:p>
        </w:tc>
        <w:tc>
          <w:tcPr>
            <w:tcW w:w="1276" w:type="dxa"/>
            <w:tcBorders>
              <w:top w:val="nil"/>
              <w:left w:val="nil"/>
              <w:bottom w:val="single" w:sz="4" w:space="0" w:color="auto"/>
              <w:right w:val="single" w:sz="4" w:space="0" w:color="auto"/>
            </w:tcBorders>
            <w:shd w:val="clear" w:color="auto" w:fill="auto"/>
            <w:noWrap/>
            <w:hideMark/>
          </w:tcPr>
          <w:p w14:paraId="3BFC41CB" w14:textId="77777777" w:rsidR="00BA7921" w:rsidRPr="00DF33C2" w:rsidRDefault="00BA7921" w:rsidP="00BA7921">
            <w:pPr>
              <w:jc w:val="right"/>
              <w:rPr>
                <w:color w:val="000000"/>
                <w:sz w:val="20"/>
                <w:szCs w:val="20"/>
              </w:rPr>
            </w:pPr>
            <w:r>
              <w:rPr>
                <w:color w:val="000000"/>
                <w:sz w:val="20"/>
              </w:rPr>
              <w:t>503,25</w:t>
            </w:r>
          </w:p>
        </w:tc>
        <w:tc>
          <w:tcPr>
            <w:tcW w:w="1275" w:type="dxa"/>
            <w:tcBorders>
              <w:top w:val="nil"/>
              <w:left w:val="nil"/>
              <w:bottom w:val="single" w:sz="4" w:space="0" w:color="auto"/>
              <w:right w:val="single" w:sz="4" w:space="0" w:color="auto"/>
            </w:tcBorders>
            <w:shd w:val="clear" w:color="auto" w:fill="auto"/>
            <w:noWrap/>
            <w:hideMark/>
          </w:tcPr>
          <w:p w14:paraId="5774EC79" w14:textId="77777777" w:rsidR="00BA7921" w:rsidRPr="00DF33C2" w:rsidRDefault="00BA7921" w:rsidP="00BA7921">
            <w:pPr>
              <w:jc w:val="right"/>
              <w:rPr>
                <w:color w:val="000000"/>
                <w:sz w:val="20"/>
                <w:szCs w:val="20"/>
              </w:rPr>
            </w:pPr>
            <w:r>
              <w:rPr>
                <w:color w:val="000000"/>
                <w:sz w:val="20"/>
              </w:rPr>
              <w:t>181,69</w:t>
            </w:r>
          </w:p>
        </w:tc>
        <w:tc>
          <w:tcPr>
            <w:tcW w:w="1276" w:type="dxa"/>
            <w:tcBorders>
              <w:top w:val="nil"/>
              <w:left w:val="nil"/>
              <w:bottom w:val="single" w:sz="4" w:space="0" w:color="auto"/>
              <w:right w:val="single" w:sz="4" w:space="0" w:color="auto"/>
            </w:tcBorders>
            <w:shd w:val="clear" w:color="auto" w:fill="auto"/>
            <w:noWrap/>
            <w:hideMark/>
          </w:tcPr>
          <w:p w14:paraId="3BA0D518" w14:textId="77777777" w:rsidR="00BA7921" w:rsidRPr="00DF33C2" w:rsidRDefault="00BA7921" w:rsidP="00BA7921">
            <w:pPr>
              <w:jc w:val="right"/>
              <w:rPr>
                <w:color w:val="000000"/>
                <w:sz w:val="20"/>
                <w:szCs w:val="20"/>
              </w:rPr>
            </w:pPr>
            <w:r>
              <w:rPr>
                <w:color w:val="000000"/>
                <w:sz w:val="20"/>
              </w:rPr>
              <w:t>321,56</w:t>
            </w:r>
          </w:p>
        </w:tc>
        <w:tc>
          <w:tcPr>
            <w:tcW w:w="1276" w:type="dxa"/>
            <w:tcBorders>
              <w:top w:val="nil"/>
              <w:left w:val="nil"/>
              <w:bottom w:val="single" w:sz="4" w:space="0" w:color="auto"/>
              <w:right w:val="single" w:sz="4" w:space="0" w:color="auto"/>
            </w:tcBorders>
            <w:shd w:val="clear" w:color="auto" w:fill="auto"/>
            <w:noWrap/>
            <w:hideMark/>
          </w:tcPr>
          <w:p w14:paraId="241BCC38" w14:textId="3589F8D7" w:rsidR="00BA7921" w:rsidRPr="00DF33C2" w:rsidRDefault="00BA7921" w:rsidP="006D34F5">
            <w:pPr>
              <w:ind w:right="-18"/>
              <w:jc w:val="right"/>
              <w:rPr>
                <w:color w:val="000000"/>
                <w:sz w:val="20"/>
                <w:szCs w:val="20"/>
              </w:rPr>
            </w:pPr>
            <w:r>
              <w:rPr>
                <w:color w:val="000000"/>
                <w:sz w:val="20"/>
              </w:rPr>
              <w:t>572,10</w:t>
            </w:r>
          </w:p>
        </w:tc>
        <w:tc>
          <w:tcPr>
            <w:tcW w:w="1700" w:type="dxa"/>
            <w:tcBorders>
              <w:top w:val="nil"/>
              <w:left w:val="nil"/>
              <w:bottom w:val="single" w:sz="4" w:space="0" w:color="auto"/>
              <w:right w:val="single" w:sz="4" w:space="0" w:color="auto"/>
            </w:tcBorders>
            <w:shd w:val="clear" w:color="auto" w:fill="auto"/>
            <w:noWrap/>
            <w:hideMark/>
          </w:tcPr>
          <w:p w14:paraId="5976334B" w14:textId="65F4EA00" w:rsidR="00BA7921" w:rsidRPr="00DF33C2" w:rsidRDefault="00BA7921" w:rsidP="006D34F5">
            <w:pPr>
              <w:jc w:val="right"/>
              <w:rPr>
                <w:color w:val="000000"/>
                <w:sz w:val="20"/>
                <w:szCs w:val="20"/>
              </w:rPr>
            </w:pPr>
            <w:r>
              <w:rPr>
                <w:color w:val="000000"/>
                <w:sz w:val="20"/>
              </w:rPr>
              <w:t>578,25</w:t>
            </w:r>
          </w:p>
        </w:tc>
      </w:tr>
      <w:tr w:rsidR="00BA7921" w:rsidRPr="0058576B" w14:paraId="349242E9" w14:textId="77777777" w:rsidTr="00EB691C">
        <w:trPr>
          <w:trHeight w:val="20"/>
        </w:trPr>
        <w:tc>
          <w:tcPr>
            <w:tcW w:w="2547" w:type="dxa"/>
            <w:tcBorders>
              <w:top w:val="nil"/>
              <w:left w:val="single" w:sz="4" w:space="0" w:color="auto"/>
              <w:bottom w:val="single" w:sz="4" w:space="0" w:color="auto"/>
              <w:right w:val="single" w:sz="4" w:space="0" w:color="auto"/>
            </w:tcBorders>
            <w:shd w:val="clear" w:color="auto" w:fill="auto"/>
            <w:noWrap/>
            <w:hideMark/>
          </w:tcPr>
          <w:p w14:paraId="17A66186" w14:textId="77777777" w:rsidR="00BA7921" w:rsidRPr="00DF33C2" w:rsidRDefault="00BA7921" w:rsidP="00EB691C">
            <w:pPr>
              <w:ind w:left="171"/>
              <w:jc w:val="left"/>
              <w:rPr>
                <w:color w:val="000000"/>
                <w:sz w:val="20"/>
                <w:szCs w:val="20"/>
              </w:rPr>
            </w:pPr>
            <w:r>
              <w:rPr>
                <w:color w:val="000000"/>
                <w:sz w:val="20"/>
              </w:rPr>
              <w:t>HCFC-123</w:t>
            </w:r>
          </w:p>
        </w:tc>
        <w:tc>
          <w:tcPr>
            <w:tcW w:w="1276" w:type="dxa"/>
            <w:tcBorders>
              <w:top w:val="nil"/>
              <w:left w:val="nil"/>
              <w:bottom w:val="single" w:sz="4" w:space="0" w:color="auto"/>
              <w:right w:val="single" w:sz="4" w:space="0" w:color="auto"/>
            </w:tcBorders>
            <w:shd w:val="clear" w:color="auto" w:fill="auto"/>
            <w:noWrap/>
            <w:hideMark/>
          </w:tcPr>
          <w:p w14:paraId="64F81D48" w14:textId="77777777" w:rsidR="00BA7921" w:rsidRPr="00DF33C2" w:rsidRDefault="00BA7921" w:rsidP="00BA7921">
            <w:pPr>
              <w:jc w:val="right"/>
              <w:rPr>
                <w:color w:val="000000"/>
                <w:sz w:val="20"/>
                <w:szCs w:val="20"/>
              </w:rPr>
            </w:pPr>
            <w:r>
              <w:rPr>
                <w:color w:val="000000"/>
                <w:sz w:val="20"/>
              </w:rPr>
              <w:t>0,19</w:t>
            </w:r>
          </w:p>
        </w:tc>
        <w:tc>
          <w:tcPr>
            <w:tcW w:w="1275" w:type="dxa"/>
            <w:tcBorders>
              <w:top w:val="nil"/>
              <w:left w:val="nil"/>
              <w:bottom w:val="single" w:sz="4" w:space="0" w:color="auto"/>
              <w:right w:val="single" w:sz="4" w:space="0" w:color="auto"/>
            </w:tcBorders>
            <w:shd w:val="clear" w:color="auto" w:fill="auto"/>
            <w:noWrap/>
            <w:hideMark/>
          </w:tcPr>
          <w:p w14:paraId="1D883790" w14:textId="1E24C938" w:rsidR="00BA7921" w:rsidRPr="00DF33C2" w:rsidRDefault="00BA7921" w:rsidP="00BA7921">
            <w:pPr>
              <w:jc w:val="right"/>
              <w:rPr>
                <w:color w:val="000000"/>
                <w:sz w:val="20"/>
                <w:szCs w:val="20"/>
              </w:rPr>
            </w:pPr>
            <w:r>
              <w:rPr>
                <w:color w:val="000000"/>
                <w:sz w:val="20"/>
              </w:rPr>
              <w:t>0,00</w:t>
            </w:r>
          </w:p>
        </w:tc>
        <w:tc>
          <w:tcPr>
            <w:tcW w:w="1276" w:type="dxa"/>
            <w:tcBorders>
              <w:top w:val="nil"/>
              <w:left w:val="nil"/>
              <w:bottom w:val="single" w:sz="4" w:space="0" w:color="auto"/>
              <w:right w:val="single" w:sz="4" w:space="0" w:color="auto"/>
            </w:tcBorders>
            <w:shd w:val="clear" w:color="auto" w:fill="auto"/>
            <w:noWrap/>
            <w:hideMark/>
          </w:tcPr>
          <w:p w14:paraId="0DC85214" w14:textId="77777777" w:rsidR="00BA7921" w:rsidRPr="00DF33C2" w:rsidRDefault="00BA7921" w:rsidP="00BA7921">
            <w:pPr>
              <w:jc w:val="right"/>
              <w:rPr>
                <w:color w:val="000000"/>
                <w:sz w:val="20"/>
                <w:szCs w:val="20"/>
              </w:rPr>
            </w:pPr>
            <w:r>
              <w:rPr>
                <w:color w:val="000000"/>
                <w:sz w:val="20"/>
              </w:rPr>
              <w:t>0,19</w:t>
            </w:r>
          </w:p>
        </w:tc>
        <w:tc>
          <w:tcPr>
            <w:tcW w:w="1276" w:type="dxa"/>
            <w:tcBorders>
              <w:top w:val="nil"/>
              <w:left w:val="nil"/>
              <w:bottom w:val="single" w:sz="4" w:space="0" w:color="auto"/>
              <w:right w:val="single" w:sz="4" w:space="0" w:color="auto"/>
            </w:tcBorders>
            <w:shd w:val="clear" w:color="auto" w:fill="auto"/>
            <w:noWrap/>
            <w:hideMark/>
          </w:tcPr>
          <w:p w14:paraId="590176AC" w14:textId="06A45D3E" w:rsidR="00BA7921" w:rsidRPr="00DF33C2" w:rsidRDefault="006D34F5" w:rsidP="006D34F5">
            <w:pPr>
              <w:ind w:right="-18"/>
              <w:jc w:val="right"/>
              <w:rPr>
                <w:color w:val="000000"/>
                <w:sz w:val="20"/>
                <w:szCs w:val="20"/>
              </w:rPr>
            </w:pPr>
            <w:r>
              <w:rPr>
                <w:color w:val="000000"/>
                <w:sz w:val="20"/>
              </w:rPr>
              <w:t>0,00</w:t>
            </w:r>
          </w:p>
        </w:tc>
        <w:tc>
          <w:tcPr>
            <w:tcW w:w="1700" w:type="dxa"/>
            <w:tcBorders>
              <w:top w:val="nil"/>
              <w:left w:val="nil"/>
              <w:bottom w:val="single" w:sz="4" w:space="0" w:color="auto"/>
              <w:right w:val="single" w:sz="4" w:space="0" w:color="auto"/>
            </w:tcBorders>
            <w:shd w:val="clear" w:color="auto" w:fill="auto"/>
            <w:noWrap/>
            <w:hideMark/>
          </w:tcPr>
          <w:p w14:paraId="2832812C" w14:textId="19F759BE" w:rsidR="00BA7921" w:rsidRPr="00DF33C2" w:rsidRDefault="006D34F5" w:rsidP="006D34F5">
            <w:pPr>
              <w:jc w:val="right"/>
              <w:rPr>
                <w:color w:val="000000"/>
                <w:sz w:val="20"/>
                <w:szCs w:val="20"/>
              </w:rPr>
            </w:pPr>
            <w:r>
              <w:rPr>
                <w:color w:val="000000"/>
                <w:sz w:val="20"/>
              </w:rPr>
              <w:t>0,00</w:t>
            </w:r>
          </w:p>
        </w:tc>
      </w:tr>
      <w:tr w:rsidR="00BA7921" w:rsidRPr="00EB691C" w14:paraId="66075AF0" w14:textId="77777777" w:rsidTr="00EB691C">
        <w:trPr>
          <w:trHeight w:val="20"/>
        </w:trPr>
        <w:tc>
          <w:tcPr>
            <w:tcW w:w="2547" w:type="dxa"/>
            <w:tcBorders>
              <w:top w:val="nil"/>
              <w:left w:val="single" w:sz="4" w:space="0" w:color="auto"/>
              <w:bottom w:val="single" w:sz="4" w:space="0" w:color="auto"/>
              <w:right w:val="single" w:sz="4" w:space="0" w:color="auto"/>
            </w:tcBorders>
            <w:shd w:val="clear" w:color="auto" w:fill="auto"/>
            <w:noWrap/>
            <w:hideMark/>
          </w:tcPr>
          <w:p w14:paraId="6A1DBAE2" w14:textId="5AC72781" w:rsidR="00BA7921" w:rsidRPr="00EB691C" w:rsidRDefault="00BA7921" w:rsidP="00BA7921">
            <w:pPr>
              <w:jc w:val="left"/>
              <w:rPr>
                <w:b/>
                <w:color w:val="000000"/>
                <w:sz w:val="20"/>
                <w:szCs w:val="20"/>
              </w:rPr>
            </w:pPr>
            <w:r>
              <w:rPr>
                <w:b/>
                <w:color w:val="000000"/>
                <w:sz w:val="20"/>
              </w:rPr>
              <w:t>Sous-total pour l’entretien</w:t>
            </w:r>
          </w:p>
        </w:tc>
        <w:tc>
          <w:tcPr>
            <w:tcW w:w="1276" w:type="dxa"/>
            <w:tcBorders>
              <w:top w:val="nil"/>
              <w:left w:val="nil"/>
              <w:bottom w:val="single" w:sz="4" w:space="0" w:color="auto"/>
              <w:right w:val="single" w:sz="4" w:space="0" w:color="auto"/>
            </w:tcBorders>
            <w:shd w:val="clear" w:color="auto" w:fill="auto"/>
            <w:noWrap/>
            <w:hideMark/>
          </w:tcPr>
          <w:p w14:paraId="119772EE" w14:textId="77777777" w:rsidR="00BA7921" w:rsidRPr="00EB691C" w:rsidRDefault="00BA7921" w:rsidP="00BA7921">
            <w:pPr>
              <w:jc w:val="right"/>
              <w:rPr>
                <w:b/>
                <w:color w:val="000000"/>
                <w:sz w:val="20"/>
                <w:szCs w:val="20"/>
              </w:rPr>
            </w:pPr>
            <w:r>
              <w:rPr>
                <w:b/>
                <w:color w:val="000000"/>
                <w:sz w:val="20"/>
              </w:rPr>
              <w:t>503,44</w:t>
            </w:r>
          </w:p>
        </w:tc>
        <w:tc>
          <w:tcPr>
            <w:tcW w:w="1275" w:type="dxa"/>
            <w:tcBorders>
              <w:top w:val="nil"/>
              <w:left w:val="nil"/>
              <w:bottom w:val="single" w:sz="4" w:space="0" w:color="auto"/>
              <w:right w:val="single" w:sz="4" w:space="0" w:color="auto"/>
            </w:tcBorders>
            <w:shd w:val="clear" w:color="auto" w:fill="auto"/>
            <w:noWrap/>
            <w:hideMark/>
          </w:tcPr>
          <w:p w14:paraId="7A20CD7A" w14:textId="77777777" w:rsidR="00BA7921" w:rsidRPr="00EB691C" w:rsidRDefault="00BA7921" w:rsidP="00BA7921">
            <w:pPr>
              <w:jc w:val="right"/>
              <w:rPr>
                <w:b/>
                <w:color w:val="000000"/>
                <w:sz w:val="20"/>
                <w:szCs w:val="20"/>
              </w:rPr>
            </w:pPr>
            <w:r>
              <w:rPr>
                <w:b/>
                <w:color w:val="000000"/>
                <w:sz w:val="20"/>
              </w:rPr>
              <w:t>181,69</w:t>
            </w:r>
          </w:p>
        </w:tc>
        <w:tc>
          <w:tcPr>
            <w:tcW w:w="1276" w:type="dxa"/>
            <w:tcBorders>
              <w:top w:val="nil"/>
              <w:left w:val="nil"/>
              <w:bottom w:val="single" w:sz="4" w:space="0" w:color="auto"/>
              <w:right w:val="single" w:sz="4" w:space="0" w:color="auto"/>
            </w:tcBorders>
            <w:shd w:val="clear" w:color="auto" w:fill="auto"/>
            <w:noWrap/>
            <w:hideMark/>
          </w:tcPr>
          <w:p w14:paraId="5777CA4A" w14:textId="77777777" w:rsidR="00BA7921" w:rsidRPr="00EB691C" w:rsidRDefault="00BA7921" w:rsidP="00BA7921">
            <w:pPr>
              <w:jc w:val="right"/>
              <w:rPr>
                <w:b/>
                <w:color w:val="000000"/>
                <w:sz w:val="20"/>
                <w:szCs w:val="20"/>
              </w:rPr>
            </w:pPr>
            <w:r>
              <w:rPr>
                <w:b/>
                <w:color w:val="000000"/>
                <w:sz w:val="20"/>
              </w:rPr>
              <w:t>321,75</w:t>
            </w:r>
          </w:p>
        </w:tc>
        <w:tc>
          <w:tcPr>
            <w:tcW w:w="1276" w:type="dxa"/>
            <w:tcBorders>
              <w:top w:val="nil"/>
              <w:left w:val="nil"/>
              <w:bottom w:val="single" w:sz="4" w:space="0" w:color="auto"/>
              <w:right w:val="single" w:sz="4" w:space="0" w:color="auto"/>
            </w:tcBorders>
            <w:shd w:val="clear" w:color="auto" w:fill="auto"/>
            <w:noWrap/>
            <w:hideMark/>
          </w:tcPr>
          <w:p w14:paraId="29985439" w14:textId="7F6A1B23" w:rsidR="00BA7921" w:rsidRPr="00EB691C" w:rsidRDefault="00BA7921" w:rsidP="006D34F5">
            <w:pPr>
              <w:ind w:right="-18"/>
              <w:jc w:val="right"/>
              <w:rPr>
                <w:b/>
                <w:color w:val="000000"/>
                <w:sz w:val="20"/>
                <w:szCs w:val="20"/>
              </w:rPr>
            </w:pPr>
            <w:r>
              <w:rPr>
                <w:b/>
                <w:color w:val="000000"/>
                <w:sz w:val="20"/>
              </w:rPr>
              <w:t>572,10</w:t>
            </w:r>
          </w:p>
        </w:tc>
        <w:tc>
          <w:tcPr>
            <w:tcW w:w="1700" w:type="dxa"/>
            <w:tcBorders>
              <w:top w:val="nil"/>
              <w:left w:val="nil"/>
              <w:bottom w:val="single" w:sz="4" w:space="0" w:color="auto"/>
              <w:right w:val="single" w:sz="4" w:space="0" w:color="auto"/>
            </w:tcBorders>
            <w:shd w:val="clear" w:color="auto" w:fill="auto"/>
            <w:noWrap/>
            <w:hideMark/>
          </w:tcPr>
          <w:p w14:paraId="53E3D24B" w14:textId="6ADB69B1" w:rsidR="00BA7921" w:rsidRPr="00EB691C" w:rsidRDefault="00BA7921" w:rsidP="006D34F5">
            <w:pPr>
              <w:jc w:val="right"/>
              <w:rPr>
                <w:b/>
                <w:color w:val="000000"/>
                <w:sz w:val="20"/>
                <w:szCs w:val="20"/>
              </w:rPr>
            </w:pPr>
            <w:r>
              <w:rPr>
                <w:b/>
                <w:color w:val="000000"/>
                <w:sz w:val="20"/>
              </w:rPr>
              <w:t>578,25</w:t>
            </w:r>
          </w:p>
        </w:tc>
      </w:tr>
      <w:tr w:rsidR="00BA7921" w:rsidRPr="00EB691C" w14:paraId="0C1441EE" w14:textId="77777777" w:rsidTr="00EB691C">
        <w:trPr>
          <w:trHeight w:val="20"/>
        </w:trPr>
        <w:tc>
          <w:tcPr>
            <w:tcW w:w="2547" w:type="dxa"/>
            <w:tcBorders>
              <w:top w:val="nil"/>
              <w:left w:val="single" w:sz="4" w:space="0" w:color="auto"/>
              <w:bottom w:val="single" w:sz="4" w:space="0" w:color="auto"/>
              <w:right w:val="single" w:sz="4" w:space="0" w:color="auto"/>
            </w:tcBorders>
            <w:shd w:val="clear" w:color="auto" w:fill="auto"/>
            <w:noWrap/>
            <w:hideMark/>
          </w:tcPr>
          <w:p w14:paraId="4338A545" w14:textId="77777777" w:rsidR="00BA7921" w:rsidRPr="00EB691C" w:rsidRDefault="00BA7921" w:rsidP="00BA7921">
            <w:pPr>
              <w:jc w:val="left"/>
              <w:rPr>
                <w:b/>
                <w:color w:val="000000"/>
                <w:sz w:val="20"/>
                <w:szCs w:val="20"/>
              </w:rPr>
            </w:pPr>
            <w:r>
              <w:rPr>
                <w:b/>
                <w:color w:val="000000"/>
                <w:sz w:val="20"/>
              </w:rPr>
              <w:t>Total</w:t>
            </w:r>
          </w:p>
        </w:tc>
        <w:tc>
          <w:tcPr>
            <w:tcW w:w="1276" w:type="dxa"/>
            <w:tcBorders>
              <w:top w:val="nil"/>
              <w:left w:val="nil"/>
              <w:bottom w:val="single" w:sz="4" w:space="0" w:color="auto"/>
              <w:right w:val="single" w:sz="4" w:space="0" w:color="auto"/>
            </w:tcBorders>
            <w:shd w:val="clear" w:color="auto" w:fill="auto"/>
            <w:noWrap/>
            <w:hideMark/>
          </w:tcPr>
          <w:p w14:paraId="6F291A1C" w14:textId="77777777" w:rsidR="00BA7921" w:rsidRPr="00EB691C" w:rsidRDefault="00BA7921" w:rsidP="00BA7921">
            <w:pPr>
              <w:jc w:val="right"/>
              <w:rPr>
                <w:b/>
                <w:color w:val="000000"/>
                <w:sz w:val="20"/>
                <w:szCs w:val="20"/>
              </w:rPr>
            </w:pPr>
            <w:r>
              <w:rPr>
                <w:b/>
                <w:color w:val="000000"/>
                <w:sz w:val="20"/>
              </w:rPr>
              <w:t>1468,7</w:t>
            </w:r>
          </w:p>
        </w:tc>
        <w:tc>
          <w:tcPr>
            <w:tcW w:w="1275" w:type="dxa"/>
            <w:tcBorders>
              <w:top w:val="nil"/>
              <w:left w:val="nil"/>
              <w:bottom w:val="single" w:sz="4" w:space="0" w:color="auto"/>
              <w:right w:val="single" w:sz="4" w:space="0" w:color="auto"/>
            </w:tcBorders>
            <w:shd w:val="clear" w:color="auto" w:fill="auto"/>
            <w:noWrap/>
            <w:hideMark/>
          </w:tcPr>
          <w:p w14:paraId="16DBA068" w14:textId="77777777" w:rsidR="00BA7921" w:rsidRPr="00EB691C" w:rsidRDefault="00BA7921" w:rsidP="00BA7921">
            <w:pPr>
              <w:jc w:val="right"/>
              <w:rPr>
                <w:b/>
                <w:color w:val="000000"/>
                <w:sz w:val="20"/>
                <w:szCs w:val="20"/>
              </w:rPr>
            </w:pPr>
            <w:r>
              <w:rPr>
                <w:b/>
                <w:color w:val="000000"/>
                <w:sz w:val="20"/>
              </w:rPr>
              <w:t>703,29</w:t>
            </w:r>
          </w:p>
        </w:tc>
        <w:tc>
          <w:tcPr>
            <w:tcW w:w="1276" w:type="dxa"/>
            <w:tcBorders>
              <w:top w:val="nil"/>
              <w:left w:val="nil"/>
              <w:bottom w:val="single" w:sz="4" w:space="0" w:color="auto"/>
              <w:right w:val="single" w:sz="4" w:space="0" w:color="auto"/>
            </w:tcBorders>
            <w:shd w:val="clear" w:color="auto" w:fill="auto"/>
            <w:noWrap/>
            <w:hideMark/>
          </w:tcPr>
          <w:p w14:paraId="02A56F8E" w14:textId="77777777" w:rsidR="00BA7921" w:rsidRPr="00EB691C" w:rsidRDefault="00BA7921" w:rsidP="00BA7921">
            <w:pPr>
              <w:jc w:val="right"/>
              <w:rPr>
                <w:b/>
                <w:color w:val="000000"/>
                <w:sz w:val="20"/>
                <w:szCs w:val="20"/>
              </w:rPr>
            </w:pPr>
            <w:r>
              <w:rPr>
                <w:b/>
                <w:color w:val="000000"/>
                <w:sz w:val="20"/>
              </w:rPr>
              <w:t>765,41</w:t>
            </w:r>
          </w:p>
        </w:tc>
        <w:tc>
          <w:tcPr>
            <w:tcW w:w="1276" w:type="dxa"/>
            <w:tcBorders>
              <w:top w:val="nil"/>
              <w:left w:val="nil"/>
              <w:bottom w:val="single" w:sz="4" w:space="0" w:color="auto"/>
              <w:right w:val="single" w:sz="4" w:space="0" w:color="auto"/>
            </w:tcBorders>
            <w:shd w:val="clear" w:color="auto" w:fill="auto"/>
            <w:noWrap/>
            <w:hideMark/>
          </w:tcPr>
          <w:p w14:paraId="1FB54FCA" w14:textId="3D6D7EAB" w:rsidR="00BA7921" w:rsidRPr="00EB691C" w:rsidRDefault="00BA7921" w:rsidP="006D34F5">
            <w:pPr>
              <w:ind w:right="-18"/>
              <w:jc w:val="right"/>
              <w:rPr>
                <w:b/>
                <w:color w:val="000000"/>
                <w:sz w:val="20"/>
                <w:szCs w:val="20"/>
              </w:rPr>
            </w:pPr>
            <w:r>
              <w:rPr>
                <w:b/>
                <w:color w:val="000000"/>
                <w:sz w:val="20"/>
              </w:rPr>
              <w:t>697,60</w:t>
            </w:r>
          </w:p>
        </w:tc>
        <w:tc>
          <w:tcPr>
            <w:tcW w:w="1700" w:type="dxa"/>
            <w:tcBorders>
              <w:top w:val="nil"/>
              <w:left w:val="nil"/>
              <w:bottom w:val="single" w:sz="4" w:space="0" w:color="auto"/>
              <w:right w:val="single" w:sz="4" w:space="0" w:color="auto"/>
            </w:tcBorders>
            <w:shd w:val="clear" w:color="auto" w:fill="auto"/>
            <w:noWrap/>
            <w:hideMark/>
          </w:tcPr>
          <w:p w14:paraId="09C2AA84" w14:textId="168CB4EF" w:rsidR="00BA7921" w:rsidRPr="00EB691C" w:rsidRDefault="00BA7921" w:rsidP="006D34F5">
            <w:pPr>
              <w:jc w:val="right"/>
              <w:rPr>
                <w:b/>
                <w:color w:val="000000"/>
                <w:sz w:val="20"/>
                <w:szCs w:val="20"/>
              </w:rPr>
            </w:pPr>
            <w:r>
              <w:rPr>
                <w:b/>
                <w:color w:val="000000"/>
                <w:sz w:val="20"/>
              </w:rPr>
              <w:t>817,83</w:t>
            </w:r>
          </w:p>
        </w:tc>
      </w:tr>
    </w:tbl>
    <w:p w14:paraId="720DF558" w14:textId="632A233E" w:rsidR="00DF33C2" w:rsidRPr="003C7208" w:rsidRDefault="003C7208" w:rsidP="00B916EE">
      <w:pPr>
        <w:rPr>
          <w:sz w:val="18"/>
          <w:szCs w:val="18"/>
        </w:rPr>
      </w:pPr>
      <w:r>
        <w:rPr>
          <w:sz w:val="18"/>
          <w:vertAlign w:val="superscript"/>
        </w:rPr>
        <w:t>*</w:t>
      </w:r>
      <w:r>
        <w:rPr>
          <w:sz w:val="18"/>
        </w:rPr>
        <w:t xml:space="preserve"> Comprend la fabrication de mousse de XPS et de climatiseurs</w:t>
      </w:r>
    </w:p>
    <w:p w14:paraId="1C3D766B" w14:textId="77777777" w:rsidR="00DF33C2" w:rsidRDefault="00DF33C2" w:rsidP="00B916EE"/>
    <w:p w14:paraId="0C8D8A63" w14:textId="6A135069" w:rsidR="00C2489A" w:rsidRPr="00353DF7" w:rsidRDefault="008959AF" w:rsidP="00953931">
      <w:pPr>
        <w:pStyle w:val="Heading1"/>
        <w:numPr>
          <w:ilvl w:val="0"/>
          <w:numId w:val="14"/>
        </w:numPr>
        <w:tabs>
          <w:tab w:val="clear" w:pos="993"/>
          <w:tab w:val="num" w:pos="0"/>
        </w:tabs>
        <w:ind w:left="0"/>
      </w:pPr>
      <w:r>
        <w:t>Le Secrétariat a pris note avec satisfaction de la proposition de prendre en compte un point de départ distinct pour le secteur de l’entretien, conformément à la demande de financement qui se limitait à ce secteur, et a pris note que, en s’appuyant sur la consommation de HCFC-22 restante dans le secteur de l’entretien proposée par le Gouvernement, le pays aurait pu prétendre à un montant pouvant atteindre 28 063 418 $ US, qui correspond à un niveau de financement plus élevé que celui demandé ; et que, en s’appuyant sur la consommation du pays pour 2023 dans le secteur de l’entretien (10 401,79 tm), il aurait pu prétendre à un montant pouvant atteindre 49 928 592 $ US.</w:t>
      </w:r>
    </w:p>
    <w:p w14:paraId="0ACFF712" w14:textId="209B5A7C" w:rsidR="003717CD" w:rsidRPr="00645602" w:rsidRDefault="00645602" w:rsidP="007733A1">
      <w:pPr>
        <w:keepNext/>
        <w:keepLines/>
        <w:widowControl w:val="0"/>
        <w:spacing w:after="240"/>
        <w:rPr>
          <w:u w:val="single"/>
        </w:rPr>
      </w:pPr>
      <w:r>
        <w:rPr>
          <w:u w:val="single"/>
        </w:rPr>
        <w:lastRenderedPageBreak/>
        <w:t>Reconversion dans le secteur de la fabrication de climatiseurs</w:t>
      </w:r>
    </w:p>
    <w:p w14:paraId="1D07E524" w14:textId="7211367F" w:rsidR="00645602" w:rsidRPr="006A52FA" w:rsidRDefault="00DA5429" w:rsidP="007733A1">
      <w:pPr>
        <w:pStyle w:val="Heading1"/>
        <w:keepNext/>
        <w:keepLines/>
        <w:widowControl w:val="0"/>
        <w:numPr>
          <w:ilvl w:val="0"/>
          <w:numId w:val="14"/>
        </w:numPr>
        <w:tabs>
          <w:tab w:val="clear" w:pos="993"/>
          <w:tab w:val="num" w:pos="0"/>
        </w:tabs>
        <w:ind w:left="0"/>
      </w:pPr>
      <w:r>
        <w:t>Des entreprises de fabrication de climatiseurs à usages résidentiel et commercial élimineront leur consommation de HCFC-22 par leurs propres moyens. Ces entreprises devaient se reconvertir au R-410A et au R-407C. Le Secrétariat a pris note que, conformément à l’interdiction prévue des importations et de la fabrication d’équipement utilisant des HCFC d’ici au 1</w:t>
      </w:r>
      <w:r>
        <w:rPr>
          <w:vertAlign w:val="superscript"/>
        </w:rPr>
        <w:t>er</w:t>
      </w:r>
      <w:r>
        <w:t> janvier 2025, le Gouvernement prévoyait de s’assurer que ces reconversions étaient entreprises d’ici au 1</w:t>
      </w:r>
      <w:r>
        <w:rPr>
          <w:vertAlign w:val="superscript"/>
        </w:rPr>
        <w:t>er</w:t>
      </w:r>
      <w:r>
        <w:t> janvier 2025, et que la proposition communiquée à la présente réunion entendait que ceci permettrait aux entreprises d’être admissibles à la réduction progressive des HFC, conformément au paragraphe 18 d) de la décision XXVIII/2 (deuxième et troisième reconversions). Tout en prenant note qu’il s’agissait de l’interprétation du Secrétariat pour le paragraphe 18 d), dans la limite des critères de recevabilité habituels (à savoir, la ratification de l’Amendement de Kigali, la propriété par des entreprises de pays non visés à l’Article 5, et des exportations vers les pays non visés à l’Article 5), conformément au paragraphe 17 de la décision XXVIII/2 (date limite de la capacité admissible), la date limite de la capacité admissible est le 1</w:t>
      </w:r>
      <w:r>
        <w:rPr>
          <w:vertAlign w:val="superscript"/>
        </w:rPr>
        <w:t>er</w:t>
      </w:r>
      <w:r>
        <w:t> janvier 2024 pour les parties dont les années de référence sont de 2024 à 2026. En conséquence, le Secrétariat a suggéré que le Gouvernement pourrait souhaiter confirmer avec le Comité exécutif que les entreprises qui établissaient une capacité de fabrication HFC en convertissant leur capacité de fabrication HCFC par leurs propres moyens après le 1</w:t>
      </w:r>
      <w:r>
        <w:rPr>
          <w:vertAlign w:val="superscript"/>
        </w:rPr>
        <w:t>er</w:t>
      </w:r>
      <w:r>
        <w:t> janvier 2024 et avant le 1</w:t>
      </w:r>
      <w:r>
        <w:rPr>
          <w:vertAlign w:val="superscript"/>
        </w:rPr>
        <w:t>er</w:t>
      </w:r>
      <w:r>
        <w:t> janvier 2025 étaient admissible</w:t>
      </w:r>
      <w:r w:rsidR="002942D9">
        <w:t>s</w:t>
      </w:r>
      <w:r>
        <w:t xml:space="preserve"> pour la réduction progressive des HFC, dans la limite des critères de recevabilité habituels.</w:t>
      </w:r>
    </w:p>
    <w:p w14:paraId="2460DFB0" w14:textId="77777777" w:rsidR="004177A6" w:rsidRDefault="004177A6" w:rsidP="004177A6">
      <w:pPr>
        <w:widowControl w:val="0"/>
        <w:spacing w:after="240"/>
        <w:rPr>
          <w:u w:val="single"/>
        </w:rPr>
      </w:pPr>
      <w:bookmarkStart w:id="16" w:name="_Hlk126916111"/>
      <w:r>
        <w:rPr>
          <w:u w:val="single"/>
        </w:rPr>
        <w:t>Cadre juridique</w:t>
      </w:r>
    </w:p>
    <w:p w14:paraId="7001371B" w14:textId="50626C3D" w:rsidR="0072646F" w:rsidRDefault="00C66982" w:rsidP="00953931">
      <w:pPr>
        <w:pStyle w:val="Heading1"/>
        <w:numPr>
          <w:ilvl w:val="0"/>
          <w:numId w:val="14"/>
        </w:numPr>
        <w:tabs>
          <w:tab w:val="clear" w:pos="993"/>
          <w:tab w:val="num" w:pos="0"/>
        </w:tabs>
        <w:ind w:left="0"/>
      </w:pPr>
      <w:bookmarkStart w:id="17" w:name="_Hlk126916116"/>
      <w:bookmarkEnd w:id="16"/>
      <w:r>
        <w:t>L’Article 4 du Décret royal M/165 stipule que l’élimination des substances réglementées, ainsi que des appareils, équipements et produits associés, est interdite sans approbation préalable de l’autorité réglementaire désignée. Un nouveau centre national de gestion des déchets a été établi sous l’égide du Ministère de l’environnement, de l’eau et de l’agriculture (MEEA). Ce centre a pour tâche la supervision et la réglementation de tous types d’activités de gestion des déchets en Arabie saoudite. L’ONUDI a indiqué que l’UNO collaborera avec ce nouveau centre de gestion des déchets pour la formulation et la mise en œuvre de lignes directrices et d’exigences pour l’élimination appropriée des substances réglementées.</w:t>
      </w:r>
    </w:p>
    <w:p w14:paraId="3319EDA7" w14:textId="26CFCBC2" w:rsidR="00DA56B7" w:rsidRPr="00DA56B7" w:rsidRDefault="00DA56B7" w:rsidP="00953931">
      <w:pPr>
        <w:pStyle w:val="Heading1"/>
        <w:numPr>
          <w:ilvl w:val="0"/>
          <w:numId w:val="14"/>
        </w:numPr>
        <w:tabs>
          <w:tab w:val="clear" w:pos="993"/>
          <w:tab w:val="num" w:pos="0"/>
        </w:tabs>
        <w:ind w:left="0"/>
      </w:pPr>
      <w:r>
        <w:t xml:space="preserve">Le Secrétariat a cherché à mieux comprendre la politique d’approvisionnement respectueux de l’environnement prévue pour l’équipement de réfrigération et de climatisation qui serait élaborée dans le cadre de la première tranche. Le PNUE a expliqué que cette politique viserait à promouvoir l’utilisation de solutions de remplacement écoénergétiques et à faible PRP dans le secteur de la réfrigération et la climatisation. Dans le cadre du processus d’élaboration des politiques, le pays prévoit d’explorer des mécanismes pour encourager l’adoption de telles technologies, par exemple en établissant des normes de performance énergétique minimale (NPEM) pour différents types d’équipements de réfrigération et de climatisation, et en définissant des seuils de PRP pour les frigorigènes utilisés dans diverses applications. Le PNUE intégrera une mise à jour sur l’avancement de l’élaboration de la politique dans le cadre du rapport périodique remis avec la demande de la deuxième tranche. La politique d’approvisionnement public intégrera également l’exigence que seuls des </w:t>
      </w:r>
      <w:r w:rsidR="00C14906">
        <w:t>techniciens de réfrigération et</w:t>
      </w:r>
      <w:r>
        <w:t xml:space="preserve"> climatisation certifiés soient autorisés à entretenir l’équipement de réfrigération et de climatisation au titre des contrats gouvernementaux ; il était prévu que cette exigence entre en vigueur en 2027.</w:t>
      </w:r>
    </w:p>
    <w:p w14:paraId="4EA4DFBC" w14:textId="1338C8C9" w:rsidR="00575A1A" w:rsidRPr="00BB0390" w:rsidRDefault="00575A1A" w:rsidP="00953931">
      <w:pPr>
        <w:pStyle w:val="Heading1"/>
        <w:numPr>
          <w:ilvl w:val="0"/>
          <w:numId w:val="14"/>
        </w:numPr>
        <w:tabs>
          <w:tab w:val="clear" w:pos="993"/>
          <w:tab w:val="num" w:pos="0"/>
        </w:tabs>
        <w:ind w:left="0"/>
      </w:pPr>
      <w:r>
        <w:t xml:space="preserve">Le Secrétariat a pris note avec satisfaction </w:t>
      </w:r>
      <w:r w:rsidR="00AB46E9">
        <w:t xml:space="preserve">de </w:t>
      </w:r>
      <w:r>
        <w:t xml:space="preserve">la demande de trois GC-MS portables et un GC-MS de bureau et a cherché à mieux comprendre comment ceux-ci seraient utilisés pour renforcer les contrôles des importations du pays. L’ONUDI a expliqué que les GC-MS étaient un apport crucial aux capacités juridiques actuelles du pays, visant à renforcer ses mesures d’inspection et d’application. Les GC-MS portables seraient utilisés lors des inspections initiales pour vérifier rapidement le contenu des chargements et frigorigènes suspects. Si un chargement est repéré pendant l’inspection initiale, des échantillons seront envoyés à un laboratoire où le GC-MS de bureau sera utilisé pour une analyse plus précise, dont les résultats serviront de preuve et pourront être utilisés pour l’application de pénalités, et d’autres mesures juridiques et d’application. S’il est découvert qu’un chargement contient des substances réglementées mal déclarées </w:t>
      </w:r>
      <w:r>
        <w:lastRenderedPageBreak/>
        <w:t>ou interdites, l’agent des douanes documentera l’infraction et notifiera les organes réglementaires et d’exécution appropriés. Conformément à la réglementation et aux pratiques en vigueur, la responsabilité du retour du chargement inacceptable revient à l’importateur, qui doit s’arranger pour que le chargement soit renvoyé au pays d’origine. À la lumière de cette explication, du nombre de points de contrôle douaniers dans le pays, et des quantités de substances réglementées et d’équipements contenant des substances réglementées importés dans le pays, et comme cela est approfondi ci-dessous, le Secrétariat a formulé la proposition, qui a été acceptée, d’augmenter le nombre d’instruments fournis à six GC-MS portables et deux instruments de bureau.</w:t>
      </w:r>
    </w:p>
    <w:p w14:paraId="3BA488BD" w14:textId="275D540F" w:rsidR="004177A6" w:rsidRDefault="004177A6" w:rsidP="002E529B">
      <w:pPr>
        <w:pStyle w:val="Heading1"/>
        <w:keepNext/>
      </w:pPr>
      <w:r>
        <w:rPr>
          <w:u w:val="single"/>
        </w:rPr>
        <w:t xml:space="preserve">Enjeux techniques et financiers </w:t>
      </w:r>
    </w:p>
    <w:p w14:paraId="310323AB" w14:textId="1D5F2DA7" w:rsidR="00605BF8" w:rsidRDefault="008D730E" w:rsidP="00953931">
      <w:pPr>
        <w:pStyle w:val="Heading1"/>
        <w:numPr>
          <w:ilvl w:val="0"/>
          <w:numId w:val="14"/>
        </w:numPr>
        <w:tabs>
          <w:tab w:val="clear" w:pos="993"/>
          <w:tab w:val="num" w:pos="0"/>
        </w:tabs>
        <w:ind w:left="0"/>
      </w:pPr>
      <w:r>
        <w:t xml:space="preserve">Malgré la satisfaction du Secrétariat </w:t>
      </w:r>
      <w:r w:rsidR="00AB46E9">
        <w:t>pour</w:t>
      </w:r>
      <w:r>
        <w:t xml:space="preserve"> la proposition initiale, </w:t>
      </w:r>
      <w:r w:rsidR="00AB46E9">
        <w:t>il</w:t>
      </w:r>
      <w:r>
        <w:t xml:space="preserve"> a remarqué que le pays comptait entre 30 000 et 50 000 </w:t>
      </w:r>
      <w:r w:rsidR="00C14906">
        <w:t>techniciens de réfrigération et</w:t>
      </w:r>
      <w:r>
        <w:t xml:space="preserve"> climatisation, dont 9,903 ont à ce jour été formés et certifiés, et a considéré qu’une augmentation importante du nombre de techniciens à former et certifier au titre de la phase II serait nécessaire pour garantir le succès et la pérennité de la mise en œuvre de l’élimination des HCFC. La proposition initiale comprenait l’organisation de 194 ateliers pour la formation d’au moins 3 880 techniciens, le financement pour couvrir le coût de l’essai d’évaluation nécessaire pour certifier ces techniciens, et la fourniture d’outils et d’équipement à chaque technicien en guise d’incitation à leur participation, pour un coût total de </w:t>
      </w:r>
      <w:r>
        <w:rPr>
          <w:color w:val="000000"/>
        </w:rPr>
        <w:t xml:space="preserve">6 402 000 $ US. Étant donné les 9 903 techniciens déjà </w:t>
      </w:r>
      <w:r>
        <w:t xml:space="preserve">formés et certifiés, et dans l’objectif de s’assurer qu’environ la moitié des techniciens du pays soient formés et certifiés, le Secrétariat a recommandé l’augmentation du financement pour la formation, la certification et la fourniture d’outils et d’équipement en incitation pour la certification à </w:t>
      </w:r>
      <w:r>
        <w:rPr>
          <w:color w:val="000000"/>
        </w:rPr>
        <w:t>8 993 748 $ US, étant entendu qu’un minimum de 11 000 </w:t>
      </w:r>
      <w:r w:rsidR="00C14906">
        <w:t>techniciens de réfrigération et</w:t>
      </w:r>
      <w:r>
        <w:t xml:space="preserve"> climatisation seraient formés et certifiés au titre de la phase II. La réduction des coûts par technicien pour la formation, la certification et la fourniture d’équipement et d’outils a été obtenue en rationalisant les coûts des ateliers de formation, et en supposant une réduction progressive du soutien pour la couverture des coûts de l’essai d’évaluation et des outils et de l’équipement, incitant ainsi la formation et la certification précoce des techniciens.</w:t>
      </w:r>
    </w:p>
    <w:p w14:paraId="34770469" w14:textId="67671551" w:rsidR="00F22EAB" w:rsidRDefault="00436F39" w:rsidP="00953931">
      <w:pPr>
        <w:pStyle w:val="Heading1"/>
        <w:numPr>
          <w:ilvl w:val="0"/>
          <w:numId w:val="14"/>
        </w:numPr>
        <w:tabs>
          <w:tab w:val="clear" w:pos="993"/>
          <w:tab w:val="num" w:pos="0"/>
        </w:tabs>
        <w:ind w:left="0"/>
      </w:pPr>
      <w:r>
        <w:t>Le Secrétariat a proposé que les 2 591 748 $ US supplémentaires pour la formation, la certification et la fourniture d’outils et de l’équipement pour au moins 11 000 techniciens soient déduits grâce aux ajustements suivants, comme cela est aussi résumé dans le tableau 6 ci-dessous :</w:t>
      </w:r>
    </w:p>
    <w:p w14:paraId="67ABF495" w14:textId="19464CBF" w:rsidR="00B16444" w:rsidRDefault="0044770D" w:rsidP="00B16444">
      <w:pPr>
        <w:pStyle w:val="Heading2"/>
      </w:pPr>
      <w:r>
        <w:t xml:space="preserve">renforcement de la capacité en matière de politique et d’application : rationalisation des coûts des consultations des parties prenantes ; prenant note qu’un système </w:t>
      </w:r>
      <w:r w:rsidR="00EB3997">
        <w:t xml:space="preserve">national </w:t>
      </w:r>
      <w:r>
        <w:t>de certification avait déjà été établi, recentrage de cette activité sur l’élaboration et la mise en œuvre d’un système d’enregistrement électronique pour les techniciens certifiés, et formation et sensibilisation associées à son utilisation ; et rationalisation des coûts pour l’élaboration et la mise en œuvre d’un système d’enregistrement électronique pour les ateliers, et pour la formation et la sensibilisation associées à son utilisation, engendrant des coûts de 500 000 $ US ;</w:t>
      </w:r>
    </w:p>
    <w:p w14:paraId="5AA3CFEF" w14:textId="78A9A05C" w:rsidR="009325C9" w:rsidRDefault="00D642E7">
      <w:pPr>
        <w:pStyle w:val="Heading2"/>
      </w:pPr>
      <w:r>
        <w:t>renforcement de la capacité des douanes : rationalisation des coûts pour la formation des agents des douanes, des agents d’application et des importateurs ; rationalisation des coûts des identificateurs de frigorigènes et augmentation du nombre fourni de 21 à 28 ; et rationalisation des coûts des chromatographes en phase gazeuse de bureau et portables, et augmentation du nombre de chromatographes en phase gazeuse de bureau et portables respectivement à deux et six, engendrant des coûts de 886 500 $ US ;</w:t>
      </w:r>
    </w:p>
    <w:p w14:paraId="01B257D5" w14:textId="1E79E4C2" w:rsidR="00A26E5B" w:rsidRDefault="00A26E5B" w:rsidP="00A26E5B">
      <w:pPr>
        <w:pStyle w:val="Heading2"/>
      </w:pPr>
      <w:r>
        <w:t>élaboration de normes pour les produits et les services : prenant note que des enseignements pourraient être tirés des autres pays en matière de mise à jour des normes nationales pour les produits de réfrigération et de climatisation conformément aux normes internationales, rationalisation du coût de cette activité à 45 000 $ US ;</w:t>
      </w:r>
    </w:p>
    <w:p w14:paraId="6F5831C7" w14:textId="4094FF1E" w:rsidR="00F37225" w:rsidRDefault="005209FF" w:rsidP="00F37225">
      <w:pPr>
        <w:pStyle w:val="Heading2"/>
        <w:rPr>
          <w:color w:val="000000"/>
        </w:rPr>
      </w:pPr>
      <w:r>
        <w:lastRenderedPageBreak/>
        <w:t xml:space="preserve">renforcement de la capacité des techniciens et ateliers d’entretien de l’équipement de réfrigération et de climatisation : rationalisation du coût pour l’établissement </w:t>
      </w:r>
      <w:r>
        <w:rPr>
          <w:color w:val="000000"/>
        </w:rPr>
        <w:t>d’associations et la constitution de réseau de réfrigération et de climatisation pour la sensibilisation entre techniciens, et le soutien à la formation et au programme de certification de 75 248 $ US à 50 000 $ US ;</w:t>
      </w:r>
      <w:r w:rsidR="00793023">
        <w:rPr>
          <w:rStyle w:val="FootnoteReference"/>
          <w:color w:val="000000"/>
        </w:rPr>
        <w:footnoteReference w:id="20"/>
      </w:r>
    </w:p>
    <w:p w14:paraId="0B377578" w14:textId="4549995A" w:rsidR="00A37AD4" w:rsidRPr="00A37AD4" w:rsidRDefault="00C15EC4" w:rsidP="00525E53">
      <w:pPr>
        <w:pStyle w:val="Heading2"/>
      </w:pPr>
      <w:r>
        <w:t xml:space="preserve">programme national de RRR : rationalisation du coût des quatre ateliers de formation et de sensibilisation pour les </w:t>
      </w:r>
      <w:r w:rsidR="00C14906">
        <w:t>techniciens de réfrigération et</w:t>
      </w:r>
      <w:r>
        <w:t xml:space="preserve"> climatisation à la récupération et au recyclage des frigorigènes, et ajustement des 400 kits d’entretien à la récupération et au recyclage pour n’inclure que des unités de récupération, à la lumière de l’équipement fourni à 5 655 ateliers d’entretien et des outils et de l’équipement fournis aux techniciens certifiés, engendrant des coûts de 840 000 $ US ;</w:t>
      </w:r>
    </w:p>
    <w:p w14:paraId="2B21E222" w14:textId="00445D58" w:rsidR="00D26CBD" w:rsidRDefault="006505AE">
      <w:pPr>
        <w:pStyle w:val="Heading2"/>
      </w:pPr>
      <w:r>
        <w:t>p</w:t>
      </w:r>
      <w:r w:rsidR="00C44C9C">
        <w:t>romotion des technologies de remplacement : le Secrétariat a rappelé les projets de démonstration des solutions à faible PRP entrepris chez Petra KSA et Alessa Industries ; a pris note que l’industrie saoudienne de fabrication de climatiseurs à usages domestique et commercial prévoit la reconversion au R</w:t>
      </w:r>
      <w:r w:rsidR="00C44C9C">
        <w:noBreakHyphen/>
        <w:t xml:space="preserve">410A et au R-407C ; et a compris que les entreprises ne seraient pas en mesure de s’engager, pour le moment, en ce qui concerne la fabrication avec des solutions à faible PRP à la suite de la mise en œuvre des activités proposées. En conséquence, le Secrétariat a proposé de supprimer les visites d’étude, la formation spécialisée et la fourniture d’équipement et la formation destinées aux fabricants ; et les recherches sur les solutions de remplacement à faible PRP ; d’inclure la diffusion d’informations sur les technologies émergentes aux activités de sensibilisation, et d’encourager le personnel des entreprises de fabrication à participer à ces activités de sensibilisation, et pour les techniciens et les installateurs des entreprises de fabrication, de participer à la formation et la certification proposées au titre du PGEH. De plus, le Secrétariat a encouragé le Gouvernement à considérer l’inclusion d’activités telles que celles proposées au titre de cette composante du PGEH à son Plan de mise en œuvre de l’Amendement de Kigali pour les HFC, une fois que le pays aura ratifié l’Amendement de Kigali. En ce qui concerne l’assistance technique aux utilisateurs finaux pour la réduction des fuites, il </w:t>
      </w:r>
      <w:r w:rsidR="008D5D8F">
        <w:t>a</w:t>
      </w:r>
      <w:r w:rsidR="00C44C9C">
        <w:t xml:space="preserve"> été convenu que le Gouvernement fournirait cette assistance à ses propres frais, conformément au paragraphe 1 d) de l’Appendice 8-A de l’Accord entre le pays et le Comité exécutif pour la phase I du PGEH, engendrant des coûts de 25 000 $ US ; et</w:t>
      </w:r>
    </w:p>
    <w:p w14:paraId="5E5E063C" w14:textId="59BDA1A7" w:rsidR="00C44C9C" w:rsidRPr="00C21510" w:rsidRDefault="0058477D">
      <w:pPr>
        <w:pStyle w:val="Heading2"/>
      </w:pPr>
      <w:r>
        <w:t>rationalisation des coûts pour la sensibilisation et les campagnes, engendrant des coûts de 360 000 $ US.</w:t>
      </w:r>
    </w:p>
    <w:p w14:paraId="73AC9817" w14:textId="0E4F82A6" w:rsidR="006F72D1" w:rsidRPr="006F72D1" w:rsidRDefault="000F2F31" w:rsidP="00953931">
      <w:pPr>
        <w:pStyle w:val="Heading1"/>
        <w:numPr>
          <w:ilvl w:val="0"/>
          <w:numId w:val="14"/>
        </w:numPr>
        <w:tabs>
          <w:tab w:val="clear" w:pos="993"/>
          <w:tab w:val="num" w:pos="0"/>
        </w:tabs>
        <w:ind w:left="0"/>
      </w:pPr>
      <w:r>
        <w:t xml:space="preserve">En ce qui concerne l’élaboration de politiques et de normes pour la régénération, et prenant note de l’utilisation étendue du HCFC-22, du R-410A, du R-407 et du R-404A dans le pays, l’ONUDI </w:t>
      </w:r>
      <w:r w:rsidR="005B35C0">
        <w:t>a</w:t>
      </w:r>
      <w:r>
        <w:t xml:space="preserve"> confirmé que ces politiques et normes traiteraient des HCFC et des HFC. Cette activité comprendra l’élaboration de réglementations sur la gestion du cycle de vie des frigorigènes pour améliorer la chaîne d’approvisionnement existante en frigorigènes par la mise en œuvre d’un programme de récupération et de réutilisation. En ce qui concerne les deux centres de récupération qui seront établis, la proposition initiale ne comprenait pas d’équipement de laboratoire pour la certification du frigorigène conformément à la norme AHRI</w:t>
      </w:r>
      <w:r>
        <w:noBreakHyphen/>
        <w:t>700, et il ne serait donc pas recommandé de vendre le frigorigène régénéré pour une réutilisation générale ; à la place, le frigorigène ne serait utilisé que pour l’entretien des appareils existants avec des caractéristiques similaire</w:t>
      </w:r>
      <w:r w:rsidR="005B35C0">
        <w:t>s</w:t>
      </w:r>
      <w:r>
        <w:t xml:space="preserve"> à ce</w:t>
      </w:r>
      <w:r w:rsidR="005B35C0">
        <w:t>lles des appareils</w:t>
      </w:r>
      <w:r>
        <w:t xml:space="preserve"> d’où le frigorigène provenait. Il a été convenu d’améliorer la fonctionnalité des centres de récupération proposés en incluant de l’équipement de laboratoire permettant la certification des frigorigènes régénérés conformément à la norme AHRI</w:t>
      </w:r>
      <w:r>
        <w:noBreakHyphen/>
        <w:t xml:space="preserve">700 dans le financement proposé par le Secrétariat ci-dessus. Cette approche étendrait l’utilité du frigorigène </w:t>
      </w:r>
      <w:r>
        <w:lastRenderedPageBreak/>
        <w:t xml:space="preserve">régénéré au-delà de l’équipement pour l’entretien </w:t>
      </w:r>
      <w:r w:rsidR="005B35C0">
        <w:t>présentant</w:t>
      </w:r>
      <w:r>
        <w:t xml:space="preserve"> des caractéristiques similaires, lui permettant d’être utilisé plus largement dans divers types d’équipements.</w:t>
      </w:r>
    </w:p>
    <w:p w14:paraId="34EFBFD3" w14:textId="01D9E389" w:rsidR="00354E07" w:rsidRPr="00571F24" w:rsidRDefault="001421D6" w:rsidP="00953931">
      <w:pPr>
        <w:pStyle w:val="Heading1"/>
        <w:numPr>
          <w:ilvl w:val="0"/>
          <w:numId w:val="14"/>
        </w:numPr>
        <w:tabs>
          <w:tab w:val="clear" w:pos="993"/>
          <w:tab w:val="num" w:pos="0"/>
        </w:tabs>
        <w:ind w:left="0"/>
      </w:pPr>
      <w:r>
        <w:t xml:space="preserve">En ce qui concerne le programme de reconnaissance des acquis, l’ONUDI a expliqué que, comme de nombreux </w:t>
      </w:r>
      <w:r w:rsidR="00C14906">
        <w:t>techniciens de réfrigération et</w:t>
      </w:r>
      <w:r>
        <w:t xml:space="preserve"> climatisation sont des étrangers, et qu’il existe un mouvement considérable des </w:t>
      </w:r>
      <w:r w:rsidR="00C14906">
        <w:t>techniciens de réfrigération et</w:t>
      </w:r>
      <w:r>
        <w:t xml:space="preserve"> climatisation entre les pays de la région, le programme réduira la charge pour les techniciens et pour la gestion du programme de certification en permettant la reconnaissance en Arabie saoudite des programmes reconnus de formation et de certification des </w:t>
      </w:r>
      <w:r w:rsidR="00C14906">
        <w:t>techniciens de réfrigération et</w:t>
      </w:r>
      <w:r>
        <w:t xml:space="preserve"> climatisation, offrant ainsi à ces techniciens une certification locale sans devoir passer d’autre test.</w:t>
      </w:r>
    </w:p>
    <w:bookmarkEnd w:id="17"/>
    <w:p w14:paraId="40D40F10" w14:textId="652369E5" w:rsidR="00377A4C" w:rsidRPr="00350721" w:rsidRDefault="00350721" w:rsidP="004177A6">
      <w:pPr>
        <w:widowControl w:val="0"/>
        <w:spacing w:before="240" w:after="240"/>
        <w:outlineLvl w:val="0"/>
        <w:rPr>
          <w:u w:val="single"/>
        </w:rPr>
      </w:pPr>
      <w:r>
        <w:rPr>
          <w:u w:val="single"/>
        </w:rPr>
        <w:t>Objectifs proposés</w:t>
      </w:r>
    </w:p>
    <w:p w14:paraId="7A363227" w14:textId="7F1CBE73" w:rsidR="00350721" w:rsidRDefault="005C63CD" w:rsidP="00953931">
      <w:pPr>
        <w:pStyle w:val="Heading1"/>
        <w:numPr>
          <w:ilvl w:val="0"/>
          <w:numId w:val="14"/>
        </w:numPr>
        <w:tabs>
          <w:tab w:val="clear" w:pos="993"/>
          <w:tab w:val="num" w:pos="0"/>
        </w:tabs>
        <w:ind w:left="0"/>
      </w:pPr>
      <w:r>
        <w:t>Le Secrétariat a proposé les objectifs suivants :</w:t>
      </w:r>
    </w:p>
    <w:p w14:paraId="44873215" w14:textId="50462362" w:rsidR="001B5B80" w:rsidRDefault="005B0A83" w:rsidP="001B5B80">
      <w:pPr>
        <w:pStyle w:val="Heading2"/>
      </w:pPr>
      <w:r>
        <w:t>la présentation de la deuxième tranche de la phase II du PGEH serait soumise à : la mise en œuvre d’une interdiction des importations et de la fabrication d’équipements utilisant des HCFC ; la mise en œuvre d’une politique d’approvisionnement respectueuse de l’environnement qui impose que seuls les techniciens certifiés soient autorisés à entretenir l’équipement de réfrigération et de climatisation dans le cadre de contrats gouvernementaux ; l’élaboration d’une politique et de réglementations pour la régénération et l’établissement d’un centre de récupération ; et la formation et la certification d’au moins 1 500 techniciens ; et</w:t>
      </w:r>
    </w:p>
    <w:p w14:paraId="6C4CB64A" w14:textId="474ED10D" w:rsidR="005B0A83" w:rsidRDefault="00EB1B22">
      <w:pPr>
        <w:pStyle w:val="Heading2"/>
      </w:pPr>
      <w:r>
        <w:t>la présentation de la troisième tranche de la phase II du PGEH serait soumise à : la mise en œuvre d’une application d’enregistrement électronique pour les techniciens certifiés ; la mise en œuvre d’un enregistrement électronique pour les ateliers d’entretien ; la formation et la certification d’au moins 5 000 techniciens ; et la régénération d’au moins 20 tm de substances réglementées.</w:t>
      </w:r>
    </w:p>
    <w:p w14:paraId="59A3A321" w14:textId="77777777" w:rsidR="00B8763E" w:rsidRPr="00996241" w:rsidRDefault="00B8763E" w:rsidP="00C74853">
      <w:pPr>
        <w:keepNext/>
        <w:widowControl w:val="0"/>
        <w:spacing w:before="240" w:after="240"/>
        <w:outlineLvl w:val="0"/>
        <w:rPr>
          <w:u w:val="single"/>
        </w:rPr>
      </w:pPr>
      <w:r>
        <w:rPr>
          <w:u w:val="single"/>
        </w:rPr>
        <w:t>Coût total du projet</w:t>
      </w:r>
    </w:p>
    <w:p w14:paraId="75B61A0D" w14:textId="66E55670" w:rsidR="00B8763E" w:rsidRPr="00996241" w:rsidRDefault="00B8763E" w:rsidP="00953931">
      <w:pPr>
        <w:pStyle w:val="Heading1"/>
        <w:numPr>
          <w:ilvl w:val="0"/>
          <w:numId w:val="14"/>
        </w:numPr>
        <w:tabs>
          <w:tab w:val="clear" w:pos="993"/>
          <w:tab w:val="num" w:pos="0"/>
        </w:tabs>
        <w:ind w:left="0"/>
      </w:pPr>
      <w:r>
        <w:t>Le coût total pour la phase II du PGEH représenterait 20 801 668 $ US pour l’élimination de 321,56 tonnes PAO (5 846,55 tm) de HCFC ; 765,40 tonnes PAO (8 075,86 tm) supplémentaires de HCFC seraient déduites de la consommation de HCFC restante du pays admissible au financement, résultant en un rapport coût-efficacité global du projet de 1,49 $ US/kg, comme indiqué dans le tableau 6.</w:t>
      </w:r>
    </w:p>
    <w:p w14:paraId="66126898" w14:textId="63F141FF" w:rsidR="00B8763E" w:rsidRDefault="00B8763E" w:rsidP="00B8763E">
      <w:r>
        <w:rPr>
          <w:b/>
        </w:rPr>
        <w:t>Tableau 6. Coût de la phase II du PGEH pour l’Arabie saoudite conformément à la proposition initiale, et à la proposition du Secrétariat</w:t>
      </w:r>
    </w:p>
    <w:tbl>
      <w:tblPr>
        <w:tblW w:w="5000" w:type="pct"/>
        <w:tblLayout w:type="fixed"/>
        <w:tblLook w:val="04A0" w:firstRow="1" w:lastRow="0" w:firstColumn="1" w:lastColumn="0" w:noHBand="0" w:noVBand="1"/>
      </w:tblPr>
      <w:tblGrid>
        <w:gridCol w:w="4393"/>
        <w:gridCol w:w="1416"/>
        <w:gridCol w:w="1273"/>
        <w:gridCol w:w="1135"/>
        <w:gridCol w:w="1133"/>
      </w:tblGrid>
      <w:tr w:rsidR="00B8763E" w:rsidRPr="00A01D7B" w14:paraId="7651DB70" w14:textId="77777777" w:rsidTr="007733A1">
        <w:trPr>
          <w:trHeight w:val="792"/>
          <w:tblHeader/>
        </w:trPr>
        <w:tc>
          <w:tcPr>
            <w:tcW w:w="23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43836E" w14:textId="77777777" w:rsidR="00B8763E" w:rsidRPr="00A01D7B" w:rsidRDefault="00B8763E">
            <w:pPr>
              <w:jc w:val="center"/>
              <w:rPr>
                <w:b/>
                <w:bCs/>
                <w:color w:val="000000"/>
                <w:sz w:val="20"/>
                <w:szCs w:val="20"/>
              </w:rPr>
            </w:pPr>
            <w:r>
              <w:rPr>
                <w:b/>
                <w:color w:val="000000"/>
                <w:sz w:val="20"/>
              </w:rPr>
              <w:t>Activité</w:t>
            </w:r>
          </w:p>
        </w:tc>
        <w:tc>
          <w:tcPr>
            <w:tcW w:w="757" w:type="pct"/>
            <w:tcBorders>
              <w:top w:val="single" w:sz="4" w:space="0" w:color="auto"/>
              <w:left w:val="nil"/>
              <w:bottom w:val="single" w:sz="4" w:space="0" w:color="auto"/>
              <w:right w:val="single" w:sz="4" w:space="0" w:color="auto"/>
            </w:tcBorders>
            <w:shd w:val="clear" w:color="auto" w:fill="auto"/>
            <w:vAlign w:val="center"/>
            <w:hideMark/>
          </w:tcPr>
          <w:p w14:paraId="1816089A" w14:textId="77777777" w:rsidR="00B8763E" w:rsidRPr="00A01D7B" w:rsidRDefault="00B8763E">
            <w:pPr>
              <w:jc w:val="center"/>
              <w:rPr>
                <w:b/>
                <w:bCs/>
                <w:color w:val="000000"/>
                <w:sz w:val="20"/>
                <w:szCs w:val="20"/>
              </w:rPr>
            </w:pPr>
            <w:r>
              <w:rPr>
                <w:b/>
                <w:color w:val="000000"/>
                <w:sz w:val="20"/>
              </w:rPr>
              <w:t>Proposition initiale ($ US)</w:t>
            </w:r>
          </w:p>
        </w:tc>
        <w:tc>
          <w:tcPr>
            <w:tcW w:w="681" w:type="pct"/>
            <w:tcBorders>
              <w:top w:val="single" w:sz="4" w:space="0" w:color="auto"/>
              <w:left w:val="nil"/>
              <w:bottom w:val="single" w:sz="4" w:space="0" w:color="auto"/>
              <w:right w:val="single" w:sz="4" w:space="0" w:color="auto"/>
            </w:tcBorders>
            <w:shd w:val="clear" w:color="auto" w:fill="auto"/>
            <w:vAlign w:val="center"/>
            <w:hideMark/>
          </w:tcPr>
          <w:p w14:paraId="2054B651" w14:textId="77777777" w:rsidR="00B8763E" w:rsidRPr="00A01D7B" w:rsidRDefault="00B8763E">
            <w:pPr>
              <w:jc w:val="center"/>
              <w:rPr>
                <w:b/>
                <w:bCs/>
                <w:color w:val="000000"/>
                <w:sz w:val="20"/>
                <w:szCs w:val="20"/>
              </w:rPr>
            </w:pPr>
            <w:r>
              <w:rPr>
                <w:b/>
                <w:color w:val="000000"/>
                <w:sz w:val="20"/>
              </w:rPr>
              <w:t>Proposition du Secrétariat ($ US)</w:t>
            </w:r>
          </w:p>
        </w:tc>
        <w:tc>
          <w:tcPr>
            <w:tcW w:w="607" w:type="pct"/>
            <w:tcBorders>
              <w:top w:val="single" w:sz="4" w:space="0" w:color="auto"/>
              <w:left w:val="nil"/>
              <w:bottom w:val="single" w:sz="4" w:space="0" w:color="auto"/>
              <w:right w:val="single" w:sz="4" w:space="0" w:color="auto"/>
            </w:tcBorders>
            <w:shd w:val="clear" w:color="auto" w:fill="auto"/>
            <w:vAlign w:val="center"/>
            <w:hideMark/>
          </w:tcPr>
          <w:p w14:paraId="6CE30801" w14:textId="77777777" w:rsidR="00B8763E" w:rsidRPr="00A01D7B" w:rsidRDefault="00B8763E">
            <w:pPr>
              <w:jc w:val="center"/>
              <w:rPr>
                <w:b/>
                <w:bCs/>
                <w:color w:val="000000"/>
                <w:sz w:val="20"/>
                <w:szCs w:val="20"/>
              </w:rPr>
            </w:pPr>
            <w:r>
              <w:rPr>
                <w:b/>
                <w:color w:val="000000"/>
                <w:sz w:val="20"/>
              </w:rPr>
              <w:t>Élimination (tm)</w:t>
            </w:r>
          </w:p>
        </w:tc>
        <w:tc>
          <w:tcPr>
            <w:tcW w:w="606" w:type="pct"/>
            <w:tcBorders>
              <w:top w:val="single" w:sz="4" w:space="0" w:color="auto"/>
              <w:left w:val="nil"/>
              <w:bottom w:val="single" w:sz="4" w:space="0" w:color="auto"/>
              <w:right w:val="single" w:sz="4" w:space="0" w:color="auto"/>
            </w:tcBorders>
            <w:shd w:val="clear" w:color="auto" w:fill="auto"/>
            <w:vAlign w:val="center"/>
            <w:hideMark/>
          </w:tcPr>
          <w:p w14:paraId="5CB7129C" w14:textId="77777777" w:rsidR="00B8763E" w:rsidRPr="00A01D7B" w:rsidRDefault="00B8763E">
            <w:pPr>
              <w:jc w:val="center"/>
              <w:rPr>
                <w:b/>
                <w:bCs/>
                <w:color w:val="000000"/>
                <w:sz w:val="20"/>
                <w:szCs w:val="20"/>
              </w:rPr>
            </w:pPr>
            <w:r>
              <w:rPr>
                <w:b/>
                <w:color w:val="000000"/>
                <w:sz w:val="20"/>
              </w:rPr>
              <w:t>CE ($ US/kg)</w:t>
            </w:r>
          </w:p>
        </w:tc>
      </w:tr>
      <w:tr w:rsidR="00B8763E" w:rsidRPr="00A01D7B" w14:paraId="4456584D" w14:textId="77777777">
        <w:trPr>
          <w:trHeight w:val="264"/>
        </w:trPr>
        <w:tc>
          <w:tcPr>
            <w:tcW w:w="2349" w:type="pct"/>
            <w:tcBorders>
              <w:top w:val="nil"/>
              <w:left w:val="single" w:sz="4" w:space="0" w:color="auto"/>
              <w:bottom w:val="single" w:sz="4" w:space="0" w:color="auto"/>
              <w:right w:val="single" w:sz="4" w:space="0" w:color="auto"/>
            </w:tcBorders>
            <w:shd w:val="clear" w:color="auto" w:fill="auto"/>
            <w:noWrap/>
            <w:vAlign w:val="center"/>
            <w:hideMark/>
          </w:tcPr>
          <w:p w14:paraId="3D5C3FB0" w14:textId="4563624E" w:rsidR="00B8763E" w:rsidRPr="00A01D7B" w:rsidRDefault="00B8763E">
            <w:pPr>
              <w:jc w:val="left"/>
              <w:rPr>
                <w:color w:val="000000"/>
                <w:sz w:val="20"/>
                <w:szCs w:val="20"/>
              </w:rPr>
            </w:pPr>
            <w:r>
              <w:rPr>
                <w:color w:val="000000"/>
                <w:sz w:val="20"/>
              </w:rPr>
              <w:t>Politique et application</w:t>
            </w:r>
          </w:p>
        </w:tc>
        <w:tc>
          <w:tcPr>
            <w:tcW w:w="757" w:type="pct"/>
            <w:tcBorders>
              <w:top w:val="nil"/>
              <w:left w:val="nil"/>
              <w:bottom w:val="single" w:sz="4" w:space="0" w:color="auto"/>
              <w:right w:val="single" w:sz="4" w:space="0" w:color="auto"/>
            </w:tcBorders>
            <w:shd w:val="clear" w:color="auto" w:fill="auto"/>
            <w:noWrap/>
            <w:vAlign w:val="bottom"/>
            <w:hideMark/>
          </w:tcPr>
          <w:p w14:paraId="17042146" w14:textId="77777777" w:rsidR="00B8763E" w:rsidRPr="00A01D7B" w:rsidRDefault="00B8763E">
            <w:pPr>
              <w:jc w:val="right"/>
              <w:rPr>
                <w:color w:val="000000"/>
                <w:sz w:val="20"/>
                <w:szCs w:val="20"/>
              </w:rPr>
            </w:pPr>
            <w:r>
              <w:rPr>
                <w:color w:val="000000"/>
                <w:sz w:val="20"/>
              </w:rPr>
              <w:t>755 000</w:t>
            </w:r>
          </w:p>
        </w:tc>
        <w:tc>
          <w:tcPr>
            <w:tcW w:w="681" w:type="pct"/>
            <w:tcBorders>
              <w:top w:val="nil"/>
              <w:left w:val="nil"/>
              <w:bottom w:val="single" w:sz="4" w:space="0" w:color="auto"/>
              <w:right w:val="single" w:sz="4" w:space="0" w:color="auto"/>
            </w:tcBorders>
            <w:shd w:val="clear" w:color="auto" w:fill="auto"/>
            <w:vAlign w:val="center"/>
            <w:hideMark/>
          </w:tcPr>
          <w:p w14:paraId="147D4835" w14:textId="77777777" w:rsidR="00B8763E" w:rsidRPr="00A01D7B" w:rsidRDefault="00B8763E">
            <w:pPr>
              <w:jc w:val="right"/>
              <w:rPr>
                <w:color w:val="000000"/>
                <w:sz w:val="20"/>
                <w:szCs w:val="20"/>
              </w:rPr>
            </w:pPr>
            <w:r>
              <w:rPr>
                <w:color w:val="000000"/>
                <w:sz w:val="20"/>
              </w:rPr>
              <w:t>500 000</w:t>
            </w:r>
          </w:p>
        </w:tc>
        <w:tc>
          <w:tcPr>
            <w:tcW w:w="607" w:type="pct"/>
            <w:vMerge w:val="restart"/>
            <w:tcBorders>
              <w:top w:val="nil"/>
              <w:left w:val="single" w:sz="4" w:space="0" w:color="auto"/>
              <w:bottom w:val="single" w:sz="4" w:space="0" w:color="auto"/>
              <w:right w:val="single" w:sz="4" w:space="0" w:color="auto"/>
            </w:tcBorders>
            <w:shd w:val="clear" w:color="auto" w:fill="auto"/>
            <w:vAlign w:val="center"/>
            <w:hideMark/>
          </w:tcPr>
          <w:p w14:paraId="2547E190" w14:textId="77777777" w:rsidR="00B8763E" w:rsidRPr="00A01D7B" w:rsidRDefault="00B8763E">
            <w:pPr>
              <w:jc w:val="right"/>
              <w:rPr>
                <w:color w:val="000000"/>
                <w:sz w:val="20"/>
                <w:szCs w:val="20"/>
              </w:rPr>
            </w:pPr>
            <w:r>
              <w:rPr>
                <w:color w:val="000000"/>
                <w:sz w:val="20"/>
              </w:rPr>
              <w:t>5 846,55</w:t>
            </w:r>
          </w:p>
        </w:tc>
        <w:tc>
          <w:tcPr>
            <w:tcW w:w="606" w:type="pct"/>
            <w:vMerge w:val="restart"/>
            <w:tcBorders>
              <w:top w:val="nil"/>
              <w:left w:val="single" w:sz="4" w:space="0" w:color="auto"/>
              <w:bottom w:val="single" w:sz="4" w:space="0" w:color="auto"/>
              <w:right w:val="single" w:sz="4" w:space="0" w:color="auto"/>
            </w:tcBorders>
            <w:shd w:val="clear" w:color="auto" w:fill="auto"/>
            <w:vAlign w:val="center"/>
            <w:hideMark/>
          </w:tcPr>
          <w:p w14:paraId="51A50FA7" w14:textId="6242D42B" w:rsidR="00B8763E" w:rsidRPr="00A01D7B" w:rsidRDefault="00B8763E">
            <w:pPr>
              <w:jc w:val="right"/>
              <w:rPr>
                <w:color w:val="000000"/>
                <w:sz w:val="20"/>
                <w:szCs w:val="20"/>
              </w:rPr>
            </w:pPr>
            <w:r>
              <w:rPr>
                <w:color w:val="000000"/>
                <w:sz w:val="20"/>
              </w:rPr>
              <w:t>3,45</w:t>
            </w:r>
          </w:p>
        </w:tc>
      </w:tr>
      <w:tr w:rsidR="00B8763E" w:rsidRPr="00A01D7B" w14:paraId="3BD4D9D4" w14:textId="77777777">
        <w:trPr>
          <w:trHeight w:val="264"/>
        </w:trPr>
        <w:tc>
          <w:tcPr>
            <w:tcW w:w="2349" w:type="pct"/>
            <w:tcBorders>
              <w:top w:val="nil"/>
              <w:left w:val="single" w:sz="4" w:space="0" w:color="auto"/>
              <w:bottom w:val="single" w:sz="4" w:space="0" w:color="auto"/>
              <w:right w:val="single" w:sz="4" w:space="0" w:color="auto"/>
            </w:tcBorders>
            <w:shd w:val="clear" w:color="auto" w:fill="auto"/>
            <w:noWrap/>
            <w:hideMark/>
          </w:tcPr>
          <w:p w14:paraId="3F866B9F" w14:textId="5128BD74" w:rsidR="00B8763E" w:rsidRPr="00A01D7B" w:rsidRDefault="00B84F3A">
            <w:pPr>
              <w:jc w:val="left"/>
              <w:rPr>
                <w:color w:val="000000"/>
                <w:sz w:val="20"/>
                <w:szCs w:val="20"/>
              </w:rPr>
            </w:pPr>
            <w:r>
              <w:rPr>
                <w:color w:val="000000"/>
                <w:sz w:val="20"/>
              </w:rPr>
              <w:t>Renforcement de la capacité des douanes</w:t>
            </w:r>
          </w:p>
        </w:tc>
        <w:tc>
          <w:tcPr>
            <w:tcW w:w="757" w:type="pct"/>
            <w:tcBorders>
              <w:top w:val="nil"/>
              <w:left w:val="nil"/>
              <w:bottom w:val="single" w:sz="4" w:space="0" w:color="auto"/>
              <w:right w:val="single" w:sz="4" w:space="0" w:color="auto"/>
            </w:tcBorders>
            <w:shd w:val="clear" w:color="auto" w:fill="auto"/>
            <w:vAlign w:val="center"/>
            <w:hideMark/>
          </w:tcPr>
          <w:p w14:paraId="22DB90F3" w14:textId="77777777" w:rsidR="00B8763E" w:rsidRPr="00A01D7B" w:rsidRDefault="00B8763E">
            <w:pPr>
              <w:jc w:val="right"/>
              <w:rPr>
                <w:color w:val="000000"/>
                <w:sz w:val="20"/>
                <w:szCs w:val="20"/>
              </w:rPr>
            </w:pPr>
            <w:r>
              <w:rPr>
                <w:color w:val="000000"/>
                <w:sz w:val="20"/>
              </w:rPr>
              <w:t>1 257 500</w:t>
            </w:r>
          </w:p>
        </w:tc>
        <w:tc>
          <w:tcPr>
            <w:tcW w:w="681" w:type="pct"/>
            <w:tcBorders>
              <w:top w:val="nil"/>
              <w:left w:val="nil"/>
              <w:bottom w:val="single" w:sz="4" w:space="0" w:color="auto"/>
              <w:right w:val="single" w:sz="4" w:space="0" w:color="auto"/>
            </w:tcBorders>
            <w:shd w:val="clear" w:color="auto" w:fill="auto"/>
            <w:vAlign w:val="center"/>
            <w:hideMark/>
          </w:tcPr>
          <w:p w14:paraId="5C547A1D" w14:textId="77777777" w:rsidR="00B8763E" w:rsidRPr="00A01D7B" w:rsidRDefault="00B8763E">
            <w:pPr>
              <w:jc w:val="right"/>
              <w:rPr>
                <w:color w:val="000000"/>
                <w:sz w:val="20"/>
                <w:szCs w:val="20"/>
              </w:rPr>
            </w:pPr>
            <w:r>
              <w:rPr>
                <w:color w:val="000000"/>
                <w:sz w:val="20"/>
              </w:rPr>
              <w:t>886 500</w:t>
            </w:r>
          </w:p>
        </w:tc>
        <w:tc>
          <w:tcPr>
            <w:tcW w:w="607" w:type="pct"/>
            <w:vMerge/>
            <w:tcBorders>
              <w:top w:val="nil"/>
              <w:left w:val="single" w:sz="4" w:space="0" w:color="auto"/>
              <w:bottom w:val="single" w:sz="4" w:space="0" w:color="auto"/>
              <w:right w:val="single" w:sz="4" w:space="0" w:color="auto"/>
            </w:tcBorders>
            <w:vAlign w:val="center"/>
            <w:hideMark/>
          </w:tcPr>
          <w:p w14:paraId="2FDDA173" w14:textId="77777777" w:rsidR="00B8763E" w:rsidRPr="00A01D7B" w:rsidRDefault="00B8763E">
            <w:pPr>
              <w:jc w:val="left"/>
              <w:rPr>
                <w:color w:val="000000"/>
                <w:sz w:val="20"/>
                <w:szCs w:val="20"/>
                <w:lang w:eastAsia="en-CA"/>
              </w:rPr>
            </w:pPr>
          </w:p>
        </w:tc>
        <w:tc>
          <w:tcPr>
            <w:tcW w:w="606" w:type="pct"/>
            <w:vMerge/>
            <w:tcBorders>
              <w:top w:val="nil"/>
              <w:left w:val="single" w:sz="4" w:space="0" w:color="auto"/>
              <w:bottom w:val="single" w:sz="4" w:space="0" w:color="auto"/>
              <w:right w:val="single" w:sz="4" w:space="0" w:color="auto"/>
            </w:tcBorders>
            <w:vAlign w:val="center"/>
            <w:hideMark/>
          </w:tcPr>
          <w:p w14:paraId="6487765E" w14:textId="77777777" w:rsidR="00B8763E" w:rsidRPr="00A01D7B" w:rsidRDefault="00B8763E">
            <w:pPr>
              <w:jc w:val="left"/>
              <w:rPr>
                <w:color w:val="000000"/>
                <w:sz w:val="20"/>
                <w:szCs w:val="20"/>
                <w:lang w:eastAsia="en-CA"/>
              </w:rPr>
            </w:pPr>
          </w:p>
        </w:tc>
      </w:tr>
      <w:tr w:rsidR="00B8763E" w:rsidRPr="00A01D7B" w14:paraId="058A5E4E" w14:textId="77777777">
        <w:trPr>
          <w:trHeight w:val="264"/>
        </w:trPr>
        <w:tc>
          <w:tcPr>
            <w:tcW w:w="2349" w:type="pct"/>
            <w:tcBorders>
              <w:top w:val="nil"/>
              <w:left w:val="single" w:sz="4" w:space="0" w:color="auto"/>
              <w:bottom w:val="single" w:sz="4" w:space="0" w:color="auto"/>
              <w:right w:val="single" w:sz="4" w:space="0" w:color="auto"/>
            </w:tcBorders>
            <w:shd w:val="clear" w:color="auto" w:fill="auto"/>
            <w:noWrap/>
            <w:hideMark/>
          </w:tcPr>
          <w:p w14:paraId="6FB56025" w14:textId="453277CA" w:rsidR="00B8763E" w:rsidRPr="00A01D7B" w:rsidRDefault="00B84F3A">
            <w:pPr>
              <w:jc w:val="left"/>
              <w:rPr>
                <w:color w:val="000000"/>
                <w:sz w:val="20"/>
                <w:szCs w:val="20"/>
              </w:rPr>
            </w:pPr>
            <w:r>
              <w:rPr>
                <w:color w:val="000000"/>
                <w:sz w:val="20"/>
              </w:rPr>
              <w:t>Élaboration de normes</w:t>
            </w:r>
          </w:p>
        </w:tc>
        <w:tc>
          <w:tcPr>
            <w:tcW w:w="757" w:type="pct"/>
            <w:tcBorders>
              <w:top w:val="nil"/>
              <w:left w:val="nil"/>
              <w:bottom w:val="single" w:sz="4" w:space="0" w:color="auto"/>
              <w:right w:val="single" w:sz="4" w:space="0" w:color="auto"/>
            </w:tcBorders>
            <w:shd w:val="clear" w:color="auto" w:fill="auto"/>
            <w:noWrap/>
            <w:vAlign w:val="bottom"/>
            <w:hideMark/>
          </w:tcPr>
          <w:p w14:paraId="1C366C3F" w14:textId="77777777" w:rsidR="00B8763E" w:rsidRPr="00A01D7B" w:rsidRDefault="00B8763E">
            <w:pPr>
              <w:jc w:val="right"/>
              <w:rPr>
                <w:color w:val="000000"/>
                <w:sz w:val="20"/>
                <w:szCs w:val="20"/>
              </w:rPr>
            </w:pPr>
            <w:r>
              <w:rPr>
                <w:color w:val="000000"/>
                <w:sz w:val="20"/>
              </w:rPr>
              <w:t>60 000</w:t>
            </w:r>
          </w:p>
        </w:tc>
        <w:tc>
          <w:tcPr>
            <w:tcW w:w="681" w:type="pct"/>
            <w:tcBorders>
              <w:top w:val="nil"/>
              <w:left w:val="nil"/>
              <w:bottom w:val="single" w:sz="4" w:space="0" w:color="auto"/>
              <w:right w:val="single" w:sz="4" w:space="0" w:color="auto"/>
            </w:tcBorders>
            <w:shd w:val="clear" w:color="auto" w:fill="auto"/>
            <w:vAlign w:val="center"/>
            <w:hideMark/>
          </w:tcPr>
          <w:p w14:paraId="6EE369A7" w14:textId="77777777" w:rsidR="00B8763E" w:rsidRPr="00A01D7B" w:rsidRDefault="00B8763E">
            <w:pPr>
              <w:jc w:val="right"/>
              <w:rPr>
                <w:color w:val="000000"/>
                <w:sz w:val="20"/>
                <w:szCs w:val="20"/>
              </w:rPr>
            </w:pPr>
            <w:r>
              <w:rPr>
                <w:color w:val="000000"/>
                <w:sz w:val="20"/>
              </w:rPr>
              <w:t>45 000</w:t>
            </w:r>
          </w:p>
        </w:tc>
        <w:tc>
          <w:tcPr>
            <w:tcW w:w="607" w:type="pct"/>
            <w:vMerge/>
            <w:tcBorders>
              <w:top w:val="nil"/>
              <w:left w:val="single" w:sz="4" w:space="0" w:color="auto"/>
              <w:bottom w:val="single" w:sz="4" w:space="0" w:color="auto"/>
              <w:right w:val="single" w:sz="4" w:space="0" w:color="auto"/>
            </w:tcBorders>
            <w:vAlign w:val="center"/>
            <w:hideMark/>
          </w:tcPr>
          <w:p w14:paraId="2559116C" w14:textId="77777777" w:rsidR="00B8763E" w:rsidRPr="00A01D7B" w:rsidRDefault="00B8763E">
            <w:pPr>
              <w:jc w:val="left"/>
              <w:rPr>
                <w:color w:val="000000"/>
                <w:sz w:val="20"/>
                <w:szCs w:val="20"/>
                <w:lang w:eastAsia="en-CA"/>
              </w:rPr>
            </w:pPr>
          </w:p>
        </w:tc>
        <w:tc>
          <w:tcPr>
            <w:tcW w:w="606" w:type="pct"/>
            <w:vMerge/>
            <w:tcBorders>
              <w:top w:val="nil"/>
              <w:left w:val="single" w:sz="4" w:space="0" w:color="auto"/>
              <w:bottom w:val="single" w:sz="4" w:space="0" w:color="auto"/>
              <w:right w:val="single" w:sz="4" w:space="0" w:color="auto"/>
            </w:tcBorders>
            <w:vAlign w:val="center"/>
            <w:hideMark/>
          </w:tcPr>
          <w:p w14:paraId="64FE297C" w14:textId="77777777" w:rsidR="00B8763E" w:rsidRPr="00A01D7B" w:rsidRDefault="00B8763E">
            <w:pPr>
              <w:jc w:val="left"/>
              <w:rPr>
                <w:color w:val="000000"/>
                <w:sz w:val="20"/>
                <w:szCs w:val="20"/>
                <w:lang w:eastAsia="en-CA"/>
              </w:rPr>
            </w:pPr>
          </w:p>
        </w:tc>
      </w:tr>
      <w:tr w:rsidR="00B8763E" w:rsidRPr="00A01D7B" w14:paraId="67B0FEE2" w14:textId="77777777">
        <w:trPr>
          <w:trHeight w:val="264"/>
        </w:trPr>
        <w:tc>
          <w:tcPr>
            <w:tcW w:w="2349" w:type="pct"/>
            <w:tcBorders>
              <w:top w:val="nil"/>
              <w:left w:val="single" w:sz="4" w:space="0" w:color="auto"/>
              <w:bottom w:val="single" w:sz="4" w:space="0" w:color="auto"/>
              <w:right w:val="single" w:sz="4" w:space="0" w:color="auto"/>
            </w:tcBorders>
            <w:shd w:val="clear" w:color="auto" w:fill="auto"/>
            <w:noWrap/>
            <w:vAlign w:val="center"/>
            <w:hideMark/>
          </w:tcPr>
          <w:p w14:paraId="28508B2A" w14:textId="48659B84" w:rsidR="00B8763E" w:rsidRPr="00A01D7B" w:rsidRDefault="00C35746">
            <w:pPr>
              <w:jc w:val="left"/>
              <w:rPr>
                <w:color w:val="000000"/>
                <w:sz w:val="20"/>
                <w:szCs w:val="20"/>
              </w:rPr>
            </w:pPr>
            <w:r>
              <w:rPr>
                <w:color w:val="000000"/>
                <w:sz w:val="20"/>
              </w:rPr>
              <w:t>Renforcement de la capacité des techniciens</w:t>
            </w:r>
            <w:r>
              <w:rPr>
                <w:color w:val="000000"/>
                <w:sz w:val="20"/>
                <w:vertAlign w:val="superscript"/>
              </w:rPr>
              <w:t>*</w:t>
            </w:r>
          </w:p>
        </w:tc>
        <w:tc>
          <w:tcPr>
            <w:tcW w:w="757" w:type="pct"/>
            <w:tcBorders>
              <w:top w:val="nil"/>
              <w:left w:val="nil"/>
              <w:bottom w:val="single" w:sz="4" w:space="0" w:color="auto"/>
              <w:right w:val="single" w:sz="4" w:space="0" w:color="auto"/>
            </w:tcBorders>
            <w:shd w:val="clear" w:color="auto" w:fill="auto"/>
            <w:noWrap/>
            <w:vAlign w:val="center"/>
            <w:hideMark/>
          </w:tcPr>
          <w:p w14:paraId="34F77FE8" w14:textId="77777777" w:rsidR="00B8763E" w:rsidRPr="00A01D7B" w:rsidRDefault="00B8763E">
            <w:pPr>
              <w:jc w:val="right"/>
              <w:rPr>
                <w:color w:val="000000"/>
                <w:sz w:val="20"/>
                <w:szCs w:val="20"/>
              </w:rPr>
            </w:pPr>
            <w:r>
              <w:rPr>
                <w:color w:val="000000"/>
                <w:sz w:val="20"/>
              </w:rPr>
              <w:t>15 153 248</w:t>
            </w:r>
          </w:p>
        </w:tc>
        <w:tc>
          <w:tcPr>
            <w:tcW w:w="681" w:type="pct"/>
            <w:tcBorders>
              <w:top w:val="nil"/>
              <w:left w:val="nil"/>
              <w:bottom w:val="single" w:sz="4" w:space="0" w:color="auto"/>
              <w:right w:val="single" w:sz="4" w:space="0" w:color="auto"/>
            </w:tcBorders>
            <w:shd w:val="clear" w:color="auto" w:fill="auto"/>
            <w:vAlign w:val="center"/>
            <w:hideMark/>
          </w:tcPr>
          <w:p w14:paraId="15F2C339" w14:textId="77777777" w:rsidR="00B8763E" w:rsidRPr="00A01D7B" w:rsidRDefault="00B8763E">
            <w:pPr>
              <w:jc w:val="right"/>
              <w:rPr>
                <w:color w:val="000000"/>
                <w:sz w:val="20"/>
                <w:szCs w:val="20"/>
              </w:rPr>
            </w:pPr>
            <w:r>
              <w:rPr>
                <w:color w:val="000000"/>
                <w:sz w:val="20"/>
              </w:rPr>
              <w:t>17 719 748</w:t>
            </w:r>
          </w:p>
        </w:tc>
        <w:tc>
          <w:tcPr>
            <w:tcW w:w="607" w:type="pct"/>
            <w:vMerge/>
            <w:tcBorders>
              <w:top w:val="nil"/>
              <w:left w:val="single" w:sz="4" w:space="0" w:color="auto"/>
              <w:bottom w:val="single" w:sz="4" w:space="0" w:color="auto"/>
              <w:right w:val="single" w:sz="4" w:space="0" w:color="auto"/>
            </w:tcBorders>
            <w:vAlign w:val="center"/>
            <w:hideMark/>
          </w:tcPr>
          <w:p w14:paraId="1D381051" w14:textId="77777777" w:rsidR="00B8763E" w:rsidRPr="00A01D7B" w:rsidRDefault="00B8763E">
            <w:pPr>
              <w:jc w:val="left"/>
              <w:rPr>
                <w:color w:val="000000"/>
                <w:sz w:val="20"/>
                <w:szCs w:val="20"/>
                <w:lang w:eastAsia="en-CA"/>
              </w:rPr>
            </w:pPr>
          </w:p>
        </w:tc>
        <w:tc>
          <w:tcPr>
            <w:tcW w:w="606" w:type="pct"/>
            <w:vMerge/>
            <w:tcBorders>
              <w:top w:val="nil"/>
              <w:left w:val="single" w:sz="4" w:space="0" w:color="auto"/>
              <w:bottom w:val="single" w:sz="4" w:space="0" w:color="auto"/>
              <w:right w:val="single" w:sz="4" w:space="0" w:color="auto"/>
            </w:tcBorders>
            <w:vAlign w:val="center"/>
            <w:hideMark/>
          </w:tcPr>
          <w:p w14:paraId="0AD6A628" w14:textId="77777777" w:rsidR="00B8763E" w:rsidRPr="00A01D7B" w:rsidRDefault="00B8763E">
            <w:pPr>
              <w:jc w:val="left"/>
              <w:rPr>
                <w:color w:val="000000"/>
                <w:sz w:val="20"/>
                <w:szCs w:val="20"/>
                <w:lang w:eastAsia="en-CA"/>
              </w:rPr>
            </w:pPr>
          </w:p>
        </w:tc>
      </w:tr>
      <w:tr w:rsidR="00B8763E" w:rsidRPr="00A01D7B" w14:paraId="0262826A" w14:textId="77777777">
        <w:trPr>
          <w:trHeight w:val="264"/>
        </w:trPr>
        <w:tc>
          <w:tcPr>
            <w:tcW w:w="2349" w:type="pct"/>
            <w:tcBorders>
              <w:top w:val="nil"/>
              <w:left w:val="single" w:sz="4" w:space="0" w:color="auto"/>
              <w:bottom w:val="single" w:sz="4" w:space="0" w:color="auto"/>
              <w:right w:val="single" w:sz="4" w:space="0" w:color="auto"/>
            </w:tcBorders>
            <w:shd w:val="clear" w:color="auto" w:fill="auto"/>
            <w:noWrap/>
            <w:vAlign w:val="center"/>
            <w:hideMark/>
          </w:tcPr>
          <w:p w14:paraId="0C2F0057" w14:textId="2E8F2412" w:rsidR="00B8763E" w:rsidRPr="00A01D7B" w:rsidRDefault="00B8763E">
            <w:pPr>
              <w:jc w:val="left"/>
              <w:rPr>
                <w:color w:val="000000"/>
                <w:sz w:val="20"/>
                <w:szCs w:val="20"/>
              </w:rPr>
            </w:pPr>
            <w:r>
              <w:rPr>
                <w:color w:val="000000"/>
                <w:sz w:val="20"/>
              </w:rPr>
              <w:t>RRR</w:t>
            </w:r>
          </w:p>
        </w:tc>
        <w:tc>
          <w:tcPr>
            <w:tcW w:w="757" w:type="pct"/>
            <w:tcBorders>
              <w:top w:val="nil"/>
              <w:left w:val="nil"/>
              <w:bottom w:val="single" w:sz="4" w:space="0" w:color="auto"/>
              <w:right w:val="single" w:sz="4" w:space="0" w:color="auto"/>
            </w:tcBorders>
            <w:shd w:val="clear" w:color="auto" w:fill="auto"/>
            <w:noWrap/>
            <w:vAlign w:val="bottom"/>
            <w:hideMark/>
          </w:tcPr>
          <w:p w14:paraId="022CD417" w14:textId="77777777" w:rsidR="00B8763E" w:rsidRPr="00A01D7B" w:rsidRDefault="00B8763E">
            <w:pPr>
              <w:jc w:val="right"/>
              <w:rPr>
                <w:color w:val="000000"/>
                <w:sz w:val="20"/>
                <w:szCs w:val="20"/>
              </w:rPr>
            </w:pPr>
            <w:r>
              <w:rPr>
                <w:color w:val="000000"/>
                <w:sz w:val="20"/>
              </w:rPr>
              <w:t>1 460 000</w:t>
            </w:r>
          </w:p>
        </w:tc>
        <w:tc>
          <w:tcPr>
            <w:tcW w:w="681" w:type="pct"/>
            <w:tcBorders>
              <w:top w:val="nil"/>
              <w:left w:val="nil"/>
              <w:bottom w:val="single" w:sz="4" w:space="0" w:color="auto"/>
              <w:right w:val="single" w:sz="4" w:space="0" w:color="auto"/>
            </w:tcBorders>
            <w:shd w:val="clear" w:color="auto" w:fill="auto"/>
            <w:vAlign w:val="center"/>
            <w:hideMark/>
          </w:tcPr>
          <w:p w14:paraId="0CD1189A" w14:textId="77777777" w:rsidR="00B8763E" w:rsidRPr="00A01D7B" w:rsidRDefault="00B8763E">
            <w:pPr>
              <w:jc w:val="right"/>
              <w:rPr>
                <w:color w:val="000000"/>
                <w:sz w:val="20"/>
                <w:szCs w:val="20"/>
              </w:rPr>
            </w:pPr>
            <w:r>
              <w:rPr>
                <w:color w:val="000000"/>
                <w:sz w:val="20"/>
              </w:rPr>
              <w:t>620 000</w:t>
            </w:r>
          </w:p>
        </w:tc>
        <w:tc>
          <w:tcPr>
            <w:tcW w:w="607" w:type="pct"/>
            <w:vMerge/>
            <w:tcBorders>
              <w:top w:val="nil"/>
              <w:left w:val="single" w:sz="4" w:space="0" w:color="auto"/>
              <w:bottom w:val="single" w:sz="4" w:space="0" w:color="auto"/>
              <w:right w:val="single" w:sz="4" w:space="0" w:color="auto"/>
            </w:tcBorders>
            <w:vAlign w:val="center"/>
            <w:hideMark/>
          </w:tcPr>
          <w:p w14:paraId="4CA97FCC" w14:textId="77777777" w:rsidR="00B8763E" w:rsidRPr="00A01D7B" w:rsidRDefault="00B8763E">
            <w:pPr>
              <w:jc w:val="left"/>
              <w:rPr>
                <w:color w:val="000000"/>
                <w:sz w:val="20"/>
                <w:szCs w:val="20"/>
                <w:lang w:eastAsia="en-CA"/>
              </w:rPr>
            </w:pPr>
          </w:p>
        </w:tc>
        <w:tc>
          <w:tcPr>
            <w:tcW w:w="606" w:type="pct"/>
            <w:vMerge/>
            <w:tcBorders>
              <w:top w:val="nil"/>
              <w:left w:val="single" w:sz="4" w:space="0" w:color="auto"/>
              <w:bottom w:val="single" w:sz="4" w:space="0" w:color="auto"/>
              <w:right w:val="single" w:sz="4" w:space="0" w:color="auto"/>
            </w:tcBorders>
            <w:vAlign w:val="center"/>
            <w:hideMark/>
          </w:tcPr>
          <w:p w14:paraId="1D989A41" w14:textId="77777777" w:rsidR="00B8763E" w:rsidRPr="00A01D7B" w:rsidRDefault="00B8763E">
            <w:pPr>
              <w:jc w:val="left"/>
              <w:rPr>
                <w:color w:val="000000"/>
                <w:sz w:val="20"/>
                <w:szCs w:val="20"/>
                <w:lang w:eastAsia="en-CA"/>
              </w:rPr>
            </w:pPr>
          </w:p>
        </w:tc>
      </w:tr>
      <w:tr w:rsidR="00B8763E" w:rsidRPr="00A01D7B" w14:paraId="134A544F" w14:textId="77777777">
        <w:trPr>
          <w:trHeight w:val="264"/>
        </w:trPr>
        <w:tc>
          <w:tcPr>
            <w:tcW w:w="2349" w:type="pct"/>
            <w:tcBorders>
              <w:top w:val="nil"/>
              <w:left w:val="single" w:sz="4" w:space="0" w:color="auto"/>
              <w:bottom w:val="single" w:sz="4" w:space="0" w:color="auto"/>
              <w:right w:val="single" w:sz="4" w:space="0" w:color="auto"/>
            </w:tcBorders>
            <w:shd w:val="clear" w:color="auto" w:fill="auto"/>
            <w:noWrap/>
            <w:vAlign w:val="center"/>
            <w:hideMark/>
          </w:tcPr>
          <w:p w14:paraId="1831C4F9" w14:textId="1C62C194" w:rsidR="00B8763E" w:rsidRPr="00A01D7B" w:rsidRDefault="00EC3561">
            <w:pPr>
              <w:jc w:val="left"/>
              <w:rPr>
                <w:color w:val="000000"/>
                <w:sz w:val="20"/>
                <w:szCs w:val="20"/>
              </w:rPr>
            </w:pPr>
            <w:r>
              <w:rPr>
                <w:color w:val="000000"/>
                <w:sz w:val="20"/>
              </w:rPr>
              <w:t>Renforcement de la capacité de fabrication</w:t>
            </w:r>
          </w:p>
        </w:tc>
        <w:tc>
          <w:tcPr>
            <w:tcW w:w="757" w:type="pct"/>
            <w:tcBorders>
              <w:top w:val="nil"/>
              <w:left w:val="nil"/>
              <w:bottom w:val="single" w:sz="4" w:space="0" w:color="auto"/>
              <w:right w:val="single" w:sz="4" w:space="0" w:color="auto"/>
            </w:tcBorders>
            <w:shd w:val="clear" w:color="auto" w:fill="auto"/>
            <w:noWrap/>
            <w:vAlign w:val="bottom"/>
            <w:hideMark/>
          </w:tcPr>
          <w:p w14:paraId="485E3B3B" w14:textId="77777777" w:rsidR="00B8763E" w:rsidRPr="00A01D7B" w:rsidRDefault="00B8763E">
            <w:pPr>
              <w:jc w:val="right"/>
              <w:rPr>
                <w:color w:val="000000"/>
                <w:sz w:val="20"/>
                <w:szCs w:val="20"/>
              </w:rPr>
            </w:pPr>
            <w:r>
              <w:rPr>
                <w:color w:val="000000"/>
                <w:sz w:val="20"/>
              </w:rPr>
              <w:t>1 035 000</w:t>
            </w:r>
          </w:p>
        </w:tc>
        <w:tc>
          <w:tcPr>
            <w:tcW w:w="681" w:type="pct"/>
            <w:tcBorders>
              <w:top w:val="nil"/>
              <w:left w:val="nil"/>
              <w:bottom w:val="single" w:sz="4" w:space="0" w:color="auto"/>
              <w:right w:val="single" w:sz="4" w:space="0" w:color="auto"/>
            </w:tcBorders>
            <w:shd w:val="clear" w:color="auto" w:fill="auto"/>
            <w:vAlign w:val="center"/>
            <w:hideMark/>
          </w:tcPr>
          <w:p w14:paraId="62132ECF" w14:textId="77777777" w:rsidR="00B8763E" w:rsidRPr="00A01D7B" w:rsidRDefault="00B8763E">
            <w:pPr>
              <w:jc w:val="right"/>
              <w:rPr>
                <w:color w:val="000000"/>
                <w:sz w:val="20"/>
                <w:szCs w:val="20"/>
              </w:rPr>
            </w:pPr>
            <w:r>
              <w:rPr>
                <w:color w:val="000000"/>
                <w:sz w:val="20"/>
              </w:rPr>
              <w:t>25 000</w:t>
            </w:r>
          </w:p>
        </w:tc>
        <w:tc>
          <w:tcPr>
            <w:tcW w:w="607" w:type="pct"/>
            <w:vMerge/>
            <w:tcBorders>
              <w:top w:val="nil"/>
              <w:left w:val="single" w:sz="4" w:space="0" w:color="auto"/>
              <w:bottom w:val="single" w:sz="4" w:space="0" w:color="auto"/>
              <w:right w:val="single" w:sz="4" w:space="0" w:color="auto"/>
            </w:tcBorders>
            <w:vAlign w:val="center"/>
            <w:hideMark/>
          </w:tcPr>
          <w:p w14:paraId="14F79604" w14:textId="77777777" w:rsidR="00B8763E" w:rsidRPr="00A01D7B" w:rsidRDefault="00B8763E">
            <w:pPr>
              <w:jc w:val="left"/>
              <w:rPr>
                <w:color w:val="000000"/>
                <w:sz w:val="20"/>
                <w:szCs w:val="20"/>
                <w:lang w:eastAsia="en-CA"/>
              </w:rPr>
            </w:pPr>
          </w:p>
        </w:tc>
        <w:tc>
          <w:tcPr>
            <w:tcW w:w="606" w:type="pct"/>
            <w:vMerge/>
            <w:tcBorders>
              <w:top w:val="nil"/>
              <w:left w:val="single" w:sz="4" w:space="0" w:color="auto"/>
              <w:bottom w:val="single" w:sz="4" w:space="0" w:color="auto"/>
              <w:right w:val="single" w:sz="4" w:space="0" w:color="auto"/>
            </w:tcBorders>
            <w:vAlign w:val="center"/>
            <w:hideMark/>
          </w:tcPr>
          <w:p w14:paraId="7942D09F" w14:textId="77777777" w:rsidR="00B8763E" w:rsidRPr="00A01D7B" w:rsidRDefault="00B8763E">
            <w:pPr>
              <w:jc w:val="left"/>
              <w:rPr>
                <w:color w:val="000000"/>
                <w:sz w:val="20"/>
                <w:szCs w:val="20"/>
                <w:lang w:eastAsia="en-CA"/>
              </w:rPr>
            </w:pPr>
          </w:p>
        </w:tc>
      </w:tr>
      <w:tr w:rsidR="00B8763E" w:rsidRPr="00A01D7B" w14:paraId="577E20E6" w14:textId="77777777">
        <w:trPr>
          <w:trHeight w:val="264"/>
        </w:trPr>
        <w:tc>
          <w:tcPr>
            <w:tcW w:w="2349" w:type="pct"/>
            <w:tcBorders>
              <w:top w:val="nil"/>
              <w:left w:val="single" w:sz="4" w:space="0" w:color="auto"/>
              <w:bottom w:val="single" w:sz="4" w:space="0" w:color="auto"/>
              <w:right w:val="single" w:sz="4" w:space="0" w:color="auto"/>
            </w:tcBorders>
            <w:shd w:val="clear" w:color="auto" w:fill="auto"/>
            <w:noWrap/>
            <w:vAlign w:val="center"/>
            <w:hideMark/>
          </w:tcPr>
          <w:p w14:paraId="25910795" w14:textId="22D6FE61" w:rsidR="00B8763E" w:rsidRPr="00A01D7B" w:rsidRDefault="00B8763E">
            <w:pPr>
              <w:jc w:val="left"/>
              <w:rPr>
                <w:color w:val="000000"/>
                <w:sz w:val="20"/>
                <w:szCs w:val="20"/>
              </w:rPr>
            </w:pPr>
            <w:r>
              <w:rPr>
                <w:color w:val="000000"/>
                <w:sz w:val="20"/>
              </w:rPr>
              <w:t>Sensibilisation</w:t>
            </w:r>
          </w:p>
        </w:tc>
        <w:tc>
          <w:tcPr>
            <w:tcW w:w="757" w:type="pct"/>
            <w:tcBorders>
              <w:top w:val="nil"/>
              <w:left w:val="nil"/>
              <w:bottom w:val="single" w:sz="4" w:space="0" w:color="auto"/>
              <w:right w:val="single" w:sz="4" w:space="0" w:color="auto"/>
            </w:tcBorders>
            <w:shd w:val="clear" w:color="auto" w:fill="auto"/>
            <w:noWrap/>
            <w:vAlign w:val="bottom"/>
            <w:hideMark/>
          </w:tcPr>
          <w:p w14:paraId="47DCB166" w14:textId="77777777" w:rsidR="00B8763E" w:rsidRPr="00A01D7B" w:rsidRDefault="00B8763E">
            <w:pPr>
              <w:jc w:val="right"/>
              <w:rPr>
                <w:color w:val="000000"/>
                <w:sz w:val="20"/>
                <w:szCs w:val="20"/>
              </w:rPr>
            </w:pPr>
            <w:r>
              <w:rPr>
                <w:color w:val="000000"/>
                <w:sz w:val="20"/>
              </w:rPr>
              <w:t>435 500</w:t>
            </w:r>
          </w:p>
        </w:tc>
        <w:tc>
          <w:tcPr>
            <w:tcW w:w="681" w:type="pct"/>
            <w:tcBorders>
              <w:top w:val="nil"/>
              <w:left w:val="nil"/>
              <w:bottom w:val="single" w:sz="4" w:space="0" w:color="auto"/>
              <w:right w:val="single" w:sz="4" w:space="0" w:color="auto"/>
            </w:tcBorders>
            <w:shd w:val="clear" w:color="auto" w:fill="auto"/>
            <w:vAlign w:val="center"/>
            <w:hideMark/>
          </w:tcPr>
          <w:p w14:paraId="788E80D3" w14:textId="77777777" w:rsidR="00B8763E" w:rsidRPr="00A01D7B" w:rsidRDefault="00B8763E">
            <w:pPr>
              <w:jc w:val="right"/>
              <w:rPr>
                <w:color w:val="000000"/>
                <w:sz w:val="20"/>
                <w:szCs w:val="20"/>
              </w:rPr>
            </w:pPr>
            <w:r>
              <w:rPr>
                <w:color w:val="000000"/>
                <w:sz w:val="20"/>
              </w:rPr>
              <w:t>360 000</w:t>
            </w:r>
          </w:p>
        </w:tc>
        <w:tc>
          <w:tcPr>
            <w:tcW w:w="607" w:type="pct"/>
            <w:vMerge/>
            <w:tcBorders>
              <w:top w:val="nil"/>
              <w:left w:val="single" w:sz="4" w:space="0" w:color="auto"/>
              <w:bottom w:val="single" w:sz="4" w:space="0" w:color="auto"/>
              <w:right w:val="single" w:sz="4" w:space="0" w:color="auto"/>
            </w:tcBorders>
            <w:vAlign w:val="center"/>
            <w:hideMark/>
          </w:tcPr>
          <w:p w14:paraId="0DF118A4" w14:textId="77777777" w:rsidR="00B8763E" w:rsidRPr="00A01D7B" w:rsidRDefault="00B8763E">
            <w:pPr>
              <w:jc w:val="left"/>
              <w:rPr>
                <w:color w:val="000000"/>
                <w:sz w:val="20"/>
                <w:szCs w:val="20"/>
                <w:lang w:eastAsia="en-CA"/>
              </w:rPr>
            </w:pPr>
          </w:p>
        </w:tc>
        <w:tc>
          <w:tcPr>
            <w:tcW w:w="606" w:type="pct"/>
            <w:vMerge/>
            <w:tcBorders>
              <w:top w:val="nil"/>
              <w:left w:val="single" w:sz="4" w:space="0" w:color="auto"/>
              <w:bottom w:val="single" w:sz="4" w:space="0" w:color="auto"/>
              <w:right w:val="single" w:sz="4" w:space="0" w:color="auto"/>
            </w:tcBorders>
            <w:vAlign w:val="center"/>
            <w:hideMark/>
          </w:tcPr>
          <w:p w14:paraId="754AF3F6" w14:textId="77777777" w:rsidR="00B8763E" w:rsidRPr="00A01D7B" w:rsidRDefault="00B8763E">
            <w:pPr>
              <w:jc w:val="left"/>
              <w:rPr>
                <w:color w:val="000000"/>
                <w:sz w:val="20"/>
                <w:szCs w:val="20"/>
                <w:lang w:eastAsia="en-CA"/>
              </w:rPr>
            </w:pPr>
          </w:p>
        </w:tc>
      </w:tr>
      <w:tr w:rsidR="00B8763E" w:rsidRPr="00A01D7B" w14:paraId="0E88F8C0" w14:textId="77777777">
        <w:trPr>
          <w:trHeight w:val="264"/>
        </w:trPr>
        <w:tc>
          <w:tcPr>
            <w:tcW w:w="2349" w:type="pct"/>
            <w:tcBorders>
              <w:top w:val="nil"/>
              <w:left w:val="single" w:sz="4" w:space="0" w:color="auto"/>
              <w:bottom w:val="single" w:sz="4" w:space="0" w:color="auto"/>
              <w:right w:val="single" w:sz="4" w:space="0" w:color="auto"/>
            </w:tcBorders>
            <w:shd w:val="clear" w:color="auto" w:fill="auto"/>
            <w:noWrap/>
            <w:vAlign w:val="center"/>
            <w:hideMark/>
          </w:tcPr>
          <w:p w14:paraId="1CC0ED33" w14:textId="77777777" w:rsidR="00B8763E" w:rsidRPr="00A01D7B" w:rsidRDefault="00B8763E">
            <w:pPr>
              <w:jc w:val="left"/>
              <w:rPr>
                <w:color w:val="000000"/>
                <w:sz w:val="20"/>
                <w:szCs w:val="20"/>
              </w:rPr>
            </w:pPr>
            <w:r>
              <w:rPr>
                <w:color w:val="000000"/>
                <w:sz w:val="20"/>
              </w:rPr>
              <w:t>Mise en œuvre et suivi de projet</w:t>
            </w:r>
          </w:p>
        </w:tc>
        <w:tc>
          <w:tcPr>
            <w:tcW w:w="757" w:type="pct"/>
            <w:tcBorders>
              <w:top w:val="nil"/>
              <w:left w:val="nil"/>
              <w:bottom w:val="single" w:sz="4" w:space="0" w:color="auto"/>
              <w:right w:val="single" w:sz="4" w:space="0" w:color="auto"/>
            </w:tcBorders>
            <w:shd w:val="clear" w:color="auto" w:fill="auto"/>
            <w:noWrap/>
            <w:vAlign w:val="bottom"/>
            <w:hideMark/>
          </w:tcPr>
          <w:p w14:paraId="3058889B" w14:textId="77777777" w:rsidR="00B8763E" w:rsidRPr="00A01D7B" w:rsidRDefault="00B8763E">
            <w:pPr>
              <w:jc w:val="right"/>
              <w:rPr>
                <w:color w:val="000000"/>
                <w:sz w:val="20"/>
                <w:szCs w:val="20"/>
              </w:rPr>
            </w:pPr>
            <w:r>
              <w:rPr>
                <w:color w:val="000000"/>
                <w:sz w:val="20"/>
              </w:rPr>
              <w:t>645 420</w:t>
            </w:r>
          </w:p>
        </w:tc>
        <w:tc>
          <w:tcPr>
            <w:tcW w:w="681" w:type="pct"/>
            <w:tcBorders>
              <w:top w:val="nil"/>
              <w:left w:val="nil"/>
              <w:bottom w:val="single" w:sz="4" w:space="0" w:color="auto"/>
              <w:right w:val="single" w:sz="4" w:space="0" w:color="auto"/>
            </w:tcBorders>
            <w:shd w:val="clear" w:color="auto" w:fill="auto"/>
            <w:noWrap/>
            <w:vAlign w:val="bottom"/>
            <w:hideMark/>
          </w:tcPr>
          <w:p w14:paraId="4F7D7C4C" w14:textId="77777777" w:rsidR="00B8763E" w:rsidRPr="00A01D7B" w:rsidRDefault="00B8763E">
            <w:pPr>
              <w:jc w:val="right"/>
              <w:rPr>
                <w:color w:val="000000"/>
                <w:sz w:val="20"/>
                <w:szCs w:val="20"/>
              </w:rPr>
            </w:pPr>
            <w:r>
              <w:rPr>
                <w:color w:val="000000"/>
                <w:sz w:val="20"/>
              </w:rPr>
              <w:t>645 420</w:t>
            </w:r>
          </w:p>
        </w:tc>
        <w:tc>
          <w:tcPr>
            <w:tcW w:w="607" w:type="pct"/>
            <w:tcBorders>
              <w:top w:val="nil"/>
              <w:left w:val="nil"/>
              <w:bottom w:val="single" w:sz="4" w:space="0" w:color="auto"/>
              <w:right w:val="single" w:sz="4" w:space="0" w:color="auto"/>
            </w:tcBorders>
            <w:shd w:val="clear" w:color="auto" w:fill="auto"/>
            <w:vAlign w:val="center"/>
            <w:hideMark/>
          </w:tcPr>
          <w:p w14:paraId="1C164F38" w14:textId="77777777" w:rsidR="00B8763E" w:rsidRPr="00A01D7B" w:rsidRDefault="00B8763E">
            <w:pPr>
              <w:jc w:val="right"/>
              <w:rPr>
                <w:color w:val="000000"/>
                <w:sz w:val="20"/>
                <w:szCs w:val="20"/>
              </w:rPr>
            </w:pPr>
            <w:r>
              <w:rPr>
                <w:color w:val="000000"/>
                <w:sz w:val="20"/>
              </w:rPr>
              <w:t>0</w:t>
            </w:r>
          </w:p>
        </w:tc>
        <w:tc>
          <w:tcPr>
            <w:tcW w:w="606" w:type="pct"/>
            <w:tcBorders>
              <w:top w:val="nil"/>
              <w:left w:val="nil"/>
              <w:bottom w:val="single" w:sz="4" w:space="0" w:color="auto"/>
              <w:right w:val="single" w:sz="4" w:space="0" w:color="auto"/>
            </w:tcBorders>
            <w:shd w:val="clear" w:color="auto" w:fill="auto"/>
            <w:vAlign w:val="center"/>
            <w:hideMark/>
          </w:tcPr>
          <w:p w14:paraId="1EE9E87E" w14:textId="77777777" w:rsidR="00B8763E" w:rsidRPr="00A01D7B" w:rsidRDefault="00B8763E">
            <w:pPr>
              <w:jc w:val="right"/>
              <w:rPr>
                <w:color w:val="000000"/>
                <w:sz w:val="20"/>
                <w:szCs w:val="20"/>
              </w:rPr>
            </w:pPr>
            <w:r>
              <w:rPr>
                <w:color w:val="000000"/>
                <w:sz w:val="20"/>
              </w:rPr>
              <w:t>s.o.</w:t>
            </w:r>
          </w:p>
        </w:tc>
      </w:tr>
      <w:tr w:rsidR="00B8763E" w:rsidRPr="00A01D7B" w14:paraId="2FF41C2F" w14:textId="77777777">
        <w:trPr>
          <w:trHeight w:val="264"/>
        </w:trPr>
        <w:tc>
          <w:tcPr>
            <w:tcW w:w="2349" w:type="pct"/>
            <w:tcBorders>
              <w:top w:val="nil"/>
              <w:left w:val="single" w:sz="4" w:space="0" w:color="auto"/>
              <w:bottom w:val="single" w:sz="4" w:space="0" w:color="auto"/>
              <w:right w:val="single" w:sz="4" w:space="0" w:color="auto"/>
            </w:tcBorders>
            <w:shd w:val="clear" w:color="auto" w:fill="auto"/>
            <w:noWrap/>
            <w:vAlign w:val="center"/>
            <w:hideMark/>
          </w:tcPr>
          <w:p w14:paraId="37BBA276" w14:textId="77777777" w:rsidR="00B8763E" w:rsidRPr="00A01D7B" w:rsidRDefault="00B8763E">
            <w:pPr>
              <w:jc w:val="left"/>
              <w:rPr>
                <w:b/>
                <w:bCs/>
                <w:color w:val="000000"/>
                <w:sz w:val="20"/>
                <w:szCs w:val="20"/>
              </w:rPr>
            </w:pPr>
            <w:r>
              <w:rPr>
                <w:b/>
                <w:color w:val="000000"/>
                <w:sz w:val="20"/>
              </w:rPr>
              <w:t xml:space="preserve">Sous-total </w:t>
            </w:r>
          </w:p>
        </w:tc>
        <w:tc>
          <w:tcPr>
            <w:tcW w:w="757" w:type="pct"/>
            <w:tcBorders>
              <w:top w:val="nil"/>
              <w:left w:val="nil"/>
              <w:bottom w:val="single" w:sz="4" w:space="0" w:color="auto"/>
              <w:right w:val="single" w:sz="4" w:space="0" w:color="auto"/>
            </w:tcBorders>
            <w:shd w:val="clear" w:color="auto" w:fill="auto"/>
            <w:vAlign w:val="center"/>
            <w:hideMark/>
          </w:tcPr>
          <w:p w14:paraId="34545200" w14:textId="77777777" w:rsidR="00B8763E" w:rsidRPr="00A01D7B" w:rsidRDefault="00B8763E">
            <w:pPr>
              <w:jc w:val="right"/>
              <w:rPr>
                <w:b/>
                <w:bCs/>
                <w:color w:val="000000"/>
                <w:sz w:val="20"/>
                <w:szCs w:val="20"/>
              </w:rPr>
            </w:pPr>
            <w:r>
              <w:rPr>
                <w:b/>
                <w:color w:val="000000"/>
                <w:sz w:val="20"/>
              </w:rPr>
              <w:t>20 801 668</w:t>
            </w:r>
          </w:p>
        </w:tc>
        <w:tc>
          <w:tcPr>
            <w:tcW w:w="681" w:type="pct"/>
            <w:tcBorders>
              <w:top w:val="nil"/>
              <w:left w:val="nil"/>
              <w:bottom w:val="single" w:sz="4" w:space="0" w:color="auto"/>
              <w:right w:val="single" w:sz="4" w:space="0" w:color="auto"/>
            </w:tcBorders>
            <w:shd w:val="clear" w:color="auto" w:fill="auto"/>
            <w:vAlign w:val="center"/>
            <w:hideMark/>
          </w:tcPr>
          <w:p w14:paraId="21DA8845" w14:textId="77777777" w:rsidR="00B8763E" w:rsidRPr="00A01D7B" w:rsidRDefault="00B8763E">
            <w:pPr>
              <w:jc w:val="right"/>
              <w:rPr>
                <w:b/>
                <w:bCs/>
                <w:color w:val="000000"/>
                <w:sz w:val="20"/>
                <w:szCs w:val="20"/>
              </w:rPr>
            </w:pPr>
            <w:r>
              <w:rPr>
                <w:b/>
                <w:color w:val="000000"/>
                <w:sz w:val="20"/>
              </w:rPr>
              <w:t>20 801 668</w:t>
            </w:r>
          </w:p>
        </w:tc>
        <w:tc>
          <w:tcPr>
            <w:tcW w:w="607" w:type="pct"/>
            <w:tcBorders>
              <w:top w:val="nil"/>
              <w:left w:val="nil"/>
              <w:bottom w:val="single" w:sz="4" w:space="0" w:color="auto"/>
              <w:right w:val="single" w:sz="4" w:space="0" w:color="auto"/>
            </w:tcBorders>
            <w:shd w:val="clear" w:color="auto" w:fill="auto"/>
            <w:vAlign w:val="center"/>
            <w:hideMark/>
          </w:tcPr>
          <w:p w14:paraId="57AA705E" w14:textId="77777777" w:rsidR="00B8763E" w:rsidRPr="00A01D7B" w:rsidRDefault="00B8763E">
            <w:pPr>
              <w:jc w:val="right"/>
              <w:rPr>
                <w:b/>
                <w:bCs/>
                <w:color w:val="000000"/>
                <w:sz w:val="20"/>
                <w:szCs w:val="20"/>
              </w:rPr>
            </w:pPr>
            <w:r>
              <w:rPr>
                <w:b/>
                <w:color w:val="000000"/>
                <w:sz w:val="20"/>
              </w:rPr>
              <w:t>5 846,55</w:t>
            </w:r>
          </w:p>
        </w:tc>
        <w:tc>
          <w:tcPr>
            <w:tcW w:w="606" w:type="pct"/>
            <w:tcBorders>
              <w:top w:val="nil"/>
              <w:left w:val="nil"/>
              <w:bottom w:val="single" w:sz="4" w:space="0" w:color="auto"/>
              <w:right w:val="single" w:sz="4" w:space="0" w:color="auto"/>
            </w:tcBorders>
            <w:shd w:val="clear" w:color="auto" w:fill="auto"/>
            <w:vAlign w:val="center"/>
            <w:hideMark/>
          </w:tcPr>
          <w:p w14:paraId="40A5B3EB" w14:textId="25AF68E5" w:rsidR="00B8763E" w:rsidRPr="00A01D7B" w:rsidRDefault="00B8763E">
            <w:pPr>
              <w:jc w:val="right"/>
              <w:rPr>
                <w:b/>
                <w:bCs/>
                <w:color w:val="000000"/>
                <w:sz w:val="20"/>
                <w:szCs w:val="20"/>
              </w:rPr>
            </w:pPr>
            <w:r>
              <w:rPr>
                <w:b/>
                <w:color w:val="000000"/>
                <w:sz w:val="20"/>
              </w:rPr>
              <w:t>3,56</w:t>
            </w:r>
          </w:p>
        </w:tc>
      </w:tr>
      <w:tr w:rsidR="00B8763E" w:rsidRPr="00A01D7B" w14:paraId="2BFDE10A" w14:textId="77777777">
        <w:trPr>
          <w:trHeight w:val="264"/>
        </w:trPr>
        <w:tc>
          <w:tcPr>
            <w:tcW w:w="31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E9FA6F" w14:textId="77777777" w:rsidR="00B8763E" w:rsidRPr="00A01D7B" w:rsidRDefault="00B8763E">
            <w:pPr>
              <w:jc w:val="left"/>
              <w:rPr>
                <w:color w:val="000000"/>
                <w:sz w:val="20"/>
                <w:szCs w:val="20"/>
              </w:rPr>
            </w:pPr>
            <w:r>
              <w:rPr>
                <w:color w:val="000000"/>
                <w:sz w:val="20"/>
              </w:rPr>
              <w:lastRenderedPageBreak/>
              <w:t>Réduction supplémentaire de la consommation restante admissible au financement</w:t>
            </w:r>
          </w:p>
        </w:tc>
        <w:tc>
          <w:tcPr>
            <w:tcW w:w="681" w:type="pct"/>
            <w:tcBorders>
              <w:top w:val="nil"/>
              <w:left w:val="nil"/>
              <w:bottom w:val="single" w:sz="4" w:space="0" w:color="auto"/>
              <w:right w:val="single" w:sz="4" w:space="0" w:color="auto"/>
            </w:tcBorders>
            <w:shd w:val="clear" w:color="auto" w:fill="auto"/>
            <w:vAlign w:val="center"/>
            <w:hideMark/>
          </w:tcPr>
          <w:p w14:paraId="2539597B" w14:textId="77777777" w:rsidR="00B8763E" w:rsidRPr="00A01D7B" w:rsidRDefault="00B8763E">
            <w:pPr>
              <w:jc w:val="right"/>
              <w:rPr>
                <w:color w:val="000000"/>
                <w:sz w:val="20"/>
                <w:szCs w:val="20"/>
              </w:rPr>
            </w:pPr>
            <w:r>
              <w:rPr>
                <w:color w:val="000000"/>
                <w:sz w:val="20"/>
              </w:rPr>
              <w:t>s.o.</w:t>
            </w:r>
          </w:p>
        </w:tc>
        <w:tc>
          <w:tcPr>
            <w:tcW w:w="607" w:type="pct"/>
            <w:tcBorders>
              <w:top w:val="nil"/>
              <w:left w:val="nil"/>
              <w:bottom w:val="single" w:sz="4" w:space="0" w:color="auto"/>
              <w:right w:val="single" w:sz="4" w:space="0" w:color="auto"/>
            </w:tcBorders>
            <w:shd w:val="clear" w:color="auto" w:fill="auto"/>
            <w:vAlign w:val="center"/>
            <w:hideMark/>
          </w:tcPr>
          <w:p w14:paraId="242A7F67" w14:textId="77777777" w:rsidR="00B8763E" w:rsidRPr="00A01D7B" w:rsidRDefault="00B8763E">
            <w:pPr>
              <w:jc w:val="right"/>
              <w:rPr>
                <w:color w:val="000000"/>
                <w:sz w:val="20"/>
                <w:szCs w:val="20"/>
              </w:rPr>
            </w:pPr>
            <w:r>
              <w:rPr>
                <w:color w:val="000000"/>
                <w:sz w:val="20"/>
              </w:rPr>
              <w:t>8 075,86</w:t>
            </w:r>
          </w:p>
        </w:tc>
        <w:tc>
          <w:tcPr>
            <w:tcW w:w="606" w:type="pct"/>
            <w:tcBorders>
              <w:top w:val="nil"/>
              <w:left w:val="nil"/>
              <w:bottom w:val="single" w:sz="4" w:space="0" w:color="auto"/>
              <w:right w:val="single" w:sz="4" w:space="0" w:color="auto"/>
            </w:tcBorders>
            <w:shd w:val="clear" w:color="auto" w:fill="auto"/>
            <w:vAlign w:val="center"/>
            <w:hideMark/>
          </w:tcPr>
          <w:p w14:paraId="0D666358" w14:textId="77777777" w:rsidR="00B8763E" w:rsidRPr="00A01D7B" w:rsidRDefault="00B8763E">
            <w:pPr>
              <w:jc w:val="right"/>
              <w:rPr>
                <w:color w:val="000000"/>
                <w:sz w:val="20"/>
                <w:szCs w:val="20"/>
              </w:rPr>
            </w:pPr>
            <w:r>
              <w:rPr>
                <w:color w:val="000000"/>
                <w:sz w:val="20"/>
              </w:rPr>
              <w:t>s.o.</w:t>
            </w:r>
          </w:p>
        </w:tc>
      </w:tr>
      <w:tr w:rsidR="00B8763E" w:rsidRPr="00A01D7B" w14:paraId="526DE84F" w14:textId="77777777">
        <w:trPr>
          <w:trHeight w:val="264"/>
        </w:trPr>
        <w:tc>
          <w:tcPr>
            <w:tcW w:w="31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AF0DB5" w14:textId="77777777" w:rsidR="00B8763E" w:rsidRPr="00A01D7B" w:rsidRDefault="00B8763E">
            <w:pPr>
              <w:jc w:val="left"/>
              <w:rPr>
                <w:b/>
                <w:bCs/>
                <w:color w:val="000000"/>
                <w:sz w:val="20"/>
                <w:szCs w:val="20"/>
              </w:rPr>
            </w:pPr>
            <w:r>
              <w:rPr>
                <w:b/>
                <w:color w:val="000000"/>
                <w:sz w:val="20"/>
              </w:rPr>
              <w:t>Total</w:t>
            </w:r>
          </w:p>
        </w:tc>
        <w:tc>
          <w:tcPr>
            <w:tcW w:w="681" w:type="pct"/>
            <w:tcBorders>
              <w:top w:val="nil"/>
              <w:left w:val="nil"/>
              <w:bottom w:val="single" w:sz="4" w:space="0" w:color="auto"/>
              <w:right w:val="single" w:sz="4" w:space="0" w:color="auto"/>
            </w:tcBorders>
            <w:shd w:val="clear" w:color="auto" w:fill="auto"/>
            <w:vAlign w:val="center"/>
            <w:hideMark/>
          </w:tcPr>
          <w:p w14:paraId="67ADA0C2" w14:textId="77777777" w:rsidR="00B8763E" w:rsidRPr="00A01D7B" w:rsidRDefault="00B8763E">
            <w:pPr>
              <w:jc w:val="right"/>
              <w:rPr>
                <w:b/>
                <w:bCs/>
                <w:color w:val="000000"/>
                <w:sz w:val="20"/>
                <w:szCs w:val="20"/>
              </w:rPr>
            </w:pPr>
            <w:r>
              <w:rPr>
                <w:b/>
                <w:color w:val="000000"/>
                <w:sz w:val="20"/>
              </w:rPr>
              <w:t>20 801 668</w:t>
            </w:r>
          </w:p>
        </w:tc>
        <w:tc>
          <w:tcPr>
            <w:tcW w:w="607" w:type="pct"/>
            <w:tcBorders>
              <w:top w:val="nil"/>
              <w:left w:val="nil"/>
              <w:bottom w:val="single" w:sz="4" w:space="0" w:color="auto"/>
              <w:right w:val="single" w:sz="4" w:space="0" w:color="auto"/>
            </w:tcBorders>
            <w:shd w:val="clear" w:color="auto" w:fill="auto"/>
            <w:vAlign w:val="center"/>
            <w:hideMark/>
          </w:tcPr>
          <w:p w14:paraId="0AFD21AC" w14:textId="77777777" w:rsidR="00B8763E" w:rsidRPr="00A01D7B" w:rsidRDefault="00B8763E">
            <w:pPr>
              <w:jc w:val="right"/>
              <w:rPr>
                <w:b/>
                <w:bCs/>
                <w:color w:val="000000"/>
                <w:sz w:val="20"/>
                <w:szCs w:val="20"/>
              </w:rPr>
            </w:pPr>
            <w:r>
              <w:rPr>
                <w:b/>
                <w:color w:val="000000"/>
                <w:sz w:val="20"/>
              </w:rPr>
              <w:t>13 922,41</w:t>
            </w:r>
          </w:p>
        </w:tc>
        <w:tc>
          <w:tcPr>
            <w:tcW w:w="606" w:type="pct"/>
            <w:tcBorders>
              <w:top w:val="nil"/>
              <w:left w:val="nil"/>
              <w:bottom w:val="single" w:sz="4" w:space="0" w:color="auto"/>
              <w:right w:val="single" w:sz="4" w:space="0" w:color="auto"/>
            </w:tcBorders>
            <w:shd w:val="clear" w:color="auto" w:fill="auto"/>
            <w:vAlign w:val="center"/>
            <w:hideMark/>
          </w:tcPr>
          <w:p w14:paraId="2C018C3E" w14:textId="30B02B93" w:rsidR="00B8763E" w:rsidRPr="00A01D7B" w:rsidRDefault="00B8763E">
            <w:pPr>
              <w:jc w:val="right"/>
              <w:rPr>
                <w:b/>
                <w:bCs/>
                <w:color w:val="000000"/>
                <w:sz w:val="20"/>
                <w:szCs w:val="20"/>
              </w:rPr>
            </w:pPr>
            <w:r>
              <w:rPr>
                <w:b/>
                <w:color w:val="000000"/>
                <w:sz w:val="20"/>
              </w:rPr>
              <w:t>1,49</w:t>
            </w:r>
          </w:p>
        </w:tc>
      </w:tr>
    </w:tbl>
    <w:p w14:paraId="5D760AF8" w14:textId="77777777" w:rsidR="00B8763E" w:rsidRPr="00EB442A" w:rsidRDefault="00B8763E" w:rsidP="00B8763E">
      <w:pPr>
        <w:rPr>
          <w:sz w:val="18"/>
          <w:szCs w:val="18"/>
        </w:rPr>
      </w:pPr>
      <w:r>
        <w:rPr>
          <w:sz w:val="18"/>
          <w:vertAlign w:val="superscript"/>
        </w:rPr>
        <w:t>*</w:t>
      </w:r>
      <w:r>
        <w:rPr>
          <w:sz w:val="18"/>
        </w:rPr>
        <w:t xml:space="preserve"> Un minimum de 11 000 techniciens seront formés et certifiés au titre de la phase II.</w:t>
      </w:r>
    </w:p>
    <w:p w14:paraId="148FB7FE" w14:textId="77777777" w:rsidR="00B8763E" w:rsidRDefault="00B8763E" w:rsidP="00B8763E"/>
    <w:p w14:paraId="499FEA51" w14:textId="772EBB48" w:rsidR="004B22A0" w:rsidRDefault="00786157" w:rsidP="00B8763E">
      <w:pPr>
        <w:rPr>
          <w:u w:val="single"/>
        </w:rPr>
      </w:pPr>
      <w:r>
        <w:rPr>
          <w:u w:val="single"/>
        </w:rPr>
        <w:t>État des discussions entre le Secrétariat, l’ONUDI et le PNUE</w:t>
      </w:r>
    </w:p>
    <w:p w14:paraId="6390B840" w14:textId="77777777" w:rsidR="007D6B92" w:rsidRPr="00786157" w:rsidRDefault="007D6B92" w:rsidP="00B8763E">
      <w:pPr>
        <w:rPr>
          <w:u w:val="single"/>
        </w:rPr>
      </w:pPr>
    </w:p>
    <w:p w14:paraId="050BAB50" w14:textId="44174F7C" w:rsidR="004E7FD3" w:rsidRDefault="005606B9" w:rsidP="00953931">
      <w:pPr>
        <w:pStyle w:val="Heading1"/>
        <w:numPr>
          <w:ilvl w:val="0"/>
          <w:numId w:val="14"/>
        </w:numPr>
        <w:tabs>
          <w:tab w:val="clear" w:pos="993"/>
          <w:tab w:val="num" w:pos="0"/>
        </w:tabs>
        <w:ind w:left="0"/>
      </w:pPr>
      <w:r>
        <w:t xml:space="preserve">Alors que le Gouvernement de l’Arabie saoudite a accepté les ajustements des coûts et des activités proposés par le Secrétariat, et la plupart des objectifs proposés, </w:t>
      </w:r>
      <w:r w:rsidR="00E57090">
        <w:t>il</w:t>
      </w:r>
      <w:r>
        <w:t xml:space="preserve"> a refusé le nombre minimum de techniciens proposé par le Secrétariat. Le Gouvernement a particulièrement mis en avant qu’il pourrait être difficile d’atteindre l’objectif plus élevé du nombre de techniciens formés et certifiés proposé par le Secrétariat dans le délai du projet, surtout en tenant compte des modifications en cours au sein des entités de formation gouvernementales concernées, et a plutôt proposé un objectif minimum pour la formation et la certification de 5 000 techniciens. Conformément à cet objectif réduit, le Gouvernement a proposé d’ajuster l</w:t>
      </w:r>
      <w:r w:rsidR="00E57090">
        <w:t>’</w:t>
      </w:r>
      <w:r>
        <w:t>objectif pour la présentation des deuxième et troisième tranches à respectivement au moins</w:t>
      </w:r>
      <w:r w:rsidR="007733A1">
        <w:t> </w:t>
      </w:r>
      <w:r>
        <w:t>1 000</w:t>
      </w:r>
      <w:r w:rsidR="007733A1">
        <w:t> </w:t>
      </w:r>
      <w:r>
        <w:t>et 3 000 techniciens formés et certifiés.</w:t>
      </w:r>
    </w:p>
    <w:p w14:paraId="6E9A7080" w14:textId="2FEF9FB8" w:rsidR="00826F8D" w:rsidRDefault="009C2966" w:rsidP="00953931">
      <w:pPr>
        <w:pStyle w:val="Heading1"/>
        <w:numPr>
          <w:ilvl w:val="0"/>
          <w:numId w:val="14"/>
        </w:numPr>
        <w:tabs>
          <w:tab w:val="clear" w:pos="993"/>
          <w:tab w:val="num" w:pos="0"/>
        </w:tabs>
        <w:ind w:left="0"/>
      </w:pPr>
      <w:r>
        <w:t>En outre, le Gouvernement a proposé de passer l’objectif lié à la mise en œuvre d’une politique d’approvisionnement respectueux de l’environnement de la deuxième à la troisième tranche et d’ajuster l’objectif en ne le dédiant plus à la mise en œuvre, pour se concentrer exclusivement sur l’élaboration d’une politique d’approvisionnement respectueux de l’environnement qui exige que seuls des techniciens certifiés soient autorisés à entretenir de l’équipement de réfrigération et de climatisation dans le cadre de contrats gouvernementaux, en notant que le Gouvernement prévoyait d’élaborer la politique en proche partenariat avec les autorités et les parties prenantes concernées au titre de la deuxième tranche.</w:t>
      </w:r>
    </w:p>
    <w:p w14:paraId="2CC0F40D" w14:textId="16CF2DE3" w:rsidR="001F723A" w:rsidRDefault="00826F8D" w:rsidP="00953931">
      <w:pPr>
        <w:pStyle w:val="Heading1"/>
        <w:numPr>
          <w:ilvl w:val="0"/>
          <w:numId w:val="14"/>
        </w:numPr>
        <w:tabs>
          <w:tab w:val="clear" w:pos="993"/>
          <w:tab w:val="num" w:pos="0"/>
        </w:tabs>
        <w:ind w:left="0"/>
      </w:pPr>
      <w:r>
        <w:t>Alors que le Gouvernement avait accepté l’objectif associé à la mise en œuvre d’une application d’enregistrement électronique pour les techniciens certifiés, au moment de la finalisation du présent document, il n’était pas clair pour le Secrétariat si le Gouvernement avait accepté l’objectif associé à la mise en œuvre d’un enregistrement électronique pour les ateliers d’entretien.</w:t>
      </w:r>
    </w:p>
    <w:p w14:paraId="7625E264" w14:textId="308B5843" w:rsidR="009C2966" w:rsidRDefault="00642615" w:rsidP="00953931">
      <w:pPr>
        <w:pStyle w:val="Heading1"/>
        <w:numPr>
          <w:ilvl w:val="0"/>
          <w:numId w:val="14"/>
        </w:numPr>
        <w:tabs>
          <w:tab w:val="clear" w:pos="993"/>
          <w:tab w:val="num" w:pos="0"/>
        </w:tabs>
        <w:ind w:left="0"/>
      </w:pPr>
      <w:r>
        <w:t>De plus, alors que le Gouvernement avait accepté les ajustements des coûts et des activités proposés par le Secrétariat, la ventilation de ces coûts acceptés entre l’ONUDI et le PNUE, et la répartition finale de la tranche, n’étaient pas encore disponibles. Par ailleurs, comme la ventilation des coûts convenus entre l’ONUDI et le PNUE n’était pas encore disponible au moment de la finalisation du présent document, le Secrétariat n’était pas encore en mesure de déterminer le niveau des coûts d’appui aux agences pour chacune des agences.</w:t>
      </w:r>
    </w:p>
    <w:p w14:paraId="1C15E4D0" w14:textId="705E4869" w:rsidR="00AB25A9" w:rsidRPr="00507487" w:rsidRDefault="00507487" w:rsidP="00AB25A9">
      <w:pPr>
        <w:rPr>
          <w:b/>
          <w:bCs/>
        </w:rPr>
      </w:pPr>
      <w:r>
        <w:rPr>
          <w:b/>
        </w:rPr>
        <w:t>Remarques finales du Secrétariat</w:t>
      </w:r>
    </w:p>
    <w:p w14:paraId="517982D6" w14:textId="77777777" w:rsidR="00AB25A9" w:rsidRPr="00AB25A9" w:rsidRDefault="00AB25A9" w:rsidP="00AB25A9"/>
    <w:p w14:paraId="45985C64" w14:textId="6CC5DCA0" w:rsidR="00507487" w:rsidRDefault="009C1EBD" w:rsidP="00953931">
      <w:pPr>
        <w:pStyle w:val="Heading1"/>
        <w:numPr>
          <w:ilvl w:val="0"/>
          <w:numId w:val="14"/>
        </w:numPr>
        <w:tabs>
          <w:tab w:val="clear" w:pos="993"/>
          <w:tab w:val="num" w:pos="0"/>
        </w:tabs>
        <w:ind w:left="0"/>
      </w:pPr>
      <w:r>
        <w:t>Le Secrétariat a pris note avec satisfaction de la souplesse et la compréhension considérables dont a fait preuve le Gouvernement, ainsi que l’ONUDI et le PNUE, qui ont permis d’atteindre un accord sur presque tous les ajustements proposés par le Secrétariat. Malgré cette souplesse, et les discussions constructives tenues avec l’ONUDI et le PNUE, il n’a pas été possible de s’accorder, au moment de la finalisation du présent document, sur le nombre minimum de techniciens à former et certifier au titre du plan ajusté, et sur tous les objectifs proposés par le Secrétariat.</w:t>
      </w:r>
    </w:p>
    <w:p w14:paraId="3B75B440" w14:textId="12DB4E7A" w:rsidR="00B23E31" w:rsidRDefault="00EB1EB7">
      <w:pPr>
        <w:pStyle w:val="Heading1"/>
        <w:numPr>
          <w:ilvl w:val="0"/>
          <w:numId w:val="14"/>
        </w:numPr>
        <w:tabs>
          <w:tab w:val="clear" w:pos="993"/>
          <w:tab w:val="num" w:pos="0"/>
        </w:tabs>
        <w:ind w:left="0"/>
      </w:pPr>
      <w:r>
        <w:t xml:space="preserve">En proposant un objectif d’au moins 11 000 techniciens à former et certifier, le Secrétariat avait pris en compte aussi bien les coûts pour atteindre cet objectif que le besoin du pays en techniciens convenablement formés. Pour ce qui est des coûts, ceux proposés par le Secrétariat menaient à un coût moyen de formation et de certification de 818 $ US/technicien ; un objectif de 5 000 techniciens entraînerait </w:t>
      </w:r>
      <w:r>
        <w:lastRenderedPageBreak/>
        <w:t>un coût moyen de 1 799 $ US/technicien. Bien que le coût de formation et de certification des techniciens puisse varier d’un pays à l’autre, le Secrétariat a remarqué que deux autres nouvelles phases de PGEH pour des pays ne faisant pas partie des pays à faible volume de consommation (FVC) pris en considération à la présente réunion avaient un coût moyen de formation de 420 $ US/technicien et 485 $ US/technicien ; et que la nouvelle phase du PGEH pour un pays autre que FVC approuvé à la 93</w:t>
      </w:r>
      <w:r>
        <w:rPr>
          <w:vertAlign w:val="superscript"/>
        </w:rPr>
        <w:t>e</w:t>
      </w:r>
      <w:r>
        <w:t xml:space="preserve"> réunion avait un coût moyen de 401 $ US/technicien. En conséquence, le Secrétariat </w:t>
      </w:r>
      <w:r w:rsidR="00345617">
        <w:t>a</w:t>
      </w:r>
      <w:r>
        <w:t xml:space="preserve"> considéré que le financement proposé devait être adéquat pour la formation et la certification d’au moins 11 000 techniciens, à défaut de mieux. Quant au second point, le Secrétariat a considéré qu’il était pertinent de fixer un objectif de formation et de certification d’environ la moitié des techniciens du pays, étant donné le rôle crucial que les </w:t>
      </w:r>
      <w:r w:rsidR="00C14906">
        <w:t>techniciens de réfrigération et</w:t>
      </w:r>
      <w:r>
        <w:t xml:space="preserve"> climatisation joueront dans l’aide à la réduction de la consommation du secteur de l’entretien du pays, qui était le seul secteur de HCFC restant dans le pays et, prenant note que la phase II du PGEH permettrait l’élimination totale des HCFC, qu’il serait aussi crucial de s’assurer d’un vivier suffisant de techniciens formés et certifiés pour garantir que toute consommation de HCFC dans la période 2030–2040 serait conforme au paragraphe 8 ter e) i) de l’Article 5 du Protocole de Montréal. De plus, le pays avait déjà mis en œuvre un programme obligatoire de certification des </w:t>
      </w:r>
      <w:r w:rsidR="00C14906">
        <w:t>techniciens de réfrigération et</w:t>
      </w:r>
      <w:r>
        <w:t xml:space="preserve"> climatisation, suggérant une urgence à accélérer rapidement la formation et la certification des techniciens dans le pays.</w:t>
      </w:r>
    </w:p>
    <w:p w14:paraId="18F2BFD7" w14:textId="09239AF8" w:rsidR="006C7D42" w:rsidRDefault="005A2950">
      <w:pPr>
        <w:pStyle w:val="Heading1"/>
        <w:numPr>
          <w:ilvl w:val="0"/>
          <w:numId w:val="14"/>
        </w:numPr>
        <w:tabs>
          <w:tab w:val="clear" w:pos="993"/>
          <w:tab w:val="num" w:pos="0"/>
        </w:tabs>
        <w:ind w:left="0"/>
      </w:pPr>
      <w:r>
        <w:t>Notant que presque toutes les questions avaient fait l’objet d’un accord, que le projet a été proposé le 13 février 2024 et</w:t>
      </w:r>
      <w:r w:rsidR="000B4C88">
        <w:t xml:space="preserve"> que</w:t>
      </w:r>
      <w:r>
        <w:t xml:space="preserve"> la réduction de la consommation du pays exigée au titre du calendrier de contrôle du Protocole de Montréal en 2025</w:t>
      </w:r>
      <w:r w:rsidR="000B4C88">
        <w:t xml:space="preserve"> est considérable</w:t>
      </w:r>
      <w:r>
        <w:t>, le Secrétariat a proposé de poursuivre ses discussions avec l’ONUDI et le PNUE, en notant également qu’il communiquerait</w:t>
      </w:r>
      <w:r w:rsidR="00AE39E9">
        <w:t xml:space="preserve"> au Comité exécutif</w:t>
      </w:r>
      <w:r>
        <w:t xml:space="preserve"> les conclusions, le cas échéant, de ses discussions avec l’ONUDI et le PNUE lors de la 94</w:t>
      </w:r>
      <w:r>
        <w:rPr>
          <w:vertAlign w:val="superscript"/>
        </w:rPr>
        <w:t>e</w:t>
      </w:r>
      <w:r>
        <w:t> réunion.</w:t>
      </w:r>
    </w:p>
    <w:p w14:paraId="1A2EC6CD" w14:textId="77777777" w:rsidR="004177A6" w:rsidRPr="00996241" w:rsidRDefault="004177A6" w:rsidP="004177A6">
      <w:pPr>
        <w:keepNext/>
        <w:spacing w:after="240"/>
        <w:rPr>
          <w:u w:val="single"/>
        </w:rPr>
      </w:pPr>
      <w:bookmarkStart w:id="18" w:name="_Hlk126916178"/>
      <w:r>
        <w:rPr>
          <w:u w:val="single"/>
        </w:rPr>
        <w:t>Incidence sur le climat</w:t>
      </w:r>
    </w:p>
    <w:bookmarkEnd w:id="18"/>
    <w:p w14:paraId="0F8D5CA6" w14:textId="4D82558C" w:rsidR="004177A6" w:rsidRDefault="004177A6" w:rsidP="00B23E31">
      <w:pPr>
        <w:pStyle w:val="Heading1"/>
        <w:numPr>
          <w:ilvl w:val="0"/>
          <w:numId w:val="14"/>
        </w:numPr>
        <w:tabs>
          <w:tab w:val="clear" w:pos="993"/>
          <w:tab w:val="num" w:pos="0"/>
        </w:tabs>
        <w:ind w:left="0"/>
      </w:pPr>
      <w:r>
        <w:t>Les activités proposées dans le secteur de l’entretien, qui incluent un meilleur confinement des frigorigènes par de la formation et la fourniture d’équipements, réduiront la quantité de HCFC</w:t>
      </w:r>
      <w:r>
        <w:noBreakHyphen/>
        <w:t>22 utilisé pour l’entretien de l’équipement de réfrigération et de climatisation. Chaque kilogramme de HCFC-22 et de HCFC-123 non émis grâce à de meilleures pratiques en réfrigération permet d’économiser respectivement environ 1,81 tonne équivalent CO</w:t>
      </w:r>
      <w:r>
        <w:rPr>
          <w:vertAlign w:val="subscript"/>
        </w:rPr>
        <w:t>2</w:t>
      </w:r>
      <w:r>
        <w:t xml:space="preserve"> et 0,08 tonne équivalent CO</w:t>
      </w:r>
      <w:r>
        <w:rPr>
          <w:vertAlign w:val="subscript"/>
        </w:rPr>
        <w:t>2</w:t>
      </w:r>
      <w:r>
        <w:t>. Bien que le PGEH n’incluait pas un calcul de l’incidence sur le climat, les activités prévues par l’Arabie saoudite, incluant ses efforts pour promouvoir la récupération et</w:t>
      </w:r>
      <w:r w:rsidR="00AE39E9">
        <w:t xml:space="preserve"> la</w:t>
      </w:r>
      <w:r>
        <w:t xml:space="preserve"> réutilisation des frigorigènes, indiquent que la mise en œuvre du PGEH réduira les émissions de frigorigènes dans l’atmosphère, avec des résultats bénéfiques pour le climat.</w:t>
      </w:r>
    </w:p>
    <w:p w14:paraId="3D280C4B" w14:textId="77777777" w:rsidR="004177A6" w:rsidRPr="00EE1B05" w:rsidRDefault="004177A6" w:rsidP="004177A6">
      <w:pPr>
        <w:spacing w:after="240"/>
        <w:rPr>
          <w:u w:val="single"/>
        </w:rPr>
      </w:pPr>
      <w:bookmarkStart w:id="19" w:name="_Hlk126916186"/>
      <w:r>
        <w:rPr>
          <w:u w:val="single"/>
        </w:rPr>
        <w:t>Durabilité de l’élimination des HCFC et évaluation des risques</w:t>
      </w:r>
    </w:p>
    <w:bookmarkEnd w:id="19"/>
    <w:p w14:paraId="1ABAA734" w14:textId="797B5728" w:rsidR="003E0ABA" w:rsidRDefault="003E0ABA" w:rsidP="00953931">
      <w:pPr>
        <w:pStyle w:val="Heading1"/>
        <w:numPr>
          <w:ilvl w:val="0"/>
          <w:numId w:val="14"/>
        </w:numPr>
        <w:tabs>
          <w:tab w:val="clear" w:pos="993"/>
          <w:tab w:val="num" w:pos="0"/>
        </w:tabs>
        <w:ind w:left="0"/>
      </w:pPr>
      <w:r>
        <w:t>Bien que le pays ait mis en place un système robuste d’octroi de permis et de quotas qui permettra sa conformité avec le calendrier de contrôle des HCFC au titre du Protocole de Montréal, l’importante demande continue de HCFC-22 pour l’entretien de l’équipement de réfrigération et de climatisation existant, la réduction considérable de la consommation en 2025 et l’élimination ultérieure des HCFC en 2030 suggèrent qu’il existe un risque que le pays ait des difficultés à respecter ses obligations au titre du Protocole.</w:t>
      </w:r>
    </w:p>
    <w:p w14:paraId="09769606" w14:textId="0BCB862E" w:rsidR="00D03E8C" w:rsidRDefault="00F654C2">
      <w:pPr>
        <w:pStyle w:val="Heading1"/>
        <w:numPr>
          <w:ilvl w:val="0"/>
          <w:numId w:val="14"/>
        </w:numPr>
        <w:tabs>
          <w:tab w:val="clear" w:pos="993"/>
          <w:tab w:val="num" w:pos="0"/>
        </w:tabs>
        <w:ind w:left="0"/>
      </w:pPr>
      <w:r>
        <w:t>Le cadre des réglementations et des politiques générales pour soutenir cette élimination comprend l’interdiction au 1</w:t>
      </w:r>
      <w:r>
        <w:rPr>
          <w:vertAlign w:val="superscript"/>
        </w:rPr>
        <w:t>er</w:t>
      </w:r>
      <w:r>
        <w:t xml:space="preserve"> janvier 2025 des importations et de la fabrication d’équipements utilisant des HCFC. Le système électronique d’octroi de permis et d’autres mesures de renforcement de la capacité des douanes, dont celles liées à la détection et au découragement du commerce illicite des substances réglementées, aideront le pays à surveiller et contrôler les importations. Le Secrétariat considère qu’un afflux approprié de techniciens formés et certifiés sera primordial pour assurer l’élimination durable des HCFC. En vue de permettre la durabilité du programme de formation et de certification après l’achèvement de la phase II, et pour inciter la formation et la certification précoces des techniciens, le Secrétariat avait suggéré de réduire graduellement le soutien offert pour couvrir les coûts du test d’évaluation des techniciens et les coûts de </w:t>
      </w:r>
      <w:r>
        <w:lastRenderedPageBreak/>
        <w:t>l’équipement et des outils qui leur serait fourni comme incitation à la participation au programme. L’application d’enregistrement électronique pour les techniciens certifiés, le système d’enregistrement électronique pour les ateliers, et la politique d’approvisionnement respectueux de l’environnement exigeant que seuls des techniciens certifiés soient autorisés à entretenir l’équipement de réfrigération et de climatisation dans le cadre de contrats gouvernementaux pourraient tous aider à augmenter la demande en techniciens certifiés.</w:t>
      </w:r>
    </w:p>
    <w:p w14:paraId="5EFEDF01" w14:textId="10BA31C8" w:rsidR="000C1D46" w:rsidRPr="003E0ABA" w:rsidRDefault="00F654C2" w:rsidP="00953931">
      <w:pPr>
        <w:pStyle w:val="Heading1"/>
        <w:numPr>
          <w:ilvl w:val="0"/>
          <w:numId w:val="14"/>
        </w:numPr>
        <w:tabs>
          <w:tab w:val="clear" w:pos="993"/>
          <w:tab w:val="num" w:pos="0"/>
        </w:tabs>
        <w:ind w:left="0"/>
      </w:pPr>
      <w:r>
        <w:t>L’ONUDI a souligné que, afin d’assurer la durabilité du programme de formation et de certification après l’achèvement de la phase II, le pays continuerait entre autre à construire et renforcer le programme national de certification ; à appliquer les règles de certification en prérequis pour l’octroi de permis d’exercer aux techniciens, assurant la demande en techniciens certifiés ; et à collaborer avec les institutions éducatives et les associations industrielles pour offrir des opportunités de formation continue et mettre à jour le processus de certification à mesure que les normes industrielles évoluent. Ces efforts combinés aideront à maintenir un niveau élevé d’expertise parmi les techniciens de CVC en Arabie saoudite, garantissant que les pratiques industrielles restent en conformité avec les normes environnementales internationales et contribuent effectivement aux engagements du pays au titre du Protocole de Montréal.</w:t>
      </w:r>
    </w:p>
    <w:p w14:paraId="53151BE5" w14:textId="19E754E0" w:rsidR="004177A6" w:rsidRPr="00DC2B3A" w:rsidRDefault="004177A6" w:rsidP="004177A6">
      <w:pPr>
        <w:spacing w:after="240"/>
        <w:outlineLvl w:val="0"/>
        <w:rPr>
          <w:bCs/>
          <w:u w:val="single"/>
        </w:rPr>
      </w:pPr>
      <w:bookmarkStart w:id="20" w:name="_Hlk126916245"/>
      <w:r>
        <w:rPr>
          <w:u w:val="single"/>
        </w:rPr>
        <w:t>Projet d’Accord</w:t>
      </w:r>
    </w:p>
    <w:bookmarkEnd w:id="20"/>
    <w:p w14:paraId="6BDBEF3D" w14:textId="1836B538" w:rsidR="004177A6" w:rsidRDefault="000A4294" w:rsidP="00953931">
      <w:pPr>
        <w:pStyle w:val="Heading1"/>
        <w:numPr>
          <w:ilvl w:val="0"/>
          <w:numId w:val="14"/>
        </w:numPr>
        <w:tabs>
          <w:tab w:val="clear" w:pos="993"/>
          <w:tab w:val="num" w:pos="0"/>
        </w:tabs>
        <w:ind w:left="0"/>
      </w:pPr>
      <w:r>
        <w:t>Un projet d’Accord entre le Gouvernement de l’Arabie saoudite et le Comité exécutif pour la phase II du PGEH est en cours de préparation.</w:t>
      </w:r>
    </w:p>
    <w:p w14:paraId="6F75E933" w14:textId="77777777" w:rsidR="004177A6" w:rsidRPr="00996241" w:rsidRDefault="004177A6" w:rsidP="004177A6">
      <w:pPr>
        <w:keepNext/>
        <w:keepLines/>
        <w:autoSpaceDE w:val="0"/>
        <w:autoSpaceDN w:val="0"/>
        <w:adjustRightInd w:val="0"/>
        <w:spacing w:before="360" w:after="240"/>
        <w:outlineLvl w:val="0"/>
        <w:rPr>
          <w:b/>
        </w:rPr>
      </w:pPr>
      <w:bookmarkStart w:id="21" w:name="_Hlk126916251"/>
      <w:r>
        <w:rPr>
          <w:b/>
        </w:rPr>
        <w:t>RECOMMANDATION</w:t>
      </w:r>
    </w:p>
    <w:bookmarkEnd w:id="21"/>
    <w:p w14:paraId="1413A68A" w14:textId="784C7964" w:rsidR="00B0016A" w:rsidRPr="00996241" w:rsidRDefault="00D97B35" w:rsidP="001F4396">
      <w:pPr>
        <w:pStyle w:val="Heading1"/>
        <w:numPr>
          <w:ilvl w:val="0"/>
          <w:numId w:val="14"/>
        </w:numPr>
        <w:tabs>
          <w:tab w:val="clear" w:pos="993"/>
          <w:tab w:val="num" w:pos="0"/>
        </w:tabs>
        <w:ind w:left="0"/>
        <w:rPr>
          <w:b/>
        </w:rPr>
      </w:pPr>
      <w:r>
        <w:t>[Le Comité exécutif pourrait souhaiter :</w:t>
      </w:r>
    </w:p>
    <w:p w14:paraId="50E8C0B1" w14:textId="034BC75E" w:rsidR="00B0016A" w:rsidRPr="00996241" w:rsidRDefault="00B0016A" w:rsidP="00B0016A">
      <w:pPr>
        <w:widowControl w:val="0"/>
        <w:numPr>
          <w:ilvl w:val="1"/>
          <w:numId w:val="17"/>
        </w:numPr>
        <w:spacing w:after="240"/>
        <w:outlineLvl w:val="1"/>
      </w:pPr>
      <w:r>
        <w:t>approuver, en principe, la phase II du plan de gestion de l’élimination des HCFC (PGEH) pour l’Arabie saoudite pour la période de 2024 à 2030 afin d’éliminer complètement la consommation de HCFC, au montant de [20 801 668 $ US plus des coûts d’appui aux agences], soit [</w:t>
      </w:r>
      <w:r w:rsidR="003C76F0">
        <w:t xml:space="preserve"> </w:t>
      </w:r>
      <w:r>
        <w:t>] $ US, plus des coûts d’appui à l’agence de [</w:t>
      </w:r>
      <w:r w:rsidR="003C76F0">
        <w:t xml:space="preserve"> </w:t>
      </w:r>
      <w:r>
        <w:t>] $ US, pour l’ONUDI et [</w:t>
      </w:r>
      <w:r w:rsidR="003C76F0">
        <w:t> </w:t>
      </w:r>
      <w:r>
        <w:t>] $</w:t>
      </w:r>
      <w:r w:rsidR="003C76F0">
        <w:t> </w:t>
      </w:r>
      <w:r>
        <w:t>US, plus des coûts d’appui à l’agence de [</w:t>
      </w:r>
      <w:r w:rsidR="003C76F0">
        <w:t xml:space="preserve"> </w:t>
      </w:r>
      <w:r>
        <w:t>] $ US, pour le PNUE, étant entendu que le Fonds multilatéral n’octroierait aucun autre financement pour l’élimination des HCFC ;</w:t>
      </w:r>
    </w:p>
    <w:p w14:paraId="0C3527DC" w14:textId="77777777" w:rsidR="00B0016A" w:rsidRDefault="00B0016A" w:rsidP="00B0016A">
      <w:pPr>
        <w:widowControl w:val="0"/>
        <w:numPr>
          <w:ilvl w:val="1"/>
          <w:numId w:val="17"/>
        </w:numPr>
        <w:spacing w:after="240"/>
        <w:outlineLvl w:val="1"/>
      </w:pPr>
      <w:r>
        <w:t>prendre note de l’engagement du Gouvernement de l’Arabie saoudite à éliminer totalement les HCFC d’ici au 1</w:t>
      </w:r>
      <w:r>
        <w:rPr>
          <w:vertAlign w:val="superscript"/>
        </w:rPr>
        <w:t>er</w:t>
      </w:r>
      <w:r>
        <w:t> janvier 2030 et à interdire toute importation de HCFC après cette date, à l’exception des importations autorisées pour le reliquat à des fins d’entretien entre 2030 et 2040, s’il y a lieu, conformément aux dispositions du Protocole de Montréal ;</w:t>
      </w:r>
    </w:p>
    <w:p w14:paraId="6E46E96D" w14:textId="77777777" w:rsidR="00B0016A" w:rsidRDefault="00B0016A" w:rsidP="00B0016A">
      <w:pPr>
        <w:widowControl w:val="0"/>
        <w:numPr>
          <w:ilvl w:val="1"/>
          <w:numId w:val="17"/>
        </w:numPr>
        <w:spacing w:after="240"/>
        <w:outlineLvl w:val="1"/>
      </w:pPr>
      <w:r>
        <w:t>prendre note de l’engagement du Gouvernement :</w:t>
      </w:r>
    </w:p>
    <w:p w14:paraId="3175F7E1" w14:textId="5AAFD7C3" w:rsidR="00B0016A" w:rsidRDefault="00B0016A" w:rsidP="00F64BCF">
      <w:pPr>
        <w:widowControl w:val="0"/>
        <w:numPr>
          <w:ilvl w:val="2"/>
          <w:numId w:val="17"/>
        </w:numPr>
        <w:tabs>
          <w:tab w:val="clear" w:pos="-270"/>
          <w:tab w:val="num" w:pos="0"/>
        </w:tabs>
        <w:spacing w:after="240"/>
        <w:ind w:left="2160"/>
        <w:outlineLvl w:val="2"/>
      </w:pPr>
      <w:r>
        <w:t>à interdire les importations et la fabrication d’équipements utilisant des HCFC d’ici au 1</w:t>
      </w:r>
      <w:r>
        <w:rPr>
          <w:vertAlign w:val="superscript"/>
        </w:rPr>
        <w:t>er</w:t>
      </w:r>
      <w:r>
        <w:t> janvier 2025 ;</w:t>
      </w:r>
    </w:p>
    <w:p w14:paraId="15B34131" w14:textId="42FBB945" w:rsidR="00B0016A" w:rsidRPr="00F57D81" w:rsidRDefault="00B0016A" w:rsidP="00F64BCF">
      <w:pPr>
        <w:numPr>
          <w:ilvl w:val="2"/>
          <w:numId w:val="17"/>
        </w:numPr>
        <w:tabs>
          <w:tab w:val="clear" w:pos="-270"/>
          <w:tab w:val="num" w:pos="0"/>
        </w:tabs>
        <w:spacing w:after="240"/>
        <w:ind w:left="2160"/>
        <w:outlineLvl w:val="2"/>
      </w:pPr>
      <w:r>
        <w:t>à exempter l’équipement acheté et importé dans le pays dans le cadre de la phase II du PGEH de tous prélèvements, taxes et droits, ou à supporter le coût de tels prélèvements, taxes et droits ;</w:t>
      </w:r>
    </w:p>
    <w:p w14:paraId="509CB132" w14:textId="26F52B22" w:rsidR="00F85415" w:rsidRDefault="00F85415" w:rsidP="00B0016A">
      <w:pPr>
        <w:widowControl w:val="0"/>
        <w:numPr>
          <w:ilvl w:val="1"/>
          <w:numId w:val="17"/>
        </w:numPr>
        <w:spacing w:after="240"/>
        <w:outlineLvl w:val="1"/>
      </w:pPr>
      <w:r>
        <w:t>prendre note que :</w:t>
      </w:r>
    </w:p>
    <w:p w14:paraId="4AE79568" w14:textId="23AB0463" w:rsidR="00D21FAA" w:rsidRDefault="00D21FAA" w:rsidP="00F64BCF">
      <w:pPr>
        <w:widowControl w:val="0"/>
        <w:numPr>
          <w:ilvl w:val="2"/>
          <w:numId w:val="17"/>
        </w:numPr>
        <w:tabs>
          <w:tab w:val="clear" w:pos="-270"/>
          <w:tab w:val="num" w:pos="0"/>
        </w:tabs>
        <w:spacing w:after="240"/>
        <w:ind w:left="2160"/>
        <w:outlineLvl w:val="2"/>
      </w:pPr>
      <w:r>
        <w:t>la mise en œuvre de la phase II du PGEH entraînerait la formation et la certification d’au moins [11 000][5 000] techniciens ;</w:t>
      </w:r>
    </w:p>
    <w:p w14:paraId="4E512447" w14:textId="75659969" w:rsidR="00F85415" w:rsidRDefault="004E495D" w:rsidP="00F64BCF">
      <w:pPr>
        <w:widowControl w:val="0"/>
        <w:numPr>
          <w:ilvl w:val="2"/>
          <w:numId w:val="17"/>
        </w:numPr>
        <w:tabs>
          <w:tab w:val="clear" w:pos="-270"/>
          <w:tab w:val="num" w:pos="0"/>
        </w:tabs>
        <w:spacing w:after="240"/>
        <w:ind w:left="2160"/>
        <w:outlineLvl w:val="2"/>
      </w:pPr>
      <w:r>
        <w:t xml:space="preserve">la présentation de la deuxième tranche de la phase II du PGEH serait soumise à : </w:t>
      </w:r>
      <w:r>
        <w:lastRenderedPageBreak/>
        <w:t>la mise en œuvre d’une interdiction des importations et de la fabrication d’équipements utilisant des HCFC ; [la mise en œuvre d’une politique d’approvisionnement respectueuse de l’environnement qui impose que seuls les techniciens certifiés soient autorisés à entretenir l’équipement de réfrigération et de climatisation dans le cadre de contrats gouvernementaux ;] l’élaboration d’une politique et de réglementations pour la régénération et l’établissement d’un centre de récupération ; et la formation et la certification d’au moins [1 500][1 000] techniciens ;</w:t>
      </w:r>
    </w:p>
    <w:p w14:paraId="73A18316" w14:textId="79037CDC" w:rsidR="00F30B24" w:rsidRDefault="00F30B24" w:rsidP="00F64BCF">
      <w:pPr>
        <w:widowControl w:val="0"/>
        <w:numPr>
          <w:ilvl w:val="2"/>
          <w:numId w:val="17"/>
        </w:numPr>
        <w:tabs>
          <w:tab w:val="clear" w:pos="-270"/>
          <w:tab w:val="num" w:pos="0"/>
        </w:tabs>
        <w:spacing w:after="240"/>
        <w:ind w:left="2160"/>
        <w:outlineLvl w:val="2"/>
      </w:pPr>
      <w:r>
        <w:t>la présentation de la troisième tranche de la phase II du PGEH serait soumise à : la mise en œuvre d’une application d’enregistrement électronique pour les techniciens certifiés ; [la mise en œuvre d’un enregistrement électronique pour les ateliers d’entretien ;] [l’élaboration d’une politique d’approvisionnement respectueux de l’environnement qui exige que seuls les techniciens certifiés soient autorisés à entretenir l’équipement de réfrigération et de climatisation au titre des contrats gouvernementaux ;] la formation et la certification d’au moins [5 000][3 000] techniciens ; et la régénération d’au moins 20 tm de substances réglementées ;</w:t>
      </w:r>
    </w:p>
    <w:p w14:paraId="18D8AF19" w14:textId="7D58AF7C" w:rsidR="00B0016A" w:rsidRPr="00996241" w:rsidRDefault="00B0016A" w:rsidP="00B0016A">
      <w:pPr>
        <w:widowControl w:val="0"/>
        <w:numPr>
          <w:ilvl w:val="1"/>
          <w:numId w:val="17"/>
        </w:numPr>
        <w:spacing w:after="240"/>
        <w:outlineLvl w:val="1"/>
      </w:pPr>
      <w:r>
        <w:t>déduire 765,40 tonnes PAO de HCFC de la consommation de HCFC restante admissible au financement ;</w:t>
      </w:r>
    </w:p>
    <w:p w14:paraId="4BC211B2" w14:textId="6F85FE84" w:rsidR="00B0016A" w:rsidRPr="00996241" w:rsidRDefault="0082483C" w:rsidP="00B0016A">
      <w:pPr>
        <w:widowControl w:val="0"/>
        <w:numPr>
          <w:ilvl w:val="1"/>
          <w:numId w:val="17"/>
        </w:numPr>
        <w:spacing w:after="240"/>
        <w:outlineLvl w:val="1"/>
      </w:pPr>
      <w:r>
        <w:t>[approuver le projet d’Accord entre le Gouvernement de l’Arabie saoudite et le Comité exécutif pour la réduction de la consommation de HCFC, conformément à la phase II du PGEH] ;</w:t>
      </w:r>
    </w:p>
    <w:p w14:paraId="6F2DBBAB" w14:textId="4A71AEA2" w:rsidR="00B0016A" w:rsidRPr="00996241" w:rsidRDefault="00B0016A" w:rsidP="00B0016A">
      <w:pPr>
        <w:pStyle w:val="Heading2"/>
        <w:numPr>
          <w:ilvl w:val="1"/>
          <w:numId w:val="17"/>
        </w:numPr>
      </w:pPr>
      <w:r>
        <w:t>que, pour l’examen de la tranche finale du PGEH, le Gouvernement de l’Arabie saoudite d</w:t>
      </w:r>
      <w:r w:rsidR="00857582">
        <w:t>oive</w:t>
      </w:r>
      <w:r>
        <w:t xml:space="preserve"> soumettre :</w:t>
      </w:r>
    </w:p>
    <w:p w14:paraId="48857F70" w14:textId="77777777" w:rsidR="00B0016A" w:rsidRPr="009931F4" w:rsidRDefault="00B0016A" w:rsidP="00F64BCF">
      <w:pPr>
        <w:widowControl w:val="0"/>
        <w:numPr>
          <w:ilvl w:val="2"/>
          <w:numId w:val="17"/>
        </w:numPr>
        <w:tabs>
          <w:tab w:val="clear" w:pos="-270"/>
          <w:tab w:val="num" w:pos="0"/>
        </w:tabs>
        <w:spacing w:after="240"/>
        <w:ind w:left="2160"/>
        <w:outlineLvl w:val="2"/>
      </w:pPr>
      <w:r>
        <w:t>une description détaillée du cadre des réglementations et des politiques générales en place pour mettre en œuvre les mesures visant à assurer que la consommation de HCFC soit conforme au paragraphe 8 ter e) i) de l’Article 5 du Protocole de Montréal pour la période de 2030 à 2040 ;</w:t>
      </w:r>
    </w:p>
    <w:p w14:paraId="10E74AFB" w14:textId="77777777" w:rsidR="00B0016A" w:rsidRDefault="00B0016A" w:rsidP="00F64BCF">
      <w:pPr>
        <w:widowControl w:val="0"/>
        <w:numPr>
          <w:ilvl w:val="2"/>
          <w:numId w:val="17"/>
        </w:numPr>
        <w:tabs>
          <w:tab w:val="clear" w:pos="-270"/>
          <w:tab w:val="num" w:pos="0"/>
        </w:tabs>
        <w:spacing w:after="240"/>
        <w:ind w:left="2160"/>
        <w:outlineLvl w:val="2"/>
      </w:pPr>
      <w:r>
        <w:t>dans l’éventualité où l’Arabie saoudite prévoit une consommation au cours de la période 2030–2040, conformément au paragraphe 8 ter e) i) de l’Article 5 du Protocole de Montréal, les modifications proposées à son Accord avec le Comité exécutif pour la période de l’après 2030 ; et</w:t>
      </w:r>
    </w:p>
    <w:p w14:paraId="1EB712F2" w14:textId="30377C87" w:rsidR="000C7CCE" w:rsidRDefault="00B0016A" w:rsidP="00D97B35">
      <w:pPr>
        <w:pStyle w:val="Heading3"/>
        <w:numPr>
          <w:ilvl w:val="1"/>
          <w:numId w:val="17"/>
        </w:numPr>
        <w:sectPr w:rsidR="000C7CCE" w:rsidSect="007C202D">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t>approuver la première tranche de la phase II du PGEH pour l’Arabie saoudite, et les plans de mise en œuvre de tranche correspondants, au montant de [</w:t>
      </w:r>
      <w:r w:rsidR="003C76F0">
        <w:t xml:space="preserve"> </w:t>
      </w:r>
      <w:r>
        <w:t>] $ US, soit [</w:t>
      </w:r>
      <w:r w:rsidR="003C76F0">
        <w:t xml:space="preserve"> </w:t>
      </w:r>
      <w:r>
        <w:t>] $ US, plus des coûts d’appui à l’agence de [</w:t>
      </w:r>
      <w:r w:rsidR="003C76F0">
        <w:t xml:space="preserve"> </w:t>
      </w:r>
      <w:r>
        <w:t>] $ US, pour l’ONUDI et [</w:t>
      </w:r>
      <w:r w:rsidR="003C76F0">
        <w:t xml:space="preserve"> </w:t>
      </w:r>
      <w:r>
        <w:t>] $ US, plus des coûts d’appui à l’agence de [</w:t>
      </w:r>
      <w:r w:rsidR="003C76F0">
        <w:t xml:space="preserve"> </w:t>
      </w:r>
      <w:r>
        <w:t>] $ US, pour le PNUE.]</w:t>
      </w:r>
    </w:p>
    <w:p w14:paraId="705E8D73" w14:textId="78E20337" w:rsidR="000C7CCE" w:rsidRPr="00345617" w:rsidRDefault="000C7CCE" w:rsidP="000C7CCE">
      <w:pPr>
        <w:widowControl w:val="0"/>
        <w:spacing w:after="240"/>
        <w:jc w:val="center"/>
        <w:rPr>
          <w:b/>
          <w:bCs/>
          <w:lang w:val="en-US"/>
        </w:rPr>
      </w:pPr>
      <w:r w:rsidRPr="00345617">
        <w:rPr>
          <w:b/>
          <w:lang w:val="en-US"/>
        </w:rPr>
        <w:lastRenderedPageBreak/>
        <w:t>Annex</w:t>
      </w:r>
      <w:r w:rsidR="00105426">
        <w:rPr>
          <w:b/>
          <w:lang w:val="en-US"/>
        </w:rPr>
        <w:t>e</w:t>
      </w:r>
      <w:r w:rsidRPr="00345617">
        <w:rPr>
          <w:b/>
          <w:lang w:val="en-US"/>
        </w:rPr>
        <w:t> I</w:t>
      </w:r>
    </w:p>
    <w:p w14:paraId="7665762D" w14:textId="77777777" w:rsidR="000C7CCE" w:rsidRPr="00345617" w:rsidRDefault="000C7CCE" w:rsidP="000C7CCE">
      <w:pPr>
        <w:spacing w:after="360"/>
        <w:jc w:val="center"/>
        <w:rPr>
          <w:b/>
          <w:lang w:val="en-US"/>
        </w:rPr>
      </w:pPr>
      <w:r w:rsidRPr="00345617">
        <w:rPr>
          <w:b/>
          <w:lang w:val="en-US"/>
        </w:rPr>
        <w:t>TOOLS AND EQUIPMENT TO BE PROCURED UNDER STAGE II</w:t>
      </w:r>
      <w:r w:rsidRPr="00345617">
        <w:rPr>
          <w:b/>
          <w:lang w:val="en-US"/>
        </w:rPr>
        <w:br/>
        <w:t>OF THE HCFC PHASE-OUT MANAGEMENT PLAN, AS ORIGINALLY PROPOSED</w:t>
      </w:r>
    </w:p>
    <w:tbl>
      <w:tblPr>
        <w:tblW w:w="5000" w:type="pct"/>
        <w:jc w:val="center"/>
        <w:tblCellMar>
          <w:left w:w="85" w:type="dxa"/>
          <w:right w:w="85" w:type="dxa"/>
        </w:tblCellMar>
        <w:tblLook w:val="04A0" w:firstRow="1" w:lastRow="0" w:firstColumn="1" w:lastColumn="0" w:noHBand="0" w:noVBand="1"/>
      </w:tblPr>
      <w:tblGrid>
        <w:gridCol w:w="2547"/>
        <w:gridCol w:w="6803"/>
      </w:tblGrid>
      <w:tr w:rsidR="000C7CCE" w:rsidRPr="00345617" w14:paraId="3B7BE982" w14:textId="77777777" w:rsidTr="00BF5C70">
        <w:trPr>
          <w:cantSplit/>
          <w:trHeight w:val="98"/>
          <w:jc w:val="center"/>
        </w:trPr>
        <w:tc>
          <w:tcPr>
            <w:tcW w:w="1362" w:type="pct"/>
            <w:tcBorders>
              <w:top w:val="single" w:sz="4" w:space="0" w:color="auto"/>
              <w:left w:val="single" w:sz="4" w:space="0" w:color="auto"/>
              <w:bottom w:val="single" w:sz="4" w:space="0" w:color="auto"/>
              <w:right w:val="single" w:sz="4" w:space="0" w:color="auto"/>
            </w:tcBorders>
            <w:shd w:val="clear" w:color="auto" w:fill="auto"/>
          </w:tcPr>
          <w:p w14:paraId="2D7390DD" w14:textId="77777777" w:rsidR="000C7CCE" w:rsidRPr="00345617" w:rsidRDefault="000C7CCE">
            <w:pPr>
              <w:keepNext/>
              <w:keepLines/>
              <w:jc w:val="center"/>
              <w:rPr>
                <w:b/>
                <w:bCs/>
                <w:color w:val="000000"/>
                <w:sz w:val="20"/>
                <w:szCs w:val="20"/>
                <w:lang w:val="en-US"/>
              </w:rPr>
            </w:pPr>
            <w:r w:rsidRPr="00345617">
              <w:rPr>
                <w:b/>
                <w:color w:val="000000"/>
                <w:sz w:val="20"/>
                <w:lang w:val="en-US"/>
              </w:rPr>
              <w:t>Activity</w:t>
            </w:r>
          </w:p>
        </w:tc>
        <w:tc>
          <w:tcPr>
            <w:tcW w:w="3638" w:type="pct"/>
            <w:tcBorders>
              <w:top w:val="single" w:sz="4" w:space="0" w:color="auto"/>
              <w:left w:val="single" w:sz="4" w:space="0" w:color="auto"/>
              <w:bottom w:val="single" w:sz="4" w:space="0" w:color="auto"/>
              <w:right w:val="single" w:sz="4" w:space="0" w:color="auto"/>
            </w:tcBorders>
            <w:shd w:val="clear" w:color="auto" w:fill="auto"/>
          </w:tcPr>
          <w:p w14:paraId="45893325" w14:textId="77777777" w:rsidR="000C7CCE" w:rsidRPr="00345617" w:rsidRDefault="000C7CCE">
            <w:pPr>
              <w:keepNext/>
              <w:keepLines/>
              <w:jc w:val="center"/>
              <w:rPr>
                <w:b/>
                <w:bCs/>
                <w:color w:val="000000"/>
                <w:sz w:val="20"/>
                <w:szCs w:val="20"/>
                <w:lang w:val="en-US"/>
              </w:rPr>
            </w:pPr>
            <w:r w:rsidRPr="00345617">
              <w:rPr>
                <w:b/>
                <w:color w:val="000000"/>
                <w:sz w:val="20"/>
                <w:lang w:val="en-US"/>
              </w:rPr>
              <w:t>Tools and equipment</w:t>
            </w:r>
          </w:p>
        </w:tc>
      </w:tr>
      <w:tr w:rsidR="000C7CCE" w:rsidRPr="00345617" w14:paraId="491CEB73" w14:textId="77777777">
        <w:trPr>
          <w:cantSplit/>
          <w:trHeight w:val="9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1BB9FC9E" w14:textId="77777777" w:rsidR="000C7CCE" w:rsidRPr="00345617" w:rsidRDefault="000C7CCE">
            <w:pPr>
              <w:keepNext/>
              <w:keepLines/>
              <w:jc w:val="left"/>
              <w:rPr>
                <w:b/>
                <w:bCs/>
                <w:color w:val="000000"/>
                <w:sz w:val="20"/>
                <w:szCs w:val="20"/>
                <w:lang w:val="en-US"/>
              </w:rPr>
            </w:pPr>
            <w:r w:rsidRPr="00345617">
              <w:rPr>
                <w:b/>
                <w:color w:val="000000"/>
                <w:sz w:val="20"/>
                <w:lang w:val="en-US"/>
              </w:rPr>
              <w:t>Customs capacity-building</w:t>
            </w:r>
          </w:p>
        </w:tc>
      </w:tr>
      <w:tr w:rsidR="000C7CCE" w:rsidRPr="006447CD" w14:paraId="5AC2E845" w14:textId="77777777" w:rsidTr="00BF5C70">
        <w:trPr>
          <w:trHeight w:val="408"/>
          <w:jc w:val="center"/>
        </w:trPr>
        <w:tc>
          <w:tcPr>
            <w:tcW w:w="1362" w:type="pct"/>
            <w:tcBorders>
              <w:top w:val="nil"/>
              <w:left w:val="single" w:sz="4" w:space="0" w:color="auto"/>
              <w:bottom w:val="single" w:sz="4" w:space="0" w:color="auto"/>
              <w:right w:val="single" w:sz="4" w:space="0" w:color="auto"/>
            </w:tcBorders>
            <w:shd w:val="clear" w:color="auto" w:fill="auto"/>
          </w:tcPr>
          <w:p w14:paraId="75818180" w14:textId="77777777" w:rsidR="000C7CCE" w:rsidRPr="00345617" w:rsidRDefault="000C7CCE">
            <w:pPr>
              <w:keepNext/>
              <w:keepLines/>
              <w:jc w:val="left"/>
              <w:rPr>
                <w:color w:val="000000"/>
                <w:sz w:val="20"/>
                <w:szCs w:val="20"/>
                <w:lang w:val="en-US"/>
              </w:rPr>
            </w:pPr>
            <w:r w:rsidRPr="00345617">
              <w:rPr>
                <w:sz w:val="20"/>
                <w:lang w:val="en-US"/>
              </w:rPr>
              <w:t>Provision of equipment to support trade control</w:t>
            </w:r>
          </w:p>
        </w:tc>
        <w:tc>
          <w:tcPr>
            <w:tcW w:w="3638" w:type="pct"/>
            <w:tcBorders>
              <w:top w:val="nil"/>
              <w:left w:val="nil"/>
              <w:bottom w:val="single" w:sz="4" w:space="0" w:color="auto"/>
              <w:right w:val="single" w:sz="4" w:space="0" w:color="auto"/>
            </w:tcBorders>
            <w:shd w:val="clear" w:color="auto" w:fill="auto"/>
          </w:tcPr>
          <w:p w14:paraId="04520CD5" w14:textId="77777777" w:rsidR="000C7CCE" w:rsidRPr="00345617" w:rsidRDefault="000C7CCE">
            <w:pPr>
              <w:keepNext/>
              <w:keepLines/>
              <w:jc w:val="left"/>
              <w:rPr>
                <w:color w:val="000000"/>
                <w:sz w:val="20"/>
                <w:szCs w:val="20"/>
                <w:lang w:val="en-US"/>
              </w:rPr>
            </w:pPr>
            <w:r w:rsidRPr="00345617">
              <w:rPr>
                <w:sz w:val="20"/>
                <w:lang w:val="en-US"/>
              </w:rPr>
              <w:t>Includes 21 flammable refrigerant identifiers, a gas chromatography mass spectrometry (GC-MS) bench top instrument, and three portable GS-MS instruments.</w:t>
            </w:r>
          </w:p>
        </w:tc>
      </w:tr>
      <w:tr w:rsidR="000C7CCE" w:rsidRPr="00345617" w14:paraId="284D9CF1" w14:textId="77777777">
        <w:trPr>
          <w:trHeight w:val="53"/>
          <w:jc w:val="center"/>
        </w:trPr>
        <w:tc>
          <w:tcPr>
            <w:tcW w:w="5000" w:type="pct"/>
            <w:gridSpan w:val="2"/>
            <w:tcBorders>
              <w:top w:val="nil"/>
              <w:left w:val="single" w:sz="4" w:space="0" w:color="auto"/>
              <w:bottom w:val="single" w:sz="4" w:space="0" w:color="auto"/>
              <w:right w:val="single" w:sz="4" w:space="0" w:color="auto"/>
            </w:tcBorders>
            <w:shd w:val="clear" w:color="auto" w:fill="auto"/>
          </w:tcPr>
          <w:p w14:paraId="0255954F" w14:textId="77777777" w:rsidR="000C7CCE" w:rsidRPr="00345617" w:rsidRDefault="000C7CCE">
            <w:pPr>
              <w:keepNext/>
              <w:keepLines/>
              <w:jc w:val="left"/>
              <w:rPr>
                <w:b/>
                <w:bCs/>
                <w:sz w:val="20"/>
                <w:szCs w:val="20"/>
                <w:lang w:val="en-US"/>
              </w:rPr>
            </w:pPr>
            <w:r w:rsidRPr="00345617">
              <w:rPr>
                <w:b/>
                <w:sz w:val="20"/>
                <w:lang w:val="en-US"/>
              </w:rPr>
              <w:t>Technician capacity</w:t>
            </w:r>
            <w:r w:rsidRPr="00345617">
              <w:rPr>
                <w:b/>
                <w:sz w:val="20"/>
                <w:lang w:val="en-US"/>
              </w:rPr>
              <w:noBreakHyphen/>
              <w:t>building</w:t>
            </w:r>
          </w:p>
        </w:tc>
      </w:tr>
      <w:tr w:rsidR="000C7CCE" w:rsidRPr="006447CD" w14:paraId="1052AD41" w14:textId="77777777" w:rsidTr="00BF5C70">
        <w:trPr>
          <w:trHeight w:val="408"/>
          <w:jc w:val="center"/>
        </w:trPr>
        <w:tc>
          <w:tcPr>
            <w:tcW w:w="1362" w:type="pct"/>
            <w:tcBorders>
              <w:top w:val="nil"/>
              <w:left w:val="single" w:sz="4" w:space="0" w:color="auto"/>
              <w:bottom w:val="single" w:sz="4" w:space="0" w:color="auto"/>
              <w:right w:val="single" w:sz="4" w:space="0" w:color="auto"/>
            </w:tcBorders>
            <w:shd w:val="clear" w:color="auto" w:fill="auto"/>
          </w:tcPr>
          <w:p w14:paraId="448A8798" w14:textId="77777777" w:rsidR="000C7CCE" w:rsidRPr="00345617" w:rsidRDefault="000C7CCE">
            <w:pPr>
              <w:jc w:val="left"/>
              <w:rPr>
                <w:color w:val="000000"/>
                <w:sz w:val="20"/>
                <w:szCs w:val="20"/>
                <w:lang w:val="en-US"/>
              </w:rPr>
            </w:pPr>
            <w:r w:rsidRPr="00345617">
              <w:rPr>
                <w:sz w:val="20"/>
                <w:lang w:val="en-US"/>
              </w:rPr>
              <w:t>One hundred sets of training equipment to vocational training and assessment institutes</w:t>
            </w:r>
          </w:p>
        </w:tc>
        <w:tc>
          <w:tcPr>
            <w:tcW w:w="3638" w:type="pct"/>
            <w:tcBorders>
              <w:top w:val="nil"/>
              <w:left w:val="nil"/>
              <w:bottom w:val="single" w:sz="4" w:space="0" w:color="auto"/>
              <w:right w:val="single" w:sz="4" w:space="0" w:color="auto"/>
            </w:tcBorders>
            <w:shd w:val="clear" w:color="auto" w:fill="auto"/>
          </w:tcPr>
          <w:p w14:paraId="1180ABFC" w14:textId="5A6C9722" w:rsidR="000C7CCE" w:rsidRPr="00345617" w:rsidRDefault="000C7CCE">
            <w:pPr>
              <w:jc w:val="left"/>
              <w:rPr>
                <w:color w:val="000000"/>
                <w:sz w:val="20"/>
                <w:szCs w:val="20"/>
                <w:lang w:val="en-US"/>
              </w:rPr>
            </w:pPr>
            <w:r w:rsidRPr="00345617">
              <w:rPr>
                <w:sz w:val="20"/>
                <w:lang w:val="en-US"/>
              </w:rPr>
              <w:t>Includes a service manifold, a electronic gauges, an electronic vacuum gauge, hoses and accessories, a set of 29 hoses with valves, service port coupler, a core removal tool, piercing pliers with valve, a charging hose and cylinder connections, 30</w:t>
            </w:r>
            <w:r w:rsidRPr="00345617">
              <w:rPr>
                <w:sz w:val="20"/>
                <w:lang w:val="en-US"/>
              </w:rPr>
              <w:noBreakHyphen/>
              <w:t>lb refrigerant recovery cylinders, a heating belt with thermostat, an oil pump manual, a, HCFC</w:t>
            </w:r>
            <w:r w:rsidRPr="00345617">
              <w:rPr>
                <w:sz w:val="20"/>
                <w:lang w:val="en-US"/>
              </w:rPr>
              <w:noBreakHyphen/>
              <w:t>22 recovery station, a vacuum pump, a charging unit (sight glass/scale), an HCFC</w:t>
            </w:r>
            <w:r w:rsidRPr="00345617">
              <w:rPr>
                <w:sz w:val="20"/>
                <w:lang w:val="en-US"/>
              </w:rPr>
              <w:noBreakHyphen/>
              <w:t>22 leak detector, an electronic thermometer, a multi-meter with clamp</w:t>
            </w:r>
            <w:r w:rsidRPr="00345617">
              <w:rPr>
                <w:sz w:val="20"/>
                <w:lang w:val="en-US"/>
              </w:rPr>
              <w:noBreakHyphen/>
              <w:t>on amp measurement, general tube cutters, a capillary tube cutter, pinch</w:t>
            </w:r>
            <w:r w:rsidRPr="00345617">
              <w:rPr>
                <w:sz w:val="20"/>
                <w:lang w:val="en-US"/>
              </w:rPr>
              <w:noBreakHyphen/>
              <w:t>off pliers, a flaring tool, a tube bender, tube expanders, an inspection mirror, brazing equipment and tips, an igniter, a set of consumables, 60 flaring and swaging tools, ratchet wrenches, a set of screwdrivers, a set of safety goggles, a set of gloves, nitrogen flushing equipment, an HCFC and HFC leak detector, hydrocarbon (HC) charging equipment, and venting hoses and accessories.</w:t>
            </w:r>
          </w:p>
        </w:tc>
      </w:tr>
      <w:tr w:rsidR="000C7CCE" w:rsidRPr="006447CD" w14:paraId="1A59F894" w14:textId="77777777" w:rsidTr="00BF5C70">
        <w:trPr>
          <w:trHeight w:val="116"/>
          <w:jc w:val="center"/>
        </w:trPr>
        <w:tc>
          <w:tcPr>
            <w:tcW w:w="1362" w:type="pct"/>
            <w:tcBorders>
              <w:top w:val="nil"/>
              <w:left w:val="single" w:sz="4" w:space="0" w:color="auto"/>
              <w:bottom w:val="single" w:sz="4" w:space="0" w:color="auto"/>
              <w:right w:val="single" w:sz="4" w:space="0" w:color="auto"/>
            </w:tcBorders>
            <w:shd w:val="clear" w:color="auto" w:fill="auto"/>
          </w:tcPr>
          <w:p w14:paraId="4ECD4DC3" w14:textId="77777777" w:rsidR="000C7CCE" w:rsidRPr="00345617" w:rsidRDefault="000C7CCE">
            <w:pPr>
              <w:jc w:val="left"/>
              <w:rPr>
                <w:color w:val="000000"/>
                <w:sz w:val="20"/>
                <w:szCs w:val="20"/>
                <w:lang w:val="en-US"/>
              </w:rPr>
            </w:pPr>
            <w:r w:rsidRPr="00345617">
              <w:rPr>
                <w:sz w:val="20"/>
                <w:lang w:val="en-US"/>
              </w:rPr>
              <w:t>Tools and equipment to 3,880 certified technicians</w:t>
            </w:r>
          </w:p>
        </w:tc>
        <w:tc>
          <w:tcPr>
            <w:tcW w:w="3638" w:type="pct"/>
            <w:tcBorders>
              <w:top w:val="nil"/>
              <w:left w:val="nil"/>
              <w:bottom w:val="single" w:sz="4" w:space="0" w:color="auto"/>
              <w:right w:val="single" w:sz="4" w:space="0" w:color="auto"/>
            </w:tcBorders>
            <w:shd w:val="clear" w:color="auto" w:fill="auto"/>
          </w:tcPr>
          <w:p w14:paraId="352CFFB1" w14:textId="77777777" w:rsidR="000C7CCE" w:rsidRPr="00345617" w:rsidRDefault="000C7CCE">
            <w:pPr>
              <w:jc w:val="left"/>
              <w:rPr>
                <w:color w:val="000000"/>
                <w:sz w:val="20"/>
                <w:szCs w:val="20"/>
                <w:lang w:val="en-US"/>
              </w:rPr>
            </w:pPr>
            <w:r w:rsidRPr="00345617">
              <w:rPr>
                <w:sz w:val="20"/>
                <w:lang w:val="en-US"/>
              </w:rPr>
              <w:t>Including a toolbox, a set of screwdrivers, a multi-meter, personal protection equipment, tubing tools (cutter, triple head tube bender, deburrer, reamer), pinch off pliers, piercing pliers, flaring and swaging tools, an HCFC and HFC electronic leak detector, thermometer with surface probes, combination wrenches and/or adjustable wrenches, ratchet wrenches, and tube cutter.</w:t>
            </w:r>
          </w:p>
        </w:tc>
      </w:tr>
      <w:tr w:rsidR="000C7CCE" w:rsidRPr="006447CD" w14:paraId="22073EB7" w14:textId="77777777" w:rsidTr="00BF5C70">
        <w:trPr>
          <w:trHeight w:val="56"/>
          <w:jc w:val="center"/>
        </w:trPr>
        <w:tc>
          <w:tcPr>
            <w:tcW w:w="1362" w:type="pct"/>
            <w:tcBorders>
              <w:top w:val="nil"/>
              <w:left w:val="single" w:sz="4" w:space="0" w:color="auto"/>
              <w:bottom w:val="single" w:sz="4" w:space="0" w:color="auto"/>
              <w:right w:val="single" w:sz="4" w:space="0" w:color="auto"/>
            </w:tcBorders>
            <w:shd w:val="clear" w:color="auto" w:fill="auto"/>
          </w:tcPr>
          <w:p w14:paraId="08A1FFFD" w14:textId="77777777" w:rsidR="000C7CCE" w:rsidRPr="00345617" w:rsidRDefault="000C7CCE">
            <w:pPr>
              <w:jc w:val="left"/>
              <w:rPr>
                <w:color w:val="000000"/>
                <w:sz w:val="20"/>
                <w:szCs w:val="20"/>
                <w:lang w:val="en-US"/>
              </w:rPr>
            </w:pPr>
            <w:r w:rsidRPr="00345617">
              <w:rPr>
                <w:sz w:val="20"/>
                <w:lang w:val="en-US"/>
              </w:rPr>
              <w:t>Tools and equipment for the 5,655 selected servicing workshops registered under the e</w:t>
            </w:r>
            <w:r w:rsidRPr="00345617">
              <w:rPr>
                <w:sz w:val="20"/>
                <w:lang w:val="en-US"/>
              </w:rPr>
              <w:noBreakHyphen/>
              <w:t>registration program</w:t>
            </w:r>
          </w:p>
        </w:tc>
        <w:tc>
          <w:tcPr>
            <w:tcW w:w="3638" w:type="pct"/>
            <w:tcBorders>
              <w:top w:val="nil"/>
              <w:left w:val="nil"/>
              <w:bottom w:val="single" w:sz="4" w:space="0" w:color="auto"/>
              <w:right w:val="single" w:sz="4" w:space="0" w:color="auto"/>
            </w:tcBorders>
            <w:shd w:val="clear" w:color="auto" w:fill="auto"/>
          </w:tcPr>
          <w:p w14:paraId="49E6458E" w14:textId="69D3549C" w:rsidR="000C7CCE" w:rsidRPr="00345617" w:rsidRDefault="000C7CCE">
            <w:pPr>
              <w:jc w:val="left"/>
              <w:rPr>
                <w:color w:val="000000"/>
                <w:sz w:val="20"/>
                <w:szCs w:val="20"/>
                <w:lang w:val="en-US"/>
              </w:rPr>
            </w:pPr>
            <w:r w:rsidRPr="00345617">
              <w:rPr>
                <w:sz w:val="20"/>
                <w:lang w:val="en-US"/>
              </w:rPr>
              <w:t>Including a vacuum pump, a refrigerant weight scale for charging refrigerants, a vacuum gauge or vacuum meter, an HC leak detector, and refrigerant refillable service cylinders.</w:t>
            </w:r>
          </w:p>
        </w:tc>
      </w:tr>
      <w:tr w:rsidR="000C7CCE" w:rsidRPr="006447CD" w14:paraId="43247386" w14:textId="77777777">
        <w:trPr>
          <w:trHeight w:val="161"/>
          <w:jc w:val="center"/>
        </w:trPr>
        <w:tc>
          <w:tcPr>
            <w:tcW w:w="5000" w:type="pct"/>
            <w:gridSpan w:val="2"/>
            <w:tcBorders>
              <w:top w:val="nil"/>
              <w:left w:val="single" w:sz="4" w:space="0" w:color="auto"/>
              <w:bottom w:val="single" w:sz="4" w:space="0" w:color="auto"/>
              <w:right w:val="single" w:sz="4" w:space="0" w:color="auto"/>
            </w:tcBorders>
            <w:shd w:val="clear" w:color="auto" w:fill="auto"/>
          </w:tcPr>
          <w:p w14:paraId="0AFDBC10" w14:textId="77777777" w:rsidR="000C7CCE" w:rsidRPr="00345617" w:rsidRDefault="000C7CCE">
            <w:pPr>
              <w:jc w:val="left"/>
              <w:rPr>
                <w:b/>
                <w:bCs/>
                <w:color w:val="000000"/>
                <w:sz w:val="20"/>
                <w:szCs w:val="20"/>
                <w:lang w:val="en-US"/>
              </w:rPr>
            </w:pPr>
            <w:r w:rsidRPr="00345617">
              <w:rPr>
                <w:b/>
                <w:sz w:val="20"/>
                <w:lang w:val="en-US"/>
              </w:rPr>
              <w:t>Recycling, recovery and reclamation (RRR)</w:t>
            </w:r>
          </w:p>
        </w:tc>
      </w:tr>
      <w:tr w:rsidR="000C7CCE" w:rsidRPr="006447CD" w14:paraId="7BA68C91" w14:textId="77777777" w:rsidTr="00BF5C70">
        <w:trPr>
          <w:trHeight w:val="60"/>
          <w:jc w:val="center"/>
        </w:trPr>
        <w:tc>
          <w:tcPr>
            <w:tcW w:w="1362" w:type="pct"/>
            <w:tcBorders>
              <w:top w:val="nil"/>
              <w:left w:val="single" w:sz="4" w:space="0" w:color="auto"/>
              <w:bottom w:val="single" w:sz="4" w:space="0" w:color="auto"/>
              <w:right w:val="single" w:sz="4" w:space="0" w:color="auto"/>
            </w:tcBorders>
            <w:shd w:val="clear" w:color="auto" w:fill="auto"/>
          </w:tcPr>
          <w:p w14:paraId="6870C0FB" w14:textId="77777777" w:rsidR="000C7CCE" w:rsidRPr="00345617" w:rsidRDefault="000C7CCE">
            <w:pPr>
              <w:jc w:val="left"/>
              <w:rPr>
                <w:color w:val="000000"/>
                <w:sz w:val="20"/>
                <w:szCs w:val="20"/>
                <w:lang w:val="en-US"/>
              </w:rPr>
            </w:pPr>
            <w:r w:rsidRPr="00345617">
              <w:rPr>
                <w:sz w:val="20"/>
                <w:lang w:val="en-US"/>
              </w:rPr>
              <w:t>Establish two additional national RRR centres to reclaim refrigerants to return to the servicing sector</w:t>
            </w:r>
          </w:p>
        </w:tc>
        <w:tc>
          <w:tcPr>
            <w:tcW w:w="3638" w:type="pct"/>
            <w:tcBorders>
              <w:top w:val="nil"/>
              <w:left w:val="nil"/>
              <w:bottom w:val="single" w:sz="4" w:space="0" w:color="auto"/>
              <w:right w:val="single" w:sz="4" w:space="0" w:color="auto"/>
            </w:tcBorders>
            <w:shd w:val="clear" w:color="auto" w:fill="auto"/>
          </w:tcPr>
          <w:p w14:paraId="48A84D34" w14:textId="73E6ABC1" w:rsidR="000C7CCE" w:rsidRPr="00345617" w:rsidRDefault="000C7CCE">
            <w:pPr>
              <w:jc w:val="left"/>
              <w:rPr>
                <w:color w:val="000000"/>
                <w:sz w:val="20"/>
                <w:szCs w:val="20"/>
                <w:lang w:val="en-US"/>
              </w:rPr>
            </w:pPr>
            <w:r w:rsidRPr="00345617">
              <w:rPr>
                <w:sz w:val="20"/>
                <w:lang w:val="en-US"/>
              </w:rPr>
              <w:t>Each centre would receive a refrigerant identifier, two 1,000-lb storage tanks, 20 30-lb storage cylinders, a reclaim station, a filter chiller, a 100-lb storage tank, a 300-kg scale, a check mate kit, two vacuum pumps, two HCFC</w:t>
            </w:r>
            <w:r w:rsidRPr="00345617">
              <w:rPr>
                <w:sz w:val="20"/>
                <w:lang w:val="en-US"/>
              </w:rPr>
              <w:noBreakHyphen/>
              <w:t>22 recovery units, an electric liquid transfer pump (including scale), a leak detector set.</w:t>
            </w:r>
          </w:p>
        </w:tc>
      </w:tr>
      <w:tr w:rsidR="000C7CCE" w:rsidRPr="006447CD" w14:paraId="3D8889B1" w14:textId="77777777" w:rsidTr="00BF5C70">
        <w:trPr>
          <w:trHeight w:val="62"/>
          <w:jc w:val="center"/>
        </w:trPr>
        <w:tc>
          <w:tcPr>
            <w:tcW w:w="1362" w:type="pct"/>
            <w:tcBorders>
              <w:top w:val="single" w:sz="4" w:space="0" w:color="auto"/>
              <w:left w:val="single" w:sz="4" w:space="0" w:color="auto"/>
              <w:bottom w:val="single" w:sz="4" w:space="0" w:color="auto"/>
              <w:right w:val="single" w:sz="4" w:space="0" w:color="auto"/>
            </w:tcBorders>
            <w:shd w:val="clear" w:color="auto" w:fill="auto"/>
          </w:tcPr>
          <w:p w14:paraId="3F6B9E39" w14:textId="77777777" w:rsidR="000C7CCE" w:rsidRPr="00345617" w:rsidRDefault="000C7CCE">
            <w:pPr>
              <w:jc w:val="left"/>
              <w:rPr>
                <w:color w:val="000000"/>
                <w:sz w:val="20"/>
                <w:szCs w:val="20"/>
                <w:lang w:val="en-US"/>
              </w:rPr>
            </w:pPr>
            <w:r w:rsidRPr="00345617">
              <w:rPr>
                <w:sz w:val="20"/>
                <w:lang w:val="en-US"/>
              </w:rPr>
              <w:t>Build RRR networks by supplying 400 service kits to certified technicians</w:t>
            </w:r>
          </w:p>
        </w:tc>
        <w:tc>
          <w:tcPr>
            <w:tcW w:w="3638" w:type="pct"/>
            <w:tcBorders>
              <w:top w:val="single" w:sz="4" w:space="0" w:color="auto"/>
              <w:left w:val="nil"/>
              <w:bottom w:val="single" w:sz="4" w:space="0" w:color="auto"/>
              <w:right w:val="single" w:sz="4" w:space="0" w:color="auto"/>
            </w:tcBorders>
            <w:shd w:val="clear" w:color="auto" w:fill="auto"/>
          </w:tcPr>
          <w:p w14:paraId="1EA1BAD0" w14:textId="6F6AFC45" w:rsidR="000C7CCE" w:rsidRPr="00345617" w:rsidRDefault="000C7CCE">
            <w:pPr>
              <w:jc w:val="left"/>
              <w:rPr>
                <w:color w:val="000000"/>
                <w:sz w:val="20"/>
                <w:szCs w:val="20"/>
                <w:lang w:val="en-US"/>
              </w:rPr>
            </w:pPr>
            <w:r w:rsidRPr="00345617">
              <w:rPr>
                <w:sz w:val="20"/>
                <w:lang w:val="en-US"/>
              </w:rPr>
              <w:t>Each kit would include tube cutters, benders, expanders, fittings, a mirror, brazing equipment and accessories, safety equipment, a fire extinguisher, consumables, gauges and manifolds, hoses, valves and couplers, an HCFC recovery station, two 30</w:t>
            </w:r>
            <w:r w:rsidRPr="00345617">
              <w:rPr>
                <w:sz w:val="20"/>
                <w:lang w:val="en-US"/>
              </w:rPr>
              <w:noBreakHyphen/>
              <w:t>lb refrigerant DOT cylinders, a vacuum pump, and a charging unit (sight glass/scale).</w:t>
            </w:r>
          </w:p>
        </w:tc>
      </w:tr>
      <w:tr w:rsidR="009C3479" w:rsidRPr="00345617" w14:paraId="06994AC0" w14:textId="77777777" w:rsidTr="009C3479">
        <w:trPr>
          <w:trHeight w:val="62"/>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03EF18DB" w14:textId="00B2674A" w:rsidR="009C3479" w:rsidRPr="00345617" w:rsidRDefault="009C3479">
            <w:pPr>
              <w:jc w:val="left"/>
              <w:rPr>
                <w:b/>
                <w:bCs/>
                <w:sz w:val="20"/>
                <w:szCs w:val="20"/>
                <w:lang w:val="en-US"/>
              </w:rPr>
            </w:pPr>
            <w:r w:rsidRPr="00345617">
              <w:rPr>
                <w:b/>
                <w:sz w:val="20"/>
                <w:lang w:val="en-US"/>
              </w:rPr>
              <w:t>Manufacturing capacity</w:t>
            </w:r>
            <w:r w:rsidRPr="00345617">
              <w:rPr>
                <w:b/>
                <w:sz w:val="20"/>
                <w:lang w:val="en-US"/>
              </w:rPr>
              <w:noBreakHyphen/>
              <w:t>building</w:t>
            </w:r>
          </w:p>
        </w:tc>
      </w:tr>
      <w:tr w:rsidR="009C3479" w:rsidRPr="006447CD" w14:paraId="0843E638" w14:textId="77777777" w:rsidTr="00BF5C70">
        <w:trPr>
          <w:trHeight w:val="62"/>
          <w:jc w:val="center"/>
        </w:trPr>
        <w:tc>
          <w:tcPr>
            <w:tcW w:w="1362" w:type="pct"/>
            <w:tcBorders>
              <w:top w:val="single" w:sz="4" w:space="0" w:color="auto"/>
              <w:left w:val="single" w:sz="4" w:space="0" w:color="auto"/>
              <w:bottom w:val="single" w:sz="4" w:space="0" w:color="auto"/>
              <w:right w:val="single" w:sz="4" w:space="0" w:color="auto"/>
            </w:tcBorders>
            <w:shd w:val="clear" w:color="auto" w:fill="auto"/>
          </w:tcPr>
          <w:p w14:paraId="44D2C9E2" w14:textId="4E479559" w:rsidR="009C3479" w:rsidRPr="00345617" w:rsidRDefault="009C3479">
            <w:pPr>
              <w:jc w:val="left"/>
              <w:rPr>
                <w:sz w:val="20"/>
                <w:szCs w:val="20"/>
                <w:lang w:val="en-US"/>
              </w:rPr>
            </w:pPr>
            <w:r w:rsidRPr="00345617">
              <w:rPr>
                <w:sz w:val="20"/>
                <w:lang w:val="en-US"/>
              </w:rPr>
              <w:t>Provide five domestic and commercial AC manufacturers with equipment and training for installers</w:t>
            </w:r>
          </w:p>
        </w:tc>
        <w:tc>
          <w:tcPr>
            <w:tcW w:w="3638" w:type="pct"/>
            <w:tcBorders>
              <w:top w:val="single" w:sz="4" w:space="0" w:color="auto"/>
              <w:left w:val="nil"/>
              <w:bottom w:val="single" w:sz="4" w:space="0" w:color="auto"/>
              <w:right w:val="single" w:sz="4" w:space="0" w:color="auto"/>
            </w:tcBorders>
            <w:shd w:val="clear" w:color="auto" w:fill="auto"/>
          </w:tcPr>
          <w:p w14:paraId="6597B692" w14:textId="4A9D9857" w:rsidR="009C3479" w:rsidRPr="00345617" w:rsidRDefault="00736277" w:rsidP="009C3479">
            <w:pPr>
              <w:jc w:val="left"/>
              <w:rPr>
                <w:sz w:val="20"/>
                <w:szCs w:val="20"/>
                <w:lang w:val="en-US"/>
              </w:rPr>
            </w:pPr>
            <w:r w:rsidRPr="00345617">
              <w:rPr>
                <w:sz w:val="20"/>
                <w:lang w:val="en-US"/>
              </w:rPr>
              <w:t>Each would receive a digital manifold gauge, a vacuum gauge, hoses and accessories, a set of three hoses with valves, a service port coupler set, a core removal tool, piecing pliers with valve, charging hose and cylinder connections, 30</w:t>
            </w:r>
            <w:r w:rsidRPr="00345617">
              <w:rPr>
                <w:sz w:val="20"/>
                <w:lang w:val="en-US"/>
              </w:rPr>
              <w:noBreakHyphen/>
              <w:t>lb refrigerant recovery cylinders, a heating belt with thermostat, an oil pump manual, an HCFC</w:t>
            </w:r>
            <w:r w:rsidRPr="00345617">
              <w:rPr>
                <w:sz w:val="20"/>
                <w:lang w:val="en-US"/>
              </w:rPr>
              <w:noBreakHyphen/>
              <w:t>22/A2L refrigerant recovery station, a vacuum pump, a charging unit (sight glass/scale), leak detector for HCFC</w:t>
            </w:r>
            <w:r w:rsidRPr="00345617">
              <w:rPr>
                <w:sz w:val="20"/>
                <w:lang w:val="en-US"/>
              </w:rPr>
              <w:noBreakHyphen/>
              <w:t>22 and halogen</w:t>
            </w:r>
            <w:r w:rsidRPr="00345617">
              <w:rPr>
                <w:sz w:val="20"/>
                <w:lang w:val="en-US"/>
              </w:rPr>
              <w:noBreakHyphen/>
              <w:t>based A2L refrigerants, a thermometer, an electronic multimeter with clamp</w:t>
            </w:r>
            <w:r w:rsidRPr="00345617">
              <w:rPr>
                <w:sz w:val="20"/>
                <w:lang w:val="en-US"/>
              </w:rPr>
              <w:noBreakHyphen/>
              <w:t>on amp measurement, tools for tubing, general tube cutters, a capillary tube cutter, pinch</w:t>
            </w:r>
            <w:r w:rsidRPr="00345617">
              <w:rPr>
                <w:sz w:val="20"/>
                <w:lang w:val="en-US"/>
              </w:rPr>
              <w:noBreakHyphen/>
              <w:t>off pliers, a flaring tool, a tube bender, tube expanders, an inspection mirror, brazing equipment and tips, an igniter, a set of consumables, safety equipment, safety glasses, gloves, nitrogen flushing equipment, an HC leak detector, HC charging equipment, and venting hoses and accessories.</w:t>
            </w:r>
          </w:p>
        </w:tc>
      </w:tr>
    </w:tbl>
    <w:p w14:paraId="1B3DE6E0" w14:textId="1F66FB82" w:rsidR="004E7F9C" w:rsidRPr="007F523A" w:rsidRDefault="007F523A" w:rsidP="00497B3E">
      <w:pPr>
        <w:widowControl w:val="0"/>
        <w:spacing w:after="240"/>
        <w:jc w:val="center"/>
      </w:pPr>
      <w:r>
        <w:t>________________</w:t>
      </w:r>
    </w:p>
    <w:sectPr w:rsidR="004E7F9C" w:rsidRPr="007F523A" w:rsidSect="007C202D">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7BC6A4" w14:textId="77777777" w:rsidR="00D53449" w:rsidRDefault="00D53449" w:rsidP="004A504B">
      <w:r>
        <w:separator/>
      </w:r>
    </w:p>
  </w:endnote>
  <w:endnote w:type="continuationSeparator" w:id="0">
    <w:p w14:paraId="0DAA7045" w14:textId="77777777" w:rsidR="00D53449" w:rsidRDefault="00D53449" w:rsidP="004A504B">
      <w:r>
        <w:continuationSeparator/>
      </w:r>
    </w:p>
  </w:endnote>
  <w:endnote w:type="continuationNotice" w:id="1">
    <w:p w14:paraId="00CB5226" w14:textId="77777777" w:rsidR="00D53449" w:rsidRDefault="00D534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AA6FFC" w14:textId="77777777" w:rsidR="004177A6" w:rsidRPr="0033525D" w:rsidRDefault="004177A6">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68F077" w14:textId="77777777" w:rsidR="004177A6" w:rsidRPr="0033525D" w:rsidRDefault="004177A6">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4A1EAD" w14:textId="77777777" w:rsidR="004177A6" w:rsidRDefault="004177A6"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2D87BD8C" w14:textId="77777777" w:rsidR="004177A6" w:rsidRDefault="004177A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86E51D"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2954EF"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DDF93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1AAFBA6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63F561" w14:textId="77777777" w:rsidR="00D53449" w:rsidRDefault="00D53449" w:rsidP="004A504B">
      <w:r>
        <w:separator/>
      </w:r>
    </w:p>
  </w:footnote>
  <w:footnote w:type="continuationSeparator" w:id="0">
    <w:p w14:paraId="081792B9" w14:textId="77777777" w:rsidR="00D53449" w:rsidRDefault="00D53449" w:rsidP="004A504B">
      <w:r>
        <w:continuationSeparator/>
      </w:r>
    </w:p>
  </w:footnote>
  <w:footnote w:type="continuationNotice" w:id="1">
    <w:p w14:paraId="2840E837" w14:textId="77777777" w:rsidR="00D53449" w:rsidRDefault="00D53449"/>
  </w:footnote>
  <w:footnote w:id="2">
    <w:p w14:paraId="7D890BD5" w14:textId="77777777" w:rsidR="0079781A" w:rsidRPr="001E1147" w:rsidRDefault="0079781A" w:rsidP="00735D72">
      <w:pPr>
        <w:pStyle w:val="FootnoteText"/>
        <w:spacing w:after="120"/>
      </w:pPr>
      <w:r>
        <w:rPr>
          <w:rStyle w:val="FootnoteReference"/>
        </w:rPr>
        <w:footnoteRef/>
      </w:r>
      <w:r>
        <w:t xml:space="preserve"> UNEP/OzL.Pro/ExCom/94/1</w:t>
      </w:r>
    </w:p>
  </w:footnote>
  <w:footnote w:id="3">
    <w:p w14:paraId="15C39D07" w14:textId="26AC3DEC" w:rsidR="004177A6" w:rsidRPr="00996241" w:rsidRDefault="004177A6" w:rsidP="004177A6">
      <w:pPr>
        <w:pStyle w:val="FootnoteText"/>
      </w:pPr>
      <w:r>
        <w:rPr>
          <w:rStyle w:val="FootnoteReference"/>
        </w:rPr>
        <w:footnoteRef/>
      </w:r>
      <w:r>
        <w:t xml:space="preserve"> Selon la lettre du 13 février 2024 du Centre national pour la conformité environnementale de l’Arabie saoudite à l’ONUDI.</w:t>
      </w:r>
    </w:p>
  </w:footnote>
  <w:footnote w:id="4">
    <w:p w14:paraId="2A8E2017" w14:textId="75FA0A1A" w:rsidR="004177A6" w:rsidRPr="009931F4" w:rsidRDefault="004177A6" w:rsidP="004177A6">
      <w:pPr>
        <w:pStyle w:val="FootnoteText"/>
      </w:pPr>
      <w:r>
        <w:rPr>
          <w:rStyle w:val="FootnoteReference"/>
        </w:rPr>
        <w:footnoteRef/>
      </w:r>
      <w:r>
        <w:t xml:space="preserve"> Décision 68/37</w:t>
      </w:r>
    </w:p>
  </w:footnote>
  <w:footnote w:id="5">
    <w:p w14:paraId="1EB05314" w14:textId="0D549E9A" w:rsidR="000159B0" w:rsidRPr="009931F4" w:rsidRDefault="000159B0" w:rsidP="000159B0">
      <w:pPr>
        <w:pStyle w:val="FootnoteText"/>
      </w:pPr>
      <w:r>
        <w:rPr>
          <w:rStyle w:val="FootnoteReference"/>
        </w:rPr>
        <w:footnoteRef/>
      </w:r>
      <w:r>
        <w:t xml:space="preserve"> Décision 72/35</w:t>
      </w:r>
    </w:p>
  </w:footnote>
  <w:footnote w:id="6">
    <w:p w14:paraId="7D2C93BC" w14:textId="77777777" w:rsidR="0098594A" w:rsidRPr="009931F4" w:rsidRDefault="0098594A" w:rsidP="0098594A">
      <w:pPr>
        <w:pStyle w:val="FootnoteText"/>
      </w:pPr>
      <w:r>
        <w:rPr>
          <w:rStyle w:val="FootnoteReference"/>
        </w:rPr>
        <w:footnoteRef/>
      </w:r>
      <w:r>
        <w:t xml:space="preserve"> Décision 62/35</w:t>
      </w:r>
    </w:p>
  </w:footnote>
  <w:footnote w:id="7">
    <w:p w14:paraId="3F5F0301" w14:textId="70407AE8" w:rsidR="00B744C7" w:rsidRDefault="00B744C7">
      <w:pPr>
        <w:pStyle w:val="FootnoteText"/>
      </w:pPr>
      <w:r>
        <w:rPr>
          <w:rStyle w:val="FootnoteReference"/>
        </w:rPr>
        <w:footnoteRef/>
      </w:r>
      <w:r>
        <w:t xml:space="preserve"> Conformément à la décision 86/16 f) iii), la phase II du PGEH pour l’Arabie saoudite ne devait être considérée qu’une fois le rapport d’achèvement des projets remis, la phase I terminée financièrement et tous les soldes de financement retournés au Fonds multilatéral. Ces étapes étaient achevées.</w:t>
      </w:r>
    </w:p>
  </w:footnote>
  <w:footnote w:id="8">
    <w:p w14:paraId="0BFC5D23" w14:textId="50F1BA4D" w:rsidR="00112E60" w:rsidRPr="00D4166C" w:rsidRDefault="00112E60" w:rsidP="00112E60">
      <w:pPr>
        <w:pStyle w:val="FootnoteText"/>
        <w:rPr>
          <w:i/>
        </w:rPr>
      </w:pPr>
      <w:r>
        <w:rPr>
          <w:rStyle w:val="FootnoteReference"/>
        </w:rPr>
        <w:footnoteRef/>
      </w:r>
      <w:r>
        <w:t xml:space="preserve"> Voir l’annexe I pour la liste complète de l’équipement proposé.</w:t>
      </w:r>
    </w:p>
  </w:footnote>
  <w:footnote w:id="9">
    <w:p w14:paraId="165044C0" w14:textId="77777777" w:rsidR="003F523B" w:rsidRPr="004A5372" w:rsidRDefault="003F523B" w:rsidP="003F523B">
      <w:pPr>
        <w:pStyle w:val="FootnoteText"/>
      </w:pPr>
      <w:r>
        <w:rPr>
          <w:rStyle w:val="FootnoteReference"/>
        </w:rPr>
        <w:footnoteRef/>
      </w:r>
      <w:r>
        <w:t xml:space="preserve"> Voir l’annexe I pour la liste complète des outils et de l’équipement proposés.</w:t>
      </w:r>
    </w:p>
  </w:footnote>
  <w:footnote w:id="10">
    <w:p w14:paraId="0B942ECA" w14:textId="7CD58B3C" w:rsidR="00112E60" w:rsidRPr="004A5372" w:rsidRDefault="00112E60" w:rsidP="00112E60">
      <w:pPr>
        <w:pStyle w:val="FootnoteText"/>
      </w:pPr>
      <w:r>
        <w:rPr>
          <w:rStyle w:val="FootnoteReference"/>
        </w:rPr>
        <w:footnoteRef/>
      </w:r>
      <w:r>
        <w:t xml:space="preserve"> Voir l’annexe I pour la liste complète des outils et de l’équipement proposés.</w:t>
      </w:r>
    </w:p>
  </w:footnote>
  <w:footnote w:id="11">
    <w:p w14:paraId="6C586ED9" w14:textId="6C115349" w:rsidR="002340A9" w:rsidRPr="002340A9" w:rsidRDefault="002340A9" w:rsidP="000C62CA">
      <w:pPr>
        <w:pStyle w:val="FootnoteText"/>
      </w:pPr>
      <w:r>
        <w:rPr>
          <w:rStyle w:val="FootnoteReference"/>
        </w:rPr>
        <w:footnoteRef/>
      </w:r>
      <w:r>
        <w:t xml:space="preserve"> Les coûts comprennent la fourniture de l’équipement, l’installation, la formation de deux jours et le transport ; aucun laboratoire ne sera inclus.</w:t>
      </w:r>
    </w:p>
  </w:footnote>
  <w:footnote w:id="12">
    <w:p w14:paraId="614B554F" w14:textId="77777777" w:rsidR="009B5870" w:rsidRPr="00C27A92" w:rsidRDefault="009B5870" w:rsidP="009B5870">
      <w:pPr>
        <w:pStyle w:val="FootnoteText"/>
      </w:pPr>
      <w:r>
        <w:rPr>
          <w:rStyle w:val="FootnoteReference"/>
        </w:rPr>
        <w:footnoteRef/>
      </w:r>
      <w:r>
        <w:t xml:space="preserve"> Voir l’annexe I pour la liste complète des outils et de l’équipement proposés.</w:t>
      </w:r>
    </w:p>
  </w:footnote>
  <w:footnote w:id="13">
    <w:p w14:paraId="1B738C78" w14:textId="2F366B1C" w:rsidR="00CF5FA5" w:rsidRPr="00863B19" w:rsidRDefault="00CF5FA5" w:rsidP="00CF5FA5">
      <w:pPr>
        <w:pStyle w:val="FootnoteText"/>
      </w:pPr>
      <w:r>
        <w:rPr>
          <w:rStyle w:val="FootnoteReference"/>
        </w:rPr>
        <w:footnoteRef/>
      </w:r>
      <w:r>
        <w:t xml:space="preserve"> Voir l’annexe I pour la liste complète des outils et de l’équipement proposés.</w:t>
      </w:r>
    </w:p>
  </w:footnote>
  <w:footnote w:id="14">
    <w:p w14:paraId="12922CEF" w14:textId="77777777" w:rsidR="00BB1C81" w:rsidRPr="00BB1C81" w:rsidRDefault="00BB1C81">
      <w:pPr>
        <w:pStyle w:val="FootnoteText"/>
      </w:pPr>
      <w:r>
        <w:rPr>
          <w:rStyle w:val="FootnoteReference"/>
        </w:rPr>
        <w:footnoteRef/>
      </w:r>
      <w:r>
        <w:t xml:space="preserve"> Voir l’annexe I pour la liste complète des outils et de l’équipement proposés.</w:t>
      </w:r>
    </w:p>
  </w:footnote>
  <w:footnote w:id="15">
    <w:p w14:paraId="10F106DD" w14:textId="68E71E56" w:rsidR="00F374C8" w:rsidRPr="002340A9" w:rsidRDefault="00F374C8" w:rsidP="00F374C8">
      <w:pPr>
        <w:pStyle w:val="FootnoteText"/>
      </w:pPr>
      <w:r>
        <w:rPr>
          <w:rStyle w:val="FootnoteReference"/>
        </w:rPr>
        <w:footnoteRef/>
      </w:r>
      <w:r>
        <w:t xml:space="preserve"> Les coûts comprennent la fourniture de l’équipement, l’installation, la formation de deux jours et le transport ; aucun laboratoire ne sera inclus.</w:t>
      </w:r>
    </w:p>
  </w:footnote>
  <w:footnote w:id="16">
    <w:p w14:paraId="75D74EEB" w14:textId="4EEC8596" w:rsidR="00E634E8" w:rsidRPr="00474902" w:rsidRDefault="00E634E8">
      <w:pPr>
        <w:pStyle w:val="FootnoteText"/>
      </w:pPr>
      <w:r>
        <w:rPr>
          <w:rStyle w:val="FootnoteReference"/>
        </w:rPr>
        <w:footnoteRef/>
      </w:r>
      <w:r>
        <w:t xml:space="preserve"> Voir l’annexe I pour la liste complète des outils et de l’équipement proposés.</w:t>
      </w:r>
    </w:p>
  </w:footnote>
  <w:footnote w:id="17">
    <w:p w14:paraId="390D182F" w14:textId="48E65499" w:rsidR="00DF3F5D" w:rsidRPr="00DF3F5D" w:rsidRDefault="00DF3F5D">
      <w:pPr>
        <w:pStyle w:val="FootnoteText"/>
      </w:pPr>
      <w:r>
        <w:rPr>
          <w:rStyle w:val="FootnoteReference"/>
        </w:rPr>
        <w:footnoteRef/>
      </w:r>
      <w:r>
        <w:t xml:space="preserve"> Voir l’annexe I pour la liste complète des outils et de l’équipement proposés.</w:t>
      </w:r>
    </w:p>
  </w:footnote>
  <w:footnote w:id="18">
    <w:p w14:paraId="5E4EE329" w14:textId="77777777" w:rsidR="004177A6" w:rsidRPr="00016AE6" w:rsidRDefault="004177A6" w:rsidP="004177A6">
      <w:pPr>
        <w:pStyle w:val="FootnoteText"/>
      </w:pPr>
      <w:r>
        <w:rPr>
          <w:rStyle w:val="FootnoteReference"/>
        </w:rPr>
        <w:footnoteRef/>
      </w:r>
      <w:r>
        <w:t xml:space="preserve"> La consommation de HCFC peut atteindre un niveau supérieur à zéro au cours d’une année donnée en autant que la somme des niveaux calculés de consommation sur une période de dix ans du 1</w:t>
      </w:r>
      <w:r>
        <w:rPr>
          <w:vertAlign w:val="superscript"/>
        </w:rPr>
        <w:t>er</w:t>
      </w:r>
      <w:r>
        <w:t> janvier 2030 au 1</w:t>
      </w:r>
      <w:r>
        <w:rPr>
          <w:vertAlign w:val="superscript"/>
        </w:rPr>
        <w:t>er</w:t>
      </w:r>
      <w:r>
        <w:t> janvier 2040 divisée par 10 ne dépasse pas 2,5 pour cent de la valeur de référence pour les HCFC.</w:t>
      </w:r>
    </w:p>
  </w:footnote>
  <w:footnote w:id="19">
    <w:p w14:paraId="2514E2E3" w14:textId="1F111D44" w:rsidR="00192D64" w:rsidRDefault="00192D64" w:rsidP="00192D64">
      <w:pPr>
        <w:pStyle w:val="FootnoteText"/>
      </w:pPr>
      <w:r>
        <w:rPr>
          <w:rStyle w:val="FootnoteReference"/>
        </w:rPr>
        <w:footnoteRef/>
      </w:r>
      <w:r>
        <w:t xml:space="preserve"> Rapport final remis aux 83</w:t>
      </w:r>
      <w:r>
        <w:rPr>
          <w:vertAlign w:val="superscript"/>
        </w:rPr>
        <w:t>e</w:t>
      </w:r>
      <w:r>
        <w:t xml:space="preserve"> et 92</w:t>
      </w:r>
      <w:r>
        <w:rPr>
          <w:vertAlign w:val="superscript"/>
        </w:rPr>
        <w:t>e</w:t>
      </w:r>
      <w:r>
        <w:t> réunions.</w:t>
      </w:r>
    </w:p>
  </w:footnote>
  <w:footnote w:id="20">
    <w:p w14:paraId="2F0C081A" w14:textId="372624AF" w:rsidR="00793023" w:rsidRDefault="00793023">
      <w:pPr>
        <w:pStyle w:val="FootnoteText"/>
      </w:pPr>
      <w:r>
        <w:rPr>
          <w:rStyle w:val="FootnoteReference"/>
        </w:rPr>
        <w:footnoteRef/>
      </w:r>
      <w:r>
        <w:t xml:space="preserve"> </w:t>
      </w:r>
      <w:r>
        <w:rPr>
          <w:color w:val="000000"/>
        </w:rPr>
        <w:t>Engendrant des coûts de 17 719 748 $ US, étant donné l’augmentation du financement pour la formation, la certification et la fourniture d’outils et d’équipement à au moins 11 000 techniciens de 8 993 748 $ 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6D7F41" w14:textId="462D255C" w:rsidR="004177A6" w:rsidRPr="0033525D" w:rsidRDefault="00105426">
    <w:r>
      <w:fldChar w:fldCharType="begin"/>
    </w:r>
    <w:r>
      <w:instrText>DOCPROPERTY "Document number"  \* MERGEFORMAT</w:instrText>
    </w:r>
    <w:r>
      <w:fldChar w:fldCharType="separate"/>
    </w:r>
    <w:r w:rsidR="007733A1">
      <w:t>UNEP/OzL.Pro/ExCom/94/51</w:t>
    </w:r>
    <w:r>
      <w:fldChar w:fldCharType="end"/>
    </w:r>
  </w:p>
  <w:p w14:paraId="6AB78E8B" w14:textId="77777777" w:rsidR="004177A6" w:rsidRPr="0033525D" w:rsidRDefault="004177A6"/>
  <w:p w14:paraId="1EE4519A" w14:textId="77777777" w:rsidR="004177A6" w:rsidRPr="0033525D" w:rsidRDefault="004177A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5AE90C" w14:textId="4A22EEA6" w:rsidR="004177A6" w:rsidRPr="0033525D" w:rsidRDefault="00105426">
    <w:pPr>
      <w:jc w:val="right"/>
    </w:pPr>
    <w:r>
      <w:fldChar w:fldCharType="begin"/>
    </w:r>
    <w:r>
      <w:instrText xml:space="preserve">DOCPROPERTY "Document </w:instrText>
    </w:r>
    <w:r>
      <w:instrText>number"  \* MERGEFORMAT</w:instrText>
    </w:r>
    <w:r>
      <w:fldChar w:fldCharType="separate"/>
    </w:r>
    <w:r w:rsidR="007733A1">
      <w:t>UNEP/OzL.Pro/ExCom/94/51</w:t>
    </w:r>
    <w:r>
      <w:fldChar w:fldCharType="end"/>
    </w:r>
  </w:p>
  <w:p w14:paraId="68AB352B" w14:textId="77777777" w:rsidR="004177A6" w:rsidRPr="0033525D" w:rsidRDefault="004177A6" w:rsidP="009D02B5">
    <w:pPr>
      <w:jc w:val="right"/>
    </w:pPr>
  </w:p>
  <w:p w14:paraId="0B239B39" w14:textId="77777777" w:rsidR="004177A6" w:rsidRPr="0033525D" w:rsidRDefault="004177A6" w:rsidP="009D02B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EA217E" w14:textId="65C3BCDC" w:rsidR="00DC6A10" w:rsidRPr="007733A1" w:rsidRDefault="00105426" w:rsidP="005C79AB">
    <w:pPr>
      <w:jc w:val="left"/>
      <w:rPr>
        <w:lang w:val="en-CA"/>
      </w:rPr>
    </w:pPr>
    <w:r>
      <w:fldChar w:fldCharType="begin"/>
    </w:r>
    <w:r w:rsidRPr="007733A1">
      <w:rPr>
        <w:lang w:val="en-CA"/>
      </w:rPr>
      <w:instrText xml:space="preserve"> DOCPROPERTY "Document number"  \* MERGEFORMAT </w:instrText>
    </w:r>
    <w:r>
      <w:fldChar w:fldCharType="separate"/>
    </w:r>
    <w:r w:rsidR="00501385" w:rsidRPr="007733A1">
      <w:rPr>
        <w:lang w:val="en-CA"/>
      </w:rPr>
      <w:t>UNEP/OzL.Pro/ExCom/94/51</w:t>
    </w:r>
    <w:r>
      <w:fldChar w:fldCharType="end"/>
    </w:r>
  </w:p>
  <w:p w14:paraId="7C13AEF2" w14:textId="21312435" w:rsidR="00DC6A10" w:rsidRPr="007733A1" w:rsidRDefault="004C5CF6" w:rsidP="005C79AB">
    <w:pPr>
      <w:jc w:val="left"/>
      <w:rPr>
        <w:lang w:val="en-CA"/>
      </w:rPr>
    </w:pPr>
    <w:r w:rsidRPr="007733A1">
      <w:rPr>
        <w:lang w:val="en-CA"/>
      </w:rPr>
      <w:t>Annexe II</w:t>
    </w:r>
  </w:p>
  <w:p w14:paraId="4244E7C8" w14:textId="77777777" w:rsidR="00076A4C" w:rsidRPr="007733A1" w:rsidRDefault="00076A4C" w:rsidP="005C79AB">
    <w:pPr>
      <w:jc w:val="left"/>
      <w:rPr>
        <w:lang w:val="en-CA"/>
      </w:rPr>
    </w:pPr>
  </w:p>
  <w:p w14:paraId="1A2B6165" w14:textId="77777777" w:rsidR="00DC6A10" w:rsidRPr="007733A1" w:rsidRDefault="00DC6A10" w:rsidP="005C79AB">
    <w:pPr>
      <w:jc w:val="left"/>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BFF462" w14:textId="611063CA" w:rsidR="00DC6A10" w:rsidRPr="007733A1" w:rsidRDefault="00105426" w:rsidP="005C79AB">
    <w:pPr>
      <w:jc w:val="right"/>
      <w:rPr>
        <w:lang w:val="en-CA"/>
      </w:rPr>
    </w:pPr>
    <w:r>
      <w:fldChar w:fldCharType="begin"/>
    </w:r>
    <w:r w:rsidRPr="007733A1">
      <w:rPr>
        <w:lang w:val="en-CA"/>
      </w:rPr>
      <w:instrText xml:space="preserve"> DOCPROPERTY "Document number"  \* MERGEFORMAT </w:instrText>
    </w:r>
    <w:r>
      <w:fldChar w:fldCharType="separate"/>
    </w:r>
    <w:r w:rsidR="003C76F0">
      <w:rPr>
        <w:lang w:val="en-CA"/>
      </w:rPr>
      <w:t>UNEP/OzL.Pro/ExCom/94/51</w:t>
    </w:r>
    <w:r>
      <w:fldChar w:fldCharType="end"/>
    </w:r>
  </w:p>
  <w:p w14:paraId="0D0F152B" w14:textId="5E4D8B2E" w:rsidR="00DC6A10" w:rsidRPr="007733A1" w:rsidRDefault="005C79AB" w:rsidP="005C79AB">
    <w:pPr>
      <w:jc w:val="right"/>
      <w:rPr>
        <w:lang w:val="en-CA"/>
      </w:rPr>
    </w:pPr>
    <w:r w:rsidRPr="007733A1">
      <w:rPr>
        <w:lang w:val="en-CA"/>
      </w:rPr>
      <w:t>Annexe I</w:t>
    </w:r>
  </w:p>
  <w:p w14:paraId="16ABC3A1" w14:textId="77777777" w:rsidR="00DC6A10" w:rsidRPr="007733A1" w:rsidRDefault="00DC6A10" w:rsidP="005C79AB">
    <w:pPr>
      <w:pStyle w:val="Header"/>
      <w:jc w:val="right"/>
      <w:rPr>
        <w:lang w:val="en-CA"/>
      </w:rPr>
    </w:pPr>
  </w:p>
  <w:p w14:paraId="62E31A48" w14:textId="77777777" w:rsidR="005C79AB" w:rsidRPr="007733A1" w:rsidRDefault="005C79AB" w:rsidP="005C79AB">
    <w:pPr>
      <w:pStyle w:val="Header"/>
      <w:jc w:val="right"/>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7DAD5D" w14:textId="77777777" w:rsidR="00DB2256" w:rsidRDefault="00DB22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FD0FEB0"/>
    <w:lvl w:ilvl="0">
      <w:start w:val="1"/>
      <w:numFmt w:val="decimal"/>
      <w:lvlText w:val="%1."/>
      <w:lvlJc w:val="left"/>
      <w:pPr>
        <w:tabs>
          <w:tab w:val="num" w:pos="0"/>
        </w:tabs>
        <w:ind w:left="0" w:firstLine="0"/>
      </w:pPr>
      <w:rPr>
        <w:b w:val="0"/>
        <w:bCs/>
        <w:vertAlign w:val="baseline"/>
      </w:rPr>
    </w:lvl>
    <w:lvl w:ilvl="1">
      <w:start w:val="1"/>
      <w:numFmt w:val="lowerLetter"/>
      <w:lvlText w:val="(%2)"/>
      <w:lvlJc w:val="left"/>
      <w:pPr>
        <w:tabs>
          <w:tab w:val="num" w:pos="0"/>
        </w:tabs>
        <w:ind w:left="1440" w:hanging="720"/>
      </w:pPr>
    </w:lvl>
    <w:lvl w:ilvl="2">
      <w:start w:val="1"/>
      <w:numFmt w:val="lowerRoman"/>
      <w:lvlText w:val="(%3)"/>
      <w:lvlJc w:val="left"/>
      <w:pPr>
        <w:tabs>
          <w:tab w:val="num" w:pos="-270"/>
        </w:tabs>
        <w:ind w:left="189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17CE6F6A"/>
    <w:multiLevelType w:val="hybridMultilevel"/>
    <w:tmpl w:val="1C32F24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4F47C2A"/>
    <w:multiLevelType w:val="hybridMultilevel"/>
    <w:tmpl w:val="6456D3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5592C94"/>
    <w:multiLevelType w:val="hybridMultilevel"/>
    <w:tmpl w:val="C388E05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EF3E33"/>
    <w:multiLevelType w:val="hybridMultilevel"/>
    <w:tmpl w:val="B2E44876"/>
    <w:lvl w:ilvl="0" w:tplc="5530AC32">
      <w:start w:val="1"/>
      <w:numFmt w:val="decimal"/>
      <w:lvlText w:val="%1."/>
      <w:lvlJc w:val="left"/>
      <w:pPr>
        <w:ind w:left="100" w:hanging="720"/>
      </w:pPr>
      <w:rPr>
        <w:rFonts w:ascii="Times New Roman" w:eastAsia="Times New Roman" w:hAnsi="Times New Roman" w:hint="default"/>
        <w:sz w:val="22"/>
        <w:szCs w:val="22"/>
      </w:rPr>
    </w:lvl>
    <w:lvl w:ilvl="1" w:tplc="8820AA2C">
      <w:start w:val="1"/>
      <w:numFmt w:val="bullet"/>
      <w:lvlText w:val="•"/>
      <w:lvlJc w:val="left"/>
      <w:pPr>
        <w:ind w:left="1048" w:hanging="720"/>
      </w:pPr>
      <w:rPr>
        <w:rFonts w:hint="default"/>
      </w:rPr>
    </w:lvl>
    <w:lvl w:ilvl="2" w:tplc="EF925BA2">
      <w:start w:val="1"/>
      <w:numFmt w:val="bullet"/>
      <w:lvlText w:val="•"/>
      <w:lvlJc w:val="left"/>
      <w:pPr>
        <w:ind w:left="1996" w:hanging="720"/>
      </w:pPr>
      <w:rPr>
        <w:rFonts w:hint="default"/>
      </w:rPr>
    </w:lvl>
    <w:lvl w:ilvl="3" w:tplc="F1363E8C">
      <w:start w:val="1"/>
      <w:numFmt w:val="bullet"/>
      <w:lvlText w:val="•"/>
      <w:lvlJc w:val="left"/>
      <w:pPr>
        <w:ind w:left="2944" w:hanging="720"/>
      </w:pPr>
      <w:rPr>
        <w:rFonts w:hint="default"/>
      </w:rPr>
    </w:lvl>
    <w:lvl w:ilvl="4" w:tplc="EFDEA90C">
      <w:start w:val="1"/>
      <w:numFmt w:val="bullet"/>
      <w:lvlText w:val="•"/>
      <w:lvlJc w:val="left"/>
      <w:pPr>
        <w:ind w:left="3892" w:hanging="720"/>
      </w:pPr>
      <w:rPr>
        <w:rFonts w:hint="default"/>
      </w:rPr>
    </w:lvl>
    <w:lvl w:ilvl="5" w:tplc="AD343526">
      <w:start w:val="1"/>
      <w:numFmt w:val="bullet"/>
      <w:lvlText w:val="•"/>
      <w:lvlJc w:val="left"/>
      <w:pPr>
        <w:ind w:left="4840" w:hanging="720"/>
      </w:pPr>
      <w:rPr>
        <w:rFonts w:hint="default"/>
      </w:rPr>
    </w:lvl>
    <w:lvl w:ilvl="6" w:tplc="57167FB8">
      <w:start w:val="1"/>
      <w:numFmt w:val="bullet"/>
      <w:lvlText w:val="•"/>
      <w:lvlJc w:val="left"/>
      <w:pPr>
        <w:ind w:left="5788" w:hanging="720"/>
      </w:pPr>
      <w:rPr>
        <w:rFonts w:hint="default"/>
      </w:rPr>
    </w:lvl>
    <w:lvl w:ilvl="7" w:tplc="283CEF0A">
      <w:start w:val="1"/>
      <w:numFmt w:val="bullet"/>
      <w:lvlText w:val="•"/>
      <w:lvlJc w:val="left"/>
      <w:pPr>
        <w:ind w:left="6736" w:hanging="720"/>
      </w:pPr>
      <w:rPr>
        <w:rFonts w:hint="default"/>
      </w:rPr>
    </w:lvl>
    <w:lvl w:ilvl="8" w:tplc="F8768B96">
      <w:start w:val="1"/>
      <w:numFmt w:val="bullet"/>
      <w:lvlText w:val="•"/>
      <w:lvlJc w:val="left"/>
      <w:pPr>
        <w:ind w:left="7684" w:hanging="720"/>
      </w:pPr>
      <w:rPr>
        <w:rFont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035461B"/>
    <w:multiLevelType w:val="hybridMultilevel"/>
    <w:tmpl w:val="CC58F3D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65D0043"/>
    <w:multiLevelType w:val="hybridMultilevel"/>
    <w:tmpl w:val="7E68FF8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AC9234E"/>
    <w:multiLevelType w:val="hybridMultilevel"/>
    <w:tmpl w:val="1A6AA8B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17504A1"/>
    <w:multiLevelType w:val="hybridMultilevel"/>
    <w:tmpl w:val="8468F61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681C3664"/>
    <w:multiLevelType w:val="hybridMultilevel"/>
    <w:tmpl w:val="C3B4617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6490FE8"/>
    <w:multiLevelType w:val="multilevel"/>
    <w:tmpl w:val="AE3A78D2"/>
    <w:lvl w:ilvl="0">
      <w:start w:val="1"/>
      <w:numFmt w:val="decimal"/>
      <w:lvlText w:val="%1."/>
      <w:lvlJc w:val="left"/>
      <w:pPr>
        <w:tabs>
          <w:tab w:val="num" w:pos="993"/>
        </w:tabs>
        <w:ind w:left="993" w:firstLine="0"/>
      </w:pPr>
      <w:rPr>
        <w:b w:val="0"/>
        <w:bCs/>
        <w:i w:val="0"/>
        <w:iCs w:val="0"/>
        <w:vertAlign w:val="baseline"/>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270"/>
        </w:tabs>
        <w:ind w:left="189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28" w15:restartNumberingAfterBreak="0">
    <w:nsid w:val="7A2F3E2B"/>
    <w:multiLevelType w:val="hybridMultilevel"/>
    <w:tmpl w:val="4D948DA8"/>
    <w:lvl w:ilvl="0" w:tplc="E05CB4D8">
      <w:start w:val="1"/>
      <w:numFmt w:val="bullet"/>
      <w:lvlText w:val="-"/>
      <w:lvlJc w:val="left"/>
      <w:pPr>
        <w:tabs>
          <w:tab w:val="num" w:pos="1440"/>
        </w:tabs>
        <w:ind w:left="1440" w:hanging="360"/>
      </w:pPr>
      <w:rPr>
        <w:rFonts w:ascii="Times New Roman" w:hAnsi="Times New Roman" w:hint="default"/>
      </w:rPr>
    </w:lvl>
    <w:lvl w:ilvl="1" w:tplc="7180B86C" w:tentative="1">
      <w:start w:val="1"/>
      <w:numFmt w:val="bullet"/>
      <w:lvlText w:val="-"/>
      <w:lvlJc w:val="left"/>
      <w:pPr>
        <w:tabs>
          <w:tab w:val="num" w:pos="2160"/>
        </w:tabs>
        <w:ind w:left="2160" w:hanging="360"/>
      </w:pPr>
      <w:rPr>
        <w:rFonts w:ascii="Times New Roman" w:hAnsi="Times New Roman" w:hint="default"/>
      </w:rPr>
    </w:lvl>
    <w:lvl w:ilvl="2" w:tplc="7DA23DB4" w:tentative="1">
      <w:start w:val="1"/>
      <w:numFmt w:val="bullet"/>
      <w:lvlText w:val="-"/>
      <w:lvlJc w:val="left"/>
      <w:pPr>
        <w:tabs>
          <w:tab w:val="num" w:pos="2880"/>
        </w:tabs>
        <w:ind w:left="2880" w:hanging="360"/>
      </w:pPr>
      <w:rPr>
        <w:rFonts w:ascii="Times New Roman" w:hAnsi="Times New Roman" w:hint="default"/>
      </w:rPr>
    </w:lvl>
    <w:lvl w:ilvl="3" w:tplc="A12A6F68" w:tentative="1">
      <w:start w:val="1"/>
      <w:numFmt w:val="bullet"/>
      <w:lvlText w:val="-"/>
      <w:lvlJc w:val="left"/>
      <w:pPr>
        <w:tabs>
          <w:tab w:val="num" w:pos="3600"/>
        </w:tabs>
        <w:ind w:left="3600" w:hanging="360"/>
      </w:pPr>
      <w:rPr>
        <w:rFonts w:ascii="Times New Roman" w:hAnsi="Times New Roman" w:hint="default"/>
      </w:rPr>
    </w:lvl>
    <w:lvl w:ilvl="4" w:tplc="60F6216E" w:tentative="1">
      <w:start w:val="1"/>
      <w:numFmt w:val="bullet"/>
      <w:lvlText w:val="-"/>
      <w:lvlJc w:val="left"/>
      <w:pPr>
        <w:tabs>
          <w:tab w:val="num" w:pos="4320"/>
        </w:tabs>
        <w:ind w:left="4320" w:hanging="360"/>
      </w:pPr>
      <w:rPr>
        <w:rFonts w:ascii="Times New Roman" w:hAnsi="Times New Roman" w:hint="default"/>
      </w:rPr>
    </w:lvl>
    <w:lvl w:ilvl="5" w:tplc="F112E698" w:tentative="1">
      <w:start w:val="1"/>
      <w:numFmt w:val="bullet"/>
      <w:lvlText w:val="-"/>
      <w:lvlJc w:val="left"/>
      <w:pPr>
        <w:tabs>
          <w:tab w:val="num" w:pos="5040"/>
        </w:tabs>
        <w:ind w:left="5040" w:hanging="360"/>
      </w:pPr>
      <w:rPr>
        <w:rFonts w:ascii="Times New Roman" w:hAnsi="Times New Roman" w:hint="default"/>
      </w:rPr>
    </w:lvl>
    <w:lvl w:ilvl="6" w:tplc="08F03986" w:tentative="1">
      <w:start w:val="1"/>
      <w:numFmt w:val="bullet"/>
      <w:lvlText w:val="-"/>
      <w:lvlJc w:val="left"/>
      <w:pPr>
        <w:tabs>
          <w:tab w:val="num" w:pos="5760"/>
        </w:tabs>
        <w:ind w:left="5760" w:hanging="360"/>
      </w:pPr>
      <w:rPr>
        <w:rFonts w:ascii="Times New Roman" w:hAnsi="Times New Roman" w:hint="default"/>
      </w:rPr>
    </w:lvl>
    <w:lvl w:ilvl="7" w:tplc="279E5F14" w:tentative="1">
      <w:start w:val="1"/>
      <w:numFmt w:val="bullet"/>
      <w:lvlText w:val="-"/>
      <w:lvlJc w:val="left"/>
      <w:pPr>
        <w:tabs>
          <w:tab w:val="num" w:pos="6480"/>
        </w:tabs>
        <w:ind w:left="6480" w:hanging="360"/>
      </w:pPr>
      <w:rPr>
        <w:rFonts w:ascii="Times New Roman" w:hAnsi="Times New Roman" w:hint="default"/>
      </w:rPr>
    </w:lvl>
    <w:lvl w:ilvl="8" w:tplc="0AD83D9C" w:tentative="1">
      <w:start w:val="1"/>
      <w:numFmt w:val="bullet"/>
      <w:lvlText w:val="-"/>
      <w:lvlJc w:val="left"/>
      <w:pPr>
        <w:tabs>
          <w:tab w:val="num" w:pos="7200"/>
        </w:tabs>
        <w:ind w:left="7200" w:hanging="360"/>
      </w:pPr>
      <w:rPr>
        <w:rFonts w:ascii="Times New Roman" w:hAnsi="Times New Roman"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62847601">
    <w:abstractNumId w:val="13"/>
  </w:num>
  <w:num w:numId="2" w16cid:durableId="299306927">
    <w:abstractNumId w:val="19"/>
  </w:num>
  <w:num w:numId="3" w16cid:durableId="559828470">
    <w:abstractNumId w:val="21"/>
  </w:num>
  <w:num w:numId="4" w16cid:durableId="1488010068">
    <w:abstractNumId w:val="29"/>
  </w:num>
  <w:num w:numId="5" w16cid:durableId="444007775">
    <w:abstractNumId w:val="14"/>
  </w:num>
  <w:num w:numId="6" w16cid:durableId="2081637436">
    <w:abstractNumId w:val="24"/>
  </w:num>
  <w:num w:numId="7"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64352431">
    <w:abstractNumId w:val="18"/>
  </w:num>
  <w:num w:numId="14" w16cid:durableId="155390179">
    <w:abstractNumId w:val="27"/>
  </w:num>
  <w:num w:numId="15" w16cid:durableId="15342658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0012009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42863112">
    <w:abstractNumId w:val="10"/>
  </w:num>
  <w:num w:numId="18" w16cid:durableId="1784107671">
    <w:abstractNumId w:val="9"/>
  </w:num>
  <w:num w:numId="19" w16cid:durableId="1839810355">
    <w:abstractNumId w:val="7"/>
  </w:num>
  <w:num w:numId="20" w16cid:durableId="1336880388">
    <w:abstractNumId w:val="6"/>
  </w:num>
  <w:num w:numId="21" w16cid:durableId="241304915">
    <w:abstractNumId w:val="5"/>
  </w:num>
  <w:num w:numId="22" w16cid:durableId="1774475732">
    <w:abstractNumId w:val="4"/>
  </w:num>
  <w:num w:numId="23" w16cid:durableId="1295328194">
    <w:abstractNumId w:val="8"/>
  </w:num>
  <w:num w:numId="24" w16cid:durableId="1853957162">
    <w:abstractNumId w:val="3"/>
  </w:num>
  <w:num w:numId="25" w16cid:durableId="765930498">
    <w:abstractNumId w:val="2"/>
  </w:num>
  <w:num w:numId="26" w16cid:durableId="502166907">
    <w:abstractNumId w:val="1"/>
  </w:num>
  <w:num w:numId="27" w16cid:durableId="919410863">
    <w:abstractNumId w:val="0"/>
  </w:num>
  <w:num w:numId="28" w16cid:durableId="1708261730">
    <w:abstractNumId w:val="17"/>
  </w:num>
  <w:num w:numId="29"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22458732">
    <w:abstractNumId w:val="12"/>
  </w:num>
  <w:num w:numId="31"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83012631">
    <w:abstractNumId w:val="20"/>
  </w:num>
  <w:num w:numId="35" w16cid:durableId="2032294872">
    <w:abstractNumId w:val="28"/>
  </w:num>
  <w:num w:numId="36" w16cid:durableId="482359261">
    <w:abstractNumId w:val="16"/>
  </w:num>
  <w:num w:numId="37" w16cid:durableId="1517619430">
    <w:abstractNumId w:val="11"/>
  </w:num>
  <w:num w:numId="38" w16cid:durableId="2041196535">
    <w:abstractNumId w:val="22"/>
  </w:num>
  <w:num w:numId="39" w16cid:durableId="892928445">
    <w:abstractNumId w:val="23"/>
  </w:num>
  <w:num w:numId="40" w16cid:durableId="1644892279">
    <w:abstractNumId w:val="25"/>
  </w:num>
  <w:num w:numId="41" w16cid:durableId="494223229">
    <w:abstractNumId w:val="26"/>
  </w:num>
  <w:num w:numId="42" w16cid:durableId="19565977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377DF"/>
    <w:rsid w:val="00000A33"/>
    <w:rsid w:val="00000B4C"/>
    <w:rsid w:val="00000B8D"/>
    <w:rsid w:val="00000F45"/>
    <w:rsid w:val="00000FED"/>
    <w:rsid w:val="00001152"/>
    <w:rsid w:val="00001299"/>
    <w:rsid w:val="00001969"/>
    <w:rsid w:val="00001C2E"/>
    <w:rsid w:val="00001DE4"/>
    <w:rsid w:val="000020F7"/>
    <w:rsid w:val="000023E8"/>
    <w:rsid w:val="00002D57"/>
    <w:rsid w:val="00003423"/>
    <w:rsid w:val="00003500"/>
    <w:rsid w:val="00003B7A"/>
    <w:rsid w:val="00003E84"/>
    <w:rsid w:val="00003F07"/>
    <w:rsid w:val="00003F6D"/>
    <w:rsid w:val="0000434E"/>
    <w:rsid w:val="000045AE"/>
    <w:rsid w:val="0000467F"/>
    <w:rsid w:val="00004709"/>
    <w:rsid w:val="0000475B"/>
    <w:rsid w:val="00005C93"/>
    <w:rsid w:val="00006286"/>
    <w:rsid w:val="00006F46"/>
    <w:rsid w:val="000070E1"/>
    <w:rsid w:val="00007804"/>
    <w:rsid w:val="00007C21"/>
    <w:rsid w:val="00007E9F"/>
    <w:rsid w:val="0001072E"/>
    <w:rsid w:val="0001167D"/>
    <w:rsid w:val="0001182B"/>
    <w:rsid w:val="00011909"/>
    <w:rsid w:val="000121E1"/>
    <w:rsid w:val="00012231"/>
    <w:rsid w:val="000124D4"/>
    <w:rsid w:val="000129C9"/>
    <w:rsid w:val="00012AC2"/>
    <w:rsid w:val="00012AE5"/>
    <w:rsid w:val="00012BBD"/>
    <w:rsid w:val="00013770"/>
    <w:rsid w:val="00013A20"/>
    <w:rsid w:val="00013C2D"/>
    <w:rsid w:val="00014B6B"/>
    <w:rsid w:val="00014F82"/>
    <w:rsid w:val="00015440"/>
    <w:rsid w:val="00015725"/>
    <w:rsid w:val="000159B0"/>
    <w:rsid w:val="00015DB6"/>
    <w:rsid w:val="00015DF9"/>
    <w:rsid w:val="00016590"/>
    <w:rsid w:val="00017075"/>
    <w:rsid w:val="00017C0D"/>
    <w:rsid w:val="00020AB4"/>
    <w:rsid w:val="000211A9"/>
    <w:rsid w:val="00021238"/>
    <w:rsid w:val="000215AD"/>
    <w:rsid w:val="00021691"/>
    <w:rsid w:val="00022071"/>
    <w:rsid w:val="0002225A"/>
    <w:rsid w:val="00022343"/>
    <w:rsid w:val="00022CEB"/>
    <w:rsid w:val="000231D6"/>
    <w:rsid w:val="00023484"/>
    <w:rsid w:val="00023DDC"/>
    <w:rsid w:val="00024146"/>
    <w:rsid w:val="0002441A"/>
    <w:rsid w:val="0002499B"/>
    <w:rsid w:val="00024A79"/>
    <w:rsid w:val="00024C5E"/>
    <w:rsid w:val="00024D26"/>
    <w:rsid w:val="00025425"/>
    <w:rsid w:val="00025966"/>
    <w:rsid w:val="00026570"/>
    <w:rsid w:val="000267F0"/>
    <w:rsid w:val="000269D5"/>
    <w:rsid w:val="00026B99"/>
    <w:rsid w:val="00027C95"/>
    <w:rsid w:val="00031260"/>
    <w:rsid w:val="00031542"/>
    <w:rsid w:val="000327AE"/>
    <w:rsid w:val="0003287F"/>
    <w:rsid w:val="00032C09"/>
    <w:rsid w:val="00032C7C"/>
    <w:rsid w:val="00032DD3"/>
    <w:rsid w:val="000341A4"/>
    <w:rsid w:val="0003429E"/>
    <w:rsid w:val="00034454"/>
    <w:rsid w:val="0003535A"/>
    <w:rsid w:val="00035C5B"/>
    <w:rsid w:val="0003681A"/>
    <w:rsid w:val="00036D26"/>
    <w:rsid w:val="000372B7"/>
    <w:rsid w:val="00037589"/>
    <w:rsid w:val="00037637"/>
    <w:rsid w:val="00037FA5"/>
    <w:rsid w:val="0004012C"/>
    <w:rsid w:val="000411C4"/>
    <w:rsid w:val="00041444"/>
    <w:rsid w:val="000416C2"/>
    <w:rsid w:val="00041B2C"/>
    <w:rsid w:val="00041BAE"/>
    <w:rsid w:val="00042322"/>
    <w:rsid w:val="00042573"/>
    <w:rsid w:val="000426A9"/>
    <w:rsid w:val="000426CD"/>
    <w:rsid w:val="00043328"/>
    <w:rsid w:val="00043A0E"/>
    <w:rsid w:val="00043E57"/>
    <w:rsid w:val="00043FB5"/>
    <w:rsid w:val="000441FD"/>
    <w:rsid w:val="00044F91"/>
    <w:rsid w:val="0004525D"/>
    <w:rsid w:val="00045FF0"/>
    <w:rsid w:val="00046113"/>
    <w:rsid w:val="00046A94"/>
    <w:rsid w:val="00046EB0"/>
    <w:rsid w:val="000475BC"/>
    <w:rsid w:val="000505F0"/>
    <w:rsid w:val="00050AC1"/>
    <w:rsid w:val="00050F6E"/>
    <w:rsid w:val="00051793"/>
    <w:rsid w:val="00051905"/>
    <w:rsid w:val="00051D29"/>
    <w:rsid w:val="00051FC5"/>
    <w:rsid w:val="00052447"/>
    <w:rsid w:val="0005266D"/>
    <w:rsid w:val="0005279B"/>
    <w:rsid w:val="00052A20"/>
    <w:rsid w:val="00052B6F"/>
    <w:rsid w:val="00053A80"/>
    <w:rsid w:val="00053D30"/>
    <w:rsid w:val="000542E2"/>
    <w:rsid w:val="00054EE9"/>
    <w:rsid w:val="00055033"/>
    <w:rsid w:val="00055B9D"/>
    <w:rsid w:val="00056050"/>
    <w:rsid w:val="000562D0"/>
    <w:rsid w:val="000566CA"/>
    <w:rsid w:val="0005686E"/>
    <w:rsid w:val="00056E93"/>
    <w:rsid w:val="000570FD"/>
    <w:rsid w:val="000571E6"/>
    <w:rsid w:val="00060336"/>
    <w:rsid w:val="00060490"/>
    <w:rsid w:val="00060CD9"/>
    <w:rsid w:val="00060DC2"/>
    <w:rsid w:val="00061034"/>
    <w:rsid w:val="00061141"/>
    <w:rsid w:val="0006156D"/>
    <w:rsid w:val="00061793"/>
    <w:rsid w:val="00061D21"/>
    <w:rsid w:val="00061EC2"/>
    <w:rsid w:val="00062EB2"/>
    <w:rsid w:val="00063137"/>
    <w:rsid w:val="0006341F"/>
    <w:rsid w:val="000637F3"/>
    <w:rsid w:val="000640AD"/>
    <w:rsid w:val="00064E7D"/>
    <w:rsid w:val="00066056"/>
    <w:rsid w:val="000661CE"/>
    <w:rsid w:val="000664DB"/>
    <w:rsid w:val="0006683D"/>
    <w:rsid w:val="00066A6A"/>
    <w:rsid w:val="00066CE8"/>
    <w:rsid w:val="00066DF2"/>
    <w:rsid w:val="00067C4C"/>
    <w:rsid w:val="00070566"/>
    <w:rsid w:val="00070A3E"/>
    <w:rsid w:val="00071BBA"/>
    <w:rsid w:val="00072813"/>
    <w:rsid w:val="00072D54"/>
    <w:rsid w:val="00073094"/>
    <w:rsid w:val="000737CE"/>
    <w:rsid w:val="00073F6D"/>
    <w:rsid w:val="000742DD"/>
    <w:rsid w:val="000745D0"/>
    <w:rsid w:val="0007561A"/>
    <w:rsid w:val="00076A4C"/>
    <w:rsid w:val="00076AEE"/>
    <w:rsid w:val="00077AE0"/>
    <w:rsid w:val="000801CB"/>
    <w:rsid w:val="00080ED0"/>
    <w:rsid w:val="00080FAF"/>
    <w:rsid w:val="00081579"/>
    <w:rsid w:val="00081B29"/>
    <w:rsid w:val="00081B50"/>
    <w:rsid w:val="00082B4C"/>
    <w:rsid w:val="00082E2E"/>
    <w:rsid w:val="00082FBE"/>
    <w:rsid w:val="00083DBC"/>
    <w:rsid w:val="00083E91"/>
    <w:rsid w:val="000841B0"/>
    <w:rsid w:val="00085B09"/>
    <w:rsid w:val="00085B8F"/>
    <w:rsid w:val="0008607A"/>
    <w:rsid w:val="00086EAA"/>
    <w:rsid w:val="00086F4D"/>
    <w:rsid w:val="00086FD3"/>
    <w:rsid w:val="0008704D"/>
    <w:rsid w:val="00087E14"/>
    <w:rsid w:val="000900BB"/>
    <w:rsid w:val="00090481"/>
    <w:rsid w:val="00090ACA"/>
    <w:rsid w:val="00091356"/>
    <w:rsid w:val="0009146B"/>
    <w:rsid w:val="000920C1"/>
    <w:rsid w:val="00092826"/>
    <w:rsid w:val="00092C77"/>
    <w:rsid w:val="00092DEC"/>
    <w:rsid w:val="00093537"/>
    <w:rsid w:val="00093C66"/>
    <w:rsid w:val="00093E4F"/>
    <w:rsid w:val="0009406D"/>
    <w:rsid w:val="000944C3"/>
    <w:rsid w:val="00094533"/>
    <w:rsid w:val="00094B3C"/>
    <w:rsid w:val="00094B99"/>
    <w:rsid w:val="000950F5"/>
    <w:rsid w:val="000955DC"/>
    <w:rsid w:val="00095F7E"/>
    <w:rsid w:val="000962F9"/>
    <w:rsid w:val="000967AC"/>
    <w:rsid w:val="000979BE"/>
    <w:rsid w:val="00097F8A"/>
    <w:rsid w:val="000A0315"/>
    <w:rsid w:val="000A0511"/>
    <w:rsid w:val="000A08D1"/>
    <w:rsid w:val="000A0C7F"/>
    <w:rsid w:val="000A103D"/>
    <w:rsid w:val="000A126E"/>
    <w:rsid w:val="000A169D"/>
    <w:rsid w:val="000A1B4F"/>
    <w:rsid w:val="000A2231"/>
    <w:rsid w:val="000A2575"/>
    <w:rsid w:val="000A2AC9"/>
    <w:rsid w:val="000A2B96"/>
    <w:rsid w:val="000A314E"/>
    <w:rsid w:val="000A35F7"/>
    <w:rsid w:val="000A3826"/>
    <w:rsid w:val="000A39C9"/>
    <w:rsid w:val="000A3B50"/>
    <w:rsid w:val="000A3D01"/>
    <w:rsid w:val="000A4294"/>
    <w:rsid w:val="000A45C3"/>
    <w:rsid w:val="000A4742"/>
    <w:rsid w:val="000A477D"/>
    <w:rsid w:val="000A4ADB"/>
    <w:rsid w:val="000A4B0A"/>
    <w:rsid w:val="000A4FE9"/>
    <w:rsid w:val="000A541B"/>
    <w:rsid w:val="000A56A7"/>
    <w:rsid w:val="000A5709"/>
    <w:rsid w:val="000A628B"/>
    <w:rsid w:val="000A6353"/>
    <w:rsid w:val="000A66CE"/>
    <w:rsid w:val="000A6C26"/>
    <w:rsid w:val="000A744B"/>
    <w:rsid w:val="000A7E43"/>
    <w:rsid w:val="000B01B5"/>
    <w:rsid w:val="000B02A7"/>
    <w:rsid w:val="000B102B"/>
    <w:rsid w:val="000B1A4C"/>
    <w:rsid w:val="000B1BF4"/>
    <w:rsid w:val="000B24E6"/>
    <w:rsid w:val="000B2692"/>
    <w:rsid w:val="000B3023"/>
    <w:rsid w:val="000B36A7"/>
    <w:rsid w:val="000B36C8"/>
    <w:rsid w:val="000B37D2"/>
    <w:rsid w:val="000B3A59"/>
    <w:rsid w:val="000B3FA0"/>
    <w:rsid w:val="000B424A"/>
    <w:rsid w:val="000B45CF"/>
    <w:rsid w:val="000B46B7"/>
    <w:rsid w:val="000B47B9"/>
    <w:rsid w:val="000B4C88"/>
    <w:rsid w:val="000B4D70"/>
    <w:rsid w:val="000B4EE4"/>
    <w:rsid w:val="000B599C"/>
    <w:rsid w:val="000B7220"/>
    <w:rsid w:val="000B7BBB"/>
    <w:rsid w:val="000C0874"/>
    <w:rsid w:val="000C145D"/>
    <w:rsid w:val="000C15AD"/>
    <w:rsid w:val="000C1705"/>
    <w:rsid w:val="000C1D46"/>
    <w:rsid w:val="000C20AF"/>
    <w:rsid w:val="000C22B7"/>
    <w:rsid w:val="000C2482"/>
    <w:rsid w:val="000C25CC"/>
    <w:rsid w:val="000C2769"/>
    <w:rsid w:val="000C2A25"/>
    <w:rsid w:val="000C348C"/>
    <w:rsid w:val="000C3807"/>
    <w:rsid w:val="000C4585"/>
    <w:rsid w:val="000C4A79"/>
    <w:rsid w:val="000C4BBA"/>
    <w:rsid w:val="000C4F11"/>
    <w:rsid w:val="000C4F16"/>
    <w:rsid w:val="000C504E"/>
    <w:rsid w:val="000C514D"/>
    <w:rsid w:val="000C5567"/>
    <w:rsid w:val="000C561D"/>
    <w:rsid w:val="000C5B4F"/>
    <w:rsid w:val="000C62CA"/>
    <w:rsid w:val="000C634D"/>
    <w:rsid w:val="000C64CB"/>
    <w:rsid w:val="000C71D0"/>
    <w:rsid w:val="000C7566"/>
    <w:rsid w:val="000C799F"/>
    <w:rsid w:val="000C7CCE"/>
    <w:rsid w:val="000C7E9F"/>
    <w:rsid w:val="000C7FF1"/>
    <w:rsid w:val="000D05BF"/>
    <w:rsid w:val="000D0645"/>
    <w:rsid w:val="000D0B5A"/>
    <w:rsid w:val="000D0F70"/>
    <w:rsid w:val="000D1065"/>
    <w:rsid w:val="000D11DA"/>
    <w:rsid w:val="000D18DE"/>
    <w:rsid w:val="000D4018"/>
    <w:rsid w:val="000D41C6"/>
    <w:rsid w:val="000D4BAB"/>
    <w:rsid w:val="000D4D25"/>
    <w:rsid w:val="000D52A4"/>
    <w:rsid w:val="000D5C8D"/>
    <w:rsid w:val="000D5DB9"/>
    <w:rsid w:val="000D6057"/>
    <w:rsid w:val="000D637C"/>
    <w:rsid w:val="000D6559"/>
    <w:rsid w:val="000D6687"/>
    <w:rsid w:val="000D691B"/>
    <w:rsid w:val="000D76C2"/>
    <w:rsid w:val="000E01E6"/>
    <w:rsid w:val="000E07BC"/>
    <w:rsid w:val="000E154E"/>
    <w:rsid w:val="000E1787"/>
    <w:rsid w:val="000E1A7D"/>
    <w:rsid w:val="000E1E90"/>
    <w:rsid w:val="000E1EE6"/>
    <w:rsid w:val="000E1F85"/>
    <w:rsid w:val="000E28BA"/>
    <w:rsid w:val="000E2D93"/>
    <w:rsid w:val="000E2E21"/>
    <w:rsid w:val="000E3F5F"/>
    <w:rsid w:val="000E457B"/>
    <w:rsid w:val="000E49F7"/>
    <w:rsid w:val="000E4E94"/>
    <w:rsid w:val="000E526B"/>
    <w:rsid w:val="000E56F5"/>
    <w:rsid w:val="000E590E"/>
    <w:rsid w:val="000E5A2C"/>
    <w:rsid w:val="000E5A47"/>
    <w:rsid w:val="000E5D39"/>
    <w:rsid w:val="000E5D5C"/>
    <w:rsid w:val="000E5E4C"/>
    <w:rsid w:val="000E616B"/>
    <w:rsid w:val="000E6905"/>
    <w:rsid w:val="000E7553"/>
    <w:rsid w:val="000F0A34"/>
    <w:rsid w:val="000F1CD4"/>
    <w:rsid w:val="000F2746"/>
    <w:rsid w:val="000F2F31"/>
    <w:rsid w:val="000F39EC"/>
    <w:rsid w:val="000F3B52"/>
    <w:rsid w:val="000F4103"/>
    <w:rsid w:val="000F4782"/>
    <w:rsid w:val="000F58AF"/>
    <w:rsid w:val="000F59AD"/>
    <w:rsid w:val="000F5B71"/>
    <w:rsid w:val="000F65C1"/>
    <w:rsid w:val="000F70A7"/>
    <w:rsid w:val="000F7211"/>
    <w:rsid w:val="000F7266"/>
    <w:rsid w:val="000F7B75"/>
    <w:rsid w:val="00100259"/>
    <w:rsid w:val="00100A52"/>
    <w:rsid w:val="0010136D"/>
    <w:rsid w:val="00101B51"/>
    <w:rsid w:val="00101F7A"/>
    <w:rsid w:val="00102621"/>
    <w:rsid w:val="00102F99"/>
    <w:rsid w:val="0010311B"/>
    <w:rsid w:val="00103674"/>
    <w:rsid w:val="00103E48"/>
    <w:rsid w:val="00104B18"/>
    <w:rsid w:val="00104D55"/>
    <w:rsid w:val="00105426"/>
    <w:rsid w:val="0010577F"/>
    <w:rsid w:val="00105D24"/>
    <w:rsid w:val="00105DDA"/>
    <w:rsid w:val="00106CB6"/>
    <w:rsid w:val="00106F4F"/>
    <w:rsid w:val="001073BC"/>
    <w:rsid w:val="00110257"/>
    <w:rsid w:val="001108FC"/>
    <w:rsid w:val="00111336"/>
    <w:rsid w:val="00111602"/>
    <w:rsid w:val="001116A4"/>
    <w:rsid w:val="00111A43"/>
    <w:rsid w:val="00111C9D"/>
    <w:rsid w:val="00111D1B"/>
    <w:rsid w:val="00112E60"/>
    <w:rsid w:val="00113204"/>
    <w:rsid w:val="00113CCA"/>
    <w:rsid w:val="001140B9"/>
    <w:rsid w:val="00114398"/>
    <w:rsid w:val="00114D3A"/>
    <w:rsid w:val="00115169"/>
    <w:rsid w:val="001151C2"/>
    <w:rsid w:val="0011545F"/>
    <w:rsid w:val="001154CB"/>
    <w:rsid w:val="0011564B"/>
    <w:rsid w:val="00115E70"/>
    <w:rsid w:val="00116812"/>
    <w:rsid w:val="00116851"/>
    <w:rsid w:val="0011702A"/>
    <w:rsid w:val="001172AB"/>
    <w:rsid w:val="001175B8"/>
    <w:rsid w:val="00120A11"/>
    <w:rsid w:val="00120DD7"/>
    <w:rsid w:val="00121B41"/>
    <w:rsid w:val="00122346"/>
    <w:rsid w:val="00122C6E"/>
    <w:rsid w:val="00122D08"/>
    <w:rsid w:val="00122D96"/>
    <w:rsid w:val="00122F25"/>
    <w:rsid w:val="00122F73"/>
    <w:rsid w:val="00123509"/>
    <w:rsid w:val="00123C88"/>
    <w:rsid w:val="001240F3"/>
    <w:rsid w:val="0012412F"/>
    <w:rsid w:val="00124455"/>
    <w:rsid w:val="001255C7"/>
    <w:rsid w:val="001255FA"/>
    <w:rsid w:val="00125B6F"/>
    <w:rsid w:val="00126014"/>
    <w:rsid w:val="00126B44"/>
    <w:rsid w:val="00126CE7"/>
    <w:rsid w:val="00127245"/>
    <w:rsid w:val="00127798"/>
    <w:rsid w:val="00127AC0"/>
    <w:rsid w:val="00127DD5"/>
    <w:rsid w:val="001302F8"/>
    <w:rsid w:val="001304EE"/>
    <w:rsid w:val="00130CC2"/>
    <w:rsid w:val="00131D94"/>
    <w:rsid w:val="0013219E"/>
    <w:rsid w:val="001322B5"/>
    <w:rsid w:val="00132998"/>
    <w:rsid w:val="00132A57"/>
    <w:rsid w:val="001344A8"/>
    <w:rsid w:val="00134DAD"/>
    <w:rsid w:val="00134EB1"/>
    <w:rsid w:val="00135705"/>
    <w:rsid w:val="00135980"/>
    <w:rsid w:val="00135EB7"/>
    <w:rsid w:val="00135F51"/>
    <w:rsid w:val="00136099"/>
    <w:rsid w:val="0013613D"/>
    <w:rsid w:val="001364ED"/>
    <w:rsid w:val="00136B07"/>
    <w:rsid w:val="001377DF"/>
    <w:rsid w:val="0013786F"/>
    <w:rsid w:val="00137CA6"/>
    <w:rsid w:val="001406B9"/>
    <w:rsid w:val="001409CD"/>
    <w:rsid w:val="001417B6"/>
    <w:rsid w:val="001418B0"/>
    <w:rsid w:val="00141B5F"/>
    <w:rsid w:val="00141CC7"/>
    <w:rsid w:val="00141E77"/>
    <w:rsid w:val="00141F18"/>
    <w:rsid w:val="00141F8E"/>
    <w:rsid w:val="0014200F"/>
    <w:rsid w:val="001421D6"/>
    <w:rsid w:val="0014232A"/>
    <w:rsid w:val="00142568"/>
    <w:rsid w:val="00142576"/>
    <w:rsid w:val="001429A4"/>
    <w:rsid w:val="001437AB"/>
    <w:rsid w:val="001442B4"/>
    <w:rsid w:val="00144A23"/>
    <w:rsid w:val="00144AF8"/>
    <w:rsid w:val="00144D3C"/>
    <w:rsid w:val="00144F8E"/>
    <w:rsid w:val="00145B5E"/>
    <w:rsid w:val="00145D38"/>
    <w:rsid w:val="00146026"/>
    <w:rsid w:val="001466E0"/>
    <w:rsid w:val="00146914"/>
    <w:rsid w:val="00146931"/>
    <w:rsid w:val="00146A71"/>
    <w:rsid w:val="00146E3B"/>
    <w:rsid w:val="001500DA"/>
    <w:rsid w:val="0015025E"/>
    <w:rsid w:val="00150FDF"/>
    <w:rsid w:val="00150FE6"/>
    <w:rsid w:val="00151AC2"/>
    <w:rsid w:val="00151DCC"/>
    <w:rsid w:val="00151EAA"/>
    <w:rsid w:val="0015216A"/>
    <w:rsid w:val="00152D89"/>
    <w:rsid w:val="001533AC"/>
    <w:rsid w:val="00153479"/>
    <w:rsid w:val="00153B87"/>
    <w:rsid w:val="00153FBC"/>
    <w:rsid w:val="001547C2"/>
    <w:rsid w:val="00154936"/>
    <w:rsid w:val="00155629"/>
    <w:rsid w:val="001557AC"/>
    <w:rsid w:val="0015654B"/>
    <w:rsid w:val="00156556"/>
    <w:rsid w:val="001566AF"/>
    <w:rsid w:val="00156963"/>
    <w:rsid w:val="00156AC9"/>
    <w:rsid w:val="00157C67"/>
    <w:rsid w:val="00160181"/>
    <w:rsid w:val="001603A2"/>
    <w:rsid w:val="0016047B"/>
    <w:rsid w:val="001607A9"/>
    <w:rsid w:val="0016097D"/>
    <w:rsid w:val="00161401"/>
    <w:rsid w:val="00161427"/>
    <w:rsid w:val="00161758"/>
    <w:rsid w:val="00161B57"/>
    <w:rsid w:val="00161E52"/>
    <w:rsid w:val="00162565"/>
    <w:rsid w:val="00162605"/>
    <w:rsid w:val="00162E53"/>
    <w:rsid w:val="001633BB"/>
    <w:rsid w:val="0016367A"/>
    <w:rsid w:val="00163A56"/>
    <w:rsid w:val="00163CD0"/>
    <w:rsid w:val="00163D2F"/>
    <w:rsid w:val="00163D9C"/>
    <w:rsid w:val="0016462C"/>
    <w:rsid w:val="00164719"/>
    <w:rsid w:val="00164732"/>
    <w:rsid w:val="001648BD"/>
    <w:rsid w:val="00164A83"/>
    <w:rsid w:val="00164BB7"/>
    <w:rsid w:val="0016500F"/>
    <w:rsid w:val="00165096"/>
    <w:rsid w:val="00165383"/>
    <w:rsid w:val="00166459"/>
    <w:rsid w:val="00166FC4"/>
    <w:rsid w:val="001677AC"/>
    <w:rsid w:val="001710A2"/>
    <w:rsid w:val="00172092"/>
    <w:rsid w:val="00172286"/>
    <w:rsid w:val="001722ED"/>
    <w:rsid w:val="0017298A"/>
    <w:rsid w:val="00172D7B"/>
    <w:rsid w:val="001738D8"/>
    <w:rsid w:val="00173AEF"/>
    <w:rsid w:val="0017416C"/>
    <w:rsid w:val="0017423A"/>
    <w:rsid w:val="0017488F"/>
    <w:rsid w:val="00174D35"/>
    <w:rsid w:val="00175AB1"/>
    <w:rsid w:val="00175D4F"/>
    <w:rsid w:val="0017605F"/>
    <w:rsid w:val="001760D4"/>
    <w:rsid w:val="00176769"/>
    <w:rsid w:val="00177478"/>
    <w:rsid w:val="001774F5"/>
    <w:rsid w:val="00177ADA"/>
    <w:rsid w:val="001804EA"/>
    <w:rsid w:val="00180DC5"/>
    <w:rsid w:val="0018111A"/>
    <w:rsid w:val="00181449"/>
    <w:rsid w:val="00181B66"/>
    <w:rsid w:val="0018228B"/>
    <w:rsid w:val="0018238E"/>
    <w:rsid w:val="001826B4"/>
    <w:rsid w:val="00182935"/>
    <w:rsid w:val="00182ACE"/>
    <w:rsid w:val="00182C50"/>
    <w:rsid w:val="00182E66"/>
    <w:rsid w:val="00182FF3"/>
    <w:rsid w:val="00183634"/>
    <w:rsid w:val="001836EC"/>
    <w:rsid w:val="00183872"/>
    <w:rsid w:val="001843AF"/>
    <w:rsid w:val="00184434"/>
    <w:rsid w:val="00184CE2"/>
    <w:rsid w:val="00184E56"/>
    <w:rsid w:val="00184F98"/>
    <w:rsid w:val="00185274"/>
    <w:rsid w:val="00186055"/>
    <w:rsid w:val="00186101"/>
    <w:rsid w:val="001865EB"/>
    <w:rsid w:val="00186952"/>
    <w:rsid w:val="00186C2C"/>
    <w:rsid w:val="00186F94"/>
    <w:rsid w:val="00187472"/>
    <w:rsid w:val="001878CF"/>
    <w:rsid w:val="00187D20"/>
    <w:rsid w:val="00187EBB"/>
    <w:rsid w:val="00190A61"/>
    <w:rsid w:val="00190FBD"/>
    <w:rsid w:val="00191B74"/>
    <w:rsid w:val="00192B8A"/>
    <w:rsid w:val="00192D64"/>
    <w:rsid w:val="00192EFB"/>
    <w:rsid w:val="0019389D"/>
    <w:rsid w:val="001951AF"/>
    <w:rsid w:val="00195581"/>
    <w:rsid w:val="00195F65"/>
    <w:rsid w:val="001961D1"/>
    <w:rsid w:val="00196237"/>
    <w:rsid w:val="001964BB"/>
    <w:rsid w:val="0019681D"/>
    <w:rsid w:val="00197179"/>
    <w:rsid w:val="001975D7"/>
    <w:rsid w:val="0019778D"/>
    <w:rsid w:val="00197EF0"/>
    <w:rsid w:val="001A05EB"/>
    <w:rsid w:val="001A0639"/>
    <w:rsid w:val="001A098D"/>
    <w:rsid w:val="001A0A87"/>
    <w:rsid w:val="001A0A94"/>
    <w:rsid w:val="001A1062"/>
    <w:rsid w:val="001A1822"/>
    <w:rsid w:val="001A1C69"/>
    <w:rsid w:val="001A2215"/>
    <w:rsid w:val="001A31FD"/>
    <w:rsid w:val="001A32F5"/>
    <w:rsid w:val="001A3342"/>
    <w:rsid w:val="001A3569"/>
    <w:rsid w:val="001A3E3D"/>
    <w:rsid w:val="001A40BC"/>
    <w:rsid w:val="001A4758"/>
    <w:rsid w:val="001A4AB2"/>
    <w:rsid w:val="001A4FF8"/>
    <w:rsid w:val="001A5E65"/>
    <w:rsid w:val="001A6247"/>
    <w:rsid w:val="001A658B"/>
    <w:rsid w:val="001A6597"/>
    <w:rsid w:val="001A6721"/>
    <w:rsid w:val="001A67A7"/>
    <w:rsid w:val="001A6810"/>
    <w:rsid w:val="001A7049"/>
    <w:rsid w:val="001A74FE"/>
    <w:rsid w:val="001A77AB"/>
    <w:rsid w:val="001A7CDB"/>
    <w:rsid w:val="001B0858"/>
    <w:rsid w:val="001B0E7F"/>
    <w:rsid w:val="001B0ECA"/>
    <w:rsid w:val="001B1E40"/>
    <w:rsid w:val="001B23AC"/>
    <w:rsid w:val="001B3152"/>
    <w:rsid w:val="001B34B7"/>
    <w:rsid w:val="001B3B0C"/>
    <w:rsid w:val="001B4127"/>
    <w:rsid w:val="001B42D3"/>
    <w:rsid w:val="001B4440"/>
    <w:rsid w:val="001B4BE2"/>
    <w:rsid w:val="001B50C6"/>
    <w:rsid w:val="001B5444"/>
    <w:rsid w:val="001B5A84"/>
    <w:rsid w:val="001B5B80"/>
    <w:rsid w:val="001B5E35"/>
    <w:rsid w:val="001B6487"/>
    <w:rsid w:val="001B67BA"/>
    <w:rsid w:val="001B6E51"/>
    <w:rsid w:val="001B71E7"/>
    <w:rsid w:val="001B75E1"/>
    <w:rsid w:val="001B789B"/>
    <w:rsid w:val="001C036D"/>
    <w:rsid w:val="001C03AE"/>
    <w:rsid w:val="001C0F4F"/>
    <w:rsid w:val="001C15D9"/>
    <w:rsid w:val="001C18E3"/>
    <w:rsid w:val="001C1DB4"/>
    <w:rsid w:val="001C2381"/>
    <w:rsid w:val="001C2880"/>
    <w:rsid w:val="001C37CD"/>
    <w:rsid w:val="001C3B34"/>
    <w:rsid w:val="001C43C6"/>
    <w:rsid w:val="001C441C"/>
    <w:rsid w:val="001C4A75"/>
    <w:rsid w:val="001C4D25"/>
    <w:rsid w:val="001C50FB"/>
    <w:rsid w:val="001C52AF"/>
    <w:rsid w:val="001C5661"/>
    <w:rsid w:val="001C5667"/>
    <w:rsid w:val="001C583B"/>
    <w:rsid w:val="001C6290"/>
    <w:rsid w:val="001C62D8"/>
    <w:rsid w:val="001C63AC"/>
    <w:rsid w:val="001C6847"/>
    <w:rsid w:val="001C70D5"/>
    <w:rsid w:val="001C764E"/>
    <w:rsid w:val="001C7FC9"/>
    <w:rsid w:val="001C7FE8"/>
    <w:rsid w:val="001D0700"/>
    <w:rsid w:val="001D10DE"/>
    <w:rsid w:val="001D1719"/>
    <w:rsid w:val="001D186C"/>
    <w:rsid w:val="001D24A7"/>
    <w:rsid w:val="001D285A"/>
    <w:rsid w:val="001D3C54"/>
    <w:rsid w:val="001D437A"/>
    <w:rsid w:val="001D45E4"/>
    <w:rsid w:val="001D48A5"/>
    <w:rsid w:val="001D4FD8"/>
    <w:rsid w:val="001D5112"/>
    <w:rsid w:val="001D5AA6"/>
    <w:rsid w:val="001D64DF"/>
    <w:rsid w:val="001D65B9"/>
    <w:rsid w:val="001D7232"/>
    <w:rsid w:val="001D7343"/>
    <w:rsid w:val="001D73E8"/>
    <w:rsid w:val="001E0999"/>
    <w:rsid w:val="001E0DC4"/>
    <w:rsid w:val="001E1052"/>
    <w:rsid w:val="001E124B"/>
    <w:rsid w:val="001E16A3"/>
    <w:rsid w:val="001E1EAE"/>
    <w:rsid w:val="001E1FA2"/>
    <w:rsid w:val="001E21B1"/>
    <w:rsid w:val="001E2924"/>
    <w:rsid w:val="001E2935"/>
    <w:rsid w:val="001E2DE1"/>
    <w:rsid w:val="001E2EB8"/>
    <w:rsid w:val="001E2F93"/>
    <w:rsid w:val="001E3203"/>
    <w:rsid w:val="001E3453"/>
    <w:rsid w:val="001E3D9B"/>
    <w:rsid w:val="001E437D"/>
    <w:rsid w:val="001E4554"/>
    <w:rsid w:val="001E49B4"/>
    <w:rsid w:val="001E4BA5"/>
    <w:rsid w:val="001E4BE7"/>
    <w:rsid w:val="001E51CD"/>
    <w:rsid w:val="001E59EC"/>
    <w:rsid w:val="001E61E5"/>
    <w:rsid w:val="001E750A"/>
    <w:rsid w:val="001E7736"/>
    <w:rsid w:val="001F003A"/>
    <w:rsid w:val="001F00D4"/>
    <w:rsid w:val="001F0B7D"/>
    <w:rsid w:val="001F1D56"/>
    <w:rsid w:val="001F1E12"/>
    <w:rsid w:val="001F2159"/>
    <w:rsid w:val="001F2469"/>
    <w:rsid w:val="001F2D72"/>
    <w:rsid w:val="001F38F3"/>
    <w:rsid w:val="001F3ED4"/>
    <w:rsid w:val="001F4396"/>
    <w:rsid w:val="001F4E08"/>
    <w:rsid w:val="001F4E19"/>
    <w:rsid w:val="001F5379"/>
    <w:rsid w:val="001F53F4"/>
    <w:rsid w:val="001F53FD"/>
    <w:rsid w:val="001F5A64"/>
    <w:rsid w:val="001F5DF5"/>
    <w:rsid w:val="001F6546"/>
    <w:rsid w:val="001F6594"/>
    <w:rsid w:val="001F6B99"/>
    <w:rsid w:val="001F6BCB"/>
    <w:rsid w:val="001F723A"/>
    <w:rsid w:val="001F768C"/>
    <w:rsid w:val="002004A6"/>
    <w:rsid w:val="002016C6"/>
    <w:rsid w:val="0020194A"/>
    <w:rsid w:val="00201A8A"/>
    <w:rsid w:val="0020259F"/>
    <w:rsid w:val="00202C57"/>
    <w:rsid w:val="00202D7A"/>
    <w:rsid w:val="00203095"/>
    <w:rsid w:val="00203C87"/>
    <w:rsid w:val="00203D09"/>
    <w:rsid w:val="00203E0E"/>
    <w:rsid w:val="002047C9"/>
    <w:rsid w:val="002047D4"/>
    <w:rsid w:val="00204809"/>
    <w:rsid w:val="00204BF6"/>
    <w:rsid w:val="00204E87"/>
    <w:rsid w:val="00204F39"/>
    <w:rsid w:val="00205555"/>
    <w:rsid w:val="0020558B"/>
    <w:rsid w:val="00205672"/>
    <w:rsid w:val="0020567E"/>
    <w:rsid w:val="00205B36"/>
    <w:rsid w:val="00205C5F"/>
    <w:rsid w:val="0020608F"/>
    <w:rsid w:val="0020647C"/>
    <w:rsid w:val="0020681D"/>
    <w:rsid w:val="00206FAD"/>
    <w:rsid w:val="00206FF5"/>
    <w:rsid w:val="002070FC"/>
    <w:rsid w:val="002072E2"/>
    <w:rsid w:val="00210B8B"/>
    <w:rsid w:val="00210C42"/>
    <w:rsid w:val="0021111A"/>
    <w:rsid w:val="002127CA"/>
    <w:rsid w:val="00212B71"/>
    <w:rsid w:val="00213193"/>
    <w:rsid w:val="00213466"/>
    <w:rsid w:val="00213863"/>
    <w:rsid w:val="00213919"/>
    <w:rsid w:val="00213D87"/>
    <w:rsid w:val="00213E9B"/>
    <w:rsid w:val="00213F78"/>
    <w:rsid w:val="0021418C"/>
    <w:rsid w:val="0021476E"/>
    <w:rsid w:val="00214863"/>
    <w:rsid w:val="002148D8"/>
    <w:rsid w:val="002156B4"/>
    <w:rsid w:val="0021587D"/>
    <w:rsid w:val="00215F8E"/>
    <w:rsid w:val="00216FDB"/>
    <w:rsid w:val="002170DA"/>
    <w:rsid w:val="0022047C"/>
    <w:rsid w:val="00220F38"/>
    <w:rsid w:val="002214D7"/>
    <w:rsid w:val="0022160E"/>
    <w:rsid w:val="0022194F"/>
    <w:rsid w:val="0022270F"/>
    <w:rsid w:val="002228D5"/>
    <w:rsid w:val="00222BF2"/>
    <w:rsid w:val="00223088"/>
    <w:rsid w:val="0022376D"/>
    <w:rsid w:val="002238B7"/>
    <w:rsid w:val="002238D4"/>
    <w:rsid w:val="0022394D"/>
    <w:rsid w:val="00223965"/>
    <w:rsid w:val="00223AD8"/>
    <w:rsid w:val="00223BCF"/>
    <w:rsid w:val="00223C80"/>
    <w:rsid w:val="00224296"/>
    <w:rsid w:val="002249A8"/>
    <w:rsid w:val="00224FCD"/>
    <w:rsid w:val="00225610"/>
    <w:rsid w:val="00226462"/>
    <w:rsid w:val="00226C6A"/>
    <w:rsid w:val="00226DD4"/>
    <w:rsid w:val="0022703E"/>
    <w:rsid w:val="0022707E"/>
    <w:rsid w:val="002278AD"/>
    <w:rsid w:val="002300C3"/>
    <w:rsid w:val="0023059C"/>
    <w:rsid w:val="00230719"/>
    <w:rsid w:val="00231081"/>
    <w:rsid w:val="002321C1"/>
    <w:rsid w:val="00232493"/>
    <w:rsid w:val="00232583"/>
    <w:rsid w:val="0023315A"/>
    <w:rsid w:val="002334B0"/>
    <w:rsid w:val="00233A75"/>
    <w:rsid w:val="00233E5C"/>
    <w:rsid w:val="002340A9"/>
    <w:rsid w:val="0023415A"/>
    <w:rsid w:val="00234547"/>
    <w:rsid w:val="00234AAA"/>
    <w:rsid w:val="00234AB5"/>
    <w:rsid w:val="00235A45"/>
    <w:rsid w:val="00235C04"/>
    <w:rsid w:val="00235E64"/>
    <w:rsid w:val="00236266"/>
    <w:rsid w:val="002363C8"/>
    <w:rsid w:val="00236F4A"/>
    <w:rsid w:val="002370FE"/>
    <w:rsid w:val="00237435"/>
    <w:rsid w:val="00237874"/>
    <w:rsid w:val="00240532"/>
    <w:rsid w:val="00240C31"/>
    <w:rsid w:val="002410F5"/>
    <w:rsid w:val="00241197"/>
    <w:rsid w:val="0024174B"/>
    <w:rsid w:val="00241A6F"/>
    <w:rsid w:val="00241E0F"/>
    <w:rsid w:val="00242C54"/>
    <w:rsid w:val="00242CB0"/>
    <w:rsid w:val="002438BD"/>
    <w:rsid w:val="00243D70"/>
    <w:rsid w:val="00244096"/>
    <w:rsid w:val="00244551"/>
    <w:rsid w:val="00244822"/>
    <w:rsid w:val="00244C58"/>
    <w:rsid w:val="002455C7"/>
    <w:rsid w:val="0024607A"/>
    <w:rsid w:val="0024741E"/>
    <w:rsid w:val="00247B6E"/>
    <w:rsid w:val="00247E16"/>
    <w:rsid w:val="00250404"/>
    <w:rsid w:val="00250655"/>
    <w:rsid w:val="002507BB"/>
    <w:rsid w:val="002507F0"/>
    <w:rsid w:val="00250A65"/>
    <w:rsid w:val="00250A7C"/>
    <w:rsid w:val="0025162C"/>
    <w:rsid w:val="00251AF1"/>
    <w:rsid w:val="00252005"/>
    <w:rsid w:val="0025207A"/>
    <w:rsid w:val="002521CF"/>
    <w:rsid w:val="002524BF"/>
    <w:rsid w:val="00252C4E"/>
    <w:rsid w:val="00253222"/>
    <w:rsid w:val="00253333"/>
    <w:rsid w:val="00253C32"/>
    <w:rsid w:val="002544FF"/>
    <w:rsid w:val="0025455D"/>
    <w:rsid w:val="00254E82"/>
    <w:rsid w:val="00255C7D"/>
    <w:rsid w:val="0025728A"/>
    <w:rsid w:val="00257328"/>
    <w:rsid w:val="00260945"/>
    <w:rsid w:val="00260CAD"/>
    <w:rsid w:val="0026177E"/>
    <w:rsid w:val="00261C13"/>
    <w:rsid w:val="00262847"/>
    <w:rsid w:val="00262FA0"/>
    <w:rsid w:val="002631B1"/>
    <w:rsid w:val="002631BF"/>
    <w:rsid w:val="00263798"/>
    <w:rsid w:val="002639BE"/>
    <w:rsid w:val="002639F9"/>
    <w:rsid w:val="0026407D"/>
    <w:rsid w:val="00264C4D"/>
    <w:rsid w:val="0026562B"/>
    <w:rsid w:val="00265BC8"/>
    <w:rsid w:val="00265CB3"/>
    <w:rsid w:val="00265D60"/>
    <w:rsid w:val="002660F7"/>
    <w:rsid w:val="002663DA"/>
    <w:rsid w:val="002665F4"/>
    <w:rsid w:val="002667B4"/>
    <w:rsid w:val="00266D89"/>
    <w:rsid w:val="00267604"/>
    <w:rsid w:val="002676ED"/>
    <w:rsid w:val="00267FBD"/>
    <w:rsid w:val="00270400"/>
    <w:rsid w:val="002705BC"/>
    <w:rsid w:val="002705DA"/>
    <w:rsid w:val="0027073B"/>
    <w:rsid w:val="00270AAD"/>
    <w:rsid w:val="00270B54"/>
    <w:rsid w:val="00270D1D"/>
    <w:rsid w:val="00270ED9"/>
    <w:rsid w:val="00271B37"/>
    <w:rsid w:val="00271BBA"/>
    <w:rsid w:val="00272109"/>
    <w:rsid w:val="00272160"/>
    <w:rsid w:val="0027220A"/>
    <w:rsid w:val="002726E9"/>
    <w:rsid w:val="002729C7"/>
    <w:rsid w:val="00272B1F"/>
    <w:rsid w:val="00272DD8"/>
    <w:rsid w:val="00273398"/>
    <w:rsid w:val="00273660"/>
    <w:rsid w:val="00273D55"/>
    <w:rsid w:val="00274974"/>
    <w:rsid w:val="00274BDC"/>
    <w:rsid w:val="00275772"/>
    <w:rsid w:val="00276108"/>
    <w:rsid w:val="00276C01"/>
    <w:rsid w:val="002771C5"/>
    <w:rsid w:val="002772EA"/>
    <w:rsid w:val="00277521"/>
    <w:rsid w:val="0027799F"/>
    <w:rsid w:val="00277B31"/>
    <w:rsid w:val="0028082D"/>
    <w:rsid w:val="00280F7D"/>
    <w:rsid w:val="00281084"/>
    <w:rsid w:val="00281BB2"/>
    <w:rsid w:val="00281E19"/>
    <w:rsid w:val="00281EB3"/>
    <w:rsid w:val="00282BA9"/>
    <w:rsid w:val="002833EE"/>
    <w:rsid w:val="00283484"/>
    <w:rsid w:val="00283F6C"/>
    <w:rsid w:val="00284115"/>
    <w:rsid w:val="002841A9"/>
    <w:rsid w:val="002841F9"/>
    <w:rsid w:val="002843F8"/>
    <w:rsid w:val="002847A8"/>
    <w:rsid w:val="00284FBE"/>
    <w:rsid w:val="002859E1"/>
    <w:rsid w:val="00285BE1"/>
    <w:rsid w:val="00286729"/>
    <w:rsid w:val="00286745"/>
    <w:rsid w:val="00287D14"/>
    <w:rsid w:val="0029085A"/>
    <w:rsid w:val="00291035"/>
    <w:rsid w:val="00291454"/>
    <w:rsid w:val="00291A80"/>
    <w:rsid w:val="002920CC"/>
    <w:rsid w:val="00292A82"/>
    <w:rsid w:val="00292DC9"/>
    <w:rsid w:val="00292DDD"/>
    <w:rsid w:val="00293086"/>
    <w:rsid w:val="002942D9"/>
    <w:rsid w:val="00295684"/>
    <w:rsid w:val="002957EF"/>
    <w:rsid w:val="00295F27"/>
    <w:rsid w:val="002965DF"/>
    <w:rsid w:val="00297CDF"/>
    <w:rsid w:val="00297CEF"/>
    <w:rsid w:val="002A03C3"/>
    <w:rsid w:val="002A0702"/>
    <w:rsid w:val="002A0A6D"/>
    <w:rsid w:val="002A0F8F"/>
    <w:rsid w:val="002A1ADF"/>
    <w:rsid w:val="002A288C"/>
    <w:rsid w:val="002A3CCD"/>
    <w:rsid w:val="002A4C32"/>
    <w:rsid w:val="002A53E8"/>
    <w:rsid w:val="002A572B"/>
    <w:rsid w:val="002A628E"/>
    <w:rsid w:val="002A67B5"/>
    <w:rsid w:val="002A6A72"/>
    <w:rsid w:val="002A71D1"/>
    <w:rsid w:val="002B036F"/>
    <w:rsid w:val="002B0D16"/>
    <w:rsid w:val="002B1337"/>
    <w:rsid w:val="002B1528"/>
    <w:rsid w:val="002B16A9"/>
    <w:rsid w:val="002B24F7"/>
    <w:rsid w:val="002B254E"/>
    <w:rsid w:val="002B2602"/>
    <w:rsid w:val="002B28CF"/>
    <w:rsid w:val="002B2B07"/>
    <w:rsid w:val="002B2BC5"/>
    <w:rsid w:val="002B3404"/>
    <w:rsid w:val="002B3BBC"/>
    <w:rsid w:val="002B3C5D"/>
    <w:rsid w:val="002B4417"/>
    <w:rsid w:val="002B47CA"/>
    <w:rsid w:val="002B4CE8"/>
    <w:rsid w:val="002B5EB0"/>
    <w:rsid w:val="002B6601"/>
    <w:rsid w:val="002B6690"/>
    <w:rsid w:val="002B699D"/>
    <w:rsid w:val="002B72E9"/>
    <w:rsid w:val="002B7328"/>
    <w:rsid w:val="002B787C"/>
    <w:rsid w:val="002C0DFE"/>
    <w:rsid w:val="002C114E"/>
    <w:rsid w:val="002C1747"/>
    <w:rsid w:val="002C21ED"/>
    <w:rsid w:val="002C2835"/>
    <w:rsid w:val="002C2F15"/>
    <w:rsid w:val="002C3FE7"/>
    <w:rsid w:val="002C4CD7"/>
    <w:rsid w:val="002C5204"/>
    <w:rsid w:val="002C567E"/>
    <w:rsid w:val="002C69DF"/>
    <w:rsid w:val="002C7998"/>
    <w:rsid w:val="002C7E83"/>
    <w:rsid w:val="002D095E"/>
    <w:rsid w:val="002D0ACF"/>
    <w:rsid w:val="002D1367"/>
    <w:rsid w:val="002D1443"/>
    <w:rsid w:val="002D1478"/>
    <w:rsid w:val="002D15FB"/>
    <w:rsid w:val="002D161C"/>
    <w:rsid w:val="002D1B62"/>
    <w:rsid w:val="002D230B"/>
    <w:rsid w:val="002D23B4"/>
    <w:rsid w:val="002D2E14"/>
    <w:rsid w:val="002D2E2A"/>
    <w:rsid w:val="002D3561"/>
    <w:rsid w:val="002D360B"/>
    <w:rsid w:val="002D367B"/>
    <w:rsid w:val="002D3F44"/>
    <w:rsid w:val="002D425B"/>
    <w:rsid w:val="002D4341"/>
    <w:rsid w:val="002D4874"/>
    <w:rsid w:val="002D4F59"/>
    <w:rsid w:val="002D55B7"/>
    <w:rsid w:val="002D62C5"/>
    <w:rsid w:val="002D6D6A"/>
    <w:rsid w:val="002D6E1D"/>
    <w:rsid w:val="002D7196"/>
    <w:rsid w:val="002D7352"/>
    <w:rsid w:val="002D7B1A"/>
    <w:rsid w:val="002E01E1"/>
    <w:rsid w:val="002E02CD"/>
    <w:rsid w:val="002E059A"/>
    <w:rsid w:val="002E1136"/>
    <w:rsid w:val="002E18B8"/>
    <w:rsid w:val="002E2038"/>
    <w:rsid w:val="002E2276"/>
    <w:rsid w:val="002E22A7"/>
    <w:rsid w:val="002E2735"/>
    <w:rsid w:val="002E2B7C"/>
    <w:rsid w:val="002E2EFA"/>
    <w:rsid w:val="002E2FF4"/>
    <w:rsid w:val="002E33F1"/>
    <w:rsid w:val="002E381F"/>
    <w:rsid w:val="002E3E84"/>
    <w:rsid w:val="002E4511"/>
    <w:rsid w:val="002E4611"/>
    <w:rsid w:val="002E47F9"/>
    <w:rsid w:val="002E4F48"/>
    <w:rsid w:val="002E5223"/>
    <w:rsid w:val="002E529B"/>
    <w:rsid w:val="002E5C6B"/>
    <w:rsid w:val="002E62DB"/>
    <w:rsid w:val="002E6397"/>
    <w:rsid w:val="002E65A3"/>
    <w:rsid w:val="002E6780"/>
    <w:rsid w:val="002E737D"/>
    <w:rsid w:val="002E76D0"/>
    <w:rsid w:val="002E7789"/>
    <w:rsid w:val="002E7BC1"/>
    <w:rsid w:val="002F03F1"/>
    <w:rsid w:val="002F0F49"/>
    <w:rsid w:val="002F0FC2"/>
    <w:rsid w:val="002F17AE"/>
    <w:rsid w:val="002F1822"/>
    <w:rsid w:val="002F1E53"/>
    <w:rsid w:val="002F2037"/>
    <w:rsid w:val="002F2492"/>
    <w:rsid w:val="002F29BB"/>
    <w:rsid w:val="002F2CAA"/>
    <w:rsid w:val="002F3143"/>
    <w:rsid w:val="002F33D6"/>
    <w:rsid w:val="002F4357"/>
    <w:rsid w:val="002F44A2"/>
    <w:rsid w:val="002F4628"/>
    <w:rsid w:val="002F4FB0"/>
    <w:rsid w:val="002F5407"/>
    <w:rsid w:val="002F5B79"/>
    <w:rsid w:val="002F6282"/>
    <w:rsid w:val="002F6787"/>
    <w:rsid w:val="002F723F"/>
    <w:rsid w:val="002F76BF"/>
    <w:rsid w:val="002F7864"/>
    <w:rsid w:val="002F7CED"/>
    <w:rsid w:val="00300197"/>
    <w:rsid w:val="0030052C"/>
    <w:rsid w:val="003005E8"/>
    <w:rsid w:val="0030071B"/>
    <w:rsid w:val="00300805"/>
    <w:rsid w:val="00301097"/>
    <w:rsid w:val="003015CD"/>
    <w:rsid w:val="00301BEA"/>
    <w:rsid w:val="00302885"/>
    <w:rsid w:val="00302B32"/>
    <w:rsid w:val="00302DF5"/>
    <w:rsid w:val="0030328A"/>
    <w:rsid w:val="003032F0"/>
    <w:rsid w:val="00303D3B"/>
    <w:rsid w:val="003048DA"/>
    <w:rsid w:val="00304D70"/>
    <w:rsid w:val="00305C00"/>
    <w:rsid w:val="00306E1D"/>
    <w:rsid w:val="00307067"/>
    <w:rsid w:val="00307411"/>
    <w:rsid w:val="00307A92"/>
    <w:rsid w:val="0031041C"/>
    <w:rsid w:val="0031096C"/>
    <w:rsid w:val="00310A49"/>
    <w:rsid w:val="00310C7F"/>
    <w:rsid w:val="00310FA5"/>
    <w:rsid w:val="0031106D"/>
    <w:rsid w:val="0031112A"/>
    <w:rsid w:val="0031112B"/>
    <w:rsid w:val="00311227"/>
    <w:rsid w:val="003112C7"/>
    <w:rsid w:val="00311377"/>
    <w:rsid w:val="003119DB"/>
    <w:rsid w:val="00311C3D"/>
    <w:rsid w:val="00311D2B"/>
    <w:rsid w:val="00311E03"/>
    <w:rsid w:val="00311EA4"/>
    <w:rsid w:val="00312578"/>
    <w:rsid w:val="00312AE4"/>
    <w:rsid w:val="00312B69"/>
    <w:rsid w:val="00312C09"/>
    <w:rsid w:val="00313B74"/>
    <w:rsid w:val="00314581"/>
    <w:rsid w:val="003145E9"/>
    <w:rsid w:val="00314F77"/>
    <w:rsid w:val="0031514C"/>
    <w:rsid w:val="003153F9"/>
    <w:rsid w:val="003158A3"/>
    <w:rsid w:val="00315AA6"/>
    <w:rsid w:val="00316172"/>
    <w:rsid w:val="00316D60"/>
    <w:rsid w:val="00317FE0"/>
    <w:rsid w:val="003206AD"/>
    <w:rsid w:val="003213CE"/>
    <w:rsid w:val="00321A4D"/>
    <w:rsid w:val="00321B1F"/>
    <w:rsid w:val="00321D98"/>
    <w:rsid w:val="00321FC3"/>
    <w:rsid w:val="00322DA0"/>
    <w:rsid w:val="003231B6"/>
    <w:rsid w:val="00323532"/>
    <w:rsid w:val="00323C7D"/>
    <w:rsid w:val="00323E3F"/>
    <w:rsid w:val="00324271"/>
    <w:rsid w:val="003245A1"/>
    <w:rsid w:val="00324E91"/>
    <w:rsid w:val="00324F62"/>
    <w:rsid w:val="00325CA9"/>
    <w:rsid w:val="003268A0"/>
    <w:rsid w:val="0032698F"/>
    <w:rsid w:val="00327A2B"/>
    <w:rsid w:val="003306E1"/>
    <w:rsid w:val="0033075A"/>
    <w:rsid w:val="003320E4"/>
    <w:rsid w:val="00332137"/>
    <w:rsid w:val="003335B7"/>
    <w:rsid w:val="00333D47"/>
    <w:rsid w:val="00334257"/>
    <w:rsid w:val="0033433A"/>
    <w:rsid w:val="00334F87"/>
    <w:rsid w:val="0033525D"/>
    <w:rsid w:val="003355F2"/>
    <w:rsid w:val="0033577C"/>
    <w:rsid w:val="00335886"/>
    <w:rsid w:val="00335D02"/>
    <w:rsid w:val="003361FB"/>
    <w:rsid w:val="003365A2"/>
    <w:rsid w:val="003367B6"/>
    <w:rsid w:val="0033751F"/>
    <w:rsid w:val="00337976"/>
    <w:rsid w:val="00337B86"/>
    <w:rsid w:val="003405A0"/>
    <w:rsid w:val="00340AB7"/>
    <w:rsid w:val="00340E9E"/>
    <w:rsid w:val="00340F5D"/>
    <w:rsid w:val="00341323"/>
    <w:rsid w:val="00341343"/>
    <w:rsid w:val="003414F3"/>
    <w:rsid w:val="003419F4"/>
    <w:rsid w:val="003424EB"/>
    <w:rsid w:val="00343055"/>
    <w:rsid w:val="003439D5"/>
    <w:rsid w:val="00343E3E"/>
    <w:rsid w:val="00343F1D"/>
    <w:rsid w:val="00345157"/>
    <w:rsid w:val="00345245"/>
    <w:rsid w:val="003455BF"/>
    <w:rsid w:val="00345617"/>
    <w:rsid w:val="00346390"/>
    <w:rsid w:val="003466D4"/>
    <w:rsid w:val="00350103"/>
    <w:rsid w:val="00350721"/>
    <w:rsid w:val="00350937"/>
    <w:rsid w:val="003514D5"/>
    <w:rsid w:val="00351992"/>
    <w:rsid w:val="00351A6C"/>
    <w:rsid w:val="00351AA0"/>
    <w:rsid w:val="0035250C"/>
    <w:rsid w:val="0035273A"/>
    <w:rsid w:val="00352A09"/>
    <w:rsid w:val="00352BC9"/>
    <w:rsid w:val="0035329A"/>
    <w:rsid w:val="00353DF7"/>
    <w:rsid w:val="00354285"/>
    <w:rsid w:val="00354480"/>
    <w:rsid w:val="0035478F"/>
    <w:rsid w:val="00354CF1"/>
    <w:rsid w:val="00354E07"/>
    <w:rsid w:val="003554A1"/>
    <w:rsid w:val="00355691"/>
    <w:rsid w:val="00355B69"/>
    <w:rsid w:val="00355F18"/>
    <w:rsid w:val="0035613E"/>
    <w:rsid w:val="0035614B"/>
    <w:rsid w:val="0035617D"/>
    <w:rsid w:val="00356763"/>
    <w:rsid w:val="00356B0C"/>
    <w:rsid w:val="00356B85"/>
    <w:rsid w:val="00356BC6"/>
    <w:rsid w:val="00356E57"/>
    <w:rsid w:val="00360FD0"/>
    <w:rsid w:val="0036166B"/>
    <w:rsid w:val="00362B8B"/>
    <w:rsid w:val="00362C70"/>
    <w:rsid w:val="00362D6A"/>
    <w:rsid w:val="00362F98"/>
    <w:rsid w:val="0036388B"/>
    <w:rsid w:val="00363BE4"/>
    <w:rsid w:val="00363D2A"/>
    <w:rsid w:val="00363EE9"/>
    <w:rsid w:val="0036453F"/>
    <w:rsid w:val="00364853"/>
    <w:rsid w:val="0036485E"/>
    <w:rsid w:val="0036497C"/>
    <w:rsid w:val="00364C49"/>
    <w:rsid w:val="00365F58"/>
    <w:rsid w:val="003660F3"/>
    <w:rsid w:val="003668C3"/>
    <w:rsid w:val="00366C86"/>
    <w:rsid w:val="00367010"/>
    <w:rsid w:val="00367EAA"/>
    <w:rsid w:val="003705EE"/>
    <w:rsid w:val="00370B31"/>
    <w:rsid w:val="00370CA0"/>
    <w:rsid w:val="003714CB"/>
    <w:rsid w:val="0037154D"/>
    <w:rsid w:val="003717CD"/>
    <w:rsid w:val="003725FE"/>
    <w:rsid w:val="00372A36"/>
    <w:rsid w:val="00372F30"/>
    <w:rsid w:val="003733C4"/>
    <w:rsid w:val="00373F83"/>
    <w:rsid w:val="00374285"/>
    <w:rsid w:val="00374543"/>
    <w:rsid w:val="0037479F"/>
    <w:rsid w:val="00374A95"/>
    <w:rsid w:val="00374B95"/>
    <w:rsid w:val="00374E9A"/>
    <w:rsid w:val="00374F1F"/>
    <w:rsid w:val="003755A0"/>
    <w:rsid w:val="00375A7F"/>
    <w:rsid w:val="00375BDA"/>
    <w:rsid w:val="00375CF0"/>
    <w:rsid w:val="00375FD3"/>
    <w:rsid w:val="00376128"/>
    <w:rsid w:val="0037674A"/>
    <w:rsid w:val="003767BF"/>
    <w:rsid w:val="00376ECE"/>
    <w:rsid w:val="003773C9"/>
    <w:rsid w:val="0037742E"/>
    <w:rsid w:val="00377969"/>
    <w:rsid w:val="00377A4C"/>
    <w:rsid w:val="00377C09"/>
    <w:rsid w:val="00377D56"/>
    <w:rsid w:val="00377F18"/>
    <w:rsid w:val="00380907"/>
    <w:rsid w:val="00380F2D"/>
    <w:rsid w:val="0038165C"/>
    <w:rsid w:val="003816BE"/>
    <w:rsid w:val="0038245A"/>
    <w:rsid w:val="00383C66"/>
    <w:rsid w:val="003840E6"/>
    <w:rsid w:val="0038466A"/>
    <w:rsid w:val="00384AC0"/>
    <w:rsid w:val="00384E9D"/>
    <w:rsid w:val="00385009"/>
    <w:rsid w:val="00385416"/>
    <w:rsid w:val="00385CFC"/>
    <w:rsid w:val="00386263"/>
    <w:rsid w:val="00386CB8"/>
    <w:rsid w:val="003874C5"/>
    <w:rsid w:val="003874D4"/>
    <w:rsid w:val="003875B0"/>
    <w:rsid w:val="00387693"/>
    <w:rsid w:val="00387EA9"/>
    <w:rsid w:val="0039010F"/>
    <w:rsid w:val="003903F5"/>
    <w:rsid w:val="00390AB6"/>
    <w:rsid w:val="003910A3"/>
    <w:rsid w:val="00391FC6"/>
    <w:rsid w:val="00391FEE"/>
    <w:rsid w:val="00392011"/>
    <w:rsid w:val="0039208B"/>
    <w:rsid w:val="00392116"/>
    <w:rsid w:val="003924BC"/>
    <w:rsid w:val="00392DA6"/>
    <w:rsid w:val="00392F73"/>
    <w:rsid w:val="0039337A"/>
    <w:rsid w:val="00393DF2"/>
    <w:rsid w:val="00394511"/>
    <w:rsid w:val="00395E9A"/>
    <w:rsid w:val="0039730F"/>
    <w:rsid w:val="00397565"/>
    <w:rsid w:val="003975CB"/>
    <w:rsid w:val="00397805"/>
    <w:rsid w:val="003A0AC1"/>
    <w:rsid w:val="003A0AFF"/>
    <w:rsid w:val="003A0DF1"/>
    <w:rsid w:val="003A1393"/>
    <w:rsid w:val="003A1707"/>
    <w:rsid w:val="003A1C3E"/>
    <w:rsid w:val="003A2356"/>
    <w:rsid w:val="003A2E71"/>
    <w:rsid w:val="003A2F37"/>
    <w:rsid w:val="003A3189"/>
    <w:rsid w:val="003A3A24"/>
    <w:rsid w:val="003A3B82"/>
    <w:rsid w:val="003A3CA7"/>
    <w:rsid w:val="003A425F"/>
    <w:rsid w:val="003A4A3E"/>
    <w:rsid w:val="003A5457"/>
    <w:rsid w:val="003A56DC"/>
    <w:rsid w:val="003A5ABA"/>
    <w:rsid w:val="003A5B1E"/>
    <w:rsid w:val="003A64D5"/>
    <w:rsid w:val="003A69A6"/>
    <w:rsid w:val="003A6B5F"/>
    <w:rsid w:val="003B00EE"/>
    <w:rsid w:val="003B046F"/>
    <w:rsid w:val="003B0E6F"/>
    <w:rsid w:val="003B1460"/>
    <w:rsid w:val="003B15FD"/>
    <w:rsid w:val="003B1675"/>
    <w:rsid w:val="003B1A80"/>
    <w:rsid w:val="003B2721"/>
    <w:rsid w:val="003B33BD"/>
    <w:rsid w:val="003B37BF"/>
    <w:rsid w:val="003B3952"/>
    <w:rsid w:val="003B3B39"/>
    <w:rsid w:val="003B3B3C"/>
    <w:rsid w:val="003B3B66"/>
    <w:rsid w:val="003B53EF"/>
    <w:rsid w:val="003B542B"/>
    <w:rsid w:val="003B569D"/>
    <w:rsid w:val="003B6382"/>
    <w:rsid w:val="003B653B"/>
    <w:rsid w:val="003B6838"/>
    <w:rsid w:val="003B69F6"/>
    <w:rsid w:val="003B6AE4"/>
    <w:rsid w:val="003B74FA"/>
    <w:rsid w:val="003B760E"/>
    <w:rsid w:val="003B7A89"/>
    <w:rsid w:val="003C0FE5"/>
    <w:rsid w:val="003C144D"/>
    <w:rsid w:val="003C1819"/>
    <w:rsid w:val="003C277F"/>
    <w:rsid w:val="003C28DF"/>
    <w:rsid w:val="003C2A5F"/>
    <w:rsid w:val="003C2C0E"/>
    <w:rsid w:val="003C2D16"/>
    <w:rsid w:val="003C2EC6"/>
    <w:rsid w:val="003C2ED8"/>
    <w:rsid w:val="003C3456"/>
    <w:rsid w:val="003C3AD2"/>
    <w:rsid w:val="003C3C0E"/>
    <w:rsid w:val="003C4A24"/>
    <w:rsid w:val="003C4E00"/>
    <w:rsid w:val="003C524E"/>
    <w:rsid w:val="003C67DE"/>
    <w:rsid w:val="003C6F8C"/>
    <w:rsid w:val="003C718B"/>
    <w:rsid w:val="003C7208"/>
    <w:rsid w:val="003C765B"/>
    <w:rsid w:val="003C76F0"/>
    <w:rsid w:val="003C779E"/>
    <w:rsid w:val="003D035F"/>
    <w:rsid w:val="003D113A"/>
    <w:rsid w:val="003D12B8"/>
    <w:rsid w:val="003D17C2"/>
    <w:rsid w:val="003D1CD9"/>
    <w:rsid w:val="003D1EB4"/>
    <w:rsid w:val="003D2D4C"/>
    <w:rsid w:val="003D316C"/>
    <w:rsid w:val="003D33C9"/>
    <w:rsid w:val="003D3708"/>
    <w:rsid w:val="003D39A4"/>
    <w:rsid w:val="003D408C"/>
    <w:rsid w:val="003D42A6"/>
    <w:rsid w:val="003D4F21"/>
    <w:rsid w:val="003D4FAC"/>
    <w:rsid w:val="003D6CC6"/>
    <w:rsid w:val="003D76AE"/>
    <w:rsid w:val="003D7BB6"/>
    <w:rsid w:val="003D7FA0"/>
    <w:rsid w:val="003E0405"/>
    <w:rsid w:val="003E0698"/>
    <w:rsid w:val="003E0ABA"/>
    <w:rsid w:val="003E11EB"/>
    <w:rsid w:val="003E1885"/>
    <w:rsid w:val="003E2343"/>
    <w:rsid w:val="003E2550"/>
    <w:rsid w:val="003E2B7A"/>
    <w:rsid w:val="003E34A5"/>
    <w:rsid w:val="003E3B6D"/>
    <w:rsid w:val="003E4A9A"/>
    <w:rsid w:val="003E4B20"/>
    <w:rsid w:val="003E4E11"/>
    <w:rsid w:val="003E528A"/>
    <w:rsid w:val="003E57AF"/>
    <w:rsid w:val="003E57CB"/>
    <w:rsid w:val="003E5AB9"/>
    <w:rsid w:val="003E5BED"/>
    <w:rsid w:val="003E60AB"/>
    <w:rsid w:val="003E6160"/>
    <w:rsid w:val="003E6539"/>
    <w:rsid w:val="003E6AE2"/>
    <w:rsid w:val="003E6DF7"/>
    <w:rsid w:val="003E7875"/>
    <w:rsid w:val="003E7906"/>
    <w:rsid w:val="003E7AFD"/>
    <w:rsid w:val="003F000F"/>
    <w:rsid w:val="003F09F6"/>
    <w:rsid w:val="003F1203"/>
    <w:rsid w:val="003F1310"/>
    <w:rsid w:val="003F1B6B"/>
    <w:rsid w:val="003F1BA6"/>
    <w:rsid w:val="003F1D31"/>
    <w:rsid w:val="003F1D54"/>
    <w:rsid w:val="003F1E72"/>
    <w:rsid w:val="003F20C8"/>
    <w:rsid w:val="003F246D"/>
    <w:rsid w:val="003F2A46"/>
    <w:rsid w:val="003F300D"/>
    <w:rsid w:val="003F3430"/>
    <w:rsid w:val="003F3C50"/>
    <w:rsid w:val="003F4869"/>
    <w:rsid w:val="003F4BEC"/>
    <w:rsid w:val="003F523B"/>
    <w:rsid w:val="003F5F18"/>
    <w:rsid w:val="003F6187"/>
    <w:rsid w:val="003F67E1"/>
    <w:rsid w:val="003F6F73"/>
    <w:rsid w:val="003F743F"/>
    <w:rsid w:val="0040073C"/>
    <w:rsid w:val="00400A6C"/>
    <w:rsid w:val="00400B29"/>
    <w:rsid w:val="00400E16"/>
    <w:rsid w:val="00400E21"/>
    <w:rsid w:val="004013CD"/>
    <w:rsid w:val="0040159B"/>
    <w:rsid w:val="0040171B"/>
    <w:rsid w:val="00401798"/>
    <w:rsid w:val="004031C2"/>
    <w:rsid w:val="004038C9"/>
    <w:rsid w:val="0040390F"/>
    <w:rsid w:val="00403D98"/>
    <w:rsid w:val="0040522B"/>
    <w:rsid w:val="0040537E"/>
    <w:rsid w:val="004059CD"/>
    <w:rsid w:val="00405AA4"/>
    <w:rsid w:val="00405D67"/>
    <w:rsid w:val="00405F19"/>
    <w:rsid w:val="00406202"/>
    <w:rsid w:val="004062C7"/>
    <w:rsid w:val="004063AC"/>
    <w:rsid w:val="00406A6A"/>
    <w:rsid w:val="00406B22"/>
    <w:rsid w:val="00406D1E"/>
    <w:rsid w:val="00407147"/>
    <w:rsid w:val="004074B3"/>
    <w:rsid w:val="00407532"/>
    <w:rsid w:val="004078FA"/>
    <w:rsid w:val="00407BF7"/>
    <w:rsid w:val="00407DFC"/>
    <w:rsid w:val="00410460"/>
    <w:rsid w:val="00410D62"/>
    <w:rsid w:val="00410EC5"/>
    <w:rsid w:val="004111E0"/>
    <w:rsid w:val="0041124A"/>
    <w:rsid w:val="004114F1"/>
    <w:rsid w:val="00411728"/>
    <w:rsid w:val="00411772"/>
    <w:rsid w:val="0041288C"/>
    <w:rsid w:val="00412B21"/>
    <w:rsid w:val="00412FAD"/>
    <w:rsid w:val="004131B8"/>
    <w:rsid w:val="0041360F"/>
    <w:rsid w:val="00413C89"/>
    <w:rsid w:val="00413D4A"/>
    <w:rsid w:val="004142A9"/>
    <w:rsid w:val="004147EB"/>
    <w:rsid w:val="00414A4D"/>
    <w:rsid w:val="00414FFD"/>
    <w:rsid w:val="00415134"/>
    <w:rsid w:val="0041520E"/>
    <w:rsid w:val="0041567B"/>
    <w:rsid w:val="004161E5"/>
    <w:rsid w:val="004164CE"/>
    <w:rsid w:val="00416970"/>
    <w:rsid w:val="004171FA"/>
    <w:rsid w:val="004177A6"/>
    <w:rsid w:val="00417A48"/>
    <w:rsid w:val="00420139"/>
    <w:rsid w:val="00420EBA"/>
    <w:rsid w:val="00422D06"/>
    <w:rsid w:val="00422DBB"/>
    <w:rsid w:val="00423151"/>
    <w:rsid w:val="00423184"/>
    <w:rsid w:val="0042353E"/>
    <w:rsid w:val="004236AE"/>
    <w:rsid w:val="00423C21"/>
    <w:rsid w:val="00424487"/>
    <w:rsid w:val="00424ED7"/>
    <w:rsid w:val="00424F2E"/>
    <w:rsid w:val="00425000"/>
    <w:rsid w:val="00425549"/>
    <w:rsid w:val="00426CF8"/>
    <w:rsid w:val="00427170"/>
    <w:rsid w:val="00427372"/>
    <w:rsid w:val="004273FE"/>
    <w:rsid w:val="0042782C"/>
    <w:rsid w:val="00427E42"/>
    <w:rsid w:val="00430719"/>
    <w:rsid w:val="0043096F"/>
    <w:rsid w:val="00430BC7"/>
    <w:rsid w:val="00431243"/>
    <w:rsid w:val="00431AEA"/>
    <w:rsid w:val="00431E08"/>
    <w:rsid w:val="00432077"/>
    <w:rsid w:val="004324CA"/>
    <w:rsid w:val="0043278D"/>
    <w:rsid w:val="004328A7"/>
    <w:rsid w:val="004328D8"/>
    <w:rsid w:val="00432C97"/>
    <w:rsid w:val="00432FA0"/>
    <w:rsid w:val="00433F2A"/>
    <w:rsid w:val="004349B3"/>
    <w:rsid w:val="00434AA9"/>
    <w:rsid w:val="00434C74"/>
    <w:rsid w:val="00434CAA"/>
    <w:rsid w:val="0043541A"/>
    <w:rsid w:val="00435903"/>
    <w:rsid w:val="00435F54"/>
    <w:rsid w:val="004360B4"/>
    <w:rsid w:val="00436F39"/>
    <w:rsid w:val="0043716F"/>
    <w:rsid w:val="004375E6"/>
    <w:rsid w:val="00437BEA"/>
    <w:rsid w:val="00437C8A"/>
    <w:rsid w:val="00437D70"/>
    <w:rsid w:val="00437E9A"/>
    <w:rsid w:val="00437EC1"/>
    <w:rsid w:val="00440A01"/>
    <w:rsid w:val="00440B6C"/>
    <w:rsid w:val="00440E7D"/>
    <w:rsid w:val="00441141"/>
    <w:rsid w:val="004412F0"/>
    <w:rsid w:val="0044152E"/>
    <w:rsid w:val="00441791"/>
    <w:rsid w:val="004417D9"/>
    <w:rsid w:val="00441ED5"/>
    <w:rsid w:val="004421B4"/>
    <w:rsid w:val="0044255B"/>
    <w:rsid w:val="0044275E"/>
    <w:rsid w:val="00442AB6"/>
    <w:rsid w:val="00443900"/>
    <w:rsid w:val="0044399D"/>
    <w:rsid w:val="00444F3D"/>
    <w:rsid w:val="00445917"/>
    <w:rsid w:val="00446120"/>
    <w:rsid w:val="0044627D"/>
    <w:rsid w:val="00446A3D"/>
    <w:rsid w:val="00446C67"/>
    <w:rsid w:val="0044770D"/>
    <w:rsid w:val="00450B8E"/>
    <w:rsid w:val="00451A7F"/>
    <w:rsid w:val="00451E25"/>
    <w:rsid w:val="00451EED"/>
    <w:rsid w:val="00451FA8"/>
    <w:rsid w:val="00452030"/>
    <w:rsid w:val="004523C6"/>
    <w:rsid w:val="00452808"/>
    <w:rsid w:val="004530BB"/>
    <w:rsid w:val="00453337"/>
    <w:rsid w:val="00453509"/>
    <w:rsid w:val="004535EE"/>
    <w:rsid w:val="004539B2"/>
    <w:rsid w:val="00454080"/>
    <w:rsid w:val="0045441A"/>
    <w:rsid w:val="00455664"/>
    <w:rsid w:val="00455DEA"/>
    <w:rsid w:val="00456986"/>
    <w:rsid w:val="00456EB4"/>
    <w:rsid w:val="00456FF3"/>
    <w:rsid w:val="0045749D"/>
    <w:rsid w:val="004575B4"/>
    <w:rsid w:val="00457730"/>
    <w:rsid w:val="00457827"/>
    <w:rsid w:val="00457C88"/>
    <w:rsid w:val="0046031F"/>
    <w:rsid w:val="004616B8"/>
    <w:rsid w:val="004616DF"/>
    <w:rsid w:val="004627AF"/>
    <w:rsid w:val="0046289E"/>
    <w:rsid w:val="00462EFC"/>
    <w:rsid w:val="0046356E"/>
    <w:rsid w:val="00463897"/>
    <w:rsid w:val="00463CCB"/>
    <w:rsid w:val="00463FF2"/>
    <w:rsid w:val="004649B0"/>
    <w:rsid w:val="0046606F"/>
    <w:rsid w:val="00467277"/>
    <w:rsid w:val="00467AFC"/>
    <w:rsid w:val="00467BEC"/>
    <w:rsid w:val="00467D0C"/>
    <w:rsid w:val="00470131"/>
    <w:rsid w:val="00470B68"/>
    <w:rsid w:val="00470BAF"/>
    <w:rsid w:val="00471070"/>
    <w:rsid w:val="004718F3"/>
    <w:rsid w:val="00471AF7"/>
    <w:rsid w:val="00471BA3"/>
    <w:rsid w:val="00472AAC"/>
    <w:rsid w:val="00472EC8"/>
    <w:rsid w:val="004732CC"/>
    <w:rsid w:val="00473568"/>
    <w:rsid w:val="00473D32"/>
    <w:rsid w:val="00474235"/>
    <w:rsid w:val="0047438D"/>
    <w:rsid w:val="00474808"/>
    <w:rsid w:val="00474902"/>
    <w:rsid w:val="00474930"/>
    <w:rsid w:val="00475040"/>
    <w:rsid w:val="00475247"/>
    <w:rsid w:val="0047537E"/>
    <w:rsid w:val="00475868"/>
    <w:rsid w:val="00475BB4"/>
    <w:rsid w:val="00475D26"/>
    <w:rsid w:val="0047650A"/>
    <w:rsid w:val="0047662F"/>
    <w:rsid w:val="004767EF"/>
    <w:rsid w:val="00476CE6"/>
    <w:rsid w:val="00476E70"/>
    <w:rsid w:val="00477505"/>
    <w:rsid w:val="00477A8C"/>
    <w:rsid w:val="0048027F"/>
    <w:rsid w:val="004805B7"/>
    <w:rsid w:val="00480D7E"/>
    <w:rsid w:val="00482C75"/>
    <w:rsid w:val="00482DE9"/>
    <w:rsid w:val="0048344F"/>
    <w:rsid w:val="0048376A"/>
    <w:rsid w:val="00483D30"/>
    <w:rsid w:val="004846B0"/>
    <w:rsid w:val="00484B6F"/>
    <w:rsid w:val="00485D9A"/>
    <w:rsid w:val="004867B8"/>
    <w:rsid w:val="004867D6"/>
    <w:rsid w:val="00486E37"/>
    <w:rsid w:val="00487280"/>
    <w:rsid w:val="004878C8"/>
    <w:rsid w:val="004901F3"/>
    <w:rsid w:val="004903E0"/>
    <w:rsid w:val="004903E2"/>
    <w:rsid w:val="00490C06"/>
    <w:rsid w:val="00490DCC"/>
    <w:rsid w:val="00490ED5"/>
    <w:rsid w:val="004922D1"/>
    <w:rsid w:val="0049252A"/>
    <w:rsid w:val="004925FF"/>
    <w:rsid w:val="00492FA1"/>
    <w:rsid w:val="0049323A"/>
    <w:rsid w:val="00493B22"/>
    <w:rsid w:val="00493CB8"/>
    <w:rsid w:val="00493D40"/>
    <w:rsid w:val="00493EE3"/>
    <w:rsid w:val="00493F40"/>
    <w:rsid w:val="004942DF"/>
    <w:rsid w:val="00494323"/>
    <w:rsid w:val="004953D8"/>
    <w:rsid w:val="00495499"/>
    <w:rsid w:val="004954DB"/>
    <w:rsid w:val="0049560B"/>
    <w:rsid w:val="00495B30"/>
    <w:rsid w:val="00495B3B"/>
    <w:rsid w:val="004960EF"/>
    <w:rsid w:val="004967B6"/>
    <w:rsid w:val="00496881"/>
    <w:rsid w:val="00496958"/>
    <w:rsid w:val="00496AFA"/>
    <w:rsid w:val="00496C8A"/>
    <w:rsid w:val="00497A8A"/>
    <w:rsid w:val="00497B3E"/>
    <w:rsid w:val="004A1171"/>
    <w:rsid w:val="004A1565"/>
    <w:rsid w:val="004A1740"/>
    <w:rsid w:val="004A18C5"/>
    <w:rsid w:val="004A1BB2"/>
    <w:rsid w:val="004A1C89"/>
    <w:rsid w:val="004A288C"/>
    <w:rsid w:val="004A2C24"/>
    <w:rsid w:val="004A317F"/>
    <w:rsid w:val="004A35F1"/>
    <w:rsid w:val="004A372A"/>
    <w:rsid w:val="004A38BF"/>
    <w:rsid w:val="004A4793"/>
    <w:rsid w:val="004A4822"/>
    <w:rsid w:val="004A4F1F"/>
    <w:rsid w:val="004A504B"/>
    <w:rsid w:val="004A5372"/>
    <w:rsid w:val="004A5971"/>
    <w:rsid w:val="004A6911"/>
    <w:rsid w:val="004A6D35"/>
    <w:rsid w:val="004A7158"/>
    <w:rsid w:val="004A761B"/>
    <w:rsid w:val="004B0409"/>
    <w:rsid w:val="004B04FB"/>
    <w:rsid w:val="004B1809"/>
    <w:rsid w:val="004B22A0"/>
    <w:rsid w:val="004B2407"/>
    <w:rsid w:val="004B2F54"/>
    <w:rsid w:val="004B3652"/>
    <w:rsid w:val="004B36D1"/>
    <w:rsid w:val="004B3827"/>
    <w:rsid w:val="004B3D44"/>
    <w:rsid w:val="004B43C3"/>
    <w:rsid w:val="004B4D52"/>
    <w:rsid w:val="004B4E9A"/>
    <w:rsid w:val="004B4FEC"/>
    <w:rsid w:val="004B54E0"/>
    <w:rsid w:val="004B55F4"/>
    <w:rsid w:val="004B5B95"/>
    <w:rsid w:val="004B5CC0"/>
    <w:rsid w:val="004B5D36"/>
    <w:rsid w:val="004B6388"/>
    <w:rsid w:val="004B6D57"/>
    <w:rsid w:val="004B6DF8"/>
    <w:rsid w:val="004B7106"/>
    <w:rsid w:val="004B7384"/>
    <w:rsid w:val="004C0562"/>
    <w:rsid w:val="004C0A23"/>
    <w:rsid w:val="004C18D8"/>
    <w:rsid w:val="004C1BB6"/>
    <w:rsid w:val="004C1D2F"/>
    <w:rsid w:val="004C3CBC"/>
    <w:rsid w:val="004C3E26"/>
    <w:rsid w:val="004C4269"/>
    <w:rsid w:val="004C4860"/>
    <w:rsid w:val="004C4884"/>
    <w:rsid w:val="004C59DE"/>
    <w:rsid w:val="004C5CF6"/>
    <w:rsid w:val="004C5F08"/>
    <w:rsid w:val="004C5FF4"/>
    <w:rsid w:val="004C6306"/>
    <w:rsid w:val="004C6AF8"/>
    <w:rsid w:val="004C6EF7"/>
    <w:rsid w:val="004C713B"/>
    <w:rsid w:val="004C7294"/>
    <w:rsid w:val="004C78F5"/>
    <w:rsid w:val="004C795E"/>
    <w:rsid w:val="004D0222"/>
    <w:rsid w:val="004D0446"/>
    <w:rsid w:val="004D0973"/>
    <w:rsid w:val="004D1106"/>
    <w:rsid w:val="004D1385"/>
    <w:rsid w:val="004D140B"/>
    <w:rsid w:val="004D14A5"/>
    <w:rsid w:val="004D1829"/>
    <w:rsid w:val="004D18DA"/>
    <w:rsid w:val="004D18E9"/>
    <w:rsid w:val="004D2048"/>
    <w:rsid w:val="004D2315"/>
    <w:rsid w:val="004D287C"/>
    <w:rsid w:val="004D290C"/>
    <w:rsid w:val="004D3412"/>
    <w:rsid w:val="004D3683"/>
    <w:rsid w:val="004D37DE"/>
    <w:rsid w:val="004D45EF"/>
    <w:rsid w:val="004D469D"/>
    <w:rsid w:val="004D4A02"/>
    <w:rsid w:val="004D52EF"/>
    <w:rsid w:val="004D5999"/>
    <w:rsid w:val="004D6236"/>
    <w:rsid w:val="004D658F"/>
    <w:rsid w:val="004D6994"/>
    <w:rsid w:val="004D6B8C"/>
    <w:rsid w:val="004D7B67"/>
    <w:rsid w:val="004D7F90"/>
    <w:rsid w:val="004E0212"/>
    <w:rsid w:val="004E09B4"/>
    <w:rsid w:val="004E0FB1"/>
    <w:rsid w:val="004E1C1B"/>
    <w:rsid w:val="004E1DDB"/>
    <w:rsid w:val="004E1F38"/>
    <w:rsid w:val="004E2A7C"/>
    <w:rsid w:val="004E310B"/>
    <w:rsid w:val="004E3279"/>
    <w:rsid w:val="004E35FF"/>
    <w:rsid w:val="004E4550"/>
    <w:rsid w:val="004E495D"/>
    <w:rsid w:val="004E4DBB"/>
    <w:rsid w:val="004E4E41"/>
    <w:rsid w:val="004E4FCB"/>
    <w:rsid w:val="004E541E"/>
    <w:rsid w:val="004E73DB"/>
    <w:rsid w:val="004E7F9C"/>
    <w:rsid w:val="004E7FD3"/>
    <w:rsid w:val="004F00A2"/>
    <w:rsid w:val="004F1178"/>
    <w:rsid w:val="004F1762"/>
    <w:rsid w:val="004F1CD9"/>
    <w:rsid w:val="004F2B57"/>
    <w:rsid w:val="004F31BC"/>
    <w:rsid w:val="004F3493"/>
    <w:rsid w:val="004F366D"/>
    <w:rsid w:val="004F3833"/>
    <w:rsid w:val="004F3CF0"/>
    <w:rsid w:val="004F3CF5"/>
    <w:rsid w:val="004F3DA1"/>
    <w:rsid w:val="004F42E6"/>
    <w:rsid w:val="004F493D"/>
    <w:rsid w:val="004F4DD9"/>
    <w:rsid w:val="004F4F08"/>
    <w:rsid w:val="004F5143"/>
    <w:rsid w:val="004F51E3"/>
    <w:rsid w:val="004F54E3"/>
    <w:rsid w:val="004F5B5E"/>
    <w:rsid w:val="004F5BA7"/>
    <w:rsid w:val="004F60AA"/>
    <w:rsid w:val="004F6182"/>
    <w:rsid w:val="004F663E"/>
    <w:rsid w:val="004F6FD6"/>
    <w:rsid w:val="004F7399"/>
    <w:rsid w:val="004F7665"/>
    <w:rsid w:val="005002AF"/>
    <w:rsid w:val="00500486"/>
    <w:rsid w:val="00500C4E"/>
    <w:rsid w:val="00501385"/>
    <w:rsid w:val="0050155D"/>
    <w:rsid w:val="005015C4"/>
    <w:rsid w:val="00501949"/>
    <w:rsid w:val="00501A6F"/>
    <w:rsid w:val="00501E57"/>
    <w:rsid w:val="005023E4"/>
    <w:rsid w:val="0050256B"/>
    <w:rsid w:val="00502CEF"/>
    <w:rsid w:val="0050300B"/>
    <w:rsid w:val="00503389"/>
    <w:rsid w:val="0050344C"/>
    <w:rsid w:val="00503965"/>
    <w:rsid w:val="00503B6E"/>
    <w:rsid w:val="00505882"/>
    <w:rsid w:val="00506600"/>
    <w:rsid w:val="00506954"/>
    <w:rsid w:val="00507283"/>
    <w:rsid w:val="005073A6"/>
    <w:rsid w:val="00507487"/>
    <w:rsid w:val="00507D14"/>
    <w:rsid w:val="0051033D"/>
    <w:rsid w:val="00510B58"/>
    <w:rsid w:val="00510C1F"/>
    <w:rsid w:val="00510E8D"/>
    <w:rsid w:val="00511A89"/>
    <w:rsid w:val="00511DD3"/>
    <w:rsid w:val="00511EBC"/>
    <w:rsid w:val="0051262D"/>
    <w:rsid w:val="00512B09"/>
    <w:rsid w:val="00512D8F"/>
    <w:rsid w:val="005133E8"/>
    <w:rsid w:val="005134B6"/>
    <w:rsid w:val="00513CE5"/>
    <w:rsid w:val="0051472A"/>
    <w:rsid w:val="00514949"/>
    <w:rsid w:val="00514B27"/>
    <w:rsid w:val="00514B95"/>
    <w:rsid w:val="00515D73"/>
    <w:rsid w:val="005169AC"/>
    <w:rsid w:val="005174C1"/>
    <w:rsid w:val="00517F3F"/>
    <w:rsid w:val="005209FF"/>
    <w:rsid w:val="00521E01"/>
    <w:rsid w:val="005220ED"/>
    <w:rsid w:val="00522636"/>
    <w:rsid w:val="00522735"/>
    <w:rsid w:val="00522EF7"/>
    <w:rsid w:val="00522EF9"/>
    <w:rsid w:val="00523DE9"/>
    <w:rsid w:val="00524229"/>
    <w:rsid w:val="00525E53"/>
    <w:rsid w:val="005268F8"/>
    <w:rsid w:val="00526914"/>
    <w:rsid w:val="00526FCB"/>
    <w:rsid w:val="005277AC"/>
    <w:rsid w:val="005277DB"/>
    <w:rsid w:val="00527869"/>
    <w:rsid w:val="00527A1A"/>
    <w:rsid w:val="00527F2C"/>
    <w:rsid w:val="00530161"/>
    <w:rsid w:val="00530327"/>
    <w:rsid w:val="005304C8"/>
    <w:rsid w:val="00530DA3"/>
    <w:rsid w:val="005310B1"/>
    <w:rsid w:val="00531FDB"/>
    <w:rsid w:val="00532793"/>
    <w:rsid w:val="00532FB4"/>
    <w:rsid w:val="00533062"/>
    <w:rsid w:val="00533235"/>
    <w:rsid w:val="00533796"/>
    <w:rsid w:val="0053395A"/>
    <w:rsid w:val="00533D46"/>
    <w:rsid w:val="005340F4"/>
    <w:rsid w:val="0053436C"/>
    <w:rsid w:val="0053550D"/>
    <w:rsid w:val="00535672"/>
    <w:rsid w:val="00535B01"/>
    <w:rsid w:val="00536277"/>
    <w:rsid w:val="00537343"/>
    <w:rsid w:val="00537733"/>
    <w:rsid w:val="00537A3E"/>
    <w:rsid w:val="0054079B"/>
    <w:rsid w:val="00541167"/>
    <w:rsid w:val="00541716"/>
    <w:rsid w:val="005418C8"/>
    <w:rsid w:val="005419AB"/>
    <w:rsid w:val="00541A09"/>
    <w:rsid w:val="00541AAB"/>
    <w:rsid w:val="00541C17"/>
    <w:rsid w:val="00541D87"/>
    <w:rsid w:val="005421D4"/>
    <w:rsid w:val="005427B9"/>
    <w:rsid w:val="00542D44"/>
    <w:rsid w:val="005430D8"/>
    <w:rsid w:val="00543190"/>
    <w:rsid w:val="00543798"/>
    <w:rsid w:val="00543840"/>
    <w:rsid w:val="005438F5"/>
    <w:rsid w:val="005440C4"/>
    <w:rsid w:val="0054445D"/>
    <w:rsid w:val="00544BC5"/>
    <w:rsid w:val="00544D76"/>
    <w:rsid w:val="005451C1"/>
    <w:rsid w:val="00545F5C"/>
    <w:rsid w:val="00545FE8"/>
    <w:rsid w:val="005461AA"/>
    <w:rsid w:val="00546831"/>
    <w:rsid w:val="005468A6"/>
    <w:rsid w:val="0054693C"/>
    <w:rsid w:val="00546BF9"/>
    <w:rsid w:val="00546D77"/>
    <w:rsid w:val="00546E65"/>
    <w:rsid w:val="0054730C"/>
    <w:rsid w:val="005473B8"/>
    <w:rsid w:val="0054749A"/>
    <w:rsid w:val="005476B0"/>
    <w:rsid w:val="00547F3B"/>
    <w:rsid w:val="005515DF"/>
    <w:rsid w:val="005516F3"/>
    <w:rsid w:val="0055170B"/>
    <w:rsid w:val="00551995"/>
    <w:rsid w:val="00551B7C"/>
    <w:rsid w:val="005526E2"/>
    <w:rsid w:val="00552855"/>
    <w:rsid w:val="00552922"/>
    <w:rsid w:val="00552B31"/>
    <w:rsid w:val="00553C02"/>
    <w:rsid w:val="00553C7A"/>
    <w:rsid w:val="005541E7"/>
    <w:rsid w:val="00554230"/>
    <w:rsid w:val="0055472C"/>
    <w:rsid w:val="0055559C"/>
    <w:rsid w:val="00555D75"/>
    <w:rsid w:val="00556337"/>
    <w:rsid w:val="005566AE"/>
    <w:rsid w:val="005567D2"/>
    <w:rsid w:val="005571A8"/>
    <w:rsid w:val="0055756B"/>
    <w:rsid w:val="005579DA"/>
    <w:rsid w:val="00557B0D"/>
    <w:rsid w:val="00557DAE"/>
    <w:rsid w:val="005602ED"/>
    <w:rsid w:val="005606B9"/>
    <w:rsid w:val="005607AA"/>
    <w:rsid w:val="00560869"/>
    <w:rsid w:val="005609E8"/>
    <w:rsid w:val="00560DF0"/>
    <w:rsid w:val="00561101"/>
    <w:rsid w:val="0056172C"/>
    <w:rsid w:val="00561C8E"/>
    <w:rsid w:val="005629A9"/>
    <w:rsid w:val="00562DCB"/>
    <w:rsid w:val="005631F1"/>
    <w:rsid w:val="00563900"/>
    <w:rsid w:val="00563CFC"/>
    <w:rsid w:val="005642D6"/>
    <w:rsid w:val="00564A1A"/>
    <w:rsid w:val="00564CE8"/>
    <w:rsid w:val="005651B7"/>
    <w:rsid w:val="00565233"/>
    <w:rsid w:val="00565281"/>
    <w:rsid w:val="00565680"/>
    <w:rsid w:val="00565BFF"/>
    <w:rsid w:val="00565C85"/>
    <w:rsid w:val="0056601A"/>
    <w:rsid w:val="0056679A"/>
    <w:rsid w:val="0056759C"/>
    <w:rsid w:val="0056774A"/>
    <w:rsid w:val="00567824"/>
    <w:rsid w:val="00567A7B"/>
    <w:rsid w:val="005716B8"/>
    <w:rsid w:val="00571F24"/>
    <w:rsid w:val="005728AD"/>
    <w:rsid w:val="00572953"/>
    <w:rsid w:val="00572992"/>
    <w:rsid w:val="0057311C"/>
    <w:rsid w:val="00573832"/>
    <w:rsid w:val="00573A38"/>
    <w:rsid w:val="00573B94"/>
    <w:rsid w:val="00573D32"/>
    <w:rsid w:val="00574ADF"/>
    <w:rsid w:val="0057570A"/>
    <w:rsid w:val="00575A1A"/>
    <w:rsid w:val="00575DF0"/>
    <w:rsid w:val="00575EA0"/>
    <w:rsid w:val="00576088"/>
    <w:rsid w:val="00576A5C"/>
    <w:rsid w:val="00577438"/>
    <w:rsid w:val="0057754F"/>
    <w:rsid w:val="00577A9F"/>
    <w:rsid w:val="00577BB7"/>
    <w:rsid w:val="00577FA4"/>
    <w:rsid w:val="00580243"/>
    <w:rsid w:val="0058037E"/>
    <w:rsid w:val="005810D2"/>
    <w:rsid w:val="005811DA"/>
    <w:rsid w:val="005816BC"/>
    <w:rsid w:val="00581850"/>
    <w:rsid w:val="00581B60"/>
    <w:rsid w:val="00581C23"/>
    <w:rsid w:val="00581DE6"/>
    <w:rsid w:val="00581F51"/>
    <w:rsid w:val="00582546"/>
    <w:rsid w:val="00582AC3"/>
    <w:rsid w:val="005830C2"/>
    <w:rsid w:val="005831C5"/>
    <w:rsid w:val="005837F9"/>
    <w:rsid w:val="00583991"/>
    <w:rsid w:val="00583FE8"/>
    <w:rsid w:val="00584019"/>
    <w:rsid w:val="00584049"/>
    <w:rsid w:val="00584305"/>
    <w:rsid w:val="0058469C"/>
    <w:rsid w:val="0058477D"/>
    <w:rsid w:val="005847A1"/>
    <w:rsid w:val="00584EE9"/>
    <w:rsid w:val="0058507E"/>
    <w:rsid w:val="00585462"/>
    <w:rsid w:val="0058576B"/>
    <w:rsid w:val="00585B80"/>
    <w:rsid w:val="00585D67"/>
    <w:rsid w:val="00586185"/>
    <w:rsid w:val="005863AA"/>
    <w:rsid w:val="0058698F"/>
    <w:rsid w:val="005877E0"/>
    <w:rsid w:val="005904A0"/>
    <w:rsid w:val="00590604"/>
    <w:rsid w:val="00590946"/>
    <w:rsid w:val="005918C0"/>
    <w:rsid w:val="00593092"/>
    <w:rsid w:val="005938B3"/>
    <w:rsid w:val="005939AB"/>
    <w:rsid w:val="00593B27"/>
    <w:rsid w:val="00593F89"/>
    <w:rsid w:val="005945BA"/>
    <w:rsid w:val="005948BB"/>
    <w:rsid w:val="00594A82"/>
    <w:rsid w:val="00594FEF"/>
    <w:rsid w:val="005950B7"/>
    <w:rsid w:val="0059513E"/>
    <w:rsid w:val="00595CF0"/>
    <w:rsid w:val="00595DE7"/>
    <w:rsid w:val="00596020"/>
    <w:rsid w:val="005961C0"/>
    <w:rsid w:val="005968A0"/>
    <w:rsid w:val="00596D2A"/>
    <w:rsid w:val="00597301"/>
    <w:rsid w:val="00597D51"/>
    <w:rsid w:val="00597E63"/>
    <w:rsid w:val="005A0665"/>
    <w:rsid w:val="005A1A01"/>
    <w:rsid w:val="005A2396"/>
    <w:rsid w:val="005A291D"/>
    <w:rsid w:val="005A2950"/>
    <w:rsid w:val="005A2E0C"/>
    <w:rsid w:val="005A2FCF"/>
    <w:rsid w:val="005A3617"/>
    <w:rsid w:val="005A37CD"/>
    <w:rsid w:val="005A40DC"/>
    <w:rsid w:val="005A45B8"/>
    <w:rsid w:val="005A4818"/>
    <w:rsid w:val="005A50CA"/>
    <w:rsid w:val="005A5356"/>
    <w:rsid w:val="005A629D"/>
    <w:rsid w:val="005A6AA4"/>
    <w:rsid w:val="005A6D9F"/>
    <w:rsid w:val="005A7488"/>
    <w:rsid w:val="005A7B1A"/>
    <w:rsid w:val="005A7F86"/>
    <w:rsid w:val="005B0A83"/>
    <w:rsid w:val="005B0CD6"/>
    <w:rsid w:val="005B0F48"/>
    <w:rsid w:val="005B1639"/>
    <w:rsid w:val="005B1897"/>
    <w:rsid w:val="005B1DB6"/>
    <w:rsid w:val="005B299D"/>
    <w:rsid w:val="005B2A69"/>
    <w:rsid w:val="005B342A"/>
    <w:rsid w:val="005B34FC"/>
    <w:rsid w:val="005B35C0"/>
    <w:rsid w:val="005B3CA3"/>
    <w:rsid w:val="005B4578"/>
    <w:rsid w:val="005B48FF"/>
    <w:rsid w:val="005B49C1"/>
    <w:rsid w:val="005B53A5"/>
    <w:rsid w:val="005B54A1"/>
    <w:rsid w:val="005B5ADE"/>
    <w:rsid w:val="005B6D4C"/>
    <w:rsid w:val="005B7FDE"/>
    <w:rsid w:val="005C08B7"/>
    <w:rsid w:val="005C1100"/>
    <w:rsid w:val="005C14A7"/>
    <w:rsid w:val="005C1684"/>
    <w:rsid w:val="005C1E32"/>
    <w:rsid w:val="005C22E7"/>
    <w:rsid w:val="005C2EBB"/>
    <w:rsid w:val="005C2F81"/>
    <w:rsid w:val="005C3408"/>
    <w:rsid w:val="005C403F"/>
    <w:rsid w:val="005C4202"/>
    <w:rsid w:val="005C423F"/>
    <w:rsid w:val="005C50A9"/>
    <w:rsid w:val="005C5987"/>
    <w:rsid w:val="005C5EBF"/>
    <w:rsid w:val="005C60C8"/>
    <w:rsid w:val="005C63CD"/>
    <w:rsid w:val="005C65E3"/>
    <w:rsid w:val="005C670D"/>
    <w:rsid w:val="005C6921"/>
    <w:rsid w:val="005C7661"/>
    <w:rsid w:val="005C79AB"/>
    <w:rsid w:val="005C7DEE"/>
    <w:rsid w:val="005D0D95"/>
    <w:rsid w:val="005D0F2F"/>
    <w:rsid w:val="005D10BB"/>
    <w:rsid w:val="005D1770"/>
    <w:rsid w:val="005D1AA8"/>
    <w:rsid w:val="005D2539"/>
    <w:rsid w:val="005D3296"/>
    <w:rsid w:val="005D363F"/>
    <w:rsid w:val="005D3DBC"/>
    <w:rsid w:val="005D3F1E"/>
    <w:rsid w:val="005D44AC"/>
    <w:rsid w:val="005D49C3"/>
    <w:rsid w:val="005D4BFD"/>
    <w:rsid w:val="005D5621"/>
    <w:rsid w:val="005D6091"/>
    <w:rsid w:val="005D619D"/>
    <w:rsid w:val="005D7536"/>
    <w:rsid w:val="005D7F8C"/>
    <w:rsid w:val="005E1BCD"/>
    <w:rsid w:val="005E1BEE"/>
    <w:rsid w:val="005E2154"/>
    <w:rsid w:val="005E2BAD"/>
    <w:rsid w:val="005E2D6D"/>
    <w:rsid w:val="005E39CE"/>
    <w:rsid w:val="005E3C48"/>
    <w:rsid w:val="005E3CF0"/>
    <w:rsid w:val="005E44EA"/>
    <w:rsid w:val="005E4503"/>
    <w:rsid w:val="005E45A0"/>
    <w:rsid w:val="005E533A"/>
    <w:rsid w:val="005E5684"/>
    <w:rsid w:val="005E5934"/>
    <w:rsid w:val="005E5A65"/>
    <w:rsid w:val="005E5D63"/>
    <w:rsid w:val="005E6182"/>
    <w:rsid w:val="005E6600"/>
    <w:rsid w:val="005E6C88"/>
    <w:rsid w:val="005E72F0"/>
    <w:rsid w:val="005F01A8"/>
    <w:rsid w:val="005F0C7D"/>
    <w:rsid w:val="005F12FF"/>
    <w:rsid w:val="005F284B"/>
    <w:rsid w:val="005F2AE7"/>
    <w:rsid w:val="005F2DD7"/>
    <w:rsid w:val="005F351F"/>
    <w:rsid w:val="005F3CD4"/>
    <w:rsid w:val="005F3E4D"/>
    <w:rsid w:val="005F3E8A"/>
    <w:rsid w:val="005F3E9B"/>
    <w:rsid w:val="005F3FA5"/>
    <w:rsid w:val="005F417C"/>
    <w:rsid w:val="005F4E62"/>
    <w:rsid w:val="005F51DD"/>
    <w:rsid w:val="005F558F"/>
    <w:rsid w:val="005F587B"/>
    <w:rsid w:val="005F5AE3"/>
    <w:rsid w:val="005F67DA"/>
    <w:rsid w:val="005F7D0C"/>
    <w:rsid w:val="006001EC"/>
    <w:rsid w:val="00600801"/>
    <w:rsid w:val="00600ADE"/>
    <w:rsid w:val="00600D0D"/>
    <w:rsid w:val="00600F31"/>
    <w:rsid w:val="0060135E"/>
    <w:rsid w:val="00601D90"/>
    <w:rsid w:val="00601F2F"/>
    <w:rsid w:val="006027B6"/>
    <w:rsid w:val="00603327"/>
    <w:rsid w:val="00603641"/>
    <w:rsid w:val="006037A9"/>
    <w:rsid w:val="00603C36"/>
    <w:rsid w:val="00603CDE"/>
    <w:rsid w:val="00604147"/>
    <w:rsid w:val="00604186"/>
    <w:rsid w:val="006043EC"/>
    <w:rsid w:val="00604815"/>
    <w:rsid w:val="006048D8"/>
    <w:rsid w:val="00604A77"/>
    <w:rsid w:val="00604C15"/>
    <w:rsid w:val="00605071"/>
    <w:rsid w:val="006051E1"/>
    <w:rsid w:val="0060538E"/>
    <w:rsid w:val="00605BF8"/>
    <w:rsid w:val="00605C1F"/>
    <w:rsid w:val="00606338"/>
    <w:rsid w:val="0060637F"/>
    <w:rsid w:val="006074FA"/>
    <w:rsid w:val="00607E62"/>
    <w:rsid w:val="00610107"/>
    <w:rsid w:val="006105F8"/>
    <w:rsid w:val="006108AB"/>
    <w:rsid w:val="006109D4"/>
    <w:rsid w:val="00610B7B"/>
    <w:rsid w:val="00610D62"/>
    <w:rsid w:val="00611627"/>
    <w:rsid w:val="0061166E"/>
    <w:rsid w:val="00611785"/>
    <w:rsid w:val="00611898"/>
    <w:rsid w:val="006119F5"/>
    <w:rsid w:val="006122FD"/>
    <w:rsid w:val="006128DD"/>
    <w:rsid w:val="006129DD"/>
    <w:rsid w:val="00612F61"/>
    <w:rsid w:val="0061324E"/>
    <w:rsid w:val="00613D7E"/>
    <w:rsid w:val="00613F95"/>
    <w:rsid w:val="0061489E"/>
    <w:rsid w:val="00614CB8"/>
    <w:rsid w:val="00614CD8"/>
    <w:rsid w:val="006155E5"/>
    <w:rsid w:val="00615688"/>
    <w:rsid w:val="006158D5"/>
    <w:rsid w:val="00615A9C"/>
    <w:rsid w:val="00615F22"/>
    <w:rsid w:val="0061620D"/>
    <w:rsid w:val="00616BAD"/>
    <w:rsid w:val="00616E14"/>
    <w:rsid w:val="00616F57"/>
    <w:rsid w:val="006172D3"/>
    <w:rsid w:val="00617709"/>
    <w:rsid w:val="00617838"/>
    <w:rsid w:val="00620D53"/>
    <w:rsid w:val="00621455"/>
    <w:rsid w:val="00621570"/>
    <w:rsid w:val="00621A6A"/>
    <w:rsid w:val="006226DB"/>
    <w:rsid w:val="00623D2B"/>
    <w:rsid w:val="00623DA5"/>
    <w:rsid w:val="006243CC"/>
    <w:rsid w:val="00624E12"/>
    <w:rsid w:val="0062512E"/>
    <w:rsid w:val="0062519D"/>
    <w:rsid w:val="006252EE"/>
    <w:rsid w:val="00625D83"/>
    <w:rsid w:val="006264E1"/>
    <w:rsid w:val="0062663A"/>
    <w:rsid w:val="00626673"/>
    <w:rsid w:val="00626EE7"/>
    <w:rsid w:val="00627199"/>
    <w:rsid w:val="00627237"/>
    <w:rsid w:val="00627795"/>
    <w:rsid w:val="00627ED3"/>
    <w:rsid w:val="0063024C"/>
    <w:rsid w:val="00630856"/>
    <w:rsid w:val="00630A22"/>
    <w:rsid w:val="00630D30"/>
    <w:rsid w:val="0063144D"/>
    <w:rsid w:val="00631A40"/>
    <w:rsid w:val="00631E9D"/>
    <w:rsid w:val="006324ED"/>
    <w:rsid w:val="006330B8"/>
    <w:rsid w:val="00633945"/>
    <w:rsid w:val="00633C1F"/>
    <w:rsid w:val="00634516"/>
    <w:rsid w:val="00634E69"/>
    <w:rsid w:val="00634EC7"/>
    <w:rsid w:val="00634EF3"/>
    <w:rsid w:val="006364C6"/>
    <w:rsid w:val="006364CF"/>
    <w:rsid w:val="00637298"/>
    <w:rsid w:val="00640B29"/>
    <w:rsid w:val="00640F2F"/>
    <w:rsid w:val="006411FA"/>
    <w:rsid w:val="00641619"/>
    <w:rsid w:val="0064171A"/>
    <w:rsid w:val="0064192E"/>
    <w:rsid w:val="00641F1D"/>
    <w:rsid w:val="006421AB"/>
    <w:rsid w:val="0064260B"/>
    <w:rsid w:val="00642615"/>
    <w:rsid w:val="00643070"/>
    <w:rsid w:val="006437E8"/>
    <w:rsid w:val="00643893"/>
    <w:rsid w:val="00643FA2"/>
    <w:rsid w:val="006440B9"/>
    <w:rsid w:val="0064412F"/>
    <w:rsid w:val="006447CD"/>
    <w:rsid w:val="00644F29"/>
    <w:rsid w:val="00645260"/>
    <w:rsid w:val="00645602"/>
    <w:rsid w:val="00645811"/>
    <w:rsid w:val="006466AE"/>
    <w:rsid w:val="00646986"/>
    <w:rsid w:val="00646BBD"/>
    <w:rsid w:val="00646EE3"/>
    <w:rsid w:val="00646FB5"/>
    <w:rsid w:val="00647E72"/>
    <w:rsid w:val="006505AE"/>
    <w:rsid w:val="00650A8D"/>
    <w:rsid w:val="0065101A"/>
    <w:rsid w:val="006517D0"/>
    <w:rsid w:val="00651984"/>
    <w:rsid w:val="00651E6C"/>
    <w:rsid w:val="0065219D"/>
    <w:rsid w:val="006521C3"/>
    <w:rsid w:val="0065252D"/>
    <w:rsid w:val="0065252E"/>
    <w:rsid w:val="0065289B"/>
    <w:rsid w:val="00652B3F"/>
    <w:rsid w:val="00652DC8"/>
    <w:rsid w:val="0065305D"/>
    <w:rsid w:val="006534A2"/>
    <w:rsid w:val="00654290"/>
    <w:rsid w:val="006543E9"/>
    <w:rsid w:val="006546A9"/>
    <w:rsid w:val="00654C14"/>
    <w:rsid w:val="00655250"/>
    <w:rsid w:val="0065607A"/>
    <w:rsid w:val="00656AF6"/>
    <w:rsid w:val="00656B5F"/>
    <w:rsid w:val="00656BF5"/>
    <w:rsid w:val="00657FC7"/>
    <w:rsid w:val="006601D4"/>
    <w:rsid w:val="0066139B"/>
    <w:rsid w:val="0066175A"/>
    <w:rsid w:val="006623E7"/>
    <w:rsid w:val="00662B80"/>
    <w:rsid w:val="006631F8"/>
    <w:rsid w:val="00663710"/>
    <w:rsid w:val="00663F93"/>
    <w:rsid w:val="0066493C"/>
    <w:rsid w:val="00664CBF"/>
    <w:rsid w:val="00665890"/>
    <w:rsid w:val="0066591C"/>
    <w:rsid w:val="00665F5C"/>
    <w:rsid w:val="00666044"/>
    <w:rsid w:val="00666146"/>
    <w:rsid w:val="0066660A"/>
    <w:rsid w:val="00666BF4"/>
    <w:rsid w:val="00666EDD"/>
    <w:rsid w:val="0066768F"/>
    <w:rsid w:val="00667923"/>
    <w:rsid w:val="00667C3D"/>
    <w:rsid w:val="00667F6F"/>
    <w:rsid w:val="006702F8"/>
    <w:rsid w:val="00670EF0"/>
    <w:rsid w:val="00670F6C"/>
    <w:rsid w:val="00671180"/>
    <w:rsid w:val="006717C0"/>
    <w:rsid w:val="00671B45"/>
    <w:rsid w:val="00671E3D"/>
    <w:rsid w:val="00671F13"/>
    <w:rsid w:val="0067256B"/>
    <w:rsid w:val="00672E5E"/>
    <w:rsid w:val="00673370"/>
    <w:rsid w:val="00673858"/>
    <w:rsid w:val="00673891"/>
    <w:rsid w:val="00673E0E"/>
    <w:rsid w:val="006746AD"/>
    <w:rsid w:val="0067477F"/>
    <w:rsid w:val="006748B2"/>
    <w:rsid w:val="00674924"/>
    <w:rsid w:val="00674C5F"/>
    <w:rsid w:val="00674C8F"/>
    <w:rsid w:val="0067506E"/>
    <w:rsid w:val="00675DBB"/>
    <w:rsid w:val="00676347"/>
    <w:rsid w:val="006767A7"/>
    <w:rsid w:val="006769A4"/>
    <w:rsid w:val="00676B6A"/>
    <w:rsid w:val="00676E58"/>
    <w:rsid w:val="00677504"/>
    <w:rsid w:val="006777FD"/>
    <w:rsid w:val="00677D2F"/>
    <w:rsid w:val="006805B8"/>
    <w:rsid w:val="006808E0"/>
    <w:rsid w:val="00680AFD"/>
    <w:rsid w:val="00681471"/>
    <w:rsid w:val="00681580"/>
    <w:rsid w:val="00681B6A"/>
    <w:rsid w:val="00681B71"/>
    <w:rsid w:val="00682EE7"/>
    <w:rsid w:val="006837A8"/>
    <w:rsid w:val="00683915"/>
    <w:rsid w:val="00683F21"/>
    <w:rsid w:val="0068430E"/>
    <w:rsid w:val="00684535"/>
    <w:rsid w:val="0068510A"/>
    <w:rsid w:val="006852C7"/>
    <w:rsid w:val="006852CE"/>
    <w:rsid w:val="00685414"/>
    <w:rsid w:val="006874E7"/>
    <w:rsid w:val="00687CA5"/>
    <w:rsid w:val="00687FBA"/>
    <w:rsid w:val="006907A3"/>
    <w:rsid w:val="00691239"/>
    <w:rsid w:val="0069144D"/>
    <w:rsid w:val="006929DA"/>
    <w:rsid w:val="00692D14"/>
    <w:rsid w:val="006936DC"/>
    <w:rsid w:val="00693845"/>
    <w:rsid w:val="00693F66"/>
    <w:rsid w:val="00694010"/>
    <w:rsid w:val="0069465C"/>
    <w:rsid w:val="0069468D"/>
    <w:rsid w:val="00694F0A"/>
    <w:rsid w:val="006950D6"/>
    <w:rsid w:val="0069519A"/>
    <w:rsid w:val="006954A7"/>
    <w:rsid w:val="006954C4"/>
    <w:rsid w:val="00696597"/>
    <w:rsid w:val="006965DA"/>
    <w:rsid w:val="00696828"/>
    <w:rsid w:val="0069706B"/>
    <w:rsid w:val="0069769E"/>
    <w:rsid w:val="00697A05"/>
    <w:rsid w:val="006A0C52"/>
    <w:rsid w:val="006A1195"/>
    <w:rsid w:val="006A1814"/>
    <w:rsid w:val="006A18A8"/>
    <w:rsid w:val="006A2383"/>
    <w:rsid w:val="006A3110"/>
    <w:rsid w:val="006A5A8F"/>
    <w:rsid w:val="006A5CEF"/>
    <w:rsid w:val="006A5D0B"/>
    <w:rsid w:val="006A5EB8"/>
    <w:rsid w:val="006A6247"/>
    <w:rsid w:val="006A63A5"/>
    <w:rsid w:val="006A6683"/>
    <w:rsid w:val="006A6C1B"/>
    <w:rsid w:val="006A6F60"/>
    <w:rsid w:val="006A718C"/>
    <w:rsid w:val="006A74AA"/>
    <w:rsid w:val="006A7591"/>
    <w:rsid w:val="006A7A3B"/>
    <w:rsid w:val="006A7F50"/>
    <w:rsid w:val="006B01BD"/>
    <w:rsid w:val="006B059B"/>
    <w:rsid w:val="006B1C46"/>
    <w:rsid w:val="006B1D9E"/>
    <w:rsid w:val="006B24CA"/>
    <w:rsid w:val="006B2677"/>
    <w:rsid w:val="006B3152"/>
    <w:rsid w:val="006B38FF"/>
    <w:rsid w:val="006B3BDE"/>
    <w:rsid w:val="006B3C6B"/>
    <w:rsid w:val="006B3E97"/>
    <w:rsid w:val="006B3EA7"/>
    <w:rsid w:val="006B3F41"/>
    <w:rsid w:val="006B406B"/>
    <w:rsid w:val="006B4CB6"/>
    <w:rsid w:val="006B4F60"/>
    <w:rsid w:val="006B5850"/>
    <w:rsid w:val="006B5918"/>
    <w:rsid w:val="006B59FB"/>
    <w:rsid w:val="006B6150"/>
    <w:rsid w:val="006B65C7"/>
    <w:rsid w:val="006B6B12"/>
    <w:rsid w:val="006B743A"/>
    <w:rsid w:val="006B7577"/>
    <w:rsid w:val="006B75B3"/>
    <w:rsid w:val="006B7757"/>
    <w:rsid w:val="006B7945"/>
    <w:rsid w:val="006B7ADA"/>
    <w:rsid w:val="006B7B1B"/>
    <w:rsid w:val="006C1127"/>
    <w:rsid w:val="006C153E"/>
    <w:rsid w:val="006C1727"/>
    <w:rsid w:val="006C1C7A"/>
    <w:rsid w:val="006C264A"/>
    <w:rsid w:val="006C2AFE"/>
    <w:rsid w:val="006C2D18"/>
    <w:rsid w:val="006C30D3"/>
    <w:rsid w:val="006C32F8"/>
    <w:rsid w:val="006C32FD"/>
    <w:rsid w:val="006C33D3"/>
    <w:rsid w:val="006C363C"/>
    <w:rsid w:val="006C36B8"/>
    <w:rsid w:val="006C39CE"/>
    <w:rsid w:val="006C462B"/>
    <w:rsid w:val="006C5159"/>
    <w:rsid w:val="006C5BF1"/>
    <w:rsid w:val="006C5F1A"/>
    <w:rsid w:val="006C6655"/>
    <w:rsid w:val="006C684E"/>
    <w:rsid w:val="006C72A7"/>
    <w:rsid w:val="006C744D"/>
    <w:rsid w:val="006C7D42"/>
    <w:rsid w:val="006D08C0"/>
    <w:rsid w:val="006D08C9"/>
    <w:rsid w:val="006D0EF3"/>
    <w:rsid w:val="006D0FCC"/>
    <w:rsid w:val="006D15F8"/>
    <w:rsid w:val="006D187E"/>
    <w:rsid w:val="006D1F01"/>
    <w:rsid w:val="006D21F5"/>
    <w:rsid w:val="006D3089"/>
    <w:rsid w:val="006D3165"/>
    <w:rsid w:val="006D34F5"/>
    <w:rsid w:val="006D3C3D"/>
    <w:rsid w:val="006D4AD5"/>
    <w:rsid w:val="006D4E4E"/>
    <w:rsid w:val="006D5217"/>
    <w:rsid w:val="006D557E"/>
    <w:rsid w:val="006D5893"/>
    <w:rsid w:val="006D6A70"/>
    <w:rsid w:val="006D6FA2"/>
    <w:rsid w:val="006D7D5E"/>
    <w:rsid w:val="006E00EA"/>
    <w:rsid w:val="006E035A"/>
    <w:rsid w:val="006E0C9E"/>
    <w:rsid w:val="006E0F77"/>
    <w:rsid w:val="006E112F"/>
    <w:rsid w:val="006E126D"/>
    <w:rsid w:val="006E15EC"/>
    <w:rsid w:val="006E1C04"/>
    <w:rsid w:val="006E1D11"/>
    <w:rsid w:val="006E1F17"/>
    <w:rsid w:val="006E1FC3"/>
    <w:rsid w:val="006E21CC"/>
    <w:rsid w:val="006E24A3"/>
    <w:rsid w:val="006E30D3"/>
    <w:rsid w:val="006E4521"/>
    <w:rsid w:val="006E4865"/>
    <w:rsid w:val="006E4973"/>
    <w:rsid w:val="006E4B46"/>
    <w:rsid w:val="006E4E55"/>
    <w:rsid w:val="006E5B1B"/>
    <w:rsid w:val="006E5FA1"/>
    <w:rsid w:val="006E69C7"/>
    <w:rsid w:val="006E6DBE"/>
    <w:rsid w:val="006E792E"/>
    <w:rsid w:val="006F00BD"/>
    <w:rsid w:val="006F0B87"/>
    <w:rsid w:val="006F0C82"/>
    <w:rsid w:val="006F0C97"/>
    <w:rsid w:val="006F0D01"/>
    <w:rsid w:val="006F0EF9"/>
    <w:rsid w:val="006F13EB"/>
    <w:rsid w:val="006F145D"/>
    <w:rsid w:val="006F16E9"/>
    <w:rsid w:val="006F1963"/>
    <w:rsid w:val="006F2624"/>
    <w:rsid w:val="006F2B3E"/>
    <w:rsid w:val="006F2D80"/>
    <w:rsid w:val="006F31D7"/>
    <w:rsid w:val="006F3A80"/>
    <w:rsid w:val="006F3E85"/>
    <w:rsid w:val="006F40DA"/>
    <w:rsid w:val="006F4AAA"/>
    <w:rsid w:val="006F4D37"/>
    <w:rsid w:val="006F5034"/>
    <w:rsid w:val="006F53C8"/>
    <w:rsid w:val="006F63FF"/>
    <w:rsid w:val="006F6F40"/>
    <w:rsid w:val="006F72D1"/>
    <w:rsid w:val="006F7BE1"/>
    <w:rsid w:val="006F7D9E"/>
    <w:rsid w:val="007009E7"/>
    <w:rsid w:val="00700B26"/>
    <w:rsid w:val="00700BA1"/>
    <w:rsid w:val="00700E5A"/>
    <w:rsid w:val="00700FCC"/>
    <w:rsid w:val="007010AB"/>
    <w:rsid w:val="007010AD"/>
    <w:rsid w:val="00701AB3"/>
    <w:rsid w:val="00701AB8"/>
    <w:rsid w:val="00701B44"/>
    <w:rsid w:val="007022EE"/>
    <w:rsid w:val="007023A8"/>
    <w:rsid w:val="007030B4"/>
    <w:rsid w:val="00703A4D"/>
    <w:rsid w:val="00704186"/>
    <w:rsid w:val="00704411"/>
    <w:rsid w:val="00704A8F"/>
    <w:rsid w:val="00704CE9"/>
    <w:rsid w:val="00705362"/>
    <w:rsid w:val="0070558F"/>
    <w:rsid w:val="00705817"/>
    <w:rsid w:val="00705873"/>
    <w:rsid w:val="00705AA1"/>
    <w:rsid w:val="00705D5C"/>
    <w:rsid w:val="00705F76"/>
    <w:rsid w:val="007060F2"/>
    <w:rsid w:val="0070616B"/>
    <w:rsid w:val="00706295"/>
    <w:rsid w:val="00706358"/>
    <w:rsid w:val="00706732"/>
    <w:rsid w:val="007068D1"/>
    <w:rsid w:val="00706A7D"/>
    <w:rsid w:val="00706C58"/>
    <w:rsid w:val="00706FDA"/>
    <w:rsid w:val="00707929"/>
    <w:rsid w:val="00710141"/>
    <w:rsid w:val="0071022F"/>
    <w:rsid w:val="007108CB"/>
    <w:rsid w:val="00710E9E"/>
    <w:rsid w:val="00710F18"/>
    <w:rsid w:val="007115A1"/>
    <w:rsid w:val="00711F9A"/>
    <w:rsid w:val="007120CC"/>
    <w:rsid w:val="007121DA"/>
    <w:rsid w:val="00712A53"/>
    <w:rsid w:val="0071325A"/>
    <w:rsid w:val="0071331E"/>
    <w:rsid w:val="00713810"/>
    <w:rsid w:val="00713964"/>
    <w:rsid w:val="0071398F"/>
    <w:rsid w:val="00713B57"/>
    <w:rsid w:val="00713F64"/>
    <w:rsid w:val="00714054"/>
    <w:rsid w:val="00714197"/>
    <w:rsid w:val="0071496D"/>
    <w:rsid w:val="00714981"/>
    <w:rsid w:val="00714A6C"/>
    <w:rsid w:val="00714EDF"/>
    <w:rsid w:val="0071517D"/>
    <w:rsid w:val="00715210"/>
    <w:rsid w:val="0071549C"/>
    <w:rsid w:val="00715638"/>
    <w:rsid w:val="0071570D"/>
    <w:rsid w:val="00715E3C"/>
    <w:rsid w:val="00716143"/>
    <w:rsid w:val="00716296"/>
    <w:rsid w:val="0071676A"/>
    <w:rsid w:val="007167C7"/>
    <w:rsid w:val="00716DAC"/>
    <w:rsid w:val="00717866"/>
    <w:rsid w:val="00717A2A"/>
    <w:rsid w:val="00720336"/>
    <w:rsid w:val="007209B8"/>
    <w:rsid w:val="007209DD"/>
    <w:rsid w:val="007214D5"/>
    <w:rsid w:val="0072152C"/>
    <w:rsid w:val="00723762"/>
    <w:rsid w:val="00723B57"/>
    <w:rsid w:val="00723FAA"/>
    <w:rsid w:val="0072467B"/>
    <w:rsid w:val="0072474D"/>
    <w:rsid w:val="0072530D"/>
    <w:rsid w:val="00725598"/>
    <w:rsid w:val="007257B3"/>
    <w:rsid w:val="0072637E"/>
    <w:rsid w:val="007263AD"/>
    <w:rsid w:val="0072646F"/>
    <w:rsid w:val="007265AA"/>
    <w:rsid w:val="00726F4B"/>
    <w:rsid w:val="00727337"/>
    <w:rsid w:val="00727388"/>
    <w:rsid w:val="007278D0"/>
    <w:rsid w:val="007303A5"/>
    <w:rsid w:val="00730616"/>
    <w:rsid w:val="00730B3E"/>
    <w:rsid w:val="007319CD"/>
    <w:rsid w:val="00731FC9"/>
    <w:rsid w:val="00732B57"/>
    <w:rsid w:val="00732DCF"/>
    <w:rsid w:val="00732ECD"/>
    <w:rsid w:val="007334D8"/>
    <w:rsid w:val="00733533"/>
    <w:rsid w:val="007337AC"/>
    <w:rsid w:val="0073388B"/>
    <w:rsid w:val="00733EFE"/>
    <w:rsid w:val="0073420B"/>
    <w:rsid w:val="007342FA"/>
    <w:rsid w:val="00735118"/>
    <w:rsid w:val="0073517D"/>
    <w:rsid w:val="007353B5"/>
    <w:rsid w:val="007358D9"/>
    <w:rsid w:val="00735A9E"/>
    <w:rsid w:val="00735D56"/>
    <w:rsid w:val="00735D72"/>
    <w:rsid w:val="00736277"/>
    <w:rsid w:val="00736367"/>
    <w:rsid w:val="007366E7"/>
    <w:rsid w:val="00737525"/>
    <w:rsid w:val="00737E7C"/>
    <w:rsid w:val="00740298"/>
    <w:rsid w:val="00740B77"/>
    <w:rsid w:val="0074137F"/>
    <w:rsid w:val="007418DD"/>
    <w:rsid w:val="007423EE"/>
    <w:rsid w:val="00743745"/>
    <w:rsid w:val="00743855"/>
    <w:rsid w:val="00743AF2"/>
    <w:rsid w:val="00744692"/>
    <w:rsid w:val="007446BE"/>
    <w:rsid w:val="007448A9"/>
    <w:rsid w:val="00744A39"/>
    <w:rsid w:val="00744D22"/>
    <w:rsid w:val="00745165"/>
    <w:rsid w:val="00745913"/>
    <w:rsid w:val="00745CFE"/>
    <w:rsid w:val="00745DDD"/>
    <w:rsid w:val="00745E89"/>
    <w:rsid w:val="00746445"/>
    <w:rsid w:val="00746B18"/>
    <w:rsid w:val="0074737E"/>
    <w:rsid w:val="0074760E"/>
    <w:rsid w:val="0074786B"/>
    <w:rsid w:val="00747A8E"/>
    <w:rsid w:val="00747F35"/>
    <w:rsid w:val="00750087"/>
    <w:rsid w:val="00750436"/>
    <w:rsid w:val="007509E1"/>
    <w:rsid w:val="00750E82"/>
    <w:rsid w:val="007510F1"/>
    <w:rsid w:val="00751162"/>
    <w:rsid w:val="0075139A"/>
    <w:rsid w:val="007518D4"/>
    <w:rsid w:val="00751DE8"/>
    <w:rsid w:val="0075207B"/>
    <w:rsid w:val="007529BC"/>
    <w:rsid w:val="00752D45"/>
    <w:rsid w:val="0075406F"/>
    <w:rsid w:val="00754721"/>
    <w:rsid w:val="00754794"/>
    <w:rsid w:val="00754ABA"/>
    <w:rsid w:val="00755065"/>
    <w:rsid w:val="0075506E"/>
    <w:rsid w:val="00755640"/>
    <w:rsid w:val="007556A9"/>
    <w:rsid w:val="00755BCF"/>
    <w:rsid w:val="007562BD"/>
    <w:rsid w:val="00756C6A"/>
    <w:rsid w:val="00756C78"/>
    <w:rsid w:val="00756C90"/>
    <w:rsid w:val="00757261"/>
    <w:rsid w:val="00757AAF"/>
    <w:rsid w:val="00760A8E"/>
    <w:rsid w:val="0076115D"/>
    <w:rsid w:val="007611E1"/>
    <w:rsid w:val="00761621"/>
    <w:rsid w:val="00761EC3"/>
    <w:rsid w:val="0076236B"/>
    <w:rsid w:val="0076284B"/>
    <w:rsid w:val="0076291E"/>
    <w:rsid w:val="007629EE"/>
    <w:rsid w:val="00762A6B"/>
    <w:rsid w:val="00762C71"/>
    <w:rsid w:val="00762D47"/>
    <w:rsid w:val="00763392"/>
    <w:rsid w:val="007643DB"/>
    <w:rsid w:val="0076472D"/>
    <w:rsid w:val="007648AF"/>
    <w:rsid w:val="00764BD7"/>
    <w:rsid w:val="00765D90"/>
    <w:rsid w:val="007667BF"/>
    <w:rsid w:val="00766F17"/>
    <w:rsid w:val="0076748B"/>
    <w:rsid w:val="00767DD4"/>
    <w:rsid w:val="0077038C"/>
    <w:rsid w:val="007709A3"/>
    <w:rsid w:val="00770F2F"/>
    <w:rsid w:val="00771B08"/>
    <w:rsid w:val="00772DCF"/>
    <w:rsid w:val="00773317"/>
    <w:rsid w:val="007733A1"/>
    <w:rsid w:val="00773422"/>
    <w:rsid w:val="007735EC"/>
    <w:rsid w:val="00773A47"/>
    <w:rsid w:val="00775082"/>
    <w:rsid w:val="007754E0"/>
    <w:rsid w:val="007758FC"/>
    <w:rsid w:val="00776A62"/>
    <w:rsid w:val="00777AFA"/>
    <w:rsid w:val="00777F5C"/>
    <w:rsid w:val="00780C6D"/>
    <w:rsid w:val="00781673"/>
    <w:rsid w:val="007817D5"/>
    <w:rsid w:val="00781A02"/>
    <w:rsid w:val="00781F72"/>
    <w:rsid w:val="00782026"/>
    <w:rsid w:val="00782134"/>
    <w:rsid w:val="0078279A"/>
    <w:rsid w:val="00782B0D"/>
    <w:rsid w:val="00784164"/>
    <w:rsid w:val="00784906"/>
    <w:rsid w:val="0078593E"/>
    <w:rsid w:val="00785B11"/>
    <w:rsid w:val="00785EBF"/>
    <w:rsid w:val="00786075"/>
    <w:rsid w:val="00786157"/>
    <w:rsid w:val="00786219"/>
    <w:rsid w:val="00786B6B"/>
    <w:rsid w:val="00786D96"/>
    <w:rsid w:val="0078714B"/>
    <w:rsid w:val="00787302"/>
    <w:rsid w:val="0078773A"/>
    <w:rsid w:val="007877C2"/>
    <w:rsid w:val="00787B57"/>
    <w:rsid w:val="00787E91"/>
    <w:rsid w:val="0079020B"/>
    <w:rsid w:val="007907B6"/>
    <w:rsid w:val="00791361"/>
    <w:rsid w:val="007916BF"/>
    <w:rsid w:val="00791B26"/>
    <w:rsid w:val="00792481"/>
    <w:rsid w:val="00792914"/>
    <w:rsid w:val="00792988"/>
    <w:rsid w:val="00792B03"/>
    <w:rsid w:val="00792BEB"/>
    <w:rsid w:val="00792CF4"/>
    <w:rsid w:val="00792ED4"/>
    <w:rsid w:val="00793023"/>
    <w:rsid w:val="007930C6"/>
    <w:rsid w:val="00793B88"/>
    <w:rsid w:val="00794472"/>
    <w:rsid w:val="0079447C"/>
    <w:rsid w:val="00794BDA"/>
    <w:rsid w:val="00794CC5"/>
    <w:rsid w:val="007953C2"/>
    <w:rsid w:val="00795AAC"/>
    <w:rsid w:val="00795E90"/>
    <w:rsid w:val="00795FB2"/>
    <w:rsid w:val="00796068"/>
    <w:rsid w:val="0079607B"/>
    <w:rsid w:val="007961C3"/>
    <w:rsid w:val="0079657E"/>
    <w:rsid w:val="00796649"/>
    <w:rsid w:val="00796C4D"/>
    <w:rsid w:val="00796CA2"/>
    <w:rsid w:val="00797195"/>
    <w:rsid w:val="00797518"/>
    <w:rsid w:val="0079781A"/>
    <w:rsid w:val="00797F56"/>
    <w:rsid w:val="007A0A31"/>
    <w:rsid w:val="007A0B1D"/>
    <w:rsid w:val="007A12A8"/>
    <w:rsid w:val="007A1546"/>
    <w:rsid w:val="007A228C"/>
    <w:rsid w:val="007A24CE"/>
    <w:rsid w:val="007A2DC6"/>
    <w:rsid w:val="007A368E"/>
    <w:rsid w:val="007A36C1"/>
    <w:rsid w:val="007A3794"/>
    <w:rsid w:val="007A3EC4"/>
    <w:rsid w:val="007A4F0F"/>
    <w:rsid w:val="007A4F4E"/>
    <w:rsid w:val="007A5868"/>
    <w:rsid w:val="007A61F7"/>
    <w:rsid w:val="007A6ACB"/>
    <w:rsid w:val="007A6C39"/>
    <w:rsid w:val="007A7BC7"/>
    <w:rsid w:val="007A7C8A"/>
    <w:rsid w:val="007A7D59"/>
    <w:rsid w:val="007A7FA4"/>
    <w:rsid w:val="007B04CE"/>
    <w:rsid w:val="007B073D"/>
    <w:rsid w:val="007B0B2D"/>
    <w:rsid w:val="007B0C03"/>
    <w:rsid w:val="007B0D7B"/>
    <w:rsid w:val="007B144B"/>
    <w:rsid w:val="007B1CD8"/>
    <w:rsid w:val="007B2574"/>
    <w:rsid w:val="007B26AF"/>
    <w:rsid w:val="007B296E"/>
    <w:rsid w:val="007B2AD6"/>
    <w:rsid w:val="007B2D57"/>
    <w:rsid w:val="007B3D92"/>
    <w:rsid w:val="007B4CD1"/>
    <w:rsid w:val="007B5237"/>
    <w:rsid w:val="007B6221"/>
    <w:rsid w:val="007B678E"/>
    <w:rsid w:val="007B6871"/>
    <w:rsid w:val="007B7340"/>
    <w:rsid w:val="007B7A2F"/>
    <w:rsid w:val="007B7B3E"/>
    <w:rsid w:val="007C064A"/>
    <w:rsid w:val="007C13E4"/>
    <w:rsid w:val="007C15BA"/>
    <w:rsid w:val="007C16C5"/>
    <w:rsid w:val="007C1B75"/>
    <w:rsid w:val="007C1E23"/>
    <w:rsid w:val="007C202D"/>
    <w:rsid w:val="007C2BA8"/>
    <w:rsid w:val="007C2CF4"/>
    <w:rsid w:val="007C32EE"/>
    <w:rsid w:val="007C356F"/>
    <w:rsid w:val="007C3AB6"/>
    <w:rsid w:val="007C3D33"/>
    <w:rsid w:val="007C4FEF"/>
    <w:rsid w:val="007C544F"/>
    <w:rsid w:val="007C5E7C"/>
    <w:rsid w:val="007C644B"/>
    <w:rsid w:val="007C696C"/>
    <w:rsid w:val="007C6ACE"/>
    <w:rsid w:val="007C6C72"/>
    <w:rsid w:val="007C6C7A"/>
    <w:rsid w:val="007C6FE9"/>
    <w:rsid w:val="007C7165"/>
    <w:rsid w:val="007C78C5"/>
    <w:rsid w:val="007C7C40"/>
    <w:rsid w:val="007C7EB1"/>
    <w:rsid w:val="007D056F"/>
    <w:rsid w:val="007D0B8B"/>
    <w:rsid w:val="007D1547"/>
    <w:rsid w:val="007D1637"/>
    <w:rsid w:val="007D1843"/>
    <w:rsid w:val="007D1976"/>
    <w:rsid w:val="007D2818"/>
    <w:rsid w:val="007D282B"/>
    <w:rsid w:val="007D292E"/>
    <w:rsid w:val="007D294A"/>
    <w:rsid w:val="007D2D8C"/>
    <w:rsid w:val="007D33A1"/>
    <w:rsid w:val="007D3C87"/>
    <w:rsid w:val="007D40C6"/>
    <w:rsid w:val="007D45C0"/>
    <w:rsid w:val="007D472D"/>
    <w:rsid w:val="007D47D2"/>
    <w:rsid w:val="007D58C5"/>
    <w:rsid w:val="007D5A14"/>
    <w:rsid w:val="007D5B22"/>
    <w:rsid w:val="007D6577"/>
    <w:rsid w:val="007D690E"/>
    <w:rsid w:val="007D6B92"/>
    <w:rsid w:val="007D6BCB"/>
    <w:rsid w:val="007D6EC0"/>
    <w:rsid w:val="007D7360"/>
    <w:rsid w:val="007D7527"/>
    <w:rsid w:val="007D76FB"/>
    <w:rsid w:val="007D77B4"/>
    <w:rsid w:val="007D787C"/>
    <w:rsid w:val="007D792E"/>
    <w:rsid w:val="007D7E1D"/>
    <w:rsid w:val="007E1D51"/>
    <w:rsid w:val="007E2C4D"/>
    <w:rsid w:val="007E31E5"/>
    <w:rsid w:val="007E351B"/>
    <w:rsid w:val="007E4416"/>
    <w:rsid w:val="007E4496"/>
    <w:rsid w:val="007E49B8"/>
    <w:rsid w:val="007E503C"/>
    <w:rsid w:val="007E5275"/>
    <w:rsid w:val="007E5648"/>
    <w:rsid w:val="007E5A07"/>
    <w:rsid w:val="007E5C63"/>
    <w:rsid w:val="007E5DD9"/>
    <w:rsid w:val="007E5EA7"/>
    <w:rsid w:val="007E681C"/>
    <w:rsid w:val="007E75B3"/>
    <w:rsid w:val="007E7ADA"/>
    <w:rsid w:val="007E7D66"/>
    <w:rsid w:val="007E7EFB"/>
    <w:rsid w:val="007F01F7"/>
    <w:rsid w:val="007F051F"/>
    <w:rsid w:val="007F0D75"/>
    <w:rsid w:val="007F1C60"/>
    <w:rsid w:val="007F20F1"/>
    <w:rsid w:val="007F2280"/>
    <w:rsid w:val="007F2509"/>
    <w:rsid w:val="007F27E9"/>
    <w:rsid w:val="007F2981"/>
    <w:rsid w:val="007F2BAC"/>
    <w:rsid w:val="007F3281"/>
    <w:rsid w:val="007F35B3"/>
    <w:rsid w:val="007F3C62"/>
    <w:rsid w:val="007F4A31"/>
    <w:rsid w:val="007F4A4A"/>
    <w:rsid w:val="007F523A"/>
    <w:rsid w:val="007F58F6"/>
    <w:rsid w:val="007F59EA"/>
    <w:rsid w:val="007F6A18"/>
    <w:rsid w:val="007F7A92"/>
    <w:rsid w:val="007F7AB7"/>
    <w:rsid w:val="00800A07"/>
    <w:rsid w:val="00800CDD"/>
    <w:rsid w:val="0080107A"/>
    <w:rsid w:val="00801913"/>
    <w:rsid w:val="00801D5A"/>
    <w:rsid w:val="008027F9"/>
    <w:rsid w:val="00802967"/>
    <w:rsid w:val="00802C20"/>
    <w:rsid w:val="0080345C"/>
    <w:rsid w:val="008037C4"/>
    <w:rsid w:val="0080401E"/>
    <w:rsid w:val="00804160"/>
    <w:rsid w:val="008041A8"/>
    <w:rsid w:val="00804B06"/>
    <w:rsid w:val="008050DB"/>
    <w:rsid w:val="00805857"/>
    <w:rsid w:val="008060AF"/>
    <w:rsid w:val="00806951"/>
    <w:rsid w:val="00806DE6"/>
    <w:rsid w:val="0080703F"/>
    <w:rsid w:val="0080731F"/>
    <w:rsid w:val="00807337"/>
    <w:rsid w:val="00807BC5"/>
    <w:rsid w:val="00807E43"/>
    <w:rsid w:val="008101EA"/>
    <w:rsid w:val="00811184"/>
    <w:rsid w:val="00811313"/>
    <w:rsid w:val="00811376"/>
    <w:rsid w:val="0081164E"/>
    <w:rsid w:val="00811E25"/>
    <w:rsid w:val="00811F97"/>
    <w:rsid w:val="00813A04"/>
    <w:rsid w:val="00813E92"/>
    <w:rsid w:val="008144D9"/>
    <w:rsid w:val="008145AD"/>
    <w:rsid w:val="008147ED"/>
    <w:rsid w:val="00814F78"/>
    <w:rsid w:val="0081543A"/>
    <w:rsid w:val="00815C76"/>
    <w:rsid w:val="00815C97"/>
    <w:rsid w:val="0081602A"/>
    <w:rsid w:val="008160E5"/>
    <w:rsid w:val="0081613A"/>
    <w:rsid w:val="00816597"/>
    <w:rsid w:val="0081688F"/>
    <w:rsid w:val="0081692F"/>
    <w:rsid w:val="00816D9B"/>
    <w:rsid w:val="0081736B"/>
    <w:rsid w:val="00817850"/>
    <w:rsid w:val="00817DB3"/>
    <w:rsid w:val="008231B1"/>
    <w:rsid w:val="0082446D"/>
    <w:rsid w:val="0082483C"/>
    <w:rsid w:val="00824CE8"/>
    <w:rsid w:val="00825093"/>
    <w:rsid w:val="0082522F"/>
    <w:rsid w:val="00825307"/>
    <w:rsid w:val="00825578"/>
    <w:rsid w:val="00825876"/>
    <w:rsid w:val="00825A95"/>
    <w:rsid w:val="00826847"/>
    <w:rsid w:val="00826A13"/>
    <w:rsid w:val="00826F8D"/>
    <w:rsid w:val="008270C9"/>
    <w:rsid w:val="008303BD"/>
    <w:rsid w:val="00830924"/>
    <w:rsid w:val="008314E4"/>
    <w:rsid w:val="00831526"/>
    <w:rsid w:val="00831979"/>
    <w:rsid w:val="008324B8"/>
    <w:rsid w:val="00833222"/>
    <w:rsid w:val="00833319"/>
    <w:rsid w:val="00833979"/>
    <w:rsid w:val="00833CE0"/>
    <w:rsid w:val="00834BB2"/>
    <w:rsid w:val="00834C89"/>
    <w:rsid w:val="00835156"/>
    <w:rsid w:val="008359CD"/>
    <w:rsid w:val="00835C6C"/>
    <w:rsid w:val="00835CC2"/>
    <w:rsid w:val="00835D16"/>
    <w:rsid w:val="008365F3"/>
    <w:rsid w:val="00836ADB"/>
    <w:rsid w:val="008370EE"/>
    <w:rsid w:val="0083755B"/>
    <w:rsid w:val="0083767A"/>
    <w:rsid w:val="0083786A"/>
    <w:rsid w:val="00840B9A"/>
    <w:rsid w:val="00841E64"/>
    <w:rsid w:val="00841EC9"/>
    <w:rsid w:val="008424BC"/>
    <w:rsid w:val="00842928"/>
    <w:rsid w:val="00842A3B"/>
    <w:rsid w:val="00842C18"/>
    <w:rsid w:val="00842F8B"/>
    <w:rsid w:val="008431C5"/>
    <w:rsid w:val="00843261"/>
    <w:rsid w:val="0084379E"/>
    <w:rsid w:val="00843B0F"/>
    <w:rsid w:val="00844D43"/>
    <w:rsid w:val="00844FC8"/>
    <w:rsid w:val="00845B01"/>
    <w:rsid w:val="00845CA3"/>
    <w:rsid w:val="008464B4"/>
    <w:rsid w:val="00846A14"/>
    <w:rsid w:val="00847246"/>
    <w:rsid w:val="008472A2"/>
    <w:rsid w:val="0084758E"/>
    <w:rsid w:val="0084768D"/>
    <w:rsid w:val="008478D1"/>
    <w:rsid w:val="00847A46"/>
    <w:rsid w:val="00847A4F"/>
    <w:rsid w:val="00847BBB"/>
    <w:rsid w:val="00847E83"/>
    <w:rsid w:val="008502E2"/>
    <w:rsid w:val="00850924"/>
    <w:rsid w:val="0085093C"/>
    <w:rsid w:val="00850C3A"/>
    <w:rsid w:val="00851352"/>
    <w:rsid w:val="008515A6"/>
    <w:rsid w:val="008525DA"/>
    <w:rsid w:val="00852C5C"/>
    <w:rsid w:val="00852F0B"/>
    <w:rsid w:val="00853456"/>
    <w:rsid w:val="00853739"/>
    <w:rsid w:val="0085387D"/>
    <w:rsid w:val="008544B0"/>
    <w:rsid w:val="008546E9"/>
    <w:rsid w:val="0085493E"/>
    <w:rsid w:val="00854A87"/>
    <w:rsid w:val="00854E2E"/>
    <w:rsid w:val="008556B9"/>
    <w:rsid w:val="00855C41"/>
    <w:rsid w:val="00856152"/>
    <w:rsid w:val="008562F1"/>
    <w:rsid w:val="008567BE"/>
    <w:rsid w:val="00856B0D"/>
    <w:rsid w:val="00857077"/>
    <w:rsid w:val="00857422"/>
    <w:rsid w:val="00857582"/>
    <w:rsid w:val="008576D8"/>
    <w:rsid w:val="00857A1F"/>
    <w:rsid w:val="00857F71"/>
    <w:rsid w:val="008606C8"/>
    <w:rsid w:val="0086133A"/>
    <w:rsid w:val="00861EA0"/>
    <w:rsid w:val="008621D8"/>
    <w:rsid w:val="008622B7"/>
    <w:rsid w:val="00862937"/>
    <w:rsid w:val="00862FFC"/>
    <w:rsid w:val="00863230"/>
    <w:rsid w:val="0086371E"/>
    <w:rsid w:val="00863B19"/>
    <w:rsid w:val="00863D32"/>
    <w:rsid w:val="00863F25"/>
    <w:rsid w:val="00864713"/>
    <w:rsid w:val="00864AB3"/>
    <w:rsid w:val="00865BD0"/>
    <w:rsid w:val="00866949"/>
    <w:rsid w:val="00866A2B"/>
    <w:rsid w:val="00866D56"/>
    <w:rsid w:val="00867C07"/>
    <w:rsid w:val="00867CB5"/>
    <w:rsid w:val="00867E1B"/>
    <w:rsid w:val="0087025A"/>
    <w:rsid w:val="00871301"/>
    <w:rsid w:val="008717D8"/>
    <w:rsid w:val="00871EC4"/>
    <w:rsid w:val="00871FAD"/>
    <w:rsid w:val="0087215C"/>
    <w:rsid w:val="008729FF"/>
    <w:rsid w:val="00872C31"/>
    <w:rsid w:val="00873423"/>
    <w:rsid w:val="008734A1"/>
    <w:rsid w:val="008739AA"/>
    <w:rsid w:val="00873F67"/>
    <w:rsid w:val="00874053"/>
    <w:rsid w:val="00874A26"/>
    <w:rsid w:val="00875031"/>
    <w:rsid w:val="00875480"/>
    <w:rsid w:val="00875D25"/>
    <w:rsid w:val="008766E1"/>
    <w:rsid w:val="00876720"/>
    <w:rsid w:val="008767F9"/>
    <w:rsid w:val="00876DC5"/>
    <w:rsid w:val="00877267"/>
    <w:rsid w:val="00877269"/>
    <w:rsid w:val="00877B45"/>
    <w:rsid w:val="00880126"/>
    <w:rsid w:val="008805C7"/>
    <w:rsid w:val="008805FC"/>
    <w:rsid w:val="00880628"/>
    <w:rsid w:val="00880B25"/>
    <w:rsid w:val="00880E35"/>
    <w:rsid w:val="008810DD"/>
    <w:rsid w:val="0088135F"/>
    <w:rsid w:val="008814E5"/>
    <w:rsid w:val="0088362D"/>
    <w:rsid w:val="008838C4"/>
    <w:rsid w:val="00883B3B"/>
    <w:rsid w:val="00883BDA"/>
    <w:rsid w:val="00884006"/>
    <w:rsid w:val="00884A04"/>
    <w:rsid w:val="00884E30"/>
    <w:rsid w:val="00885705"/>
    <w:rsid w:val="00885A46"/>
    <w:rsid w:val="00885F97"/>
    <w:rsid w:val="00886E42"/>
    <w:rsid w:val="008875FE"/>
    <w:rsid w:val="008878DF"/>
    <w:rsid w:val="00887B12"/>
    <w:rsid w:val="00887BC4"/>
    <w:rsid w:val="00887F8E"/>
    <w:rsid w:val="00890287"/>
    <w:rsid w:val="0089039A"/>
    <w:rsid w:val="00890B58"/>
    <w:rsid w:val="00890E7E"/>
    <w:rsid w:val="008914C8"/>
    <w:rsid w:val="00892251"/>
    <w:rsid w:val="00892655"/>
    <w:rsid w:val="008929A8"/>
    <w:rsid w:val="00892F27"/>
    <w:rsid w:val="008932C0"/>
    <w:rsid w:val="0089342D"/>
    <w:rsid w:val="008939EA"/>
    <w:rsid w:val="00893A3C"/>
    <w:rsid w:val="00895301"/>
    <w:rsid w:val="00895993"/>
    <w:rsid w:val="008959AF"/>
    <w:rsid w:val="00895B90"/>
    <w:rsid w:val="00895E4E"/>
    <w:rsid w:val="0089600F"/>
    <w:rsid w:val="008960B5"/>
    <w:rsid w:val="00896234"/>
    <w:rsid w:val="00896A64"/>
    <w:rsid w:val="008976A5"/>
    <w:rsid w:val="00897E43"/>
    <w:rsid w:val="00897FD3"/>
    <w:rsid w:val="008A0862"/>
    <w:rsid w:val="008A1E90"/>
    <w:rsid w:val="008A1EAD"/>
    <w:rsid w:val="008A2011"/>
    <w:rsid w:val="008A2112"/>
    <w:rsid w:val="008A2169"/>
    <w:rsid w:val="008A24B7"/>
    <w:rsid w:val="008A27EA"/>
    <w:rsid w:val="008A2DA5"/>
    <w:rsid w:val="008A2DDC"/>
    <w:rsid w:val="008A34BE"/>
    <w:rsid w:val="008A350D"/>
    <w:rsid w:val="008A42A4"/>
    <w:rsid w:val="008A43B6"/>
    <w:rsid w:val="008A46D0"/>
    <w:rsid w:val="008A4CA4"/>
    <w:rsid w:val="008A5116"/>
    <w:rsid w:val="008A5389"/>
    <w:rsid w:val="008A53F5"/>
    <w:rsid w:val="008A5C3B"/>
    <w:rsid w:val="008A6DAD"/>
    <w:rsid w:val="008A78BB"/>
    <w:rsid w:val="008A7C77"/>
    <w:rsid w:val="008B03C5"/>
    <w:rsid w:val="008B10F4"/>
    <w:rsid w:val="008B2B1E"/>
    <w:rsid w:val="008B3046"/>
    <w:rsid w:val="008B3152"/>
    <w:rsid w:val="008B4B18"/>
    <w:rsid w:val="008B4B47"/>
    <w:rsid w:val="008B4B4C"/>
    <w:rsid w:val="008B4ECE"/>
    <w:rsid w:val="008B6481"/>
    <w:rsid w:val="008B67DD"/>
    <w:rsid w:val="008C09AC"/>
    <w:rsid w:val="008C0DD9"/>
    <w:rsid w:val="008C174D"/>
    <w:rsid w:val="008C179A"/>
    <w:rsid w:val="008C19FA"/>
    <w:rsid w:val="008C1A89"/>
    <w:rsid w:val="008C1D0B"/>
    <w:rsid w:val="008C1D11"/>
    <w:rsid w:val="008C1DD5"/>
    <w:rsid w:val="008C222B"/>
    <w:rsid w:val="008C23E3"/>
    <w:rsid w:val="008C2553"/>
    <w:rsid w:val="008C26BB"/>
    <w:rsid w:val="008C280B"/>
    <w:rsid w:val="008C2B6B"/>
    <w:rsid w:val="008C2D03"/>
    <w:rsid w:val="008C2D82"/>
    <w:rsid w:val="008C3B4E"/>
    <w:rsid w:val="008C40BD"/>
    <w:rsid w:val="008C4399"/>
    <w:rsid w:val="008C43ED"/>
    <w:rsid w:val="008C54AD"/>
    <w:rsid w:val="008C5738"/>
    <w:rsid w:val="008C5767"/>
    <w:rsid w:val="008C5989"/>
    <w:rsid w:val="008C5B0D"/>
    <w:rsid w:val="008C5EA7"/>
    <w:rsid w:val="008C774E"/>
    <w:rsid w:val="008C7A51"/>
    <w:rsid w:val="008C7EAD"/>
    <w:rsid w:val="008D0476"/>
    <w:rsid w:val="008D06C1"/>
    <w:rsid w:val="008D0CFE"/>
    <w:rsid w:val="008D114F"/>
    <w:rsid w:val="008D129F"/>
    <w:rsid w:val="008D1DD7"/>
    <w:rsid w:val="008D209E"/>
    <w:rsid w:val="008D2C40"/>
    <w:rsid w:val="008D3633"/>
    <w:rsid w:val="008D36BE"/>
    <w:rsid w:val="008D3AC1"/>
    <w:rsid w:val="008D3C29"/>
    <w:rsid w:val="008D3D7F"/>
    <w:rsid w:val="008D3F81"/>
    <w:rsid w:val="008D40FC"/>
    <w:rsid w:val="008D4959"/>
    <w:rsid w:val="008D4C89"/>
    <w:rsid w:val="008D5625"/>
    <w:rsid w:val="008D5D1B"/>
    <w:rsid w:val="008D5D8F"/>
    <w:rsid w:val="008D6152"/>
    <w:rsid w:val="008D6379"/>
    <w:rsid w:val="008D692D"/>
    <w:rsid w:val="008D6A52"/>
    <w:rsid w:val="008D6BA0"/>
    <w:rsid w:val="008D71F4"/>
    <w:rsid w:val="008D72DE"/>
    <w:rsid w:val="008D730E"/>
    <w:rsid w:val="008D7394"/>
    <w:rsid w:val="008D7AB8"/>
    <w:rsid w:val="008E0700"/>
    <w:rsid w:val="008E0CF1"/>
    <w:rsid w:val="008E187A"/>
    <w:rsid w:val="008E232E"/>
    <w:rsid w:val="008E2797"/>
    <w:rsid w:val="008E2F75"/>
    <w:rsid w:val="008E3287"/>
    <w:rsid w:val="008E3322"/>
    <w:rsid w:val="008E369E"/>
    <w:rsid w:val="008E3A0B"/>
    <w:rsid w:val="008E5158"/>
    <w:rsid w:val="008E5F74"/>
    <w:rsid w:val="008E6880"/>
    <w:rsid w:val="008E6B96"/>
    <w:rsid w:val="008E6CDA"/>
    <w:rsid w:val="008E6F96"/>
    <w:rsid w:val="008E7868"/>
    <w:rsid w:val="008E7BA9"/>
    <w:rsid w:val="008E7F80"/>
    <w:rsid w:val="008F015C"/>
    <w:rsid w:val="008F0285"/>
    <w:rsid w:val="008F0735"/>
    <w:rsid w:val="008F0D9F"/>
    <w:rsid w:val="008F0F39"/>
    <w:rsid w:val="008F0F81"/>
    <w:rsid w:val="008F15A4"/>
    <w:rsid w:val="008F1CB8"/>
    <w:rsid w:val="008F1DE3"/>
    <w:rsid w:val="008F1E95"/>
    <w:rsid w:val="008F1FFF"/>
    <w:rsid w:val="008F25E3"/>
    <w:rsid w:val="008F2715"/>
    <w:rsid w:val="008F27BF"/>
    <w:rsid w:val="008F284B"/>
    <w:rsid w:val="008F2E64"/>
    <w:rsid w:val="008F34A9"/>
    <w:rsid w:val="008F34B3"/>
    <w:rsid w:val="008F3798"/>
    <w:rsid w:val="008F42F8"/>
    <w:rsid w:val="008F4361"/>
    <w:rsid w:val="008F4D3D"/>
    <w:rsid w:val="008F53D9"/>
    <w:rsid w:val="008F65D2"/>
    <w:rsid w:val="008F67FC"/>
    <w:rsid w:val="008F7310"/>
    <w:rsid w:val="008F739E"/>
    <w:rsid w:val="008F772D"/>
    <w:rsid w:val="008F77B6"/>
    <w:rsid w:val="009011FE"/>
    <w:rsid w:val="00901344"/>
    <w:rsid w:val="0090152E"/>
    <w:rsid w:val="00902354"/>
    <w:rsid w:val="00903489"/>
    <w:rsid w:val="00903954"/>
    <w:rsid w:val="00904B20"/>
    <w:rsid w:val="00905086"/>
    <w:rsid w:val="009050D7"/>
    <w:rsid w:val="00906B12"/>
    <w:rsid w:val="00907024"/>
    <w:rsid w:val="00907175"/>
    <w:rsid w:val="00907E75"/>
    <w:rsid w:val="00910D27"/>
    <w:rsid w:val="0091100F"/>
    <w:rsid w:val="00911228"/>
    <w:rsid w:val="0091173F"/>
    <w:rsid w:val="00911BA8"/>
    <w:rsid w:val="00912A5B"/>
    <w:rsid w:val="00912B70"/>
    <w:rsid w:val="00913375"/>
    <w:rsid w:val="0091344A"/>
    <w:rsid w:val="00913995"/>
    <w:rsid w:val="009142EC"/>
    <w:rsid w:val="00914387"/>
    <w:rsid w:val="0091456C"/>
    <w:rsid w:val="009145E4"/>
    <w:rsid w:val="009154B6"/>
    <w:rsid w:val="009154BA"/>
    <w:rsid w:val="009154C3"/>
    <w:rsid w:val="00915811"/>
    <w:rsid w:val="009163B5"/>
    <w:rsid w:val="00917222"/>
    <w:rsid w:val="00917256"/>
    <w:rsid w:val="00917A39"/>
    <w:rsid w:val="00920476"/>
    <w:rsid w:val="00920824"/>
    <w:rsid w:val="009208ED"/>
    <w:rsid w:val="00920B93"/>
    <w:rsid w:val="00921118"/>
    <w:rsid w:val="009219B5"/>
    <w:rsid w:val="00921BED"/>
    <w:rsid w:val="00921E0E"/>
    <w:rsid w:val="009222EE"/>
    <w:rsid w:val="00922E7F"/>
    <w:rsid w:val="009234A3"/>
    <w:rsid w:val="009234F4"/>
    <w:rsid w:val="00923540"/>
    <w:rsid w:val="00923AFC"/>
    <w:rsid w:val="00923EE7"/>
    <w:rsid w:val="00924B18"/>
    <w:rsid w:val="00924CA9"/>
    <w:rsid w:val="00924ED9"/>
    <w:rsid w:val="00925111"/>
    <w:rsid w:val="00925360"/>
    <w:rsid w:val="00925CE2"/>
    <w:rsid w:val="00926767"/>
    <w:rsid w:val="00926AF0"/>
    <w:rsid w:val="0092704D"/>
    <w:rsid w:val="00927243"/>
    <w:rsid w:val="00927278"/>
    <w:rsid w:val="009277B1"/>
    <w:rsid w:val="00927846"/>
    <w:rsid w:val="00930E99"/>
    <w:rsid w:val="00931C9F"/>
    <w:rsid w:val="009325C9"/>
    <w:rsid w:val="0093287B"/>
    <w:rsid w:val="0093294D"/>
    <w:rsid w:val="0093315F"/>
    <w:rsid w:val="00933CF9"/>
    <w:rsid w:val="009342B8"/>
    <w:rsid w:val="00934468"/>
    <w:rsid w:val="00934A54"/>
    <w:rsid w:val="009350B8"/>
    <w:rsid w:val="0093535E"/>
    <w:rsid w:val="00935859"/>
    <w:rsid w:val="00935EF1"/>
    <w:rsid w:val="009361D5"/>
    <w:rsid w:val="0093747A"/>
    <w:rsid w:val="0093754F"/>
    <w:rsid w:val="00937AF1"/>
    <w:rsid w:val="00937D36"/>
    <w:rsid w:val="00940460"/>
    <w:rsid w:val="009407E9"/>
    <w:rsid w:val="0094095B"/>
    <w:rsid w:val="0094113A"/>
    <w:rsid w:val="00941862"/>
    <w:rsid w:val="00941997"/>
    <w:rsid w:val="00941F04"/>
    <w:rsid w:val="009428A4"/>
    <w:rsid w:val="00944F53"/>
    <w:rsid w:val="00945772"/>
    <w:rsid w:val="00945857"/>
    <w:rsid w:val="00945B5B"/>
    <w:rsid w:val="00945BEF"/>
    <w:rsid w:val="009463A9"/>
    <w:rsid w:val="00946768"/>
    <w:rsid w:val="0094693C"/>
    <w:rsid w:val="00946D28"/>
    <w:rsid w:val="00946ECF"/>
    <w:rsid w:val="0094740D"/>
    <w:rsid w:val="00947765"/>
    <w:rsid w:val="00947D34"/>
    <w:rsid w:val="0095050D"/>
    <w:rsid w:val="00950A6C"/>
    <w:rsid w:val="00951FD1"/>
    <w:rsid w:val="00952676"/>
    <w:rsid w:val="009528E6"/>
    <w:rsid w:val="00952DA2"/>
    <w:rsid w:val="00952E32"/>
    <w:rsid w:val="00953451"/>
    <w:rsid w:val="00953931"/>
    <w:rsid w:val="00954940"/>
    <w:rsid w:val="00955016"/>
    <w:rsid w:val="009555F6"/>
    <w:rsid w:val="0095571D"/>
    <w:rsid w:val="00955D01"/>
    <w:rsid w:val="00955FF2"/>
    <w:rsid w:val="00956EC6"/>
    <w:rsid w:val="0095736B"/>
    <w:rsid w:val="00957852"/>
    <w:rsid w:val="00957A4B"/>
    <w:rsid w:val="00957A7C"/>
    <w:rsid w:val="00957CE0"/>
    <w:rsid w:val="00957D20"/>
    <w:rsid w:val="0096103A"/>
    <w:rsid w:val="00961500"/>
    <w:rsid w:val="00961596"/>
    <w:rsid w:val="0096207E"/>
    <w:rsid w:val="009622B6"/>
    <w:rsid w:val="00962656"/>
    <w:rsid w:val="00963628"/>
    <w:rsid w:val="0096384F"/>
    <w:rsid w:val="0096446F"/>
    <w:rsid w:val="009647C4"/>
    <w:rsid w:val="009649EB"/>
    <w:rsid w:val="00964BEF"/>
    <w:rsid w:val="00964EC6"/>
    <w:rsid w:val="009650E1"/>
    <w:rsid w:val="009651E3"/>
    <w:rsid w:val="009652C7"/>
    <w:rsid w:val="009652FD"/>
    <w:rsid w:val="009654E4"/>
    <w:rsid w:val="009659F4"/>
    <w:rsid w:val="00965DA4"/>
    <w:rsid w:val="00966868"/>
    <w:rsid w:val="00966BFF"/>
    <w:rsid w:val="0096767D"/>
    <w:rsid w:val="00967A38"/>
    <w:rsid w:val="009703F5"/>
    <w:rsid w:val="00970B08"/>
    <w:rsid w:val="00970D60"/>
    <w:rsid w:val="00971243"/>
    <w:rsid w:val="009712CD"/>
    <w:rsid w:val="009712E7"/>
    <w:rsid w:val="00971312"/>
    <w:rsid w:val="009716C7"/>
    <w:rsid w:val="00971FEB"/>
    <w:rsid w:val="00972026"/>
    <w:rsid w:val="00972884"/>
    <w:rsid w:val="0097296B"/>
    <w:rsid w:val="009729B3"/>
    <w:rsid w:val="00973D5F"/>
    <w:rsid w:val="00974149"/>
    <w:rsid w:val="00975467"/>
    <w:rsid w:val="00975B34"/>
    <w:rsid w:val="0097648A"/>
    <w:rsid w:val="00976896"/>
    <w:rsid w:val="00976B47"/>
    <w:rsid w:val="0097715F"/>
    <w:rsid w:val="009778DB"/>
    <w:rsid w:val="00977BF6"/>
    <w:rsid w:val="00977DD5"/>
    <w:rsid w:val="00980451"/>
    <w:rsid w:val="00980555"/>
    <w:rsid w:val="009805D5"/>
    <w:rsid w:val="00980F08"/>
    <w:rsid w:val="009826BE"/>
    <w:rsid w:val="00983675"/>
    <w:rsid w:val="00983B7C"/>
    <w:rsid w:val="00983FFE"/>
    <w:rsid w:val="00984244"/>
    <w:rsid w:val="00984312"/>
    <w:rsid w:val="00984336"/>
    <w:rsid w:val="009849FD"/>
    <w:rsid w:val="00984B13"/>
    <w:rsid w:val="00984E46"/>
    <w:rsid w:val="00984EB4"/>
    <w:rsid w:val="00984FE9"/>
    <w:rsid w:val="0098564A"/>
    <w:rsid w:val="0098594A"/>
    <w:rsid w:val="00985A57"/>
    <w:rsid w:val="00985AC0"/>
    <w:rsid w:val="00985EA3"/>
    <w:rsid w:val="009861EF"/>
    <w:rsid w:val="00987376"/>
    <w:rsid w:val="0098758F"/>
    <w:rsid w:val="00987645"/>
    <w:rsid w:val="009878BB"/>
    <w:rsid w:val="00990001"/>
    <w:rsid w:val="009900D9"/>
    <w:rsid w:val="00990DD9"/>
    <w:rsid w:val="009911B6"/>
    <w:rsid w:val="009919D1"/>
    <w:rsid w:val="0099334C"/>
    <w:rsid w:val="00993519"/>
    <w:rsid w:val="00993590"/>
    <w:rsid w:val="0099390E"/>
    <w:rsid w:val="00994559"/>
    <w:rsid w:val="0099461B"/>
    <w:rsid w:val="00994761"/>
    <w:rsid w:val="009949AD"/>
    <w:rsid w:val="00995437"/>
    <w:rsid w:val="00995588"/>
    <w:rsid w:val="00995DD9"/>
    <w:rsid w:val="00995E7F"/>
    <w:rsid w:val="00995FEE"/>
    <w:rsid w:val="009960E5"/>
    <w:rsid w:val="00996708"/>
    <w:rsid w:val="009967B5"/>
    <w:rsid w:val="0099712A"/>
    <w:rsid w:val="009A02B9"/>
    <w:rsid w:val="009A0692"/>
    <w:rsid w:val="009A1559"/>
    <w:rsid w:val="009A1595"/>
    <w:rsid w:val="009A255B"/>
    <w:rsid w:val="009A25DA"/>
    <w:rsid w:val="009A2AF8"/>
    <w:rsid w:val="009A3276"/>
    <w:rsid w:val="009A3326"/>
    <w:rsid w:val="009A33BC"/>
    <w:rsid w:val="009A34CF"/>
    <w:rsid w:val="009A384D"/>
    <w:rsid w:val="009A3B58"/>
    <w:rsid w:val="009A3C6B"/>
    <w:rsid w:val="009A4019"/>
    <w:rsid w:val="009A52FA"/>
    <w:rsid w:val="009A5BD6"/>
    <w:rsid w:val="009A6234"/>
    <w:rsid w:val="009A6E2A"/>
    <w:rsid w:val="009A6F3E"/>
    <w:rsid w:val="009A7ADC"/>
    <w:rsid w:val="009B0D30"/>
    <w:rsid w:val="009B0D68"/>
    <w:rsid w:val="009B1CEF"/>
    <w:rsid w:val="009B1EAF"/>
    <w:rsid w:val="009B1F97"/>
    <w:rsid w:val="009B20DE"/>
    <w:rsid w:val="009B236D"/>
    <w:rsid w:val="009B3516"/>
    <w:rsid w:val="009B36D5"/>
    <w:rsid w:val="009B3B8B"/>
    <w:rsid w:val="009B408C"/>
    <w:rsid w:val="009B4B6C"/>
    <w:rsid w:val="009B5870"/>
    <w:rsid w:val="009B5D92"/>
    <w:rsid w:val="009B60C4"/>
    <w:rsid w:val="009B6D3F"/>
    <w:rsid w:val="009B70EC"/>
    <w:rsid w:val="009B71CA"/>
    <w:rsid w:val="009B7AE3"/>
    <w:rsid w:val="009B7E7D"/>
    <w:rsid w:val="009C05F5"/>
    <w:rsid w:val="009C08B8"/>
    <w:rsid w:val="009C13F9"/>
    <w:rsid w:val="009C19B7"/>
    <w:rsid w:val="009C1AF3"/>
    <w:rsid w:val="009C1EBD"/>
    <w:rsid w:val="009C2198"/>
    <w:rsid w:val="009C2321"/>
    <w:rsid w:val="009C2758"/>
    <w:rsid w:val="009C2966"/>
    <w:rsid w:val="009C2D96"/>
    <w:rsid w:val="009C2F8A"/>
    <w:rsid w:val="009C3479"/>
    <w:rsid w:val="009C38F1"/>
    <w:rsid w:val="009C3AD3"/>
    <w:rsid w:val="009C3D13"/>
    <w:rsid w:val="009C4774"/>
    <w:rsid w:val="009C4908"/>
    <w:rsid w:val="009C4F8C"/>
    <w:rsid w:val="009C5477"/>
    <w:rsid w:val="009C5ABB"/>
    <w:rsid w:val="009C6CC5"/>
    <w:rsid w:val="009C6D8B"/>
    <w:rsid w:val="009C70A3"/>
    <w:rsid w:val="009C73FE"/>
    <w:rsid w:val="009C7468"/>
    <w:rsid w:val="009C7DBC"/>
    <w:rsid w:val="009D02B5"/>
    <w:rsid w:val="009D06EF"/>
    <w:rsid w:val="009D09F6"/>
    <w:rsid w:val="009D19CF"/>
    <w:rsid w:val="009D2031"/>
    <w:rsid w:val="009D2275"/>
    <w:rsid w:val="009D2706"/>
    <w:rsid w:val="009D2DF9"/>
    <w:rsid w:val="009D39E2"/>
    <w:rsid w:val="009D3B80"/>
    <w:rsid w:val="009D414A"/>
    <w:rsid w:val="009D418C"/>
    <w:rsid w:val="009D4560"/>
    <w:rsid w:val="009D46A6"/>
    <w:rsid w:val="009D4A1C"/>
    <w:rsid w:val="009D5674"/>
    <w:rsid w:val="009D57EA"/>
    <w:rsid w:val="009D5997"/>
    <w:rsid w:val="009D5F02"/>
    <w:rsid w:val="009D6827"/>
    <w:rsid w:val="009D6836"/>
    <w:rsid w:val="009D6B95"/>
    <w:rsid w:val="009D6BFE"/>
    <w:rsid w:val="009D6C7B"/>
    <w:rsid w:val="009D7071"/>
    <w:rsid w:val="009D729B"/>
    <w:rsid w:val="009D78F0"/>
    <w:rsid w:val="009D7C51"/>
    <w:rsid w:val="009D7E4C"/>
    <w:rsid w:val="009E006D"/>
    <w:rsid w:val="009E0A15"/>
    <w:rsid w:val="009E16AA"/>
    <w:rsid w:val="009E196C"/>
    <w:rsid w:val="009E1E15"/>
    <w:rsid w:val="009E2282"/>
    <w:rsid w:val="009E24F7"/>
    <w:rsid w:val="009E2C3F"/>
    <w:rsid w:val="009E2CD6"/>
    <w:rsid w:val="009E2E11"/>
    <w:rsid w:val="009E3076"/>
    <w:rsid w:val="009E3935"/>
    <w:rsid w:val="009E3F6B"/>
    <w:rsid w:val="009E49F4"/>
    <w:rsid w:val="009E4AC2"/>
    <w:rsid w:val="009E4E3A"/>
    <w:rsid w:val="009E517A"/>
    <w:rsid w:val="009E5473"/>
    <w:rsid w:val="009E5483"/>
    <w:rsid w:val="009E5B44"/>
    <w:rsid w:val="009E5E22"/>
    <w:rsid w:val="009E5E3A"/>
    <w:rsid w:val="009E5E53"/>
    <w:rsid w:val="009E62E5"/>
    <w:rsid w:val="009E638D"/>
    <w:rsid w:val="009E699B"/>
    <w:rsid w:val="009E6A0A"/>
    <w:rsid w:val="009E6A5E"/>
    <w:rsid w:val="009E750F"/>
    <w:rsid w:val="009E754D"/>
    <w:rsid w:val="009E7E82"/>
    <w:rsid w:val="009F177E"/>
    <w:rsid w:val="009F1C0F"/>
    <w:rsid w:val="009F20A2"/>
    <w:rsid w:val="009F2207"/>
    <w:rsid w:val="009F28A8"/>
    <w:rsid w:val="009F2C90"/>
    <w:rsid w:val="009F3275"/>
    <w:rsid w:val="009F36BF"/>
    <w:rsid w:val="009F377B"/>
    <w:rsid w:val="009F3981"/>
    <w:rsid w:val="009F3E2D"/>
    <w:rsid w:val="009F45C2"/>
    <w:rsid w:val="009F4DEE"/>
    <w:rsid w:val="009F4DFE"/>
    <w:rsid w:val="009F5CC7"/>
    <w:rsid w:val="009F5E98"/>
    <w:rsid w:val="009F77B5"/>
    <w:rsid w:val="009F7CA5"/>
    <w:rsid w:val="00A003D3"/>
    <w:rsid w:val="00A008B7"/>
    <w:rsid w:val="00A00BDE"/>
    <w:rsid w:val="00A00C04"/>
    <w:rsid w:val="00A01297"/>
    <w:rsid w:val="00A0131B"/>
    <w:rsid w:val="00A01663"/>
    <w:rsid w:val="00A01D7B"/>
    <w:rsid w:val="00A01DF9"/>
    <w:rsid w:val="00A02268"/>
    <w:rsid w:val="00A025EA"/>
    <w:rsid w:val="00A026F5"/>
    <w:rsid w:val="00A029B3"/>
    <w:rsid w:val="00A030F5"/>
    <w:rsid w:val="00A03D8A"/>
    <w:rsid w:val="00A03D9F"/>
    <w:rsid w:val="00A03DAE"/>
    <w:rsid w:val="00A05A6C"/>
    <w:rsid w:val="00A05F07"/>
    <w:rsid w:val="00A0637C"/>
    <w:rsid w:val="00A0648C"/>
    <w:rsid w:val="00A06FBC"/>
    <w:rsid w:val="00A0790E"/>
    <w:rsid w:val="00A07947"/>
    <w:rsid w:val="00A07D9A"/>
    <w:rsid w:val="00A10035"/>
    <w:rsid w:val="00A10C65"/>
    <w:rsid w:val="00A111B6"/>
    <w:rsid w:val="00A11660"/>
    <w:rsid w:val="00A138BD"/>
    <w:rsid w:val="00A13C91"/>
    <w:rsid w:val="00A14498"/>
    <w:rsid w:val="00A14F5D"/>
    <w:rsid w:val="00A15A0C"/>
    <w:rsid w:val="00A15FD6"/>
    <w:rsid w:val="00A16176"/>
    <w:rsid w:val="00A1665C"/>
    <w:rsid w:val="00A167D6"/>
    <w:rsid w:val="00A170EF"/>
    <w:rsid w:val="00A172B1"/>
    <w:rsid w:val="00A17661"/>
    <w:rsid w:val="00A17858"/>
    <w:rsid w:val="00A17AD3"/>
    <w:rsid w:val="00A20423"/>
    <w:rsid w:val="00A20A66"/>
    <w:rsid w:val="00A20A7F"/>
    <w:rsid w:val="00A21EC6"/>
    <w:rsid w:val="00A221FE"/>
    <w:rsid w:val="00A225AE"/>
    <w:rsid w:val="00A22DC7"/>
    <w:rsid w:val="00A2307D"/>
    <w:rsid w:val="00A232FC"/>
    <w:rsid w:val="00A2346F"/>
    <w:rsid w:val="00A23BD2"/>
    <w:rsid w:val="00A23C1A"/>
    <w:rsid w:val="00A23DDF"/>
    <w:rsid w:val="00A24434"/>
    <w:rsid w:val="00A24CE5"/>
    <w:rsid w:val="00A25206"/>
    <w:rsid w:val="00A2531F"/>
    <w:rsid w:val="00A25849"/>
    <w:rsid w:val="00A25A77"/>
    <w:rsid w:val="00A25DEC"/>
    <w:rsid w:val="00A26585"/>
    <w:rsid w:val="00A26AFA"/>
    <w:rsid w:val="00A26D27"/>
    <w:rsid w:val="00A26E5B"/>
    <w:rsid w:val="00A278E5"/>
    <w:rsid w:val="00A27D60"/>
    <w:rsid w:val="00A30AAE"/>
    <w:rsid w:val="00A30C36"/>
    <w:rsid w:val="00A3121C"/>
    <w:rsid w:val="00A31C3E"/>
    <w:rsid w:val="00A32773"/>
    <w:rsid w:val="00A32CAD"/>
    <w:rsid w:val="00A3302A"/>
    <w:rsid w:val="00A3379D"/>
    <w:rsid w:val="00A33A74"/>
    <w:rsid w:val="00A33E24"/>
    <w:rsid w:val="00A33E9B"/>
    <w:rsid w:val="00A33FC9"/>
    <w:rsid w:val="00A365FD"/>
    <w:rsid w:val="00A36637"/>
    <w:rsid w:val="00A3695F"/>
    <w:rsid w:val="00A369D7"/>
    <w:rsid w:val="00A36A1A"/>
    <w:rsid w:val="00A36A53"/>
    <w:rsid w:val="00A36E31"/>
    <w:rsid w:val="00A36EF5"/>
    <w:rsid w:val="00A375E5"/>
    <w:rsid w:val="00A376EE"/>
    <w:rsid w:val="00A37AD4"/>
    <w:rsid w:val="00A409BC"/>
    <w:rsid w:val="00A41045"/>
    <w:rsid w:val="00A41B12"/>
    <w:rsid w:val="00A41DEA"/>
    <w:rsid w:val="00A422C2"/>
    <w:rsid w:val="00A42496"/>
    <w:rsid w:val="00A42995"/>
    <w:rsid w:val="00A42A99"/>
    <w:rsid w:val="00A4336A"/>
    <w:rsid w:val="00A439E6"/>
    <w:rsid w:val="00A43D61"/>
    <w:rsid w:val="00A44D54"/>
    <w:rsid w:val="00A450BA"/>
    <w:rsid w:val="00A45BBD"/>
    <w:rsid w:val="00A467B7"/>
    <w:rsid w:val="00A467EA"/>
    <w:rsid w:val="00A46889"/>
    <w:rsid w:val="00A47311"/>
    <w:rsid w:val="00A4735C"/>
    <w:rsid w:val="00A476F2"/>
    <w:rsid w:val="00A47BC6"/>
    <w:rsid w:val="00A500B8"/>
    <w:rsid w:val="00A502F4"/>
    <w:rsid w:val="00A50DA9"/>
    <w:rsid w:val="00A50ED2"/>
    <w:rsid w:val="00A51505"/>
    <w:rsid w:val="00A5151A"/>
    <w:rsid w:val="00A521B8"/>
    <w:rsid w:val="00A52268"/>
    <w:rsid w:val="00A523F8"/>
    <w:rsid w:val="00A526CB"/>
    <w:rsid w:val="00A5281F"/>
    <w:rsid w:val="00A52B81"/>
    <w:rsid w:val="00A52C56"/>
    <w:rsid w:val="00A52DDE"/>
    <w:rsid w:val="00A52E70"/>
    <w:rsid w:val="00A53031"/>
    <w:rsid w:val="00A53304"/>
    <w:rsid w:val="00A53351"/>
    <w:rsid w:val="00A54392"/>
    <w:rsid w:val="00A544BF"/>
    <w:rsid w:val="00A5570D"/>
    <w:rsid w:val="00A55AA4"/>
    <w:rsid w:val="00A55F8F"/>
    <w:rsid w:val="00A55FB9"/>
    <w:rsid w:val="00A56034"/>
    <w:rsid w:val="00A56D5F"/>
    <w:rsid w:val="00A56E1A"/>
    <w:rsid w:val="00A57744"/>
    <w:rsid w:val="00A57765"/>
    <w:rsid w:val="00A5793A"/>
    <w:rsid w:val="00A57E0A"/>
    <w:rsid w:val="00A60494"/>
    <w:rsid w:val="00A60657"/>
    <w:rsid w:val="00A60DFC"/>
    <w:rsid w:val="00A61147"/>
    <w:rsid w:val="00A61922"/>
    <w:rsid w:val="00A61D1A"/>
    <w:rsid w:val="00A621C0"/>
    <w:rsid w:val="00A62596"/>
    <w:rsid w:val="00A62FE5"/>
    <w:rsid w:val="00A644E9"/>
    <w:rsid w:val="00A647F5"/>
    <w:rsid w:val="00A6505E"/>
    <w:rsid w:val="00A65444"/>
    <w:rsid w:val="00A658DA"/>
    <w:rsid w:val="00A65AAF"/>
    <w:rsid w:val="00A65D62"/>
    <w:rsid w:val="00A65E5B"/>
    <w:rsid w:val="00A66605"/>
    <w:rsid w:val="00A66809"/>
    <w:rsid w:val="00A66EBA"/>
    <w:rsid w:val="00A677A2"/>
    <w:rsid w:val="00A67BC6"/>
    <w:rsid w:val="00A7009C"/>
    <w:rsid w:val="00A702E5"/>
    <w:rsid w:val="00A70411"/>
    <w:rsid w:val="00A705F5"/>
    <w:rsid w:val="00A706B4"/>
    <w:rsid w:val="00A70884"/>
    <w:rsid w:val="00A70CEB"/>
    <w:rsid w:val="00A713FE"/>
    <w:rsid w:val="00A71B2B"/>
    <w:rsid w:val="00A7234C"/>
    <w:rsid w:val="00A73679"/>
    <w:rsid w:val="00A739E8"/>
    <w:rsid w:val="00A74D74"/>
    <w:rsid w:val="00A74E7C"/>
    <w:rsid w:val="00A74F8C"/>
    <w:rsid w:val="00A75661"/>
    <w:rsid w:val="00A76911"/>
    <w:rsid w:val="00A77919"/>
    <w:rsid w:val="00A81011"/>
    <w:rsid w:val="00A8136C"/>
    <w:rsid w:val="00A8148D"/>
    <w:rsid w:val="00A816E3"/>
    <w:rsid w:val="00A8172C"/>
    <w:rsid w:val="00A81BA9"/>
    <w:rsid w:val="00A823F6"/>
    <w:rsid w:val="00A83A32"/>
    <w:rsid w:val="00A83A3A"/>
    <w:rsid w:val="00A83A42"/>
    <w:rsid w:val="00A843DC"/>
    <w:rsid w:val="00A84748"/>
    <w:rsid w:val="00A85846"/>
    <w:rsid w:val="00A85B09"/>
    <w:rsid w:val="00A8668F"/>
    <w:rsid w:val="00A86A5E"/>
    <w:rsid w:val="00A86F24"/>
    <w:rsid w:val="00A8719D"/>
    <w:rsid w:val="00A8719E"/>
    <w:rsid w:val="00A87BA3"/>
    <w:rsid w:val="00A87D7E"/>
    <w:rsid w:val="00A90179"/>
    <w:rsid w:val="00A912C5"/>
    <w:rsid w:val="00A9145B"/>
    <w:rsid w:val="00A918DD"/>
    <w:rsid w:val="00A91A58"/>
    <w:rsid w:val="00A91B2D"/>
    <w:rsid w:val="00A91C26"/>
    <w:rsid w:val="00A91D91"/>
    <w:rsid w:val="00A92606"/>
    <w:rsid w:val="00A928DD"/>
    <w:rsid w:val="00A92F14"/>
    <w:rsid w:val="00A93088"/>
    <w:rsid w:val="00A93192"/>
    <w:rsid w:val="00A93D0D"/>
    <w:rsid w:val="00A93D60"/>
    <w:rsid w:val="00A94247"/>
    <w:rsid w:val="00A94363"/>
    <w:rsid w:val="00A943C9"/>
    <w:rsid w:val="00A94D42"/>
    <w:rsid w:val="00A95117"/>
    <w:rsid w:val="00A957AB"/>
    <w:rsid w:val="00A97223"/>
    <w:rsid w:val="00A97F4C"/>
    <w:rsid w:val="00AA0850"/>
    <w:rsid w:val="00AA0A89"/>
    <w:rsid w:val="00AA0E67"/>
    <w:rsid w:val="00AA1606"/>
    <w:rsid w:val="00AA1F64"/>
    <w:rsid w:val="00AA29BF"/>
    <w:rsid w:val="00AA3A17"/>
    <w:rsid w:val="00AA3E5B"/>
    <w:rsid w:val="00AA407B"/>
    <w:rsid w:val="00AA4263"/>
    <w:rsid w:val="00AA4317"/>
    <w:rsid w:val="00AA4E5E"/>
    <w:rsid w:val="00AA4F21"/>
    <w:rsid w:val="00AA52BC"/>
    <w:rsid w:val="00AA5368"/>
    <w:rsid w:val="00AA586F"/>
    <w:rsid w:val="00AA61CC"/>
    <w:rsid w:val="00AA6313"/>
    <w:rsid w:val="00AA6429"/>
    <w:rsid w:val="00AA6776"/>
    <w:rsid w:val="00AA6932"/>
    <w:rsid w:val="00AA6F49"/>
    <w:rsid w:val="00AA7778"/>
    <w:rsid w:val="00AA77DA"/>
    <w:rsid w:val="00AA7AC3"/>
    <w:rsid w:val="00AA7E64"/>
    <w:rsid w:val="00AB0659"/>
    <w:rsid w:val="00AB08E3"/>
    <w:rsid w:val="00AB0BB3"/>
    <w:rsid w:val="00AB0DB3"/>
    <w:rsid w:val="00AB1FFD"/>
    <w:rsid w:val="00AB21C9"/>
    <w:rsid w:val="00AB22A9"/>
    <w:rsid w:val="00AB25A9"/>
    <w:rsid w:val="00AB2E00"/>
    <w:rsid w:val="00AB3694"/>
    <w:rsid w:val="00AB39BA"/>
    <w:rsid w:val="00AB3D70"/>
    <w:rsid w:val="00AB3E62"/>
    <w:rsid w:val="00AB3EAA"/>
    <w:rsid w:val="00AB43AB"/>
    <w:rsid w:val="00AB455E"/>
    <w:rsid w:val="00AB45BF"/>
    <w:rsid w:val="00AB46E9"/>
    <w:rsid w:val="00AB4EF4"/>
    <w:rsid w:val="00AB513B"/>
    <w:rsid w:val="00AB611A"/>
    <w:rsid w:val="00AB620A"/>
    <w:rsid w:val="00AB7051"/>
    <w:rsid w:val="00AC01AA"/>
    <w:rsid w:val="00AC0635"/>
    <w:rsid w:val="00AC0680"/>
    <w:rsid w:val="00AC116A"/>
    <w:rsid w:val="00AC12AD"/>
    <w:rsid w:val="00AC145D"/>
    <w:rsid w:val="00AC1B78"/>
    <w:rsid w:val="00AC1B8F"/>
    <w:rsid w:val="00AC1D5E"/>
    <w:rsid w:val="00AC23B2"/>
    <w:rsid w:val="00AC26BA"/>
    <w:rsid w:val="00AC2C5C"/>
    <w:rsid w:val="00AC3AEA"/>
    <w:rsid w:val="00AC4F72"/>
    <w:rsid w:val="00AC5041"/>
    <w:rsid w:val="00AC549D"/>
    <w:rsid w:val="00AC61EC"/>
    <w:rsid w:val="00AC63F0"/>
    <w:rsid w:val="00AC69CF"/>
    <w:rsid w:val="00AC69F8"/>
    <w:rsid w:val="00AC6EFF"/>
    <w:rsid w:val="00AC7201"/>
    <w:rsid w:val="00AC74A0"/>
    <w:rsid w:val="00AC788B"/>
    <w:rsid w:val="00AC7AF8"/>
    <w:rsid w:val="00AD0A53"/>
    <w:rsid w:val="00AD0F6E"/>
    <w:rsid w:val="00AD13B4"/>
    <w:rsid w:val="00AD1DED"/>
    <w:rsid w:val="00AD2D06"/>
    <w:rsid w:val="00AD30EC"/>
    <w:rsid w:val="00AD314E"/>
    <w:rsid w:val="00AD349A"/>
    <w:rsid w:val="00AD350B"/>
    <w:rsid w:val="00AD3D34"/>
    <w:rsid w:val="00AD4115"/>
    <w:rsid w:val="00AD41BA"/>
    <w:rsid w:val="00AD4767"/>
    <w:rsid w:val="00AD48E3"/>
    <w:rsid w:val="00AD50D3"/>
    <w:rsid w:val="00AD512D"/>
    <w:rsid w:val="00AD545D"/>
    <w:rsid w:val="00AD561F"/>
    <w:rsid w:val="00AD5678"/>
    <w:rsid w:val="00AD567B"/>
    <w:rsid w:val="00AD5A03"/>
    <w:rsid w:val="00AD5FA1"/>
    <w:rsid w:val="00AD620B"/>
    <w:rsid w:val="00AD64A4"/>
    <w:rsid w:val="00AD673A"/>
    <w:rsid w:val="00AD6F96"/>
    <w:rsid w:val="00AD7232"/>
    <w:rsid w:val="00AD7379"/>
    <w:rsid w:val="00AD7B4D"/>
    <w:rsid w:val="00AE0296"/>
    <w:rsid w:val="00AE0734"/>
    <w:rsid w:val="00AE0926"/>
    <w:rsid w:val="00AE0FE5"/>
    <w:rsid w:val="00AE143B"/>
    <w:rsid w:val="00AE1707"/>
    <w:rsid w:val="00AE18A0"/>
    <w:rsid w:val="00AE28D0"/>
    <w:rsid w:val="00AE28E9"/>
    <w:rsid w:val="00AE2D59"/>
    <w:rsid w:val="00AE3829"/>
    <w:rsid w:val="00AE39E9"/>
    <w:rsid w:val="00AE3D06"/>
    <w:rsid w:val="00AE413F"/>
    <w:rsid w:val="00AE482E"/>
    <w:rsid w:val="00AE494E"/>
    <w:rsid w:val="00AE4B1C"/>
    <w:rsid w:val="00AE611C"/>
    <w:rsid w:val="00AE721E"/>
    <w:rsid w:val="00AE7478"/>
    <w:rsid w:val="00AE7564"/>
    <w:rsid w:val="00AE7607"/>
    <w:rsid w:val="00AE7B34"/>
    <w:rsid w:val="00AE7D02"/>
    <w:rsid w:val="00AE7E9A"/>
    <w:rsid w:val="00AE7F67"/>
    <w:rsid w:val="00AF030D"/>
    <w:rsid w:val="00AF05EF"/>
    <w:rsid w:val="00AF09EF"/>
    <w:rsid w:val="00AF248C"/>
    <w:rsid w:val="00AF2878"/>
    <w:rsid w:val="00AF28D7"/>
    <w:rsid w:val="00AF2B7D"/>
    <w:rsid w:val="00AF308A"/>
    <w:rsid w:val="00AF3118"/>
    <w:rsid w:val="00AF32BC"/>
    <w:rsid w:val="00AF4616"/>
    <w:rsid w:val="00AF4804"/>
    <w:rsid w:val="00AF483B"/>
    <w:rsid w:val="00AF4E22"/>
    <w:rsid w:val="00AF5C21"/>
    <w:rsid w:val="00AF5D86"/>
    <w:rsid w:val="00AF62E3"/>
    <w:rsid w:val="00AF638E"/>
    <w:rsid w:val="00AF68B7"/>
    <w:rsid w:val="00AF6B78"/>
    <w:rsid w:val="00AF73CF"/>
    <w:rsid w:val="00AF741A"/>
    <w:rsid w:val="00AF7737"/>
    <w:rsid w:val="00AF78F5"/>
    <w:rsid w:val="00AF7A4A"/>
    <w:rsid w:val="00AF7EC4"/>
    <w:rsid w:val="00B0016A"/>
    <w:rsid w:val="00B003F6"/>
    <w:rsid w:val="00B00450"/>
    <w:rsid w:val="00B00548"/>
    <w:rsid w:val="00B01796"/>
    <w:rsid w:val="00B01ADB"/>
    <w:rsid w:val="00B01FB7"/>
    <w:rsid w:val="00B0201B"/>
    <w:rsid w:val="00B03415"/>
    <w:rsid w:val="00B040DF"/>
    <w:rsid w:val="00B04161"/>
    <w:rsid w:val="00B0459C"/>
    <w:rsid w:val="00B0480A"/>
    <w:rsid w:val="00B04AAC"/>
    <w:rsid w:val="00B05012"/>
    <w:rsid w:val="00B05652"/>
    <w:rsid w:val="00B056F9"/>
    <w:rsid w:val="00B05700"/>
    <w:rsid w:val="00B05A2A"/>
    <w:rsid w:val="00B05BD4"/>
    <w:rsid w:val="00B062FD"/>
    <w:rsid w:val="00B06320"/>
    <w:rsid w:val="00B06D3C"/>
    <w:rsid w:val="00B07230"/>
    <w:rsid w:val="00B07562"/>
    <w:rsid w:val="00B0783B"/>
    <w:rsid w:val="00B07843"/>
    <w:rsid w:val="00B078C7"/>
    <w:rsid w:val="00B10396"/>
    <w:rsid w:val="00B10752"/>
    <w:rsid w:val="00B11304"/>
    <w:rsid w:val="00B11CAC"/>
    <w:rsid w:val="00B11E3D"/>
    <w:rsid w:val="00B122A0"/>
    <w:rsid w:val="00B123A7"/>
    <w:rsid w:val="00B12E02"/>
    <w:rsid w:val="00B13A4B"/>
    <w:rsid w:val="00B13B42"/>
    <w:rsid w:val="00B13B50"/>
    <w:rsid w:val="00B13C8B"/>
    <w:rsid w:val="00B147E5"/>
    <w:rsid w:val="00B14D2C"/>
    <w:rsid w:val="00B14EB2"/>
    <w:rsid w:val="00B152AD"/>
    <w:rsid w:val="00B15332"/>
    <w:rsid w:val="00B15CB3"/>
    <w:rsid w:val="00B15E8D"/>
    <w:rsid w:val="00B15EA0"/>
    <w:rsid w:val="00B161F7"/>
    <w:rsid w:val="00B16200"/>
    <w:rsid w:val="00B16230"/>
    <w:rsid w:val="00B16444"/>
    <w:rsid w:val="00B17298"/>
    <w:rsid w:val="00B17A2A"/>
    <w:rsid w:val="00B17ADC"/>
    <w:rsid w:val="00B17E82"/>
    <w:rsid w:val="00B208BE"/>
    <w:rsid w:val="00B20A9D"/>
    <w:rsid w:val="00B20CDD"/>
    <w:rsid w:val="00B21088"/>
    <w:rsid w:val="00B211BF"/>
    <w:rsid w:val="00B215D3"/>
    <w:rsid w:val="00B226A8"/>
    <w:rsid w:val="00B235F8"/>
    <w:rsid w:val="00B2366F"/>
    <w:rsid w:val="00B23E06"/>
    <w:rsid w:val="00B23E31"/>
    <w:rsid w:val="00B23E9E"/>
    <w:rsid w:val="00B23F6E"/>
    <w:rsid w:val="00B25077"/>
    <w:rsid w:val="00B25180"/>
    <w:rsid w:val="00B25776"/>
    <w:rsid w:val="00B25B81"/>
    <w:rsid w:val="00B26D47"/>
    <w:rsid w:val="00B26F88"/>
    <w:rsid w:val="00B2776C"/>
    <w:rsid w:val="00B278A4"/>
    <w:rsid w:val="00B27A5E"/>
    <w:rsid w:val="00B312BA"/>
    <w:rsid w:val="00B313E3"/>
    <w:rsid w:val="00B31B16"/>
    <w:rsid w:val="00B31D18"/>
    <w:rsid w:val="00B322C0"/>
    <w:rsid w:val="00B32719"/>
    <w:rsid w:val="00B328E3"/>
    <w:rsid w:val="00B32A8A"/>
    <w:rsid w:val="00B32E6C"/>
    <w:rsid w:val="00B3414E"/>
    <w:rsid w:val="00B34287"/>
    <w:rsid w:val="00B34531"/>
    <w:rsid w:val="00B349C4"/>
    <w:rsid w:val="00B34D8C"/>
    <w:rsid w:val="00B3531E"/>
    <w:rsid w:val="00B3540A"/>
    <w:rsid w:val="00B35625"/>
    <w:rsid w:val="00B35706"/>
    <w:rsid w:val="00B35F57"/>
    <w:rsid w:val="00B362A7"/>
    <w:rsid w:val="00B3673F"/>
    <w:rsid w:val="00B3682C"/>
    <w:rsid w:val="00B36946"/>
    <w:rsid w:val="00B36C48"/>
    <w:rsid w:val="00B37138"/>
    <w:rsid w:val="00B37575"/>
    <w:rsid w:val="00B375CE"/>
    <w:rsid w:val="00B37612"/>
    <w:rsid w:val="00B37BC4"/>
    <w:rsid w:val="00B37C1A"/>
    <w:rsid w:val="00B37D70"/>
    <w:rsid w:val="00B37FD2"/>
    <w:rsid w:val="00B4036C"/>
    <w:rsid w:val="00B409F2"/>
    <w:rsid w:val="00B413D0"/>
    <w:rsid w:val="00B4232B"/>
    <w:rsid w:val="00B43316"/>
    <w:rsid w:val="00B4367C"/>
    <w:rsid w:val="00B439BD"/>
    <w:rsid w:val="00B43A0D"/>
    <w:rsid w:val="00B447C4"/>
    <w:rsid w:val="00B44BBB"/>
    <w:rsid w:val="00B44F00"/>
    <w:rsid w:val="00B451BE"/>
    <w:rsid w:val="00B4575A"/>
    <w:rsid w:val="00B45950"/>
    <w:rsid w:val="00B459ED"/>
    <w:rsid w:val="00B45EE9"/>
    <w:rsid w:val="00B463C9"/>
    <w:rsid w:val="00B46522"/>
    <w:rsid w:val="00B466F3"/>
    <w:rsid w:val="00B467F9"/>
    <w:rsid w:val="00B46872"/>
    <w:rsid w:val="00B46A7F"/>
    <w:rsid w:val="00B46F16"/>
    <w:rsid w:val="00B47F78"/>
    <w:rsid w:val="00B50523"/>
    <w:rsid w:val="00B50784"/>
    <w:rsid w:val="00B50AE8"/>
    <w:rsid w:val="00B50D08"/>
    <w:rsid w:val="00B50E4B"/>
    <w:rsid w:val="00B5112A"/>
    <w:rsid w:val="00B516A9"/>
    <w:rsid w:val="00B51C10"/>
    <w:rsid w:val="00B52014"/>
    <w:rsid w:val="00B530EA"/>
    <w:rsid w:val="00B539A6"/>
    <w:rsid w:val="00B54A7C"/>
    <w:rsid w:val="00B54B02"/>
    <w:rsid w:val="00B54B31"/>
    <w:rsid w:val="00B5536C"/>
    <w:rsid w:val="00B55ADB"/>
    <w:rsid w:val="00B56042"/>
    <w:rsid w:val="00B56517"/>
    <w:rsid w:val="00B56BAA"/>
    <w:rsid w:val="00B575BA"/>
    <w:rsid w:val="00B575F3"/>
    <w:rsid w:val="00B579B0"/>
    <w:rsid w:val="00B57FA0"/>
    <w:rsid w:val="00B60119"/>
    <w:rsid w:val="00B604E2"/>
    <w:rsid w:val="00B60721"/>
    <w:rsid w:val="00B60884"/>
    <w:rsid w:val="00B60E29"/>
    <w:rsid w:val="00B60F00"/>
    <w:rsid w:val="00B61667"/>
    <w:rsid w:val="00B61A55"/>
    <w:rsid w:val="00B63CB1"/>
    <w:rsid w:val="00B63CDC"/>
    <w:rsid w:val="00B63EE3"/>
    <w:rsid w:val="00B64D40"/>
    <w:rsid w:val="00B64E1A"/>
    <w:rsid w:val="00B65383"/>
    <w:rsid w:val="00B654D3"/>
    <w:rsid w:val="00B6579C"/>
    <w:rsid w:val="00B65AAC"/>
    <w:rsid w:val="00B66787"/>
    <w:rsid w:val="00B6742C"/>
    <w:rsid w:val="00B7048D"/>
    <w:rsid w:val="00B705C4"/>
    <w:rsid w:val="00B70C02"/>
    <w:rsid w:val="00B71076"/>
    <w:rsid w:val="00B710EF"/>
    <w:rsid w:val="00B71608"/>
    <w:rsid w:val="00B72424"/>
    <w:rsid w:val="00B73C68"/>
    <w:rsid w:val="00B73CF4"/>
    <w:rsid w:val="00B73FA0"/>
    <w:rsid w:val="00B74304"/>
    <w:rsid w:val="00B744C7"/>
    <w:rsid w:val="00B748C5"/>
    <w:rsid w:val="00B74BA9"/>
    <w:rsid w:val="00B75000"/>
    <w:rsid w:val="00B753C1"/>
    <w:rsid w:val="00B75850"/>
    <w:rsid w:val="00B762A6"/>
    <w:rsid w:val="00B76429"/>
    <w:rsid w:val="00B76CBA"/>
    <w:rsid w:val="00B7712E"/>
    <w:rsid w:val="00B77171"/>
    <w:rsid w:val="00B779A9"/>
    <w:rsid w:val="00B803A8"/>
    <w:rsid w:val="00B80718"/>
    <w:rsid w:val="00B8083E"/>
    <w:rsid w:val="00B811F1"/>
    <w:rsid w:val="00B81302"/>
    <w:rsid w:val="00B81645"/>
    <w:rsid w:val="00B8196F"/>
    <w:rsid w:val="00B81F32"/>
    <w:rsid w:val="00B82271"/>
    <w:rsid w:val="00B8253B"/>
    <w:rsid w:val="00B83121"/>
    <w:rsid w:val="00B83263"/>
    <w:rsid w:val="00B83E80"/>
    <w:rsid w:val="00B8426C"/>
    <w:rsid w:val="00B846DF"/>
    <w:rsid w:val="00B84C3B"/>
    <w:rsid w:val="00B84CBA"/>
    <w:rsid w:val="00B84D31"/>
    <w:rsid w:val="00B84F3A"/>
    <w:rsid w:val="00B86471"/>
    <w:rsid w:val="00B865E0"/>
    <w:rsid w:val="00B867D6"/>
    <w:rsid w:val="00B86A9F"/>
    <w:rsid w:val="00B87505"/>
    <w:rsid w:val="00B8763E"/>
    <w:rsid w:val="00B8783B"/>
    <w:rsid w:val="00B87A93"/>
    <w:rsid w:val="00B87B5F"/>
    <w:rsid w:val="00B87E3B"/>
    <w:rsid w:val="00B9028F"/>
    <w:rsid w:val="00B91442"/>
    <w:rsid w:val="00B91634"/>
    <w:rsid w:val="00B916EE"/>
    <w:rsid w:val="00B91786"/>
    <w:rsid w:val="00B91AED"/>
    <w:rsid w:val="00B92644"/>
    <w:rsid w:val="00B9273A"/>
    <w:rsid w:val="00B92BE3"/>
    <w:rsid w:val="00B930E8"/>
    <w:rsid w:val="00B941AF"/>
    <w:rsid w:val="00B946E8"/>
    <w:rsid w:val="00B94B4D"/>
    <w:rsid w:val="00B94D96"/>
    <w:rsid w:val="00B950B2"/>
    <w:rsid w:val="00B95194"/>
    <w:rsid w:val="00B956D4"/>
    <w:rsid w:val="00B95D70"/>
    <w:rsid w:val="00B95E08"/>
    <w:rsid w:val="00B9600B"/>
    <w:rsid w:val="00B96EEC"/>
    <w:rsid w:val="00B96F23"/>
    <w:rsid w:val="00B97446"/>
    <w:rsid w:val="00B97A9E"/>
    <w:rsid w:val="00B97D7B"/>
    <w:rsid w:val="00BA0037"/>
    <w:rsid w:val="00BA02BE"/>
    <w:rsid w:val="00BA0D59"/>
    <w:rsid w:val="00BA0E01"/>
    <w:rsid w:val="00BA1541"/>
    <w:rsid w:val="00BA181D"/>
    <w:rsid w:val="00BA2001"/>
    <w:rsid w:val="00BA233D"/>
    <w:rsid w:val="00BA266C"/>
    <w:rsid w:val="00BA37D5"/>
    <w:rsid w:val="00BA3D90"/>
    <w:rsid w:val="00BA42B5"/>
    <w:rsid w:val="00BA48CE"/>
    <w:rsid w:val="00BA52E1"/>
    <w:rsid w:val="00BA5631"/>
    <w:rsid w:val="00BA5649"/>
    <w:rsid w:val="00BA58FF"/>
    <w:rsid w:val="00BA5B85"/>
    <w:rsid w:val="00BA6202"/>
    <w:rsid w:val="00BA6A6C"/>
    <w:rsid w:val="00BA7432"/>
    <w:rsid w:val="00BA77DE"/>
    <w:rsid w:val="00BA7921"/>
    <w:rsid w:val="00BA7BE2"/>
    <w:rsid w:val="00BB0390"/>
    <w:rsid w:val="00BB0B51"/>
    <w:rsid w:val="00BB14CA"/>
    <w:rsid w:val="00BB1C81"/>
    <w:rsid w:val="00BB1D60"/>
    <w:rsid w:val="00BB2764"/>
    <w:rsid w:val="00BB2F1E"/>
    <w:rsid w:val="00BB306B"/>
    <w:rsid w:val="00BB47B3"/>
    <w:rsid w:val="00BB4853"/>
    <w:rsid w:val="00BB4A0B"/>
    <w:rsid w:val="00BB4EB1"/>
    <w:rsid w:val="00BB5258"/>
    <w:rsid w:val="00BB5559"/>
    <w:rsid w:val="00BB59AC"/>
    <w:rsid w:val="00BB59BA"/>
    <w:rsid w:val="00BB6596"/>
    <w:rsid w:val="00BB6BE4"/>
    <w:rsid w:val="00BB752B"/>
    <w:rsid w:val="00BB779B"/>
    <w:rsid w:val="00BB7BAE"/>
    <w:rsid w:val="00BC002B"/>
    <w:rsid w:val="00BC0220"/>
    <w:rsid w:val="00BC0915"/>
    <w:rsid w:val="00BC0DFB"/>
    <w:rsid w:val="00BC1AA0"/>
    <w:rsid w:val="00BC1CDB"/>
    <w:rsid w:val="00BC1E08"/>
    <w:rsid w:val="00BC1E0A"/>
    <w:rsid w:val="00BC23C5"/>
    <w:rsid w:val="00BC2495"/>
    <w:rsid w:val="00BC28A6"/>
    <w:rsid w:val="00BC2A9E"/>
    <w:rsid w:val="00BC2DBC"/>
    <w:rsid w:val="00BC305E"/>
    <w:rsid w:val="00BC314A"/>
    <w:rsid w:val="00BC36DB"/>
    <w:rsid w:val="00BC39EA"/>
    <w:rsid w:val="00BC3FDF"/>
    <w:rsid w:val="00BC4864"/>
    <w:rsid w:val="00BC560D"/>
    <w:rsid w:val="00BC600C"/>
    <w:rsid w:val="00BC63A2"/>
    <w:rsid w:val="00BC6929"/>
    <w:rsid w:val="00BC6CC4"/>
    <w:rsid w:val="00BC75B1"/>
    <w:rsid w:val="00BC7B4A"/>
    <w:rsid w:val="00BC7B57"/>
    <w:rsid w:val="00BC7EB9"/>
    <w:rsid w:val="00BC7EBB"/>
    <w:rsid w:val="00BC7F85"/>
    <w:rsid w:val="00BD0AAF"/>
    <w:rsid w:val="00BD0FDF"/>
    <w:rsid w:val="00BD115B"/>
    <w:rsid w:val="00BD1BCF"/>
    <w:rsid w:val="00BD1EA0"/>
    <w:rsid w:val="00BD2643"/>
    <w:rsid w:val="00BD296A"/>
    <w:rsid w:val="00BD2F6D"/>
    <w:rsid w:val="00BD35F9"/>
    <w:rsid w:val="00BD4304"/>
    <w:rsid w:val="00BD43B0"/>
    <w:rsid w:val="00BD481B"/>
    <w:rsid w:val="00BD55BC"/>
    <w:rsid w:val="00BD56B1"/>
    <w:rsid w:val="00BD5BB1"/>
    <w:rsid w:val="00BD61CD"/>
    <w:rsid w:val="00BD6558"/>
    <w:rsid w:val="00BD72A9"/>
    <w:rsid w:val="00BD7B02"/>
    <w:rsid w:val="00BE01C6"/>
    <w:rsid w:val="00BE01F0"/>
    <w:rsid w:val="00BE0217"/>
    <w:rsid w:val="00BE059C"/>
    <w:rsid w:val="00BE0D77"/>
    <w:rsid w:val="00BE11ED"/>
    <w:rsid w:val="00BE1AD2"/>
    <w:rsid w:val="00BE1B49"/>
    <w:rsid w:val="00BE1CE5"/>
    <w:rsid w:val="00BE23A4"/>
    <w:rsid w:val="00BE2987"/>
    <w:rsid w:val="00BE350B"/>
    <w:rsid w:val="00BE5157"/>
    <w:rsid w:val="00BE5C8A"/>
    <w:rsid w:val="00BE62A7"/>
    <w:rsid w:val="00BE760D"/>
    <w:rsid w:val="00BE794A"/>
    <w:rsid w:val="00BE7ABB"/>
    <w:rsid w:val="00BF0980"/>
    <w:rsid w:val="00BF0EF1"/>
    <w:rsid w:val="00BF1082"/>
    <w:rsid w:val="00BF1B51"/>
    <w:rsid w:val="00BF22CA"/>
    <w:rsid w:val="00BF2A07"/>
    <w:rsid w:val="00BF2AD7"/>
    <w:rsid w:val="00BF2F76"/>
    <w:rsid w:val="00BF3022"/>
    <w:rsid w:val="00BF3214"/>
    <w:rsid w:val="00BF33B4"/>
    <w:rsid w:val="00BF394D"/>
    <w:rsid w:val="00BF44F5"/>
    <w:rsid w:val="00BF4733"/>
    <w:rsid w:val="00BF4753"/>
    <w:rsid w:val="00BF4ABB"/>
    <w:rsid w:val="00BF5573"/>
    <w:rsid w:val="00BF571F"/>
    <w:rsid w:val="00BF5B26"/>
    <w:rsid w:val="00BF5C70"/>
    <w:rsid w:val="00BF6200"/>
    <w:rsid w:val="00BF65B3"/>
    <w:rsid w:val="00BF6883"/>
    <w:rsid w:val="00BF6ADE"/>
    <w:rsid w:val="00BF6C20"/>
    <w:rsid w:val="00BF7056"/>
    <w:rsid w:val="00BF710F"/>
    <w:rsid w:val="00BF79F0"/>
    <w:rsid w:val="00BF7A1B"/>
    <w:rsid w:val="00BF7F51"/>
    <w:rsid w:val="00C006EA"/>
    <w:rsid w:val="00C009D6"/>
    <w:rsid w:val="00C01225"/>
    <w:rsid w:val="00C0193D"/>
    <w:rsid w:val="00C01A19"/>
    <w:rsid w:val="00C02294"/>
    <w:rsid w:val="00C02301"/>
    <w:rsid w:val="00C025E0"/>
    <w:rsid w:val="00C02AED"/>
    <w:rsid w:val="00C0319C"/>
    <w:rsid w:val="00C04A96"/>
    <w:rsid w:val="00C04AC9"/>
    <w:rsid w:val="00C057F5"/>
    <w:rsid w:val="00C05E52"/>
    <w:rsid w:val="00C0641C"/>
    <w:rsid w:val="00C07266"/>
    <w:rsid w:val="00C07A7D"/>
    <w:rsid w:val="00C1021E"/>
    <w:rsid w:val="00C10400"/>
    <w:rsid w:val="00C104EC"/>
    <w:rsid w:val="00C1079B"/>
    <w:rsid w:val="00C10A4B"/>
    <w:rsid w:val="00C1137E"/>
    <w:rsid w:val="00C11826"/>
    <w:rsid w:val="00C1217B"/>
    <w:rsid w:val="00C1233F"/>
    <w:rsid w:val="00C1264E"/>
    <w:rsid w:val="00C12DA3"/>
    <w:rsid w:val="00C12E68"/>
    <w:rsid w:val="00C13836"/>
    <w:rsid w:val="00C13B6C"/>
    <w:rsid w:val="00C13DD0"/>
    <w:rsid w:val="00C13FE2"/>
    <w:rsid w:val="00C142E8"/>
    <w:rsid w:val="00C14333"/>
    <w:rsid w:val="00C14799"/>
    <w:rsid w:val="00C147FD"/>
    <w:rsid w:val="00C14906"/>
    <w:rsid w:val="00C14F1B"/>
    <w:rsid w:val="00C15867"/>
    <w:rsid w:val="00C158FA"/>
    <w:rsid w:val="00C15EC4"/>
    <w:rsid w:val="00C15ED0"/>
    <w:rsid w:val="00C16FD0"/>
    <w:rsid w:val="00C17A8A"/>
    <w:rsid w:val="00C17B9C"/>
    <w:rsid w:val="00C20D30"/>
    <w:rsid w:val="00C20D48"/>
    <w:rsid w:val="00C21510"/>
    <w:rsid w:val="00C21613"/>
    <w:rsid w:val="00C21896"/>
    <w:rsid w:val="00C22398"/>
    <w:rsid w:val="00C224F5"/>
    <w:rsid w:val="00C2263F"/>
    <w:rsid w:val="00C2296D"/>
    <w:rsid w:val="00C23155"/>
    <w:rsid w:val="00C23A38"/>
    <w:rsid w:val="00C24190"/>
    <w:rsid w:val="00C241AA"/>
    <w:rsid w:val="00C2465B"/>
    <w:rsid w:val="00C2489A"/>
    <w:rsid w:val="00C253B4"/>
    <w:rsid w:val="00C25885"/>
    <w:rsid w:val="00C26643"/>
    <w:rsid w:val="00C276F4"/>
    <w:rsid w:val="00C27712"/>
    <w:rsid w:val="00C27717"/>
    <w:rsid w:val="00C27787"/>
    <w:rsid w:val="00C27857"/>
    <w:rsid w:val="00C27A92"/>
    <w:rsid w:val="00C30C4D"/>
    <w:rsid w:val="00C31532"/>
    <w:rsid w:val="00C32077"/>
    <w:rsid w:val="00C3255F"/>
    <w:rsid w:val="00C32838"/>
    <w:rsid w:val="00C32AD5"/>
    <w:rsid w:val="00C32BA0"/>
    <w:rsid w:val="00C32E3F"/>
    <w:rsid w:val="00C33391"/>
    <w:rsid w:val="00C334FA"/>
    <w:rsid w:val="00C335DF"/>
    <w:rsid w:val="00C33EF8"/>
    <w:rsid w:val="00C3407A"/>
    <w:rsid w:val="00C34284"/>
    <w:rsid w:val="00C3429D"/>
    <w:rsid w:val="00C3484C"/>
    <w:rsid w:val="00C34950"/>
    <w:rsid w:val="00C35447"/>
    <w:rsid w:val="00C35746"/>
    <w:rsid w:val="00C359A7"/>
    <w:rsid w:val="00C35EBC"/>
    <w:rsid w:val="00C36400"/>
    <w:rsid w:val="00C40228"/>
    <w:rsid w:val="00C40B30"/>
    <w:rsid w:val="00C40BBC"/>
    <w:rsid w:val="00C40BBD"/>
    <w:rsid w:val="00C40C41"/>
    <w:rsid w:val="00C40FFB"/>
    <w:rsid w:val="00C41B97"/>
    <w:rsid w:val="00C41D26"/>
    <w:rsid w:val="00C427EC"/>
    <w:rsid w:val="00C42A07"/>
    <w:rsid w:val="00C434A7"/>
    <w:rsid w:val="00C436E6"/>
    <w:rsid w:val="00C436FE"/>
    <w:rsid w:val="00C44859"/>
    <w:rsid w:val="00C44A1E"/>
    <w:rsid w:val="00C44C9C"/>
    <w:rsid w:val="00C4538B"/>
    <w:rsid w:val="00C45885"/>
    <w:rsid w:val="00C465A9"/>
    <w:rsid w:val="00C4675B"/>
    <w:rsid w:val="00C46850"/>
    <w:rsid w:val="00C469FE"/>
    <w:rsid w:val="00C4704E"/>
    <w:rsid w:val="00C47873"/>
    <w:rsid w:val="00C50F22"/>
    <w:rsid w:val="00C51243"/>
    <w:rsid w:val="00C5159E"/>
    <w:rsid w:val="00C51C0C"/>
    <w:rsid w:val="00C51DED"/>
    <w:rsid w:val="00C51E6D"/>
    <w:rsid w:val="00C51F1A"/>
    <w:rsid w:val="00C52A84"/>
    <w:rsid w:val="00C530B4"/>
    <w:rsid w:val="00C560A5"/>
    <w:rsid w:val="00C561CA"/>
    <w:rsid w:val="00C57971"/>
    <w:rsid w:val="00C57AAB"/>
    <w:rsid w:val="00C60724"/>
    <w:rsid w:val="00C611A3"/>
    <w:rsid w:val="00C61731"/>
    <w:rsid w:val="00C61C38"/>
    <w:rsid w:val="00C61EEA"/>
    <w:rsid w:val="00C620BE"/>
    <w:rsid w:val="00C63B55"/>
    <w:rsid w:val="00C63F17"/>
    <w:rsid w:val="00C63F45"/>
    <w:rsid w:val="00C641FA"/>
    <w:rsid w:val="00C646F8"/>
    <w:rsid w:val="00C6485A"/>
    <w:rsid w:val="00C64AB7"/>
    <w:rsid w:val="00C64D78"/>
    <w:rsid w:val="00C64FB5"/>
    <w:rsid w:val="00C65BD7"/>
    <w:rsid w:val="00C65FE1"/>
    <w:rsid w:val="00C6662A"/>
    <w:rsid w:val="00C66982"/>
    <w:rsid w:val="00C67940"/>
    <w:rsid w:val="00C701DE"/>
    <w:rsid w:val="00C7107B"/>
    <w:rsid w:val="00C715A6"/>
    <w:rsid w:val="00C71717"/>
    <w:rsid w:val="00C71734"/>
    <w:rsid w:val="00C7174E"/>
    <w:rsid w:val="00C718C7"/>
    <w:rsid w:val="00C71AD0"/>
    <w:rsid w:val="00C71CC9"/>
    <w:rsid w:val="00C71DEF"/>
    <w:rsid w:val="00C721AC"/>
    <w:rsid w:val="00C72A79"/>
    <w:rsid w:val="00C732CC"/>
    <w:rsid w:val="00C73820"/>
    <w:rsid w:val="00C73FAB"/>
    <w:rsid w:val="00C7483E"/>
    <w:rsid w:val="00C74853"/>
    <w:rsid w:val="00C74956"/>
    <w:rsid w:val="00C75453"/>
    <w:rsid w:val="00C759F7"/>
    <w:rsid w:val="00C765F0"/>
    <w:rsid w:val="00C76BA4"/>
    <w:rsid w:val="00C76D66"/>
    <w:rsid w:val="00C76F1F"/>
    <w:rsid w:val="00C77079"/>
    <w:rsid w:val="00C7793F"/>
    <w:rsid w:val="00C77A74"/>
    <w:rsid w:val="00C77D25"/>
    <w:rsid w:val="00C77FCB"/>
    <w:rsid w:val="00C80496"/>
    <w:rsid w:val="00C807C6"/>
    <w:rsid w:val="00C80E9C"/>
    <w:rsid w:val="00C811CA"/>
    <w:rsid w:val="00C816B1"/>
    <w:rsid w:val="00C820FC"/>
    <w:rsid w:val="00C825B1"/>
    <w:rsid w:val="00C8287F"/>
    <w:rsid w:val="00C83346"/>
    <w:rsid w:val="00C8391B"/>
    <w:rsid w:val="00C83A48"/>
    <w:rsid w:val="00C85016"/>
    <w:rsid w:val="00C85475"/>
    <w:rsid w:val="00C85865"/>
    <w:rsid w:val="00C85CCC"/>
    <w:rsid w:val="00C85E85"/>
    <w:rsid w:val="00C8650C"/>
    <w:rsid w:val="00C86882"/>
    <w:rsid w:val="00C868B3"/>
    <w:rsid w:val="00C87B55"/>
    <w:rsid w:val="00C92830"/>
    <w:rsid w:val="00C92C0E"/>
    <w:rsid w:val="00C92C24"/>
    <w:rsid w:val="00C9306D"/>
    <w:rsid w:val="00C93517"/>
    <w:rsid w:val="00C937C3"/>
    <w:rsid w:val="00C94E16"/>
    <w:rsid w:val="00C953F1"/>
    <w:rsid w:val="00C95405"/>
    <w:rsid w:val="00C959E2"/>
    <w:rsid w:val="00C95AD7"/>
    <w:rsid w:val="00C95B4C"/>
    <w:rsid w:val="00C95EE4"/>
    <w:rsid w:val="00C9650F"/>
    <w:rsid w:val="00C968A1"/>
    <w:rsid w:val="00C96AED"/>
    <w:rsid w:val="00C9753D"/>
    <w:rsid w:val="00C97786"/>
    <w:rsid w:val="00C97FAF"/>
    <w:rsid w:val="00CA0211"/>
    <w:rsid w:val="00CA0448"/>
    <w:rsid w:val="00CA06BA"/>
    <w:rsid w:val="00CA1383"/>
    <w:rsid w:val="00CA1469"/>
    <w:rsid w:val="00CA2534"/>
    <w:rsid w:val="00CA2575"/>
    <w:rsid w:val="00CA2C48"/>
    <w:rsid w:val="00CA2D42"/>
    <w:rsid w:val="00CA2EAE"/>
    <w:rsid w:val="00CA2FFD"/>
    <w:rsid w:val="00CA359E"/>
    <w:rsid w:val="00CA39C4"/>
    <w:rsid w:val="00CA41E7"/>
    <w:rsid w:val="00CA45DF"/>
    <w:rsid w:val="00CA4AC1"/>
    <w:rsid w:val="00CA4C60"/>
    <w:rsid w:val="00CA4F26"/>
    <w:rsid w:val="00CA50ED"/>
    <w:rsid w:val="00CA5127"/>
    <w:rsid w:val="00CA597D"/>
    <w:rsid w:val="00CA59FB"/>
    <w:rsid w:val="00CA5A62"/>
    <w:rsid w:val="00CA5B09"/>
    <w:rsid w:val="00CA5B4B"/>
    <w:rsid w:val="00CA65AB"/>
    <w:rsid w:val="00CA67CA"/>
    <w:rsid w:val="00CA696B"/>
    <w:rsid w:val="00CA6F91"/>
    <w:rsid w:val="00CA7306"/>
    <w:rsid w:val="00CA76F5"/>
    <w:rsid w:val="00CA7EA0"/>
    <w:rsid w:val="00CB0316"/>
    <w:rsid w:val="00CB097B"/>
    <w:rsid w:val="00CB0B11"/>
    <w:rsid w:val="00CB1327"/>
    <w:rsid w:val="00CB167F"/>
    <w:rsid w:val="00CB175A"/>
    <w:rsid w:val="00CB1DBA"/>
    <w:rsid w:val="00CB22C8"/>
    <w:rsid w:val="00CB23B5"/>
    <w:rsid w:val="00CB27C4"/>
    <w:rsid w:val="00CB29D2"/>
    <w:rsid w:val="00CB2D38"/>
    <w:rsid w:val="00CB3702"/>
    <w:rsid w:val="00CB3E41"/>
    <w:rsid w:val="00CB3F50"/>
    <w:rsid w:val="00CB3F72"/>
    <w:rsid w:val="00CB3FF0"/>
    <w:rsid w:val="00CB426A"/>
    <w:rsid w:val="00CB4A69"/>
    <w:rsid w:val="00CB4D2C"/>
    <w:rsid w:val="00CB51E0"/>
    <w:rsid w:val="00CB528D"/>
    <w:rsid w:val="00CB5353"/>
    <w:rsid w:val="00CB5354"/>
    <w:rsid w:val="00CB62CE"/>
    <w:rsid w:val="00CB6AE6"/>
    <w:rsid w:val="00CB6F07"/>
    <w:rsid w:val="00CB7A57"/>
    <w:rsid w:val="00CC05FE"/>
    <w:rsid w:val="00CC0FB8"/>
    <w:rsid w:val="00CC1A68"/>
    <w:rsid w:val="00CC2148"/>
    <w:rsid w:val="00CC2648"/>
    <w:rsid w:val="00CC297C"/>
    <w:rsid w:val="00CC3157"/>
    <w:rsid w:val="00CC3C9E"/>
    <w:rsid w:val="00CC4239"/>
    <w:rsid w:val="00CC4B1D"/>
    <w:rsid w:val="00CC4CB7"/>
    <w:rsid w:val="00CC500E"/>
    <w:rsid w:val="00CC5275"/>
    <w:rsid w:val="00CC558B"/>
    <w:rsid w:val="00CC5A5C"/>
    <w:rsid w:val="00CC6A14"/>
    <w:rsid w:val="00CC6A63"/>
    <w:rsid w:val="00CC70A3"/>
    <w:rsid w:val="00CC7DE1"/>
    <w:rsid w:val="00CD073C"/>
    <w:rsid w:val="00CD0778"/>
    <w:rsid w:val="00CD097B"/>
    <w:rsid w:val="00CD0A54"/>
    <w:rsid w:val="00CD1186"/>
    <w:rsid w:val="00CD19A9"/>
    <w:rsid w:val="00CD1C11"/>
    <w:rsid w:val="00CD2165"/>
    <w:rsid w:val="00CD274D"/>
    <w:rsid w:val="00CD2CDF"/>
    <w:rsid w:val="00CD30C1"/>
    <w:rsid w:val="00CD320D"/>
    <w:rsid w:val="00CD4442"/>
    <w:rsid w:val="00CD448B"/>
    <w:rsid w:val="00CD4F22"/>
    <w:rsid w:val="00CD53C3"/>
    <w:rsid w:val="00CD574E"/>
    <w:rsid w:val="00CD63EB"/>
    <w:rsid w:val="00CD6591"/>
    <w:rsid w:val="00CD6F52"/>
    <w:rsid w:val="00CD7262"/>
    <w:rsid w:val="00CD73D3"/>
    <w:rsid w:val="00CD7889"/>
    <w:rsid w:val="00CD7AE9"/>
    <w:rsid w:val="00CD7E06"/>
    <w:rsid w:val="00CE0619"/>
    <w:rsid w:val="00CE10CB"/>
    <w:rsid w:val="00CE1669"/>
    <w:rsid w:val="00CE1C10"/>
    <w:rsid w:val="00CE2B74"/>
    <w:rsid w:val="00CE2E4C"/>
    <w:rsid w:val="00CE3C83"/>
    <w:rsid w:val="00CE41C0"/>
    <w:rsid w:val="00CE4C22"/>
    <w:rsid w:val="00CE5179"/>
    <w:rsid w:val="00CE53D8"/>
    <w:rsid w:val="00CE5806"/>
    <w:rsid w:val="00CE5865"/>
    <w:rsid w:val="00CE5998"/>
    <w:rsid w:val="00CE634F"/>
    <w:rsid w:val="00CE64B7"/>
    <w:rsid w:val="00CE71F5"/>
    <w:rsid w:val="00CE7341"/>
    <w:rsid w:val="00CE7366"/>
    <w:rsid w:val="00CE76E5"/>
    <w:rsid w:val="00CE7831"/>
    <w:rsid w:val="00CE7AC4"/>
    <w:rsid w:val="00CE7F8B"/>
    <w:rsid w:val="00CF001D"/>
    <w:rsid w:val="00CF05E1"/>
    <w:rsid w:val="00CF09E3"/>
    <w:rsid w:val="00CF12D4"/>
    <w:rsid w:val="00CF1386"/>
    <w:rsid w:val="00CF1539"/>
    <w:rsid w:val="00CF25A9"/>
    <w:rsid w:val="00CF3675"/>
    <w:rsid w:val="00CF39A2"/>
    <w:rsid w:val="00CF3D35"/>
    <w:rsid w:val="00CF3E11"/>
    <w:rsid w:val="00CF41EC"/>
    <w:rsid w:val="00CF44E6"/>
    <w:rsid w:val="00CF484A"/>
    <w:rsid w:val="00CF4987"/>
    <w:rsid w:val="00CF4F81"/>
    <w:rsid w:val="00CF501D"/>
    <w:rsid w:val="00CF50CE"/>
    <w:rsid w:val="00CF56BC"/>
    <w:rsid w:val="00CF5D04"/>
    <w:rsid w:val="00CF5DDA"/>
    <w:rsid w:val="00CF5FA5"/>
    <w:rsid w:val="00CF6D83"/>
    <w:rsid w:val="00CF703C"/>
    <w:rsid w:val="00CF7BBD"/>
    <w:rsid w:val="00CF7D2D"/>
    <w:rsid w:val="00CF7F9A"/>
    <w:rsid w:val="00D00155"/>
    <w:rsid w:val="00D008AD"/>
    <w:rsid w:val="00D00921"/>
    <w:rsid w:val="00D00B7A"/>
    <w:rsid w:val="00D00E03"/>
    <w:rsid w:val="00D01E99"/>
    <w:rsid w:val="00D02584"/>
    <w:rsid w:val="00D028BC"/>
    <w:rsid w:val="00D031EA"/>
    <w:rsid w:val="00D0334F"/>
    <w:rsid w:val="00D03A27"/>
    <w:rsid w:val="00D03E8C"/>
    <w:rsid w:val="00D042DE"/>
    <w:rsid w:val="00D043BD"/>
    <w:rsid w:val="00D04DE4"/>
    <w:rsid w:val="00D05132"/>
    <w:rsid w:val="00D053BC"/>
    <w:rsid w:val="00D057DA"/>
    <w:rsid w:val="00D05973"/>
    <w:rsid w:val="00D05EF6"/>
    <w:rsid w:val="00D06004"/>
    <w:rsid w:val="00D060F1"/>
    <w:rsid w:val="00D06205"/>
    <w:rsid w:val="00D063E9"/>
    <w:rsid w:val="00D063F1"/>
    <w:rsid w:val="00D06603"/>
    <w:rsid w:val="00D073BA"/>
    <w:rsid w:val="00D0748A"/>
    <w:rsid w:val="00D07522"/>
    <w:rsid w:val="00D1023D"/>
    <w:rsid w:val="00D109E9"/>
    <w:rsid w:val="00D109EB"/>
    <w:rsid w:val="00D10DC7"/>
    <w:rsid w:val="00D113F4"/>
    <w:rsid w:val="00D11FD9"/>
    <w:rsid w:val="00D12701"/>
    <w:rsid w:val="00D12E96"/>
    <w:rsid w:val="00D1376D"/>
    <w:rsid w:val="00D13B41"/>
    <w:rsid w:val="00D13BB8"/>
    <w:rsid w:val="00D13DF2"/>
    <w:rsid w:val="00D14082"/>
    <w:rsid w:val="00D14F22"/>
    <w:rsid w:val="00D1554F"/>
    <w:rsid w:val="00D16FA3"/>
    <w:rsid w:val="00D17604"/>
    <w:rsid w:val="00D17680"/>
    <w:rsid w:val="00D176C8"/>
    <w:rsid w:val="00D204CB"/>
    <w:rsid w:val="00D205C4"/>
    <w:rsid w:val="00D20CB2"/>
    <w:rsid w:val="00D20FA8"/>
    <w:rsid w:val="00D21600"/>
    <w:rsid w:val="00D21661"/>
    <w:rsid w:val="00D216FA"/>
    <w:rsid w:val="00D21E9F"/>
    <w:rsid w:val="00D21FAA"/>
    <w:rsid w:val="00D2200F"/>
    <w:rsid w:val="00D2223A"/>
    <w:rsid w:val="00D22C69"/>
    <w:rsid w:val="00D22DA3"/>
    <w:rsid w:val="00D230BC"/>
    <w:rsid w:val="00D2409A"/>
    <w:rsid w:val="00D243E5"/>
    <w:rsid w:val="00D24924"/>
    <w:rsid w:val="00D24AC7"/>
    <w:rsid w:val="00D24C62"/>
    <w:rsid w:val="00D257AD"/>
    <w:rsid w:val="00D25F56"/>
    <w:rsid w:val="00D2656A"/>
    <w:rsid w:val="00D267A5"/>
    <w:rsid w:val="00D26CBD"/>
    <w:rsid w:val="00D26D71"/>
    <w:rsid w:val="00D26F89"/>
    <w:rsid w:val="00D27AC3"/>
    <w:rsid w:val="00D3034B"/>
    <w:rsid w:val="00D30356"/>
    <w:rsid w:val="00D306CC"/>
    <w:rsid w:val="00D31157"/>
    <w:rsid w:val="00D31790"/>
    <w:rsid w:val="00D3197A"/>
    <w:rsid w:val="00D31CB8"/>
    <w:rsid w:val="00D323DD"/>
    <w:rsid w:val="00D32980"/>
    <w:rsid w:val="00D32A96"/>
    <w:rsid w:val="00D33DCA"/>
    <w:rsid w:val="00D3409C"/>
    <w:rsid w:val="00D348B7"/>
    <w:rsid w:val="00D35A75"/>
    <w:rsid w:val="00D35D37"/>
    <w:rsid w:val="00D35E30"/>
    <w:rsid w:val="00D362FA"/>
    <w:rsid w:val="00D36371"/>
    <w:rsid w:val="00D365DD"/>
    <w:rsid w:val="00D368F9"/>
    <w:rsid w:val="00D36C8A"/>
    <w:rsid w:val="00D37391"/>
    <w:rsid w:val="00D374A2"/>
    <w:rsid w:val="00D37A3A"/>
    <w:rsid w:val="00D37EE0"/>
    <w:rsid w:val="00D4012C"/>
    <w:rsid w:val="00D402AB"/>
    <w:rsid w:val="00D40BDD"/>
    <w:rsid w:val="00D40E22"/>
    <w:rsid w:val="00D4117A"/>
    <w:rsid w:val="00D4166C"/>
    <w:rsid w:val="00D4191A"/>
    <w:rsid w:val="00D4227B"/>
    <w:rsid w:val="00D42B41"/>
    <w:rsid w:val="00D42C7F"/>
    <w:rsid w:val="00D42D4F"/>
    <w:rsid w:val="00D4360F"/>
    <w:rsid w:val="00D437EB"/>
    <w:rsid w:val="00D438CC"/>
    <w:rsid w:val="00D43B6A"/>
    <w:rsid w:val="00D43BE5"/>
    <w:rsid w:val="00D4483F"/>
    <w:rsid w:val="00D4485F"/>
    <w:rsid w:val="00D44BC1"/>
    <w:rsid w:val="00D44BFE"/>
    <w:rsid w:val="00D450C8"/>
    <w:rsid w:val="00D46100"/>
    <w:rsid w:val="00D4618F"/>
    <w:rsid w:val="00D467CF"/>
    <w:rsid w:val="00D468F8"/>
    <w:rsid w:val="00D46EA3"/>
    <w:rsid w:val="00D47356"/>
    <w:rsid w:val="00D4741C"/>
    <w:rsid w:val="00D47809"/>
    <w:rsid w:val="00D47AC4"/>
    <w:rsid w:val="00D50516"/>
    <w:rsid w:val="00D50B18"/>
    <w:rsid w:val="00D50B45"/>
    <w:rsid w:val="00D50F97"/>
    <w:rsid w:val="00D5131B"/>
    <w:rsid w:val="00D5197B"/>
    <w:rsid w:val="00D51A04"/>
    <w:rsid w:val="00D52258"/>
    <w:rsid w:val="00D5262B"/>
    <w:rsid w:val="00D52841"/>
    <w:rsid w:val="00D5297B"/>
    <w:rsid w:val="00D52DB9"/>
    <w:rsid w:val="00D5306F"/>
    <w:rsid w:val="00D53449"/>
    <w:rsid w:val="00D5357E"/>
    <w:rsid w:val="00D53BEE"/>
    <w:rsid w:val="00D54D65"/>
    <w:rsid w:val="00D5525D"/>
    <w:rsid w:val="00D5539F"/>
    <w:rsid w:val="00D56D4C"/>
    <w:rsid w:val="00D5714F"/>
    <w:rsid w:val="00D57889"/>
    <w:rsid w:val="00D57918"/>
    <w:rsid w:val="00D5793E"/>
    <w:rsid w:val="00D57E70"/>
    <w:rsid w:val="00D60276"/>
    <w:rsid w:val="00D602E2"/>
    <w:rsid w:val="00D611A6"/>
    <w:rsid w:val="00D617E1"/>
    <w:rsid w:val="00D61A80"/>
    <w:rsid w:val="00D62250"/>
    <w:rsid w:val="00D62605"/>
    <w:rsid w:val="00D6291B"/>
    <w:rsid w:val="00D629F6"/>
    <w:rsid w:val="00D62CA5"/>
    <w:rsid w:val="00D62F7F"/>
    <w:rsid w:val="00D63156"/>
    <w:rsid w:val="00D63823"/>
    <w:rsid w:val="00D63CF1"/>
    <w:rsid w:val="00D63DB4"/>
    <w:rsid w:val="00D63FA8"/>
    <w:rsid w:val="00D642E7"/>
    <w:rsid w:val="00D64FA3"/>
    <w:rsid w:val="00D651D5"/>
    <w:rsid w:val="00D66275"/>
    <w:rsid w:val="00D665B1"/>
    <w:rsid w:val="00D66CF3"/>
    <w:rsid w:val="00D672CE"/>
    <w:rsid w:val="00D67817"/>
    <w:rsid w:val="00D711A5"/>
    <w:rsid w:val="00D71486"/>
    <w:rsid w:val="00D71E3F"/>
    <w:rsid w:val="00D72F9B"/>
    <w:rsid w:val="00D73B96"/>
    <w:rsid w:val="00D73D04"/>
    <w:rsid w:val="00D73DC6"/>
    <w:rsid w:val="00D73E6C"/>
    <w:rsid w:val="00D744AE"/>
    <w:rsid w:val="00D74C1A"/>
    <w:rsid w:val="00D75215"/>
    <w:rsid w:val="00D754C1"/>
    <w:rsid w:val="00D75AA0"/>
    <w:rsid w:val="00D75CAB"/>
    <w:rsid w:val="00D76E52"/>
    <w:rsid w:val="00D77264"/>
    <w:rsid w:val="00D77393"/>
    <w:rsid w:val="00D77800"/>
    <w:rsid w:val="00D77844"/>
    <w:rsid w:val="00D77A2E"/>
    <w:rsid w:val="00D77A35"/>
    <w:rsid w:val="00D77B5E"/>
    <w:rsid w:val="00D77E1C"/>
    <w:rsid w:val="00D80EA3"/>
    <w:rsid w:val="00D81934"/>
    <w:rsid w:val="00D81991"/>
    <w:rsid w:val="00D81B10"/>
    <w:rsid w:val="00D81B3E"/>
    <w:rsid w:val="00D8218B"/>
    <w:rsid w:val="00D8230E"/>
    <w:rsid w:val="00D83AFA"/>
    <w:rsid w:val="00D85555"/>
    <w:rsid w:val="00D85623"/>
    <w:rsid w:val="00D85837"/>
    <w:rsid w:val="00D85903"/>
    <w:rsid w:val="00D86C86"/>
    <w:rsid w:val="00D87119"/>
    <w:rsid w:val="00D8743B"/>
    <w:rsid w:val="00D87894"/>
    <w:rsid w:val="00D9046C"/>
    <w:rsid w:val="00D90839"/>
    <w:rsid w:val="00D90C70"/>
    <w:rsid w:val="00D90E49"/>
    <w:rsid w:val="00D9137A"/>
    <w:rsid w:val="00D923DA"/>
    <w:rsid w:val="00D93042"/>
    <w:rsid w:val="00D93642"/>
    <w:rsid w:val="00D93A0D"/>
    <w:rsid w:val="00D93F51"/>
    <w:rsid w:val="00D94102"/>
    <w:rsid w:val="00D9415D"/>
    <w:rsid w:val="00D94802"/>
    <w:rsid w:val="00D94BA7"/>
    <w:rsid w:val="00D94F19"/>
    <w:rsid w:val="00D953E4"/>
    <w:rsid w:val="00D95985"/>
    <w:rsid w:val="00D95EA8"/>
    <w:rsid w:val="00D95EB7"/>
    <w:rsid w:val="00D96ADE"/>
    <w:rsid w:val="00D97556"/>
    <w:rsid w:val="00D975B0"/>
    <w:rsid w:val="00D97B35"/>
    <w:rsid w:val="00DA063E"/>
    <w:rsid w:val="00DA0778"/>
    <w:rsid w:val="00DA0A71"/>
    <w:rsid w:val="00DA0CE2"/>
    <w:rsid w:val="00DA16F9"/>
    <w:rsid w:val="00DA1748"/>
    <w:rsid w:val="00DA186F"/>
    <w:rsid w:val="00DA196D"/>
    <w:rsid w:val="00DA1B91"/>
    <w:rsid w:val="00DA2387"/>
    <w:rsid w:val="00DA2C0B"/>
    <w:rsid w:val="00DA315E"/>
    <w:rsid w:val="00DA39FC"/>
    <w:rsid w:val="00DA479E"/>
    <w:rsid w:val="00DA4A39"/>
    <w:rsid w:val="00DA4DC5"/>
    <w:rsid w:val="00DA5429"/>
    <w:rsid w:val="00DA55D3"/>
    <w:rsid w:val="00DA56B7"/>
    <w:rsid w:val="00DA5EEF"/>
    <w:rsid w:val="00DA63B5"/>
    <w:rsid w:val="00DA64EE"/>
    <w:rsid w:val="00DA671E"/>
    <w:rsid w:val="00DA6A50"/>
    <w:rsid w:val="00DA7187"/>
    <w:rsid w:val="00DA7677"/>
    <w:rsid w:val="00DA7B32"/>
    <w:rsid w:val="00DB1250"/>
    <w:rsid w:val="00DB13A3"/>
    <w:rsid w:val="00DB1E36"/>
    <w:rsid w:val="00DB1FF2"/>
    <w:rsid w:val="00DB2127"/>
    <w:rsid w:val="00DB2256"/>
    <w:rsid w:val="00DB2981"/>
    <w:rsid w:val="00DB3084"/>
    <w:rsid w:val="00DB333B"/>
    <w:rsid w:val="00DB36E8"/>
    <w:rsid w:val="00DB3824"/>
    <w:rsid w:val="00DB3CFD"/>
    <w:rsid w:val="00DB3DB1"/>
    <w:rsid w:val="00DB4C60"/>
    <w:rsid w:val="00DB5338"/>
    <w:rsid w:val="00DB57B1"/>
    <w:rsid w:val="00DB5FFA"/>
    <w:rsid w:val="00DB6269"/>
    <w:rsid w:val="00DB62FB"/>
    <w:rsid w:val="00DB6DF5"/>
    <w:rsid w:val="00DB7F4E"/>
    <w:rsid w:val="00DC00D0"/>
    <w:rsid w:val="00DC0717"/>
    <w:rsid w:val="00DC0887"/>
    <w:rsid w:val="00DC1A6C"/>
    <w:rsid w:val="00DC2EAD"/>
    <w:rsid w:val="00DC307E"/>
    <w:rsid w:val="00DC3650"/>
    <w:rsid w:val="00DC377A"/>
    <w:rsid w:val="00DC39D1"/>
    <w:rsid w:val="00DC3A01"/>
    <w:rsid w:val="00DC3F2F"/>
    <w:rsid w:val="00DC4BC2"/>
    <w:rsid w:val="00DC4FEF"/>
    <w:rsid w:val="00DC5483"/>
    <w:rsid w:val="00DC55EC"/>
    <w:rsid w:val="00DC560C"/>
    <w:rsid w:val="00DC6211"/>
    <w:rsid w:val="00DC63EB"/>
    <w:rsid w:val="00DC6532"/>
    <w:rsid w:val="00DC6793"/>
    <w:rsid w:val="00DC6A10"/>
    <w:rsid w:val="00DC70E2"/>
    <w:rsid w:val="00DC7507"/>
    <w:rsid w:val="00DC7668"/>
    <w:rsid w:val="00DC7764"/>
    <w:rsid w:val="00DC77D4"/>
    <w:rsid w:val="00DC7BF2"/>
    <w:rsid w:val="00DD072E"/>
    <w:rsid w:val="00DD0810"/>
    <w:rsid w:val="00DD0953"/>
    <w:rsid w:val="00DD0970"/>
    <w:rsid w:val="00DD0A92"/>
    <w:rsid w:val="00DD0EB9"/>
    <w:rsid w:val="00DD0FD5"/>
    <w:rsid w:val="00DD1158"/>
    <w:rsid w:val="00DD1349"/>
    <w:rsid w:val="00DD1BAE"/>
    <w:rsid w:val="00DD2442"/>
    <w:rsid w:val="00DD3618"/>
    <w:rsid w:val="00DD3E66"/>
    <w:rsid w:val="00DD3FFF"/>
    <w:rsid w:val="00DD40D7"/>
    <w:rsid w:val="00DD4220"/>
    <w:rsid w:val="00DD4871"/>
    <w:rsid w:val="00DD4916"/>
    <w:rsid w:val="00DD49EE"/>
    <w:rsid w:val="00DD4D55"/>
    <w:rsid w:val="00DD50B7"/>
    <w:rsid w:val="00DD52A8"/>
    <w:rsid w:val="00DD530C"/>
    <w:rsid w:val="00DD5774"/>
    <w:rsid w:val="00DD59E9"/>
    <w:rsid w:val="00DD645C"/>
    <w:rsid w:val="00DD7311"/>
    <w:rsid w:val="00DD73BC"/>
    <w:rsid w:val="00DD74A0"/>
    <w:rsid w:val="00DD7A22"/>
    <w:rsid w:val="00DD7AD5"/>
    <w:rsid w:val="00DD7E8F"/>
    <w:rsid w:val="00DE0713"/>
    <w:rsid w:val="00DE0CA1"/>
    <w:rsid w:val="00DE11DF"/>
    <w:rsid w:val="00DE1C68"/>
    <w:rsid w:val="00DE2207"/>
    <w:rsid w:val="00DE2963"/>
    <w:rsid w:val="00DE372B"/>
    <w:rsid w:val="00DE3E07"/>
    <w:rsid w:val="00DE3EAC"/>
    <w:rsid w:val="00DE4406"/>
    <w:rsid w:val="00DE47C1"/>
    <w:rsid w:val="00DE4AE1"/>
    <w:rsid w:val="00DE53A4"/>
    <w:rsid w:val="00DE5403"/>
    <w:rsid w:val="00DE58BE"/>
    <w:rsid w:val="00DE5AF3"/>
    <w:rsid w:val="00DE5BEA"/>
    <w:rsid w:val="00DE6562"/>
    <w:rsid w:val="00DE657E"/>
    <w:rsid w:val="00DE67EA"/>
    <w:rsid w:val="00DE691C"/>
    <w:rsid w:val="00DE6ED1"/>
    <w:rsid w:val="00DE70A9"/>
    <w:rsid w:val="00DE7909"/>
    <w:rsid w:val="00DE7BDE"/>
    <w:rsid w:val="00DF0BF5"/>
    <w:rsid w:val="00DF0D1A"/>
    <w:rsid w:val="00DF156F"/>
    <w:rsid w:val="00DF171F"/>
    <w:rsid w:val="00DF1EF9"/>
    <w:rsid w:val="00DF2112"/>
    <w:rsid w:val="00DF2448"/>
    <w:rsid w:val="00DF2A31"/>
    <w:rsid w:val="00DF2DAF"/>
    <w:rsid w:val="00DF33C2"/>
    <w:rsid w:val="00DF3F5D"/>
    <w:rsid w:val="00DF4704"/>
    <w:rsid w:val="00DF510A"/>
    <w:rsid w:val="00DF608B"/>
    <w:rsid w:val="00DF75D9"/>
    <w:rsid w:val="00DF787C"/>
    <w:rsid w:val="00E00393"/>
    <w:rsid w:val="00E00BF0"/>
    <w:rsid w:val="00E015D0"/>
    <w:rsid w:val="00E0191B"/>
    <w:rsid w:val="00E019C7"/>
    <w:rsid w:val="00E01BD7"/>
    <w:rsid w:val="00E01FBB"/>
    <w:rsid w:val="00E02093"/>
    <w:rsid w:val="00E021DF"/>
    <w:rsid w:val="00E024AA"/>
    <w:rsid w:val="00E02DC3"/>
    <w:rsid w:val="00E035C2"/>
    <w:rsid w:val="00E03AD8"/>
    <w:rsid w:val="00E03DEA"/>
    <w:rsid w:val="00E03F80"/>
    <w:rsid w:val="00E04179"/>
    <w:rsid w:val="00E045A5"/>
    <w:rsid w:val="00E049C7"/>
    <w:rsid w:val="00E04DE3"/>
    <w:rsid w:val="00E0596F"/>
    <w:rsid w:val="00E05A2A"/>
    <w:rsid w:val="00E05B28"/>
    <w:rsid w:val="00E060B6"/>
    <w:rsid w:val="00E06208"/>
    <w:rsid w:val="00E06636"/>
    <w:rsid w:val="00E06C29"/>
    <w:rsid w:val="00E06E98"/>
    <w:rsid w:val="00E06F8C"/>
    <w:rsid w:val="00E0700E"/>
    <w:rsid w:val="00E072B0"/>
    <w:rsid w:val="00E07843"/>
    <w:rsid w:val="00E07B9B"/>
    <w:rsid w:val="00E102E5"/>
    <w:rsid w:val="00E10482"/>
    <w:rsid w:val="00E1075F"/>
    <w:rsid w:val="00E10C29"/>
    <w:rsid w:val="00E10F7B"/>
    <w:rsid w:val="00E11369"/>
    <w:rsid w:val="00E1185C"/>
    <w:rsid w:val="00E12391"/>
    <w:rsid w:val="00E1297C"/>
    <w:rsid w:val="00E12C38"/>
    <w:rsid w:val="00E12E26"/>
    <w:rsid w:val="00E130D5"/>
    <w:rsid w:val="00E14159"/>
    <w:rsid w:val="00E142CA"/>
    <w:rsid w:val="00E14E0E"/>
    <w:rsid w:val="00E14E97"/>
    <w:rsid w:val="00E15069"/>
    <w:rsid w:val="00E155B7"/>
    <w:rsid w:val="00E159BD"/>
    <w:rsid w:val="00E15B6F"/>
    <w:rsid w:val="00E15C77"/>
    <w:rsid w:val="00E15D05"/>
    <w:rsid w:val="00E15D6D"/>
    <w:rsid w:val="00E15E3A"/>
    <w:rsid w:val="00E16177"/>
    <w:rsid w:val="00E16F52"/>
    <w:rsid w:val="00E16F94"/>
    <w:rsid w:val="00E1783A"/>
    <w:rsid w:val="00E20466"/>
    <w:rsid w:val="00E20631"/>
    <w:rsid w:val="00E206F9"/>
    <w:rsid w:val="00E2075A"/>
    <w:rsid w:val="00E2104C"/>
    <w:rsid w:val="00E210A1"/>
    <w:rsid w:val="00E221C3"/>
    <w:rsid w:val="00E22EA4"/>
    <w:rsid w:val="00E2309D"/>
    <w:rsid w:val="00E235FD"/>
    <w:rsid w:val="00E246ED"/>
    <w:rsid w:val="00E2480F"/>
    <w:rsid w:val="00E250F1"/>
    <w:rsid w:val="00E2510C"/>
    <w:rsid w:val="00E254ED"/>
    <w:rsid w:val="00E25F2B"/>
    <w:rsid w:val="00E264DC"/>
    <w:rsid w:val="00E2675A"/>
    <w:rsid w:val="00E2678C"/>
    <w:rsid w:val="00E2699D"/>
    <w:rsid w:val="00E270CB"/>
    <w:rsid w:val="00E27FEE"/>
    <w:rsid w:val="00E3001B"/>
    <w:rsid w:val="00E30110"/>
    <w:rsid w:val="00E313C7"/>
    <w:rsid w:val="00E313DD"/>
    <w:rsid w:val="00E31887"/>
    <w:rsid w:val="00E31B63"/>
    <w:rsid w:val="00E3219B"/>
    <w:rsid w:val="00E3235D"/>
    <w:rsid w:val="00E3257E"/>
    <w:rsid w:val="00E32919"/>
    <w:rsid w:val="00E3390B"/>
    <w:rsid w:val="00E3550D"/>
    <w:rsid w:val="00E355ED"/>
    <w:rsid w:val="00E356C7"/>
    <w:rsid w:val="00E35F86"/>
    <w:rsid w:val="00E36455"/>
    <w:rsid w:val="00E367C7"/>
    <w:rsid w:val="00E36B6C"/>
    <w:rsid w:val="00E36B91"/>
    <w:rsid w:val="00E36D64"/>
    <w:rsid w:val="00E370A8"/>
    <w:rsid w:val="00E37146"/>
    <w:rsid w:val="00E371E7"/>
    <w:rsid w:val="00E375E8"/>
    <w:rsid w:val="00E377AD"/>
    <w:rsid w:val="00E40398"/>
    <w:rsid w:val="00E40BE1"/>
    <w:rsid w:val="00E40C86"/>
    <w:rsid w:val="00E41613"/>
    <w:rsid w:val="00E41BF5"/>
    <w:rsid w:val="00E41EE7"/>
    <w:rsid w:val="00E42F14"/>
    <w:rsid w:val="00E4303D"/>
    <w:rsid w:val="00E430D7"/>
    <w:rsid w:val="00E43944"/>
    <w:rsid w:val="00E43CED"/>
    <w:rsid w:val="00E43DBD"/>
    <w:rsid w:val="00E44706"/>
    <w:rsid w:val="00E453C5"/>
    <w:rsid w:val="00E45A1F"/>
    <w:rsid w:val="00E45AF4"/>
    <w:rsid w:val="00E45CDA"/>
    <w:rsid w:val="00E45F58"/>
    <w:rsid w:val="00E461C1"/>
    <w:rsid w:val="00E467FA"/>
    <w:rsid w:val="00E47405"/>
    <w:rsid w:val="00E47A3D"/>
    <w:rsid w:val="00E47DAD"/>
    <w:rsid w:val="00E50838"/>
    <w:rsid w:val="00E50D13"/>
    <w:rsid w:val="00E51090"/>
    <w:rsid w:val="00E5109C"/>
    <w:rsid w:val="00E51451"/>
    <w:rsid w:val="00E5180A"/>
    <w:rsid w:val="00E5181D"/>
    <w:rsid w:val="00E519A6"/>
    <w:rsid w:val="00E51AAB"/>
    <w:rsid w:val="00E51D1B"/>
    <w:rsid w:val="00E5231A"/>
    <w:rsid w:val="00E52838"/>
    <w:rsid w:val="00E5285A"/>
    <w:rsid w:val="00E52DAD"/>
    <w:rsid w:val="00E52EB1"/>
    <w:rsid w:val="00E535FD"/>
    <w:rsid w:val="00E53651"/>
    <w:rsid w:val="00E537AD"/>
    <w:rsid w:val="00E53DFF"/>
    <w:rsid w:val="00E545D6"/>
    <w:rsid w:val="00E545EE"/>
    <w:rsid w:val="00E55239"/>
    <w:rsid w:val="00E55BDB"/>
    <w:rsid w:val="00E55C18"/>
    <w:rsid w:val="00E55F25"/>
    <w:rsid w:val="00E55F43"/>
    <w:rsid w:val="00E56A2F"/>
    <w:rsid w:val="00E57090"/>
    <w:rsid w:val="00E57454"/>
    <w:rsid w:val="00E57B75"/>
    <w:rsid w:val="00E607DB"/>
    <w:rsid w:val="00E6124A"/>
    <w:rsid w:val="00E61263"/>
    <w:rsid w:val="00E614E0"/>
    <w:rsid w:val="00E6222D"/>
    <w:rsid w:val="00E627BE"/>
    <w:rsid w:val="00E6281C"/>
    <w:rsid w:val="00E62FF2"/>
    <w:rsid w:val="00E634E8"/>
    <w:rsid w:val="00E63603"/>
    <w:rsid w:val="00E637A1"/>
    <w:rsid w:val="00E645F7"/>
    <w:rsid w:val="00E64BE8"/>
    <w:rsid w:val="00E65266"/>
    <w:rsid w:val="00E65E72"/>
    <w:rsid w:val="00E661AA"/>
    <w:rsid w:val="00E662CA"/>
    <w:rsid w:val="00E662E3"/>
    <w:rsid w:val="00E667F5"/>
    <w:rsid w:val="00E66AA9"/>
    <w:rsid w:val="00E66C44"/>
    <w:rsid w:val="00E66F44"/>
    <w:rsid w:val="00E6791C"/>
    <w:rsid w:val="00E6794B"/>
    <w:rsid w:val="00E70155"/>
    <w:rsid w:val="00E716A9"/>
    <w:rsid w:val="00E7216D"/>
    <w:rsid w:val="00E7252C"/>
    <w:rsid w:val="00E72E67"/>
    <w:rsid w:val="00E734FC"/>
    <w:rsid w:val="00E737B2"/>
    <w:rsid w:val="00E73DC2"/>
    <w:rsid w:val="00E73F7F"/>
    <w:rsid w:val="00E74C14"/>
    <w:rsid w:val="00E74C31"/>
    <w:rsid w:val="00E75032"/>
    <w:rsid w:val="00E753E8"/>
    <w:rsid w:val="00E75416"/>
    <w:rsid w:val="00E755F7"/>
    <w:rsid w:val="00E7560F"/>
    <w:rsid w:val="00E76297"/>
    <w:rsid w:val="00E762BF"/>
    <w:rsid w:val="00E76669"/>
    <w:rsid w:val="00E76CF1"/>
    <w:rsid w:val="00E77726"/>
    <w:rsid w:val="00E77D27"/>
    <w:rsid w:val="00E8087E"/>
    <w:rsid w:val="00E81163"/>
    <w:rsid w:val="00E81589"/>
    <w:rsid w:val="00E81CFE"/>
    <w:rsid w:val="00E81E8B"/>
    <w:rsid w:val="00E8226B"/>
    <w:rsid w:val="00E8240F"/>
    <w:rsid w:val="00E82809"/>
    <w:rsid w:val="00E82DAB"/>
    <w:rsid w:val="00E840BB"/>
    <w:rsid w:val="00E84115"/>
    <w:rsid w:val="00E8448F"/>
    <w:rsid w:val="00E8468F"/>
    <w:rsid w:val="00E84E34"/>
    <w:rsid w:val="00E85409"/>
    <w:rsid w:val="00E85E50"/>
    <w:rsid w:val="00E85F18"/>
    <w:rsid w:val="00E86246"/>
    <w:rsid w:val="00E8629A"/>
    <w:rsid w:val="00E8630C"/>
    <w:rsid w:val="00E864D3"/>
    <w:rsid w:val="00E86BAC"/>
    <w:rsid w:val="00E87208"/>
    <w:rsid w:val="00E8752A"/>
    <w:rsid w:val="00E903AE"/>
    <w:rsid w:val="00E91028"/>
    <w:rsid w:val="00E9174D"/>
    <w:rsid w:val="00E919F6"/>
    <w:rsid w:val="00E91DD3"/>
    <w:rsid w:val="00E9217F"/>
    <w:rsid w:val="00E926C8"/>
    <w:rsid w:val="00E92EF8"/>
    <w:rsid w:val="00E9332A"/>
    <w:rsid w:val="00E93393"/>
    <w:rsid w:val="00E935F8"/>
    <w:rsid w:val="00E93C88"/>
    <w:rsid w:val="00E94246"/>
    <w:rsid w:val="00E942AB"/>
    <w:rsid w:val="00E94801"/>
    <w:rsid w:val="00E95121"/>
    <w:rsid w:val="00E959B8"/>
    <w:rsid w:val="00E959BF"/>
    <w:rsid w:val="00E95A52"/>
    <w:rsid w:val="00E95E3E"/>
    <w:rsid w:val="00E96D41"/>
    <w:rsid w:val="00E971DC"/>
    <w:rsid w:val="00E973EF"/>
    <w:rsid w:val="00EA086C"/>
    <w:rsid w:val="00EA0ADF"/>
    <w:rsid w:val="00EA0B89"/>
    <w:rsid w:val="00EA0D10"/>
    <w:rsid w:val="00EA14A6"/>
    <w:rsid w:val="00EA28CB"/>
    <w:rsid w:val="00EA2FEC"/>
    <w:rsid w:val="00EA3E89"/>
    <w:rsid w:val="00EA41E8"/>
    <w:rsid w:val="00EA429F"/>
    <w:rsid w:val="00EA4F9E"/>
    <w:rsid w:val="00EA5284"/>
    <w:rsid w:val="00EA57A6"/>
    <w:rsid w:val="00EA5A36"/>
    <w:rsid w:val="00EA5E96"/>
    <w:rsid w:val="00EA5F9D"/>
    <w:rsid w:val="00EA6128"/>
    <w:rsid w:val="00EA63CA"/>
    <w:rsid w:val="00EA66E7"/>
    <w:rsid w:val="00EA6A0D"/>
    <w:rsid w:val="00EA6D3B"/>
    <w:rsid w:val="00EA6D89"/>
    <w:rsid w:val="00EA7197"/>
    <w:rsid w:val="00EB00AD"/>
    <w:rsid w:val="00EB0527"/>
    <w:rsid w:val="00EB0F17"/>
    <w:rsid w:val="00EB11FE"/>
    <w:rsid w:val="00EB136C"/>
    <w:rsid w:val="00EB13E8"/>
    <w:rsid w:val="00EB1B22"/>
    <w:rsid w:val="00EB1EB7"/>
    <w:rsid w:val="00EB260B"/>
    <w:rsid w:val="00EB2734"/>
    <w:rsid w:val="00EB278A"/>
    <w:rsid w:val="00EB2978"/>
    <w:rsid w:val="00EB2A74"/>
    <w:rsid w:val="00EB2F1B"/>
    <w:rsid w:val="00EB397D"/>
    <w:rsid w:val="00EB3997"/>
    <w:rsid w:val="00EB3A58"/>
    <w:rsid w:val="00EB3B9A"/>
    <w:rsid w:val="00EB40FD"/>
    <w:rsid w:val="00EB4207"/>
    <w:rsid w:val="00EB4213"/>
    <w:rsid w:val="00EB442A"/>
    <w:rsid w:val="00EB4583"/>
    <w:rsid w:val="00EB480E"/>
    <w:rsid w:val="00EB4A1A"/>
    <w:rsid w:val="00EB4CF3"/>
    <w:rsid w:val="00EB4D1B"/>
    <w:rsid w:val="00EB4F62"/>
    <w:rsid w:val="00EB4FFD"/>
    <w:rsid w:val="00EB537E"/>
    <w:rsid w:val="00EB5AC6"/>
    <w:rsid w:val="00EB5EC6"/>
    <w:rsid w:val="00EB5F1B"/>
    <w:rsid w:val="00EB612B"/>
    <w:rsid w:val="00EB6819"/>
    <w:rsid w:val="00EB691C"/>
    <w:rsid w:val="00EB69B6"/>
    <w:rsid w:val="00EB6B76"/>
    <w:rsid w:val="00EB7196"/>
    <w:rsid w:val="00EB7FC9"/>
    <w:rsid w:val="00EC0315"/>
    <w:rsid w:val="00EC09F6"/>
    <w:rsid w:val="00EC112E"/>
    <w:rsid w:val="00EC2027"/>
    <w:rsid w:val="00EC25CC"/>
    <w:rsid w:val="00EC30E0"/>
    <w:rsid w:val="00EC3561"/>
    <w:rsid w:val="00EC3A17"/>
    <w:rsid w:val="00EC3A56"/>
    <w:rsid w:val="00EC4271"/>
    <w:rsid w:val="00EC4C8A"/>
    <w:rsid w:val="00EC4E1D"/>
    <w:rsid w:val="00EC5083"/>
    <w:rsid w:val="00EC5BAF"/>
    <w:rsid w:val="00EC6021"/>
    <w:rsid w:val="00EC625F"/>
    <w:rsid w:val="00EC68A5"/>
    <w:rsid w:val="00EC6D29"/>
    <w:rsid w:val="00EC6D59"/>
    <w:rsid w:val="00EC70D1"/>
    <w:rsid w:val="00EC744E"/>
    <w:rsid w:val="00EC7D1F"/>
    <w:rsid w:val="00ED036E"/>
    <w:rsid w:val="00ED064D"/>
    <w:rsid w:val="00ED077F"/>
    <w:rsid w:val="00ED09E7"/>
    <w:rsid w:val="00ED0EB1"/>
    <w:rsid w:val="00ED1ACA"/>
    <w:rsid w:val="00ED26EE"/>
    <w:rsid w:val="00ED27E8"/>
    <w:rsid w:val="00ED2878"/>
    <w:rsid w:val="00ED2907"/>
    <w:rsid w:val="00ED35D7"/>
    <w:rsid w:val="00ED43D9"/>
    <w:rsid w:val="00ED44F9"/>
    <w:rsid w:val="00ED48FF"/>
    <w:rsid w:val="00ED4A39"/>
    <w:rsid w:val="00ED4B31"/>
    <w:rsid w:val="00ED4D08"/>
    <w:rsid w:val="00ED59C2"/>
    <w:rsid w:val="00ED5C84"/>
    <w:rsid w:val="00ED5D92"/>
    <w:rsid w:val="00ED5E78"/>
    <w:rsid w:val="00ED65DE"/>
    <w:rsid w:val="00ED664E"/>
    <w:rsid w:val="00ED67F7"/>
    <w:rsid w:val="00ED6C22"/>
    <w:rsid w:val="00ED700D"/>
    <w:rsid w:val="00ED7137"/>
    <w:rsid w:val="00ED73EF"/>
    <w:rsid w:val="00ED766A"/>
    <w:rsid w:val="00ED76D4"/>
    <w:rsid w:val="00ED7EDC"/>
    <w:rsid w:val="00EE0101"/>
    <w:rsid w:val="00EE08AA"/>
    <w:rsid w:val="00EE150F"/>
    <w:rsid w:val="00EE1977"/>
    <w:rsid w:val="00EE1AD6"/>
    <w:rsid w:val="00EE1CC2"/>
    <w:rsid w:val="00EE29D7"/>
    <w:rsid w:val="00EE2FA2"/>
    <w:rsid w:val="00EE31BF"/>
    <w:rsid w:val="00EE352A"/>
    <w:rsid w:val="00EE4161"/>
    <w:rsid w:val="00EE48E3"/>
    <w:rsid w:val="00EE4A00"/>
    <w:rsid w:val="00EE56D5"/>
    <w:rsid w:val="00EE5BB6"/>
    <w:rsid w:val="00EE5C75"/>
    <w:rsid w:val="00EE5DF4"/>
    <w:rsid w:val="00EE5F19"/>
    <w:rsid w:val="00EE5FF5"/>
    <w:rsid w:val="00EE66AA"/>
    <w:rsid w:val="00EE67A5"/>
    <w:rsid w:val="00EE702E"/>
    <w:rsid w:val="00EE7A5E"/>
    <w:rsid w:val="00EF06EA"/>
    <w:rsid w:val="00EF0A95"/>
    <w:rsid w:val="00EF0CFF"/>
    <w:rsid w:val="00EF0E0F"/>
    <w:rsid w:val="00EF0E72"/>
    <w:rsid w:val="00EF12EE"/>
    <w:rsid w:val="00EF1970"/>
    <w:rsid w:val="00EF1A37"/>
    <w:rsid w:val="00EF1C60"/>
    <w:rsid w:val="00EF1C85"/>
    <w:rsid w:val="00EF1D08"/>
    <w:rsid w:val="00EF217D"/>
    <w:rsid w:val="00EF28EF"/>
    <w:rsid w:val="00EF2911"/>
    <w:rsid w:val="00EF2D96"/>
    <w:rsid w:val="00EF304E"/>
    <w:rsid w:val="00EF40DD"/>
    <w:rsid w:val="00EF46DA"/>
    <w:rsid w:val="00EF48DD"/>
    <w:rsid w:val="00EF4B0C"/>
    <w:rsid w:val="00EF5114"/>
    <w:rsid w:val="00EF667C"/>
    <w:rsid w:val="00EF691C"/>
    <w:rsid w:val="00EF6C05"/>
    <w:rsid w:val="00EF703E"/>
    <w:rsid w:val="00EF75CC"/>
    <w:rsid w:val="00EF7662"/>
    <w:rsid w:val="00EF7906"/>
    <w:rsid w:val="00EF7CAF"/>
    <w:rsid w:val="00F00C54"/>
    <w:rsid w:val="00F00D8C"/>
    <w:rsid w:val="00F01B62"/>
    <w:rsid w:val="00F01C8D"/>
    <w:rsid w:val="00F01DE7"/>
    <w:rsid w:val="00F023BE"/>
    <w:rsid w:val="00F024A1"/>
    <w:rsid w:val="00F03480"/>
    <w:rsid w:val="00F03EA5"/>
    <w:rsid w:val="00F0549A"/>
    <w:rsid w:val="00F0558C"/>
    <w:rsid w:val="00F05595"/>
    <w:rsid w:val="00F05B0F"/>
    <w:rsid w:val="00F05C16"/>
    <w:rsid w:val="00F06373"/>
    <w:rsid w:val="00F0659D"/>
    <w:rsid w:val="00F06A26"/>
    <w:rsid w:val="00F07604"/>
    <w:rsid w:val="00F07DBD"/>
    <w:rsid w:val="00F105E5"/>
    <w:rsid w:val="00F10774"/>
    <w:rsid w:val="00F10BE8"/>
    <w:rsid w:val="00F11382"/>
    <w:rsid w:val="00F11459"/>
    <w:rsid w:val="00F115E2"/>
    <w:rsid w:val="00F119E5"/>
    <w:rsid w:val="00F11E67"/>
    <w:rsid w:val="00F1216E"/>
    <w:rsid w:val="00F12215"/>
    <w:rsid w:val="00F12822"/>
    <w:rsid w:val="00F12AD4"/>
    <w:rsid w:val="00F131B3"/>
    <w:rsid w:val="00F13310"/>
    <w:rsid w:val="00F1332B"/>
    <w:rsid w:val="00F13363"/>
    <w:rsid w:val="00F1367F"/>
    <w:rsid w:val="00F13E2C"/>
    <w:rsid w:val="00F1441A"/>
    <w:rsid w:val="00F14EC2"/>
    <w:rsid w:val="00F14F77"/>
    <w:rsid w:val="00F1519B"/>
    <w:rsid w:val="00F15F67"/>
    <w:rsid w:val="00F1601F"/>
    <w:rsid w:val="00F16229"/>
    <w:rsid w:val="00F163A7"/>
    <w:rsid w:val="00F16639"/>
    <w:rsid w:val="00F169BD"/>
    <w:rsid w:val="00F1729A"/>
    <w:rsid w:val="00F172CA"/>
    <w:rsid w:val="00F17D08"/>
    <w:rsid w:val="00F17D6E"/>
    <w:rsid w:val="00F20DB3"/>
    <w:rsid w:val="00F21088"/>
    <w:rsid w:val="00F215DA"/>
    <w:rsid w:val="00F218C2"/>
    <w:rsid w:val="00F22651"/>
    <w:rsid w:val="00F2271A"/>
    <w:rsid w:val="00F22EAB"/>
    <w:rsid w:val="00F22EF9"/>
    <w:rsid w:val="00F2325E"/>
    <w:rsid w:val="00F235FA"/>
    <w:rsid w:val="00F23CF5"/>
    <w:rsid w:val="00F24673"/>
    <w:rsid w:val="00F25049"/>
    <w:rsid w:val="00F25326"/>
    <w:rsid w:val="00F25439"/>
    <w:rsid w:val="00F25EA0"/>
    <w:rsid w:val="00F2676A"/>
    <w:rsid w:val="00F26A72"/>
    <w:rsid w:val="00F26BBF"/>
    <w:rsid w:val="00F274D0"/>
    <w:rsid w:val="00F2766D"/>
    <w:rsid w:val="00F279BE"/>
    <w:rsid w:val="00F27E84"/>
    <w:rsid w:val="00F304B9"/>
    <w:rsid w:val="00F307FA"/>
    <w:rsid w:val="00F30848"/>
    <w:rsid w:val="00F30B24"/>
    <w:rsid w:val="00F30B91"/>
    <w:rsid w:val="00F30C11"/>
    <w:rsid w:val="00F31284"/>
    <w:rsid w:val="00F31313"/>
    <w:rsid w:val="00F31768"/>
    <w:rsid w:val="00F32165"/>
    <w:rsid w:val="00F326BF"/>
    <w:rsid w:val="00F3275B"/>
    <w:rsid w:val="00F327E7"/>
    <w:rsid w:val="00F32B03"/>
    <w:rsid w:val="00F32EA9"/>
    <w:rsid w:val="00F3397D"/>
    <w:rsid w:val="00F341BA"/>
    <w:rsid w:val="00F34608"/>
    <w:rsid w:val="00F346AA"/>
    <w:rsid w:val="00F34C66"/>
    <w:rsid w:val="00F34CD8"/>
    <w:rsid w:val="00F35746"/>
    <w:rsid w:val="00F35B3A"/>
    <w:rsid w:val="00F35E83"/>
    <w:rsid w:val="00F36C9C"/>
    <w:rsid w:val="00F37225"/>
    <w:rsid w:val="00F374C8"/>
    <w:rsid w:val="00F374DA"/>
    <w:rsid w:val="00F37E29"/>
    <w:rsid w:val="00F37F04"/>
    <w:rsid w:val="00F37F0E"/>
    <w:rsid w:val="00F40042"/>
    <w:rsid w:val="00F40314"/>
    <w:rsid w:val="00F40556"/>
    <w:rsid w:val="00F41399"/>
    <w:rsid w:val="00F41C0A"/>
    <w:rsid w:val="00F41EDF"/>
    <w:rsid w:val="00F42026"/>
    <w:rsid w:val="00F4232E"/>
    <w:rsid w:val="00F4274C"/>
    <w:rsid w:val="00F42832"/>
    <w:rsid w:val="00F42894"/>
    <w:rsid w:val="00F42F46"/>
    <w:rsid w:val="00F43063"/>
    <w:rsid w:val="00F43B97"/>
    <w:rsid w:val="00F447C7"/>
    <w:rsid w:val="00F44E66"/>
    <w:rsid w:val="00F45566"/>
    <w:rsid w:val="00F459B4"/>
    <w:rsid w:val="00F459FD"/>
    <w:rsid w:val="00F46366"/>
    <w:rsid w:val="00F4693D"/>
    <w:rsid w:val="00F46A88"/>
    <w:rsid w:val="00F46BC1"/>
    <w:rsid w:val="00F46E3F"/>
    <w:rsid w:val="00F46E97"/>
    <w:rsid w:val="00F472EA"/>
    <w:rsid w:val="00F47C6C"/>
    <w:rsid w:val="00F47D4B"/>
    <w:rsid w:val="00F50C36"/>
    <w:rsid w:val="00F50D65"/>
    <w:rsid w:val="00F50F1B"/>
    <w:rsid w:val="00F50FEE"/>
    <w:rsid w:val="00F512DB"/>
    <w:rsid w:val="00F51A85"/>
    <w:rsid w:val="00F51F97"/>
    <w:rsid w:val="00F5211B"/>
    <w:rsid w:val="00F52C0C"/>
    <w:rsid w:val="00F5300F"/>
    <w:rsid w:val="00F5360A"/>
    <w:rsid w:val="00F53FF5"/>
    <w:rsid w:val="00F546A1"/>
    <w:rsid w:val="00F54735"/>
    <w:rsid w:val="00F54DB9"/>
    <w:rsid w:val="00F54F9B"/>
    <w:rsid w:val="00F55139"/>
    <w:rsid w:val="00F554A9"/>
    <w:rsid w:val="00F55BC2"/>
    <w:rsid w:val="00F55E66"/>
    <w:rsid w:val="00F57D81"/>
    <w:rsid w:val="00F57F26"/>
    <w:rsid w:val="00F60265"/>
    <w:rsid w:val="00F60D27"/>
    <w:rsid w:val="00F60D89"/>
    <w:rsid w:val="00F626D4"/>
    <w:rsid w:val="00F62A4C"/>
    <w:rsid w:val="00F630B5"/>
    <w:rsid w:val="00F63DB1"/>
    <w:rsid w:val="00F63DC4"/>
    <w:rsid w:val="00F6464A"/>
    <w:rsid w:val="00F64BCF"/>
    <w:rsid w:val="00F64DE4"/>
    <w:rsid w:val="00F65157"/>
    <w:rsid w:val="00F654C2"/>
    <w:rsid w:val="00F65A40"/>
    <w:rsid w:val="00F65B6B"/>
    <w:rsid w:val="00F66158"/>
    <w:rsid w:val="00F666A4"/>
    <w:rsid w:val="00F66C4A"/>
    <w:rsid w:val="00F66D0B"/>
    <w:rsid w:val="00F6787E"/>
    <w:rsid w:val="00F7014B"/>
    <w:rsid w:val="00F70492"/>
    <w:rsid w:val="00F7056B"/>
    <w:rsid w:val="00F706C4"/>
    <w:rsid w:val="00F7070F"/>
    <w:rsid w:val="00F716FD"/>
    <w:rsid w:val="00F7229C"/>
    <w:rsid w:val="00F724A9"/>
    <w:rsid w:val="00F726BD"/>
    <w:rsid w:val="00F72BE2"/>
    <w:rsid w:val="00F72E96"/>
    <w:rsid w:val="00F72FBC"/>
    <w:rsid w:val="00F73106"/>
    <w:rsid w:val="00F74697"/>
    <w:rsid w:val="00F746E6"/>
    <w:rsid w:val="00F74771"/>
    <w:rsid w:val="00F75145"/>
    <w:rsid w:val="00F75B22"/>
    <w:rsid w:val="00F75D61"/>
    <w:rsid w:val="00F75EDC"/>
    <w:rsid w:val="00F77058"/>
    <w:rsid w:val="00F77B60"/>
    <w:rsid w:val="00F80355"/>
    <w:rsid w:val="00F809BB"/>
    <w:rsid w:val="00F815F8"/>
    <w:rsid w:val="00F81DEF"/>
    <w:rsid w:val="00F8269A"/>
    <w:rsid w:val="00F83253"/>
    <w:rsid w:val="00F83674"/>
    <w:rsid w:val="00F840B0"/>
    <w:rsid w:val="00F84B3A"/>
    <w:rsid w:val="00F8501C"/>
    <w:rsid w:val="00F85415"/>
    <w:rsid w:val="00F85580"/>
    <w:rsid w:val="00F86E6D"/>
    <w:rsid w:val="00F87386"/>
    <w:rsid w:val="00F877C9"/>
    <w:rsid w:val="00F87C43"/>
    <w:rsid w:val="00F90BAF"/>
    <w:rsid w:val="00F91CB3"/>
    <w:rsid w:val="00F92B96"/>
    <w:rsid w:val="00F934A9"/>
    <w:rsid w:val="00F936D4"/>
    <w:rsid w:val="00F93EA1"/>
    <w:rsid w:val="00F94B9C"/>
    <w:rsid w:val="00F94E69"/>
    <w:rsid w:val="00F95A10"/>
    <w:rsid w:val="00F9643E"/>
    <w:rsid w:val="00F96CAA"/>
    <w:rsid w:val="00F9739F"/>
    <w:rsid w:val="00F97808"/>
    <w:rsid w:val="00F97939"/>
    <w:rsid w:val="00FA068F"/>
    <w:rsid w:val="00FA0735"/>
    <w:rsid w:val="00FA08CD"/>
    <w:rsid w:val="00FA11AB"/>
    <w:rsid w:val="00FA11B0"/>
    <w:rsid w:val="00FA1924"/>
    <w:rsid w:val="00FA21CD"/>
    <w:rsid w:val="00FA2702"/>
    <w:rsid w:val="00FA3C2E"/>
    <w:rsid w:val="00FA49AA"/>
    <w:rsid w:val="00FA4BC9"/>
    <w:rsid w:val="00FA4CC1"/>
    <w:rsid w:val="00FA4D71"/>
    <w:rsid w:val="00FA5197"/>
    <w:rsid w:val="00FA52DA"/>
    <w:rsid w:val="00FA56BC"/>
    <w:rsid w:val="00FA5722"/>
    <w:rsid w:val="00FA57B2"/>
    <w:rsid w:val="00FA59A2"/>
    <w:rsid w:val="00FA5A7E"/>
    <w:rsid w:val="00FA5C07"/>
    <w:rsid w:val="00FA5E1E"/>
    <w:rsid w:val="00FA5EBF"/>
    <w:rsid w:val="00FA6911"/>
    <w:rsid w:val="00FA6B1B"/>
    <w:rsid w:val="00FA6F7C"/>
    <w:rsid w:val="00FA73B2"/>
    <w:rsid w:val="00FA741C"/>
    <w:rsid w:val="00FA789F"/>
    <w:rsid w:val="00FB0824"/>
    <w:rsid w:val="00FB0C81"/>
    <w:rsid w:val="00FB16FA"/>
    <w:rsid w:val="00FB17D7"/>
    <w:rsid w:val="00FB1F6B"/>
    <w:rsid w:val="00FB23CE"/>
    <w:rsid w:val="00FB32AB"/>
    <w:rsid w:val="00FB3775"/>
    <w:rsid w:val="00FB3C18"/>
    <w:rsid w:val="00FB3C88"/>
    <w:rsid w:val="00FB478D"/>
    <w:rsid w:val="00FB4BFB"/>
    <w:rsid w:val="00FB51DD"/>
    <w:rsid w:val="00FB54E1"/>
    <w:rsid w:val="00FB58A2"/>
    <w:rsid w:val="00FB6FC6"/>
    <w:rsid w:val="00FB7EDE"/>
    <w:rsid w:val="00FB7FFE"/>
    <w:rsid w:val="00FC00DE"/>
    <w:rsid w:val="00FC066A"/>
    <w:rsid w:val="00FC1954"/>
    <w:rsid w:val="00FC1D50"/>
    <w:rsid w:val="00FC2200"/>
    <w:rsid w:val="00FC2540"/>
    <w:rsid w:val="00FC266E"/>
    <w:rsid w:val="00FC2EC1"/>
    <w:rsid w:val="00FC3531"/>
    <w:rsid w:val="00FC36FA"/>
    <w:rsid w:val="00FC3C03"/>
    <w:rsid w:val="00FC3CB4"/>
    <w:rsid w:val="00FC3E66"/>
    <w:rsid w:val="00FC44BC"/>
    <w:rsid w:val="00FC59C3"/>
    <w:rsid w:val="00FC5AEC"/>
    <w:rsid w:val="00FC78DE"/>
    <w:rsid w:val="00FC7A07"/>
    <w:rsid w:val="00FC7DD7"/>
    <w:rsid w:val="00FD01C6"/>
    <w:rsid w:val="00FD04A1"/>
    <w:rsid w:val="00FD070D"/>
    <w:rsid w:val="00FD07E5"/>
    <w:rsid w:val="00FD0AE8"/>
    <w:rsid w:val="00FD0C83"/>
    <w:rsid w:val="00FD21E8"/>
    <w:rsid w:val="00FD29D9"/>
    <w:rsid w:val="00FD3A4A"/>
    <w:rsid w:val="00FD4483"/>
    <w:rsid w:val="00FD4CD9"/>
    <w:rsid w:val="00FD4E43"/>
    <w:rsid w:val="00FD531B"/>
    <w:rsid w:val="00FD59FE"/>
    <w:rsid w:val="00FD5F1C"/>
    <w:rsid w:val="00FD636F"/>
    <w:rsid w:val="00FD6383"/>
    <w:rsid w:val="00FE002B"/>
    <w:rsid w:val="00FE0728"/>
    <w:rsid w:val="00FE0B7B"/>
    <w:rsid w:val="00FE18EE"/>
    <w:rsid w:val="00FE2523"/>
    <w:rsid w:val="00FE2B04"/>
    <w:rsid w:val="00FE2F1A"/>
    <w:rsid w:val="00FE3BAF"/>
    <w:rsid w:val="00FE410F"/>
    <w:rsid w:val="00FE4E83"/>
    <w:rsid w:val="00FE5BD7"/>
    <w:rsid w:val="00FE5C41"/>
    <w:rsid w:val="00FE60AA"/>
    <w:rsid w:val="00FE6215"/>
    <w:rsid w:val="00FE6B33"/>
    <w:rsid w:val="00FE7841"/>
    <w:rsid w:val="00FF0204"/>
    <w:rsid w:val="00FF0237"/>
    <w:rsid w:val="00FF109F"/>
    <w:rsid w:val="00FF1130"/>
    <w:rsid w:val="00FF19AB"/>
    <w:rsid w:val="00FF2A43"/>
    <w:rsid w:val="00FF3358"/>
    <w:rsid w:val="00FF347C"/>
    <w:rsid w:val="00FF3821"/>
    <w:rsid w:val="00FF3AED"/>
    <w:rsid w:val="00FF522E"/>
    <w:rsid w:val="00FF5F1C"/>
    <w:rsid w:val="00FF6047"/>
    <w:rsid w:val="00FF60C0"/>
    <w:rsid w:val="00FF6210"/>
    <w:rsid w:val="00FF667E"/>
    <w:rsid w:val="00FF66BB"/>
    <w:rsid w:val="00FF6F53"/>
    <w:rsid w:val="00FF6FD2"/>
    <w:rsid w:val="00FF71EE"/>
    <w:rsid w:val="00FF7666"/>
    <w:rsid w:val="00FF76F5"/>
    <w:rsid w:val="00FF7DEB"/>
    <w:rsid w:val="00FF7F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A49671"/>
  <w15:docId w15:val="{14D141E6-DF6D-494A-9568-886EBF65F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6"/>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6"/>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6"/>
      </w:numPr>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uiPriority w:val="9"/>
    <w:qFormat/>
    <w:rsid w:val="00A5151A"/>
    <w:pPr>
      <w:numPr>
        <w:ilvl w:val="5"/>
        <w:numId w:val="16"/>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6"/>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fr-FR"/>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 OSM,Bullets,CORE-1.1.1,Dot pt,Heading 2_sj,List Paragraph (numbered (a)),List Paragraph11,Numbered Para 1,Proposal Bullet List,Report Para,Resume Title,TOC style,Table,WB Para,WinDForce-Letter,bullets,d_bodyb,lp1,L,Paragraph"/>
    <w:basedOn w:val="Normal"/>
    <w:link w:val="ListParagraphChar"/>
    <w:uiPriority w:val="34"/>
    <w:qFormat/>
    <w:rsid w:val="004177A6"/>
    <w:pPr>
      <w:ind w:left="720"/>
      <w:contextualSpacing/>
    </w:pPr>
  </w:style>
  <w:style w:type="character" w:customStyle="1" w:styleId="ListParagraphChar">
    <w:name w:val="List Paragraph Char"/>
    <w:aliases w:val="Bullet OSM Char,Bullets Char,CORE-1.1.1 Char,Dot pt Char,Heading 2_sj Char,List Paragraph (numbered (a)) Char,List Paragraph11 Char,Numbered Para 1 Char,Proposal Bullet List Char,Report Para Char,Resume Title Char,TOC style Char"/>
    <w:basedOn w:val="DefaultParagraphFont"/>
    <w:link w:val="ListParagraph"/>
    <w:uiPriority w:val="34"/>
    <w:qFormat/>
    <w:locked/>
    <w:rsid w:val="004177A6"/>
    <w:rPr>
      <w:sz w:val="22"/>
      <w:szCs w:val="22"/>
      <w:lang w:val="fr-FR"/>
    </w:rPr>
  </w:style>
  <w:style w:type="paragraph" w:customStyle="1" w:styleId="Default">
    <w:name w:val="Default"/>
    <w:rsid w:val="004177A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4177A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177A6"/>
    <w:rPr>
      <w:sz w:val="22"/>
      <w:szCs w:val="22"/>
    </w:rPr>
  </w:style>
  <w:style w:type="paragraph" w:styleId="NormalWeb">
    <w:name w:val="Normal (Web)"/>
    <w:basedOn w:val="Normal"/>
    <w:uiPriority w:val="99"/>
    <w:semiHidden/>
    <w:unhideWhenUsed/>
    <w:rsid w:val="004177A6"/>
    <w:pPr>
      <w:jc w:val="left"/>
    </w:pPr>
    <w:rPr>
      <w:rFonts w:eastAsiaTheme="minorHAnsi"/>
      <w:sz w:val="24"/>
      <w:szCs w:val="24"/>
    </w:rPr>
  </w:style>
  <w:style w:type="paragraph" w:styleId="EndnoteText">
    <w:name w:val="endnote text"/>
    <w:basedOn w:val="Normal"/>
    <w:link w:val="EndnoteTextChar"/>
    <w:uiPriority w:val="99"/>
    <w:semiHidden/>
    <w:unhideWhenUsed/>
    <w:rsid w:val="004177A6"/>
    <w:rPr>
      <w:sz w:val="20"/>
      <w:szCs w:val="20"/>
    </w:rPr>
  </w:style>
  <w:style w:type="character" w:customStyle="1" w:styleId="EndnoteTextChar">
    <w:name w:val="Endnote Text Char"/>
    <w:basedOn w:val="DefaultParagraphFont"/>
    <w:link w:val="EndnoteText"/>
    <w:uiPriority w:val="99"/>
    <w:semiHidden/>
    <w:rsid w:val="004177A6"/>
    <w:rPr>
      <w:lang w:val="fr-FR"/>
    </w:rPr>
  </w:style>
  <w:style w:type="character" w:styleId="EndnoteReference">
    <w:name w:val="endnote reference"/>
    <w:basedOn w:val="DefaultParagraphFont"/>
    <w:uiPriority w:val="99"/>
    <w:semiHidden/>
    <w:unhideWhenUsed/>
    <w:rsid w:val="004177A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177A6"/>
    <w:rPr>
      <w:sz w:val="22"/>
      <w:szCs w:val="22"/>
      <w:lang w:val="fr-FR"/>
    </w:rPr>
  </w:style>
  <w:style w:type="paragraph" w:styleId="Caption">
    <w:name w:val="caption"/>
    <w:basedOn w:val="Normal"/>
    <w:next w:val="Normal"/>
    <w:uiPriority w:val="35"/>
    <w:unhideWhenUsed/>
    <w:qFormat/>
    <w:rsid w:val="00F172CA"/>
    <w:pPr>
      <w:widowControl w:val="0"/>
      <w:autoSpaceDE w:val="0"/>
      <w:autoSpaceDN w:val="0"/>
      <w:adjustRightInd w:val="0"/>
      <w:spacing w:after="200"/>
      <w:jc w:val="left"/>
    </w:pPr>
    <w:rPr>
      <w:rFonts w:eastAsiaTheme="minorEastAsia"/>
      <w:b/>
      <w:iCs/>
      <w:color w:val="000000" w:themeColor="text1"/>
      <w:szCs w:val="18"/>
    </w:rPr>
  </w:style>
  <w:style w:type="paragraph" w:styleId="BodyText">
    <w:name w:val="Body Text"/>
    <w:basedOn w:val="Normal"/>
    <w:link w:val="BodyTextChar"/>
    <w:uiPriority w:val="99"/>
    <w:semiHidden/>
    <w:unhideWhenUsed/>
    <w:rsid w:val="001E1EAE"/>
    <w:pPr>
      <w:spacing w:after="120"/>
    </w:pPr>
  </w:style>
  <w:style w:type="character" w:customStyle="1" w:styleId="BodyTextChar">
    <w:name w:val="Body Text Char"/>
    <w:basedOn w:val="DefaultParagraphFont"/>
    <w:link w:val="BodyText"/>
    <w:uiPriority w:val="99"/>
    <w:semiHidden/>
    <w:rsid w:val="001E1EAE"/>
    <w:rPr>
      <w:sz w:val="22"/>
      <w:szCs w:val="22"/>
      <w:lang w:val="fr-FR"/>
    </w:rPr>
  </w:style>
  <w:style w:type="character" w:customStyle="1" w:styleId="HeaderChar">
    <w:name w:val="Header Char"/>
    <w:basedOn w:val="DefaultParagraphFont"/>
    <w:link w:val="Header"/>
    <w:rsid w:val="00F97939"/>
    <w:rPr>
      <w:sz w:val="2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09278632">
      <w:bodyDiv w:val="1"/>
      <w:marLeft w:val="0"/>
      <w:marRight w:val="0"/>
      <w:marTop w:val="0"/>
      <w:marBottom w:val="0"/>
      <w:divBdr>
        <w:top w:val="none" w:sz="0" w:space="0" w:color="auto"/>
        <w:left w:val="none" w:sz="0" w:space="0" w:color="auto"/>
        <w:bottom w:val="none" w:sz="0" w:space="0" w:color="auto"/>
        <w:right w:val="none" w:sz="0" w:space="0" w:color="auto"/>
      </w:divBdr>
    </w:div>
    <w:div w:id="1207718412">
      <w:bodyDiv w:val="1"/>
      <w:marLeft w:val="0"/>
      <w:marRight w:val="0"/>
      <w:marTop w:val="0"/>
      <w:marBottom w:val="0"/>
      <w:divBdr>
        <w:top w:val="none" w:sz="0" w:space="0" w:color="auto"/>
        <w:left w:val="none" w:sz="0" w:space="0" w:color="auto"/>
        <w:bottom w:val="none" w:sz="0" w:space="0" w:color="auto"/>
        <w:right w:val="none" w:sz="0" w:space="0" w:color="auto"/>
      </w:divBdr>
    </w:div>
    <w:div w:id="151587569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UNEP/OzL.Pro/ExCom/94/51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81D6F5B3C066F4585A645B8FC801316" ma:contentTypeVersion="5" ma:contentTypeDescription="Create a new document." ma:contentTypeScope="" ma:versionID="2eed13ee09967b1a4fd237a02d751e4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F265576F-D85F-40F3-B37F-CFBAFB1D2447}"/>
</file>

<file path=docProps/app.xml><?xml version="1.0" encoding="utf-8"?>
<Properties xmlns="http://schemas.openxmlformats.org/officeDocument/2006/extended-properties" xmlns:vt="http://schemas.openxmlformats.org/officeDocument/2006/docPropsVTypes">
  <Template>Eec94G</Template>
  <TotalTime>4294967179</TotalTime>
  <Pages>21</Pages>
  <Words>11365</Words>
  <Characters>60176</Characters>
  <Application>Microsoft Office Word</Application>
  <DocSecurity>0</DocSecurity>
  <Lines>501</Lines>
  <Paragraphs>142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Arabie Saoudite</vt:lpstr>
      <vt:lpstr>Project proposal: Saudi Arabia</vt:lpstr>
    </vt:vector>
  </TitlesOfParts>
  <Company>UNMFS</Company>
  <LinksUpToDate>false</LinksUpToDate>
  <CharactersWithSpaces>71399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Arabie Saoudite</dc:title>
  <dc:subject/>
  <dc:creator>FSM / LD / JS</dc:creator>
  <cp:keywords>94th ExCom</cp:keywords>
  <cp:lastModifiedBy>Angela Xue He Yan</cp:lastModifiedBy>
  <cp:revision>5</cp:revision>
  <cp:lastPrinted>2024-05-14T00:26:00Z</cp:lastPrinted>
  <dcterms:created xsi:type="dcterms:W3CDTF">2024-05-20T13:32:00Z</dcterms:created>
  <dcterms:modified xsi:type="dcterms:W3CDTF">2024-05-20T18:25:00Z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UNEP/OzL.Pro/ExCom/94/51</vt:lpwstr>
  </property>
  <property fmtid="{D5CDD505-2E9C-101B-9397-08002B2CF9AE}" pid="3" name="ContentTypeId">
    <vt:lpwstr>0x010100281D6F5B3C066F4585A645B8FC801316</vt:lpwstr>
  </property>
  <property fmtid="{D5CDD505-2E9C-101B-9397-08002B2CF9AE}" pid="4" name="Order">
    <vt:r8>4523400</vt:r8>
  </property>
  <property fmtid="{D5CDD505-2E9C-101B-9397-08002B2CF9AE}" pid="5" name="MediaServiceImageTags">
    <vt:lpwstr/>
  </property>
  <property fmtid="{D5CDD505-2E9C-101B-9397-08002B2CF9AE}" pid="6" name="GrammarlyDocumentId">
    <vt:lpwstr>1cc7aac79bbb35a43d05a78fa8bf8390aec5a1570a1028e136096e9d918c38a1</vt:lpwstr>
  </property>
  <property fmtid="{D5CDD505-2E9C-101B-9397-08002B2CF9AE}" pid="7" name="Revision date">
    <vt:lpwstr>5/13/2024</vt:lpwstr>
  </property>
  <property fmtid="{D5CDD505-2E9C-101B-9397-08002B2CF9AE}" pid="9" name="lcf76f155ced4ddcb4097134ff3c332f">
    <vt:lpwstr/>
  </property>
</Properties>
</file>