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33C1D" w14:paraId="4C07B48B" w14:textId="77777777">
        <w:trPr>
          <w:trHeight w:val="720"/>
        </w:trPr>
        <w:tc>
          <w:tcPr>
            <w:tcW w:w="7061" w:type="dxa"/>
            <w:gridSpan w:val="2"/>
            <w:tcBorders>
              <w:bottom w:val="single" w:sz="18" w:space="0" w:color="auto"/>
            </w:tcBorders>
          </w:tcPr>
          <w:p w14:paraId="735C54BC" w14:textId="77777777" w:rsidR="00441083" w:rsidRPr="00D33C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33C1D">
              <w:rPr>
                <w:rFonts w:ascii="Univers" w:hAnsi="Univers"/>
                <w:b/>
                <w:sz w:val="28"/>
                <w:szCs w:val="28"/>
                <w:lang w:val="fr-FR"/>
              </w:rPr>
              <w:t>NATIONS</w:t>
            </w:r>
          </w:p>
          <w:p w14:paraId="382B92D4" w14:textId="77777777" w:rsidR="00441083" w:rsidRPr="00D33C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33C1D">
              <w:rPr>
                <w:rFonts w:ascii="Univers" w:hAnsi="Univers"/>
                <w:b/>
                <w:sz w:val="28"/>
                <w:szCs w:val="28"/>
                <w:lang w:val="fr-FR"/>
              </w:rPr>
              <w:t xml:space="preserve">UNIES </w:t>
            </w:r>
          </w:p>
        </w:tc>
        <w:tc>
          <w:tcPr>
            <w:tcW w:w="3544" w:type="dxa"/>
            <w:tcBorders>
              <w:bottom w:val="single" w:sz="18" w:space="0" w:color="auto"/>
            </w:tcBorders>
          </w:tcPr>
          <w:p w14:paraId="7AACA375" w14:textId="77777777" w:rsidR="00441083" w:rsidRPr="00D33C1D" w:rsidRDefault="00E60D9C">
            <w:pPr>
              <w:tabs>
                <w:tab w:val="left" w:pos="3010"/>
              </w:tabs>
              <w:jc w:val="center"/>
              <w:rPr>
                <w:sz w:val="52"/>
                <w:szCs w:val="52"/>
                <w:lang w:val="fr-FR"/>
              </w:rPr>
            </w:pPr>
            <w:r w:rsidRPr="00D33C1D">
              <w:rPr>
                <w:rFonts w:ascii="Univers Bold" w:hAnsi="Univers Bold"/>
                <w:b/>
                <w:sz w:val="72"/>
                <w:lang w:val="fr-FR"/>
              </w:rPr>
              <w:t xml:space="preserve">          EP</w:t>
            </w:r>
          </w:p>
        </w:tc>
      </w:tr>
      <w:tr w:rsidR="00441083" w:rsidRPr="00D33C1D" w14:paraId="787491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A607D8" w14:textId="77777777" w:rsidR="00441083" w:rsidRPr="00D33C1D" w:rsidRDefault="00C6443E">
            <w:pPr>
              <w:spacing w:before="120"/>
              <w:rPr>
                <w:lang w:val="fr-FR"/>
              </w:rPr>
            </w:pPr>
            <w:r w:rsidRPr="00D33C1D">
              <w:rPr>
                <w:noProof/>
                <w:lang w:val="fr-FR" w:eastAsia="en-CA"/>
              </w:rPr>
              <w:drawing>
                <wp:anchor distT="0" distB="0" distL="114300" distR="114300" simplePos="0" relativeHeight="251660288" behindDoc="0" locked="0" layoutInCell="1" allowOverlap="1" wp14:anchorId="2ACA8312" wp14:editId="3613097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33C1D">
              <w:rPr>
                <w:noProof/>
                <w:lang w:val="fr-FR" w:eastAsia="en-CA"/>
              </w:rPr>
              <w:drawing>
                <wp:anchor distT="0" distB="0" distL="114300" distR="114300" simplePos="0" relativeHeight="251661312" behindDoc="1" locked="0" layoutInCell="0" allowOverlap="1" wp14:anchorId="135E7EA9" wp14:editId="2B2DD2D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287D106" w14:textId="77777777" w:rsidR="00441083" w:rsidRPr="00D33C1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F6A87B4" w14:textId="77777777" w:rsidR="00441083" w:rsidRPr="00D33C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33C1D">
              <w:rPr>
                <w:rFonts w:ascii="Univers" w:hAnsi="Univers"/>
                <w:b/>
                <w:sz w:val="32"/>
                <w:lang w:val="fr-FR"/>
              </w:rPr>
              <w:t>Programme des</w:t>
            </w:r>
          </w:p>
          <w:p w14:paraId="44E4EAE4" w14:textId="77777777" w:rsidR="00441083" w:rsidRPr="00D33C1D" w:rsidRDefault="00E60D9C">
            <w:pPr>
              <w:rPr>
                <w:rFonts w:ascii="Univers" w:hAnsi="Univers"/>
                <w:b/>
                <w:sz w:val="32"/>
                <w:lang w:val="fr-FR"/>
              </w:rPr>
            </w:pPr>
            <w:r w:rsidRPr="00D33C1D">
              <w:rPr>
                <w:rFonts w:ascii="Univers" w:hAnsi="Univers"/>
                <w:b/>
                <w:sz w:val="32"/>
                <w:lang w:val="fr-FR"/>
              </w:rPr>
              <w:t>Nations Unies pour</w:t>
            </w:r>
          </w:p>
          <w:p w14:paraId="1D141940" w14:textId="77777777" w:rsidR="00441083" w:rsidRPr="00D33C1D" w:rsidRDefault="00E60D9C">
            <w:pPr>
              <w:rPr>
                <w:rFonts w:ascii="Univers" w:hAnsi="Univers"/>
                <w:b/>
                <w:sz w:val="32"/>
                <w:lang w:val="fr-FR"/>
              </w:rPr>
            </w:pPr>
            <w:r w:rsidRPr="00D33C1D">
              <w:rPr>
                <w:rFonts w:ascii="Univers" w:hAnsi="Univers"/>
                <w:b/>
                <w:sz w:val="32"/>
                <w:lang w:val="fr-FR"/>
              </w:rPr>
              <w:t>l’environnement</w:t>
            </w:r>
          </w:p>
          <w:p w14:paraId="27197FB9" w14:textId="77777777" w:rsidR="00441083" w:rsidRPr="00D33C1D" w:rsidRDefault="00E60D9C">
            <w:pPr>
              <w:spacing w:before="720"/>
              <w:ind w:left="158"/>
              <w:rPr>
                <w:lang w:val="fr-FR"/>
              </w:rPr>
            </w:pPr>
            <w:r w:rsidRPr="00D33C1D">
              <w:rPr>
                <w:lang w:val="fr-FR"/>
              </w:rPr>
              <w:t xml:space="preserve"> </w:t>
            </w:r>
          </w:p>
        </w:tc>
        <w:tc>
          <w:tcPr>
            <w:tcW w:w="3544" w:type="dxa"/>
            <w:tcBorders>
              <w:top w:val="nil"/>
              <w:left w:val="nil"/>
              <w:bottom w:val="single" w:sz="36" w:space="0" w:color="auto"/>
              <w:right w:val="nil"/>
            </w:tcBorders>
          </w:tcPr>
          <w:p w14:paraId="18459D06" w14:textId="77777777" w:rsidR="00441083" w:rsidRPr="00D33C1D" w:rsidRDefault="00441083">
            <w:pPr>
              <w:rPr>
                <w:lang w:val="fr-FR"/>
              </w:rPr>
            </w:pPr>
          </w:p>
          <w:p w14:paraId="41A5A73A" w14:textId="77777777" w:rsidR="00441083" w:rsidRPr="00D33C1D" w:rsidRDefault="00E60D9C">
            <w:pPr>
              <w:rPr>
                <w:lang w:val="fr-FR"/>
              </w:rPr>
            </w:pPr>
            <w:r w:rsidRPr="00D33C1D">
              <w:rPr>
                <w:lang w:val="fr-FR"/>
              </w:rPr>
              <w:t>Distr.</w:t>
            </w:r>
          </w:p>
          <w:p w14:paraId="0B0D30D1" w14:textId="77777777" w:rsidR="00441083" w:rsidRPr="00D33C1D" w:rsidRDefault="00E60D9C" w:rsidP="00DD3433">
            <w:pPr>
              <w:rPr>
                <w:lang w:val="fr-FR"/>
              </w:rPr>
            </w:pPr>
            <w:r w:rsidRPr="00D33C1D">
              <w:rPr>
                <w:lang w:val="fr-FR"/>
              </w:rPr>
              <w:t>G</w:t>
            </w:r>
            <w:r w:rsidR="00DD3433" w:rsidRPr="00D33C1D">
              <w:rPr>
                <w:lang w:val="fr-FR"/>
              </w:rPr>
              <w:t>É</w:t>
            </w:r>
            <w:r w:rsidRPr="00D33C1D">
              <w:rPr>
                <w:lang w:val="fr-FR"/>
              </w:rPr>
              <w:t>N</w:t>
            </w:r>
            <w:r w:rsidR="00DD3433" w:rsidRPr="00D33C1D">
              <w:rPr>
                <w:lang w:val="fr-FR"/>
              </w:rPr>
              <w:t>É</w:t>
            </w:r>
            <w:r w:rsidRPr="00D33C1D">
              <w:rPr>
                <w:lang w:val="fr-FR"/>
              </w:rPr>
              <w:t>RAL</w:t>
            </w:r>
            <w:r w:rsidR="00FF3CF1" w:rsidRPr="00D33C1D">
              <w:rPr>
                <w:lang w:val="fr-FR"/>
              </w:rPr>
              <w:t>E</w:t>
            </w:r>
          </w:p>
          <w:p w14:paraId="1416861D" w14:textId="77777777" w:rsidR="00441083" w:rsidRPr="00D33C1D" w:rsidRDefault="00441083">
            <w:pPr>
              <w:rPr>
                <w:lang w:val="fr-FR"/>
              </w:rPr>
            </w:pPr>
          </w:p>
          <w:p w14:paraId="3F23C540" w14:textId="31A4355F" w:rsidR="00441083" w:rsidRPr="00E1514B" w:rsidRDefault="00E60D9C">
            <w:pPr>
              <w:rPr>
                <w:lang w:val="en-CA"/>
              </w:rPr>
            </w:pPr>
            <w:r w:rsidRPr="00D33C1D">
              <w:rPr>
                <w:lang w:val="fr-FR"/>
              </w:rPr>
              <w:fldChar w:fldCharType="begin"/>
            </w:r>
            <w:r w:rsidRPr="00E1514B">
              <w:rPr>
                <w:lang w:val="en-CA"/>
              </w:rPr>
              <w:instrText xml:space="preserve"> DOCPROPERTY "Document number"  \* MERGEFORMAT </w:instrText>
            </w:r>
            <w:r w:rsidRPr="00D33C1D">
              <w:rPr>
                <w:lang w:val="fr-FR"/>
              </w:rPr>
              <w:fldChar w:fldCharType="separate"/>
            </w:r>
            <w:r w:rsidR="00D018D5" w:rsidRPr="00E1514B">
              <w:rPr>
                <w:lang w:val="en-CA"/>
              </w:rPr>
              <w:t>UNEP/OzL.Pro/ExCom/85/27</w:t>
            </w:r>
            <w:r w:rsidRPr="00D33C1D">
              <w:rPr>
                <w:lang w:val="fr-FR"/>
              </w:rPr>
              <w:fldChar w:fldCharType="end"/>
            </w:r>
          </w:p>
          <w:p w14:paraId="5A53035D" w14:textId="6AAA5216" w:rsidR="002F0B57" w:rsidRPr="0035747A" w:rsidRDefault="002F0B57" w:rsidP="000F6C8E">
            <w:pPr>
              <w:rPr>
                <w:lang w:val="en-CA"/>
              </w:rPr>
            </w:pPr>
            <w:r w:rsidRPr="00D33C1D">
              <w:rPr>
                <w:lang w:val="fr-FR"/>
              </w:rPr>
              <w:fldChar w:fldCharType="begin"/>
            </w:r>
            <w:r w:rsidRPr="0035747A">
              <w:rPr>
                <w:lang w:val="en-CA"/>
              </w:rPr>
              <w:instrText xml:space="preserve"> DOCPROPERTY "Revision date" \@ "d MMMM YYYY"  \* MERGEFORMAT </w:instrText>
            </w:r>
            <w:r w:rsidRPr="00D33C1D">
              <w:rPr>
                <w:lang w:val="fr-FR"/>
              </w:rPr>
              <w:fldChar w:fldCharType="separate"/>
            </w:r>
            <w:r w:rsidR="00D018D5">
              <w:rPr>
                <w:lang w:val="en-CA"/>
              </w:rPr>
              <w:t xml:space="preserve">4 </w:t>
            </w:r>
            <w:proofErr w:type="spellStart"/>
            <w:r w:rsidR="00D018D5">
              <w:rPr>
                <w:lang w:val="en-CA"/>
              </w:rPr>
              <w:t>mai</w:t>
            </w:r>
            <w:proofErr w:type="spellEnd"/>
            <w:r w:rsidR="00D018D5">
              <w:rPr>
                <w:lang w:val="en-CA"/>
              </w:rPr>
              <w:t xml:space="preserve"> 2020</w:t>
            </w:r>
            <w:r w:rsidRPr="00D33C1D">
              <w:rPr>
                <w:lang w:val="fr-FR"/>
              </w:rPr>
              <w:fldChar w:fldCharType="end"/>
            </w:r>
          </w:p>
          <w:p w14:paraId="3DB4DBD4" w14:textId="77777777" w:rsidR="00441083" w:rsidRPr="00D33C1D" w:rsidRDefault="00FC5578">
            <w:pPr>
              <w:rPr>
                <w:caps/>
                <w:lang w:val="fr-FR"/>
              </w:rPr>
            </w:pPr>
            <w:r w:rsidRPr="0035747A">
              <w:rPr>
                <w:caps/>
                <w:lang w:val="en-CA"/>
              </w:rPr>
              <w:br/>
            </w:r>
            <w:r w:rsidR="00E60D9C" w:rsidRPr="00D33C1D">
              <w:rPr>
                <w:caps/>
                <w:lang w:val="fr-FR"/>
              </w:rPr>
              <w:t>FRANÇAIS</w:t>
            </w:r>
          </w:p>
          <w:p w14:paraId="5E623412" w14:textId="77777777" w:rsidR="00441083" w:rsidRPr="00D33C1D" w:rsidRDefault="00E60D9C">
            <w:pPr>
              <w:rPr>
                <w:lang w:val="fr-FR"/>
              </w:rPr>
            </w:pPr>
            <w:r w:rsidRPr="00D33C1D">
              <w:rPr>
                <w:lang w:val="fr-FR"/>
              </w:rPr>
              <w:t xml:space="preserve">ORIGINAL: </w:t>
            </w:r>
            <w:r w:rsidR="0091161A" w:rsidRPr="00D33C1D">
              <w:rPr>
                <w:lang w:val="fr-FR"/>
              </w:rPr>
              <w:t>ANGLAIS</w:t>
            </w:r>
          </w:p>
        </w:tc>
      </w:tr>
    </w:tbl>
    <w:p w14:paraId="2AFE91C0" w14:textId="77777777" w:rsidR="00441083" w:rsidRPr="00D33C1D" w:rsidRDefault="00E60D9C" w:rsidP="00DD3433">
      <w:pPr>
        <w:jc w:val="left"/>
        <w:rPr>
          <w:lang w:val="fr-FR"/>
        </w:rPr>
      </w:pPr>
      <w:r w:rsidRPr="00D33C1D">
        <w:rPr>
          <w:lang w:val="fr-FR"/>
        </w:rPr>
        <w:t>COMIT</w:t>
      </w:r>
      <w:r w:rsidR="00DD3433" w:rsidRPr="00D33C1D">
        <w:rPr>
          <w:lang w:val="fr-FR"/>
        </w:rPr>
        <w:t>É</w:t>
      </w:r>
      <w:r w:rsidRPr="00D33C1D">
        <w:rPr>
          <w:lang w:val="fr-FR"/>
        </w:rPr>
        <w:t xml:space="preserve"> EX</w:t>
      </w:r>
      <w:r w:rsidR="00DD3433" w:rsidRPr="00D33C1D">
        <w:rPr>
          <w:lang w:val="fr-FR"/>
        </w:rPr>
        <w:t xml:space="preserve">ÉCUTIF </w:t>
      </w:r>
      <w:r w:rsidR="00DD3433" w:rsidRPr="00D33C1D">
        <w:rPr>
          <w:lang w:val="fr-FR"/>
        </w:rPr>
        <w:br/>
        <w:t xml:space="preserve">  DU FONDS MULTILATÉ</w:t>
      </w:r>
      <w:r w:rsidRPr="00D33C1D">
        <w:rPr>
          <w:lang w:val="fr-FR"/>
        </w:rPr>
        <w:t xml:space="preserve">RAL AUX FINS </w:t>
      </w:r>
      <w:r w:rsidRPr="00D33C1D">
        <w:rPr>
          <w:lang w:val="fr-FR"/>
        </w:rPr>
        <w:br/>
        <w:t xml:space="preserve">  D’APPLICATION DU PROTOCOLE DE MONTR</w:t>
      </w:r>
      <w:r w:rsidR="00DD3433" w:rsidRPr="00D33C1D">
        <w:rPr>
          <w:lang w:val="fr-FR"/>
        </w:rPr>
        <w:t>É</w:t>
      </w:r>
      <w:r w:rsidRPr="00D33C1D">
        <w:rPr>
          <w:lang w:val="fr-FR"/>
        </w:rPr>
        <w:t>AL</w:t>
      </w:r>
      <w:r w:rsidRPr="00D33C1D">
        <w:rPr>
          <w:lang w:val="fr-FR"/>
        </w:rPr>
        <w:br/>
      </w:r>
      <w:r w:rsidR="00E54871" w:rsidRPr="00D33C1D">
        <w:rPr>
          <w:lang w:val="fr-FR"/>
        </w:rPr>
        <w:t>Quatre</w:t>
      </w:r>
      <w:r w:rsidRPr="00D33C1D">
        <w:rPr>
          <w:lang w:val="fr-FR"/>
        </w:rPr>
        <w:t>-</w:t>
      </w:r>
      <w:r w:rsidR="00E54871" w:rsidRPr="00D33C1D">
        <w:rPr>
          <w:lang w:val="fr-FR"/>
        </w:rPr>
        <w:t>vingt</w:t>
      </w:r>
      <w:r w:rsidR="009666A1" w:rsidRPr="00D33C1D">
        <w:rPr>
          <w:lang w:val="fr-FR"/>
        </w:rPr>
        <w:t>-cin</w:t>
      </w:r>
      <w:r w:rsidR="00AC013C" w:rsidRPr="00D33C1D">
        <w:rPr>
          <w:lang w:val="fr-FR"/>
        </w:rPr>
        <w:t>q</w:t>
      </w:r>
      <w:r w:rsidR="009666A1" w:rsidRPr="00D33C1D">
        <w:rPr>
          <w:lang w:val="fr-FR"/>
        </w:rPr>
        <w:t>u</w:t>
      </w:r>
      <w:r w:rsidR="004C2C87" w:rsidRPr="00D33C1D">
        <w:rPr>
          <w:lang w:val="fr-FR"/>
        </w:rPr>
        <w:t>i</w:t>
      </w:r>
      <w:r w:rsidR="00E54871" w:rsidRPr="00D33C1D">
        <w:rPr>
          <w:lang w:val="fr-FR"/>
        </w:rPr>
        <w:t>ème</w:t>
      </w:r>
      <w:r w:rsidR="00FC5578" w:rsidRPr="00D33C1D">
        <w:rPr>
          <w:lang w:val="fr-FR"/>
        </w:rPr>
        <w:t xml:space="preserve"> </w:t>
      </w:r>
      <w:r w:rsidRPr="00D33C1D">
        <w:rPr>
          <w:lang w:val="fr-FR"/>
        </w:rPr>
        <w:t>réunion</w:t>
      </w:r>
    </w:p>
    <w:p w14:paraId="032A39B6" w14:textId="77777777" w:rsidR="00C27322" w:rsidRPr="00D33C1D" w:rsidRDefault="00C27322" w:rsidP="00C27322">
      <w:pPr>
        <w:jc w:val="left"/>
        <w:rPr>
          <w:lang w:val="fr-FR"/>
        </w:rPr>
      </w:pPr>
      <w:r w:rsidRPr="00D33C1D">
        <w:rPr>
          <w:lang w:val="fr-FR"/>
        </w:rPr>
        <w:t>Montréal, 25 – 29 mai 2020</w:t>
      </w:r>
    </w:p>
    <w:p w14:paraId="05F4AF1F" w14:textId="77777777" w:rsidR="00441083" w:rsidRPr="00D33C1D" w:rsidRDefault="00C27322" w:rsidP="00AC013C">
      <w:pPr>
        <w:jc w:val="left"/>
        <w:rPr>
          <w:lang w:val="fr-FR"/>
        </w:rPr>
      </w:pPr>
      <w:r w:rsidRPr="00D33C1D">
        <w:rPr>
          <w:lang w:val="fr-FR"/>
        </w:rPr>
        <w:t>Reportée:</w:t>
      </w:r>
      <w:r w:rsidR="00FC5578" w:rsidRPr="00D33C1D">
        <w:rPr>
          <w:lang w:val="fr-FR"/>
        </w:rPr>
        <w:t xml:space="preserve"> </w:t>
      </w:r>
      <w:r w:rsidR="00AC013C" w:rsidRPr="00D33C1D">
        <w:rPr>
          <w:lang w:val="fr-FR"/>
        </w:rPr>
        <w:t>1</w:t>
      </w:r>
      <w:r w:rsidR="009666A1" w:rsidRPr="00D33C1D">
        <w:rPr>
          <w:lang w:val="fr-FR"/>
        </w:rPr>
        <w:t>9</w:t>
      </w:r>
      <w:r w:rsidR="00AC013C" w:rsidRPr="00D33C1D">
        <w:rPr>
          <w:lang w:val="fr-FR"/>
        </w:rPr>
        <w:t xml:space="preserve"> </w:t>
      </w:r>
      <w:r w:rsidR="00E60D9C" w:rsidRPr="00D33C1D">
        <w:rPr>
          <w:lang w:val="fr-FR"/>
        </w:rPr>
        <w:t xml:space="preserve">– </w:t>
      </w:r>
      <w:r w:rsidR="00AC013C" w:rsidRPr="00D33C1D">
        <w:rPr>
          <w:lang w:val="fr-FR"/>
        </w:rPr>
        <w:t>2</w:t>
      </w:r>
      <w:r w:rsidR="009666A1" w:rsidRPr="00D33C1D">
        <w:rPr>
          <w:lang w:val="fr-FR"/>
        </w:rPr>
        <w:t>2 juillet 2020</w:t>
      </w:r>
      <w:r w:rsidRPr="00D33C1D">
        <w:rPr>
          <w:lang w:val="fr-FR"/>
        </w:rPr>
        <w:t>*</w:t>
      </w:r>
    </w:p>
    <w:p w14:paraId="16EEEDFE" w14:textId="77777777" w:rsidR="00441083" w:rsidRPr="00D33C1D" w:rsidRDefault="00441083">
      <w:pPr>
        <w:jc w:val="left"/>
        <w:rPr>
          <w:lang w:val="fr-FR"/>
        </w:rPr>
      </w:pPr>
    </w:p>
    <w:p w14:paraId="672CD672" w14:textId="77777777" w:rsidR="00441083" w:rsidRPr="00D33C1D" w:rsidRDefault="00441083">
      <w:pPr>
        <w:pStyle w:val="Heading3"/>
        <w:numPr>
          <w:ilvl w:val="0"/>
          <w:numId w:val="0"/>
        </w:numPr>
        <w:spacing w:after="0"/>
        <w:rPr>
          <w:lang w:val="fr-FR"/>
        </w:rPr>
      </w:pPr>
    </w:p>
    <w:p w14:paraId="0119ED78" w14:textId="77777777" w:rsidR="00A567C1" w:rsidRDefault="00A567C1">
      <w:pPr>
        <w:pStyle w:val="Title1"/>
        <w:rPr>
          <w:lang w:val="fr-FR"/>
        </w:rPr>
      </w:pPr>
    </w:p>
    <w:p w14:paraId="5AB7C080" w14:textId="77777777" w:rsidR="00A567C1" w:rsidRPr="00D33C1D" w:rsidRDefault="00A567C1">
      <w:pPr>
        <w:pStyle w:val="Title1"/>
        <w:rPr>
          <w:lang w:val="fr-FR"/>
        </w:rPr>
      </w:pPr>
    </w:p>
    <w:p w14:paraId="5660D946" w14:textId="77777777" w:rsidR="00D33C1D" w:rsidRPr="00D33C1D" w:rsidRDefault="00D33C1D" w:rsidP="00D33C1D">
      <w:pPr>
        <w:jc w:val="center"/>
        <w:rPr>
          <w:b/>
          <w:color w:val="0D0D0D" w:themeColor="text1" w:themeTint="F2"/>
          <w:lang w:val="fr-FR"/>
        </w:rPr>
      </w:pPr>
      <w:r w:rsidRPr="00D33C1D">
        <w:rPr>
          <w:b/>
          <w:color w:val="0D0D0D" w:themeColor="text1" w:themeTint="F2"/>
          <w:lang w:val="fr-FR"/>
        </w:rPr>
        <w:t>PROPOSITION DE PROJET : GÉORGIE</w:t>
      </w:r>
    </w:p>
    <w:p w14:paraId="5C7C3183" w14:textId="265867A6" w:rsidR="00D33C1D" w:rsidRDefault="00D33C1D" w:rsidP="00D33C1D">
      <w:pPr>
        <w:rPr>
          <w:color w:val="0D0D0D" w:themeColor="text1" w:themeTint="F2"/>
          <w:lang w:val="fr-FR"/>
        </w:rPr>
      </w:pPr>
    </w:p>
    <w:p w14:paraId="288D1257" w14:textId="77777777" w:rsidR="00D018D5" w:rsidRPr="00D33C1D" w:rsidRDefault="00D018D5" w:rsidP="00D33C1D">
      <w:pPr>
        <w:rPr>
          <w:color w:val="0D0D0D" w:themeColor="text1" w:themeTint="F2"/>
          <w:lang w:val="fr-FR"/>
        </w:rPr>
      </w:pPr>
    </w:p>
    <w:p w14:paraId="23845BB0" w14:textId="77777777" w:rsidR="00D33C1D" w:rsidRPr="00D33C1D" w:rsidRDefault="00D33C1D" w:rsidP="00D33C1D">
      <w:pPr>
        <w:rPr>
          <w:color w:val="0D0D0D" w:themeColor="text1" w:themeTint="F2"/>
          <w:lang w:val="fr-FR"/>
        </w:rPr>
      </w:pPr>
    </w:p>
    <w:p w14:paraId="27BE3466" w14:textId="77777777" w:rsidR="00D33C1D" w:rsidRPr="00D33C1D" w:rsidRDefault="00D33C1D" w:rsidP="00D33C1D">
      <w:pPr>
        <w:ind w:firstLine="720"/>
        <w:rPr>
          <w:color w:val="0D0D0D" w:themeColor="text1" w:themeTint="F2"/>
          <w:lang w:val="fr-FR"/>
        </w:rPr>
      </w:pPr>
      <w:r w:rsidRPr="00D33C1D">
        <w:rPr>
          <w:color w:val="0D0D0D" w:themeColor="text1" w:themeTint="F2"/>
          <w:lang w:val="fr-FR"/>
        </w:rPr>
        <w:t xml:space="preserve">Le présent document comporte les observations et la recommandation du Secrétariat sur la proposition de projet suivante : </w:t>
      </w:r>
    </w:p>
    <w:p w14:paraId="46ECEF24" w14:textId="77777777" w:rsidR="00D33C1D" w:rsidRPr="00D33C1D" w:rsidRDefault="00D33C1D" w:rsidP="00D33C1D">
      <w:pPr>
        <w:rPr>
          <w:color w:val="0D0D0D" w:themeColor="text1" w:themeTint="F2"/>
          <w:lang w:val="fr-FR"/>
        </w:rPr>
      </w:pPr>
    </w:p>
    <w:p w14:paraId="0A9F19DD" w14:textId="77777777" w:rsidR="00D33C1D" w:rsidRPr="00D33C1D" w:rsidRDefault="00D33C1D" w:rsidP="00D33C1D">
      <w:pPr>
        <w:rPr>
          <w:color w:val="0D0D0D" w:themeColor="text1" w:themeTint="F2"/>
          <w:u w:val="single"/>
          <w:lang w:val="fr-FR"/>
        </w:rPr>
      </w:pPr>
      <w:r w:rsidRPr="00D33C1D">
        <w:rPr>
          <w:color w:val="0D0D0D" w:themeColor="text1" w:themeTint="F2"/>
          <w:u w:val="single"/>
          <w:lang w:val="fr-FR"/>
        </w:rPr>
        <w:t>Élimination</w:t>
      </w:r>
    </w:p>
    <w:p w14:paraId="14AFE856" w14:textId="77777777" w:rsidR="00D33C1D" w:rsidRPr="00D33C1D" w:rsidRDefault="00D33C1D" w:rsidP="00D33C1D">
      <w:pPr>
        <w:rPr>
          <w:color w:val="0D0D0D" w:themeColor="text1" w:themeTint="F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33C1D" w:rsidRPr="00D33C1D" w14:paraId="45E0A9AB" w14:textId="77777777" w:rsidTr="00D06E67">
        <w:tc>
          <w:tcPr>
            <w:tcW w:w="6941" w:type="dxa"/>
          </w:tcPr>
          <w:p w14:paraId="3B70F5CC" w14:textId="77777777" w:rsidR="00D33C1D" w:rsidRPr="00D33C1D" w:rsidRDefault="00D33C1D" w:rsidP="00D33C1D">
            <w:pPr>
              <w:pStyle w:val="ListParagraph"/>
              <w:numPr>
                <w:ilvl w:val="0"/>
                <w:numId w:val="24"/>
              </w:numPr>
              <w:ind w:hanging="830"/>
              <w:jc w:val="both"/>
              <w:rPr>
                <w:color w:val="0D0D0D" w:themeColor="text1" w:themeTint="F2"/>
                <w:sz w:val="22"/>
                <w:szCs w:val="22"/>
              </w:rPr>
            </w:pPr>
            <w:r w:rsidRPr="00D33C1D">
              <w:rPr>
                <w:color w:val="0D0D0D" w:themeColor="text1" w:themeTint="F2"/>
                <w:sz w:val="22"/>
              </w:rPr>
              <w:t>Plan de gestion de l’élimination des HCFC (phase I, quatrième tranche)</w:t>
            </w:r>
          </w:p>
        </w:tc>
        <w:tc>
          <w:tcPr>
            <w:tcW w:w="2409" w:type="dxa"/>
          </w:tcPr>
          <w:p w14:paraId="779262AE" w14:textId="77777777" w:rsidR="00D33C1D" w:rsidRPr="00D33C1D" w:rsidRDefault="00D33C1D" w:rsidP="00D06E67">
            <w:pPr>
              <w:jc w:val="right"/>
              <w:rPr>
                <w:color w:val="0D0D0D" w:themeColor="text1" w:themeTint="F2"/>
                <w:lang w:val="fr-FR"/>
              </w:rPr>
            </w:pPr>
            <w:r w:rsidRPr="00D33C1D">
              <w:rPr>
                <w:color w:val="0D0D0D" w:themeColor="text1" w:themeTint="F2"/>
                <w:lang w:val="fr-FR"/>
              </w:rPr>
              <w:t>PNUD</w:t>
            </w:r>
          </w:p>
        </w:tc>
      </w:tr>
    </w:tbl>
    <w:p w14:paraId="56D9D3B8" w14:textId="77777777" w:rsidR="00D33C1D" w:rsidRPr="00D33C1D" w:rsidRDefault="00D33C1D" w:rsidP="00D33C1D">
      <w:pPr>
        <w:rPr>
          <w:color w:val="0D0D0D" w:themeColor="text1" w:themeTint="F2"/>
          <w:lang w:val="fr-FR"/>
        </w:rPr>
      </w:pPr>
    </w:p>
    <w:p w14:paraId="7D9C286F" w14:textId="77777777" w:rsidR="00D33C1D" w:rsidRPr="00D33C1D" w:rsidRDefault="00D33C1D" w:rsidP="00D33C1D">
      <w:pPr>
        <w:rPr>
          <w:color w:val="0D0D0D" w:themeColor="text1" w:themeTint="F2"/>
          <w:lang w:val="fr-FR"/>
        </w:rPr>
      </w:pPr>
    </w:p>
    <w:p w14:paraId="6AC82E6C" w14:textId="77777777" w:rsidR="00D33C1D" w:rsidRPr="00D33C1D" w:rsidRDefault="00D33C1D" w:rsidP="00D33C1D">
      <w:pPr>
        <w:rPr>
          <w:color w:val="0D0D0D" w:themeColor="text1" w:themeTint="F2"/>
          <w:lang w:val="fr-FR"/>
        </w:rPr>
      </w:pPr>
    </w:p>
    <w:p w14:paraId="1CA9C811" w14:textId="77777777" w:rsidR="00D33C1D" w:rsidRPr="00D33C1D" w:rsidRDefault="00D33C1D" w:rsidP="00D33C1D">
      <w:pPr>
        <w:rPr>
          <w:color w:val="0D0D0D" w:themeColor="text1" w:themeTint="F2"/>
          <w:lang w:val="fr-FR"/>
        </w:rPr>
      </w:pPr>
    </w:p>
    <w:p w14:paraId="386CFE21" w14:textId="77777777" w:rsidR="00D33C1D" w:rsidRPr="00D33C1D" w:rsidRDefault="00D33C1D" w:rsidP="00D33C1D">
      <w:pPr>
        <w:rPr>
          <w:color w:val="0D0D0D" w:themeColor="text1" w:themeTint="F2"/>
          <w:lang w:val="fr-FR"/>
        </w:rPr>
      </w:pPr>
    </w:p>
    <w:p w14:paraId="485E1C8B" w14:textId="77777777" w:rsidR="00D33C1D" w:rsidRPr="00D33C1D" w:rsidRDefault="00D33C1D" w:rsidP="00D33C1D">
      <w:pPr>
        <w:rPr>
          <w:color w:val="0D0D0D" w:themeColor="text1" w:themeTint="F2"/>
          <w:lang w:val="fr-FR"/>
        </w:rPr>
      </w:pPr>
    </w:p>
    <w:p w14:paraId="5D79D131" w14:textId="77777777" w:rsidR="00D33C1D" w:rsidRPr="00D33C1D" w:rsidRDefault="00D33C1D" w:rsidP="00D33C1D">
      <w:pPr>
        <w:rPr>
          <w:color w:val="0D0D0D" w:themeColor="text1" w:themeTint="F2"/>
          <w:lang w:val="fr-FR"/>
        </w:rPr>
      </w:pPr>
    </w:p>
    <w:p w14:paraId="255B36B2" w14:textId="77777777" w:rsidR="00D33C1D" w:rsidRPr="00D33C1D" w:rsidRDefault="00D33C1D" w:rsidP="00D33C1D">
      <w:pPr>
        <w:rPr>
          <w:color w:val="0D0D0D" w:themeColor="text1" w:themeTint="F2"/>
          <w:lang w:val="fr-FR"/>
        </w:rPr>
      </w:pPr>
    </w:p>
    <w:p w14:paraId="374E01BD" w14:textId="77777777" w:rsidR="00D33C1D" w:rsidRPr="00D33C1D" w:rsidRDefault="00D33C1D" w:rsidP="00D33C1D">
      <w:pPr>
        <w:rPr>
          <w:color w:val="0D0D0D" w:themeColor="text1" w:themeTint="F2"/>
          <w:lang w:val="fr-FR"/>
        </w:rPr>
      </w:pPr>
    </w:p>
    <w:p w14:paraId="46A5768B" w14:textId="77777777" w:rsidR="00D33C1D" w:rsidRPr="00D33C1D" w:rsidRDefault="00D33C1D" w:rsidP="00D33C1D">
      <w:pPr>
        <w:rPr>
          <w:color w:val="0D0D0D" w:themeColor="text1" w:themeTint="F2"/>
          <w:lang w:val="fr-FR"/>
        </w:rPr>
      </w:pPr>
    </w:p>
    <w:p w14:paraId="54C185E4" w14:textId="77777777" w:rsidR="00D33C1D" w:rsidRPr="00D33C1D" w:rsidRDefault="00D33C1D" w:rsidP="00D33C1D">
      <w:pPr>
        <w:rPr>
          <w:color w:val="0D0D0D" w:themeColor="text1" w:themeTint="F2"/>
          <w:lang w:val="fr-FR"/>
        </w:rPr>
      </w:pPr>
    </w:p>
    <w:p w14:paraId="1F3A5C0A" w14:textId="77777777" w:rsidR="00D33C1D" w:rsidRPr="00D33C1D" w:rsidRDefault="00D33C1D" w:rsidP="00D33C1D">
      <w:pPr>
        <w:rPr>
          <w:color w:val="0D0D0D" w:themeColor="text1" w:themeTint="F2"/>
          <w:lang w:val="fr-FR"/>
        </w:rPr>
      </w:pPr>
    </w:p>
    <w:p w14:paraId="1CE9A7CD" w14:textId="77777777" w:rsidR="00D33C1D" w:rsidRPr="00D33C1D" w:rsidRDefault="00D33C1D" w:rsidP="00D33C1D">
      <w:pPr>
        <w:rPr>
          <w:color w:val="0D0D0D" w:themeColor="text1" w:themeTint="F2"/>
          <w:lang w:val="fr-FR"/>
        </w:rPr>
      </w:pPr>
    </w:p>
    <w:p w14:paraId="4AD737D7" w14:textId="77777777" w:rsidR="00D33C1D" w:rsidRPr="00D33C1D" w:rsidRDefault="00D33C1D" w:rsidP="00D33C1D">
      <w:pPr>
        <w:rPr>
          <w:color w:val="0D0D0D" w:themeColor="text1" w:themeTint="F2"/>
          <w:lang w:val="fr-FR"/>
        </w:rPr>
      </w:pPr>
    </w:p>
    <w:p w14:paraId="3D86212D" w14:textId="77777777" w:rsidR="00D33C1D" w:rsidRPr="00D33C1D" w:rsidRDefault="00D33C1D" w:rsidP="00D33C1D">
      <w:pPr>
        <w:rPr>
          <w:color w:val="0D0D0D" w:themeColor="text1" w:themeTint="F2"/>
          <w:lang w:val="fr-FR"/>
        </w:rPr>
      </w:pPr>
    </w:p>
    <w:p w14:paraId="5DB38EAB" w14:textId="77777777" w:rsidR="00D33C1D" w:rsidRPr="00D33C1D" w:rsidRDefault="00D33C1D" w:rsidP="00D33C1D">
      <w:pPr>
        <w:rPr>
          <w:color w:val="0D0D0D" w:themeColor="text1" w:themeTint="F2"/>
          <w:lang w:val="fr-FR"/>
        </w:rPr>
      </w:pPr>
    </w:p>
    <w:p w14:paraId="4C750F5C" w14:textId="77777777" w:rsidR="00ED3866" w:rsidRDefault="00D33C1D" w:rsidP="00A567C1">
      <w:pPr>
        <w:rPr>
          <w:lang w:val="fr-FR"/>
        </w:rPr>
        <w:sectPr w:rsidR="00ED3866" w:rsidSect="00A567C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r w:rsidRPr="00D33C1D">
        <w:rPr>
          <w:sz w:val="20"/>
          <w:lang w:val="fr-FR"/>
        </w:rPr>
        <w:t>* A cause du coronavirus (COVID-19)</w:t>
      </w:r>
    </w:p>
    <w:p w14:paraId="41DB2313" w14:textId="77777777" w:rsidR="00D33C1D" w:rsidRPr="00A567C1" w:rsidRDefault="00D33C1D" w:rsidP="00A567C1">
      <w:pPr>
        <w:rPr>
          <w:color w:val="0D0D0D" w:themeColor="text1" w:themeTint="F2"/>
          <w:lang w:val="fr-FR"/>
        </w:rPr>
      </w:pPr>
    </w:p>
    <w:p w14:paraId="0EDD63E6" w14:textId="77777777" w:rsidR="00D33C1D" w:rsidRPr="00D33C1D" w:rsidRDefault="00D33C1D" w:rsidP="00D33C1D">
      <w:pPr>
        <w:jc w:val="center"/>
        <w:rPr>
          <w:b/>
          <w:color w:val="0D0D0D" w:themeColor="text1" w:themeTint="F2"/>
          <w:lang w:val="fr-FR"/>
        </w:rPr>
      </w:pPr>
      <w:r w:rsidRPr="00D33C1D">
        <w:rPr>
          <w:b/>
          <w:color w:val="0D0D0D" w:themeColor="text1" w:themeTint="F2"/>
          <w:lang w:val="fr-FR"/>
        </w:rPr>
        <w:t>FICHE D’ÉVALUATION DU PROJET – PROJETS PLURIANNUELS</w:t>
      </w:r>
    </w:p>
    <w:p w14:paraId="5E4E39C8" w14:textId="77777777" w:rsidR="00D33C1D" w:rsidRPr="00D33C1D" w:rsidRDefault="00D33C1D" w:rsidP="00D33C1D">
      <w:pPr>
        <w:jc w:val="center"/>
        <w:rPr>
          <w:color w:val="0D0D0D" w:themeColor="text1" w:themeTint="F2"/>
          <w:lang w:val="fr-FR"/>
        </w:rPr>
      </w:pPr>
    </w:p>
    <w:p w14:paraId="7A0B9594" w14:textId="77777777" w:rsidR="00D33C1D" w:rsidRPr="00D33C1D" w:rsidRDefault="00D33C1D" w:rsidP="00A567C1">
      <w:pPr>
        <w:jc w:val="center"/>
        <w:rPr>
          <w:color w:val="0D0D0D" w:themeColor="text1" w:themeTint="F2"/>
          <w:lang w:val="fr-FR"/>
        </w:rPr>
      </w:pPr>
      <w:r w:rsidRPr="00D33C1D">
        <w:rPr>
          <w:b/>
          <w:color w:val="0D0D0D" w:themeColor="text1" w:themeTint="F2"/>
          <w:lang w:val="fr-FR"/>
        </w:rPr>
        <w:t>Géorgie</w:t>
      </w:r>
    </w:p>
    <w:p w14:paraId="29764C7F" w14:textId="77777777" w:rsidR="00D33C1D" w:rsidRPr="00A567C1" w:rsidRDefault="00D33C1D" w:rsidP="00D33C1D">
      <w:pPr>
        <w:spacing w:after="80"/>
        <w:jc w:val="center"/>
        <w:rPr>
          <w:color w:val="0D0D0D" w:themeColor="text1" w:themeTint="F2"/>
          <w:sz w:val="16"/>
          <w:szCs w:val="16"/>
          <w:lang w:val="fr-FR"/>
        </w:rPr>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D33C1D" w:rsidRPr="00D33C1D" w14:paraId="7E843F6C" w14:textId="77777777" w:rsidTr="00D06E67">
        <w:trPr>
          <w:trHeight w:val="240"/>
          <w:jc w:val="center"/>
        </w:trPr>
        <w:tc>
          <w:tcPr>
            <w:tcW w:w="2547" w:type="dxa"/>
            <w:shd w:val="clear" w:color="auto" w:fill="auto"/>
          </w:tcPr>
          <w:p w14:paraId="3A61762F" w14:textId="77777777" w:rsidR="00D33C1D" w:rsidRPr="00D33C1D" w:rsidRDefault="00D33C1D" w:rsidP="00D06E67">
            <w:pPr>
              <w:spacing w:after="80"/>
              <w:rPr>
                <w:b/>
                <w:color w:val="0D0D0D" w:themeColor="text1" w:themeTint="F2"/>
                <w:sz w:val="18"/>
                <w:lang w:val="fr-FR"/>
              </w:rPr>
            </w:pPr>
            <w:r w:rsidRPr="00D33C1D">
              <w:rPr>
                <w:b/>
                <w:color w:val="0D0D0D" w:themeColor="text1" w:themeTint="F2"/>
                <w:sz w:val="18"/>
                <w:lang w:val="fr-FR"/>
              </w:rPr>
              <w:t>(I) TITRE DU PROJET</w:t>
            </w:r>
          </w:p>
        </w:tc>
        <w:tc>
          <w:tcPr>
            <w:tcW w:w="1843" w:type="dxa"/>
            <w:shd w:val="clear" w:color="auto" w:fill="auto"/>
          </w:tcPr>
          <w:p w14:paraId="47FFBEF1" w14:textId="77777777" w:rsidR="00D33C1D" w:rsidRPr="00D33C1D" w:rsidRDefault="00D33C1D" w:rsidP="00D06E67">
            <w:pPr>
              <w:spacing w:after="80"/>
              <w:jc w:val="center"/>
              <w:rPr>
                <w:b/>
                <w:color w:val="0D0D0D" w:themeColor="text1" w:themeTint="F2"/>
                <w:sz w:val="18"/>
                <w:lang w:val="fr-FR"/>
              </w:rPr>
            </w:pPr>
            <w:r w:rsidRPr="00D33C1D">
              <w:rPr>
                <w:b/>
                <w:color w:val="0D0D0D" w:themeColor="text1" w:themeTint="F2"/>
                <w:sz w:val="18"/>
                <w:lang w:val="fr-FR"/>
              </w:rPr>
              <w:t>AGENCE</w:t>
            </w:r>
          </w:p>
        </w:tc>
        <w:tc>
          <w:tcPr>
            <w:tcW w:w="2693" w:type="dxa"/>
            <w:shd w:val="clear" w:color="auto" w:fill="auto"/>
          </w:tcPr>
          <w:p w14:paraId="394D0389" w14:textId="77777777" w:rsidR="00D33C1D" w:rsidRPr="00D33C1D" w:rsidRDefault="00D33C1D" w:rsidP="00D06E67">
            <w:pPr>
              <w:spacing w:after="80"/>
              <w:jc w:val="center"/>
              <w:rPr>
                <w:b/>
                <w:color w:val="0D0D0D" w:themeColor="text1" w:themeTint="F2"/>
                <w:sz w:val="18"/>
                <w:lang w:val="fr-FR"/>
              </w:rPr>
            </w:pPr>
            <w:r w:rsidRPr="00D33C1D">
              <w:rPr>
                <w:b/>
                <w:color w:val="0D0D0D" w:themeColor="text1" w:themeTint="F2"/>
                <w:sz w:val="18"/>
                <w:lang w:val="fr-FR"/>
              </w:rPr>
              <w:t>RÉUNION D’APPROBATION</w:t>
            </w:r>
          </w:p>
        </w:tc>
        <w:tc>
          <w:tcPr>
            <w:tcW w:w="2909" w:type="dxa"/>
            <w:shd w:val="clear" w:color="auto" w:fill="auto"/>
          </w:tcPr>
          <w:p w14:paraId="5A8D6C65" w14:textId="77777777" w:rsidR="00D33C1D" w:rsidRPr="00D33C1D" w:rsidRDefault="00D33C1D" w:rsidP="00D06E67">
            <w:pPr>
              <w:spacing w:after="80"/>
              <w:jc w:val="center"/>
              <w:rPr>
                <w:b/>
                <w:color w:val="0D0D0D" w:themeColor="text1" w:themeTint="F2"/>
                <w:sz w:val="18"/>
                <w:lang w:val="fr-FR"/>
              </w:rPr>
            </w:pPr>
            <w:r w:rsidRPr="00D33C1D">
              <w:rPr>
                <w:b/>
                <w:color w:val="0D0D0D" w:themeColor="text1" w:themeTint="F2"/>
                <w:sz w:val="18"/>
                <w:lang w:val="fr-FR"/>
              </w:rPr>
              <w:t>MESURE DE RÉGLEMENTATION</w:t>
            </w:r>
          </w:p>
        </w:tc>
      </w:tr>
      <w:tr w:rsidR="00D33C1D" w:rsidRPr="00D33C1D" w14:paraId="1710D6B6" w14:textId="77777777" w:rsidTr="00D06E67">
        <w:trPr>
          <w:trHeight w:val="240"/>
          <w:jc w:val="center"/>
        </w:trPr>
        <w:tc>
          <w:tcPr>
            <w:tcW w:w="2547" w:type="dxa"/>
            <w:shd w:val="clear" w:color="auto" w:fill="auto"/>
          </w:tcPr>
          <w:p w14:paraId="3281FF2E" w14:textId="77777777" w:rsidR="00D33C1D" w:rsidRPr="00D33C1D" w:rsidRDefault="00D33C1D" w:rsidP="00D06E67">
            <w:pPr>
              <w:spacing w:after="80"/>
              <w:jc w:val="center"/>
              <w:rPr>
                <w:color w:val="0D0D0D" w:themeColor="text1" w:themeTint="F2"/>
                <w:sz w:val="18"/>
                <w:lang w:val="fr-FR"/>
              </w:rPr>
            </w:pPr>
            <w:r w:rsidRPr="00D33C1D">
              <w:rPr>
                <w:color w:val="0D0D0D" w:themeColor="text1" w:themeTint="F2"/>
                <w:sz w:val="18"/>
                <w:lang w:val="fr-FR"/>
              </w:rPr>
              <w:t>Plan de l’élimination des HCFC (phase I)</w:t>
            </w:r>
          </w:p>
        </w:tc>
        <w:tc>
          <w:tcPr>
            <w:tcW w:w="1843" w:type="dxa"/>
            <w:shd w:val="clear" w:color="auto" w:fill="auto"/>
          </w:tcPr>
          <w:p w14:paraId="402765BF" w14:textId="77777777" w:rsidR="00D33C1D" w:rsidRPr="00D33C1D" w:rsidRDefault="00D33C1D" w:rsidP="00D06E67">
            <w:pPr>
              <w:spacing w:after="80"/>
              <w:jc w:val="center"/>
              <w:rPr>
                <w:color w:val="0D0D0D" w:themeColor="text1" w:themeTint="F2"/>
                <w:sz w:val="18"/>
                <w:lang w:val="fr-FR"/>
              </w:rPr>
            </w:pPr>
            <w:r w:rsidRPr="00D33C1D">
              <w:rPr>
                <w:color w:val="0D0D0D" w:themeColor="text1" w:themeTint="F2"/>
                <w:sz w:val="18"/>
                <w:lang w:val="fr-FR"/>
              </w:rPr>
              <w:t>PNUD</w:t>
            </w:r>
          </w:p>
        </w:tc>
        <w:tc>
          <w:tcPr>
            <w:tcW w:w="2693" w:type="dxa"/>
            <w:shd w:val="clear" w:color="auto" w:fill="auto"/>
          </w:tcPr>
          <w:p w14:paraId="427728A7" w14:textId="77777777" w:rsidR="00D33C1D" w:rsidRPr="00D33C1D" w:rsidRDefault="00D33C1D" w:rsidP="00D06E67">
            <w:pPr>
              <w:spacing w:after="80"/>
              <w:jc w:val="center"/>
              <w:rPr>
                <w:color w:val="0D0D0D" w:themeColor="text1" w:themeTint="F2"/>
                <w:sz w:val="18"/>
                <w:lang w:val="fr-FR"/>
              </w:rPr>
            </w:pPr>
            <w:r w:rsidRPr="00D33C1D">
              <w:rPr>
                <w:color w:val="0D0D0D" w:themeColor="text1" w:themeTint="F2"/>
                <w:sz w:val="18"/>
                <w:lang w:val="fr-FR"/>
              </w:rPr>
              <w:t>63</w:t>
            </w:r>
            <w:r w:rsidRPr="00D33C1D">
              <w:rPr>
                <w:color w:val="0D0D0D" w:themeColor="text1" w:themeTint="F2"/>
                <w:sz w:val="18"/>
                <w:vertAlign w:val="superscript"/>
                <w:lang w:val="fr-FR"/>
              </w:rPr>
              <w:t>e</w:t>
            </w:r>
            <w:r w:rsidRPr="00D33C1D">
              <w:rPr>
                <w:color w:val="0D0D0D" w:themeColor="text1" w:themeTint="F2"/>
                <w:sz w:val="18"/>
                <w:lang w:val="fr-FR"/>
              </w:rPr>
              <w:t xml:space="preserve">  </w:t>
            </w:r>
          </w:p>
        </w:tc>
        <w:tc>
          <w:tcPr>
            <w:tcW w:w="2909" w:type="dxa"/>
            <w:shd w:val="clear" w:color="auto" w:fill="auto"/>
          </w:tcPr>
          <w:p w14:paraId="705F6775" w14:textId="77777777" w:rsidR="00D33C1D" w:rsidRPr="00D33C1D" w:rsidRDefault="00D33C1D" w:rsidP="00D06E67">
            <w:pPr>
              <w:spacing w:after="80"/>
              <w:jc w:val="center"/>
              <w:rPr>
                <w:color w:val="0D0D0D" w:themeColor="text1" w:themeTint="F2"/>
                <w:sz w:val="18"/>
                <w:lang w:val="fr-FR"/>
              </w:rPr>
            </w:pPr>
            <w:r w:rsidRPr="00D33C1D">
              <w:rPr>
                <w:color w:val="0D0D0D" w:themeColor="text1" w:themeTint="F2"/>
                <w:sz w:val="18"/>
                <w:lang w:val="fr-FR"/>
              </w:rPr>
              <w:t>35 % d’ici 2020</w:t>
            </w:r>
          </w:p>
        </w:tc>
      </w:tr>
    </w:tbl>
    <w:p w14:paraId="7C09CA79" w14:textId="77777777" w:rsidR="00D33C1D" w:rsidRPr="00A567C1" w:rsidRDefault="00D33C1D" w:rsidP="00D33C1D">
      <w:pPr>
        <w:spacing w:after="60"/>
        <w:jc w:val="center"/>
        <w:rPr>
          <w:color w:val="0D0D0D" w:themeColor="text1" w:themeTint="F2"/>
          <w:sz w:val="16"/>
          <w:szCs w:val="16"/>
          <w:lang w:val="fr-F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D33C1D" w:rsidRPr="00D33C1D" w14:paraId="2F022E90" w14:textId="77777777" w:rsidTr="00D06E67">
        <w:trPr>
          <w:trHeight w:val="240"/>
          <w:jc w:val="center"/>
        </w:trPr>
        <w:tc>
          <w:tcPr>
            <w:tcW w:w="5098" w:type="dxa"/>
            <w:shd w:val="clear" w:color="auto" w:fill="auto"/>
          </w:tcPr>
          <w:p w14:paraId="1EA9734E"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(II) DERNIÈRES DONNÉES DE L’ARTICLE 7 (Annexe C Groupe l)</w:t>
            </w:r>
          </w:p>
        </w:tc>
        <w:tc>
          <w:tcPr>
            <w:tcW w:w="2502" w:type="dxa"/>
            <w:shd w:val="clear" w:color="auto" w:fill="auto"/>
          </w:tcPr>
          <w:p w14:paraId="65B927D0"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Année : 2018</w:t>
            </w:r>
          </w:p>
        </w:tc>
        <w:tc>
          <w:tcPr>
            <w:tcW w:w="2400" w:type="dxa"/>
            <w:shd w:val="clear" w:color="auto" w:fill="auto"/>
          </w:tcPr>
          <w:p w14:paraId="0B394469"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1,89 (tonnes PAO)</w:t>
            </w:r>
          </w:p>
        </w:tc>
      </w:tr>
    </w:tbl>
    <w:p w14:paraId="01C1098E" w14:textId="77777777" w:rsidR="00D33C1D" w:rsidRPr="00A567C1" w:rsidRDefault="00D33C1D" w:rsidP="00D33C1D">
      <w:pPr>
        <w:spacing w:after="60"/>
        <w:jc w:val="center"/>
        <w:rPr>
          <w:color w:val="0D0D0D" w:themeColor="text1" w:themeTint="F2"/>
          <w:sz w:val="16"/>
          <w:szCs w:val="16"/>
          <w:lang w:val="fr-FR"/>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4"/>
        <w:gridCol w:w="823"/>
        <w:gridCol w:w="777"/>
        <w:gridCol w:w="936"/>
        <w:gridCol w:w="1036"/>
        <w:gridCol w:w="876"/>
        <w:gridCol w:w="837"/>
        <w:gridCol w:w="1276"/>
        <w:gridCol w:w="996"/>
        <w:gridCol w:w="1509"/>
      </w:tblGrid>
      <w:tr w:rsidR="00D33C1D" w:rsidRPr="00D33C1D" w14:paraId="50834762" w14:textId="77777777" w:rsidTr="00D06E67">
        <w:trPr>
          <w:trHeight w:val="240"/>
          <w:jc w:val="center"/>
        </w:trPr>
        <w:tc>
          <w:tcPr>
            <w:tcW w:w="0" w:type="auto"/>
            <w:gridSpan w:val="8"/>
            <w:shd w:val="clear" w:color="auto" w:fill="auto"/>
          </w:tcPr>
          <w:p w14:paraId="65984BC0"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(III) DERNIÈRES DONNÉES SECTORIELLES DU PROGRAMME DU PAYS (tonnes PAO)</w:t>
            </w:r>
          </w:p>
        </w:tc>
        <w:tc>
          <w:tcPr>
            <w:tcW w:w="2618" w:type="dxa"/>
            <w:gridSpan w:val="2"/>
            <w:shd w:val="clear" w:color="auto" w:fill="auto"/>
          </w:tcPr>
          <w:p w14:paraId="1E9EE350" w14:textId="77777777" w:rsidR="00D33C1D" w:rsidRPr="00D33C1D" w:rsidRDefault="00D33C1D" w:rsidP="00D06E67">
            <w:pPr>
              <w:spacing w:after="60"/>
              <w:jc w:val="right"/>
              <w:rPr>
                <w:b/>
                <w:color w:val="0D0D0D" w:themeColor="text1" w:themeTint="F2"/>
                <w:sz w:val="18"/>
                <w:lang w:val="fr-FR"/>
              </w:rPr>
            </w:pPr>
            <w:r w:rsidRPr="00D33C1D">
              <w:rPr>
                <w:b/>
                <w:color w:val="0D0D0D" w:themeColor="text1" w:themeTint="F2"/>
                <w:sz w:val="18"/>
                <w:lang w:val="fr-FR"/>
              </w:rPr>
              <w:t>Année : 2019</w:t>
            </w:r>
          </w:p>
        </w:tc>
      </w:tr>
      <w:tr w:rsidR="00D33C1D" w:rsidRPr="00D33C1D" w14:paraId="036BADF1" w14:textId="77777777" w:rsidTr="00D06E67">
        <w:trPr>
          <w:trHeight w:val="240"/>
          <w:jc w:val="center"/>
        </w:trPr>
        <w:tc>
          <w:tcPr>
            <w:tcW w:w="1075" w:type="dxa"/>
            <w:shd w:val="clear" w:color="auto" w:fill="auto"/>
          </w:tcPr>
          <w:p w14:paraId="575653D7"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Produits chimiques</w:t>
            </w:r>
          </w:p>
        </w:tc>
        <w:tc>
          <w:tcPr>
            <w:tcW w:w="900" w:type="dxa"/>
            <w:shd w:val="clear" w:color="auto" w:fill="auto"/>
          </w:tcPr>
          <w:p w14:paraId="25DB45C2"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Aérosol</w:t>
            </w:r>
          </w:p>
        </w:tc>
        <w:tc>
          <w:tcPr>
            <w:tcW w:w="631" w:type="dxa"/>
            <w:shd w:val="clear" w:color="auto" w:fill="auto"/>
          </w:tcPr>
          <w:p w14:paraId="680FF778"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Mousse</w:t>
            </w:r>
          </w:p>
        </w:tc>
        <w:tc>
          <w:tcPr>
            <w:tcW w:w="786" w:type="dxa"/>
            <w:shd w:val="clear" w:color="auto" w:fill="auto"/>
          </w:tcPr>
          <w:p w14:paraId="4795A82F"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Lutte contre l’incendie</w:t>
            </w:r>
          </w:p>
        </w:tc>
        <w:tc>
          <w:tcPr>
            <w:tcW w:w="0" w:type="auto"/>
            <w:gridSpan w:val="2"/>
            <w:shd w:val="clear" w:color="auto" w:fill="auto"/>
          </w:tcPr>
          <w:p w14:paraId="5361FB00"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Réfrigération</w:t>
            </w:r>
          </w:p>
        </w:tc>
        <w:tc>
          <w:tcPr>
            <w:tcW w:w="0" w:type="auto"/>
            <w:shd w:val="clear" w:color="auto" w:fill="auto"/>
          </w:tcPr>
          <w:p w14:paraId="70E7065D"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Solvants</w:t>
            </w:r>
          </w:p>
        </w:tc>
        <w:tc>
          <w:tcPr>
            <w:tcW w:w="0" w:type="auto"/>
            <w:shd w:val="clear" w:color="auto" w:fill="auto"/>
          </w:tcPr>
          <w:p w14:paraId="69EC160B"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Agent de transformation</w:t>
            </w:r>
          </w:p>
        </w:tc>
        <w:tc>
          <w:tcPr>
            <w:tcW w:w="0" w:type="auto"/>
            <w:shd w:val="clear" w:color="auto" w:fill="auto"/>
          </w:tcPr>
          <w:p w14:paraId="2116925E"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Utilisation en laboratoire</w:t>
            </w:r>
          </w:p>
        </w:tc>
        <w:tc>
          <w:tcPr>
            <w:tcW w:w="1909" w:type="dxa"/>
            <w:shd w:val="clear" w:color="auto" w:fill="auto"/>
          </w:tcPr>
          <w:p w14:paraId="79F9E8FA"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Consommation totale du secteur</w:t>
            </w:r>
          </w:p>
        </w:tc>
      </w:tr>
      <w:tr w:rsidR="00D33C1D" w:rsidRPr="00D33C1D" w14:paraId="10085622" w14:textId="77777777" w:rsidTr="00D06E67">
        <w:trPr>
          <w:trHeight w:val="240"/>
          <w:jc w:val="center"/>
        </w:trPr>
        <w:tc>
          <w:tcPr>
            <w:tcW w:w="0" w:type="auto"/>
            <w:gridSpan w:val="4"/>
            <w:shd w:val="clear" w:color="auto" w:fill="auto"/>
          </w:tcPr>
          <w:p w14:paraId="54FCB869"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 xml:space="preserve"> </w:t>
            </w:r>
          </w:p>
        </w:tc>
        <w:tc>
          <w:tcPr>
            <w:tcW w:w="0" w:type="auto"/>
            <w:shd w:val="clear" w:color="auto" w:fill="auto"/>
          </w:tcPr>
          <w:p w14:paraId="7E3B8761"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Fabrication</w:t>
            </w:r>
          </w:p>
        </w:tc>
        <w:tc>
          <w:tcPr>
            <w:tcW w:w="0" w:type="auto"/>
            <w:shd w:val="clear" w:color="auto" w:fill="auto"/>
          </w:tcPr>
          <w:p w14:paraId="4CC5A260"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Entretien</w:t>
            </w:r>
          </w:p>
        </w:tc>
        <w:tc>
          <w:tcPr>
            <w:tcW w:w="4476" w:type="dxa"/>
            <w:gridSpan w:val="4"/>
            <w:shd w:val="clear" w:color="auto" w:fill="auto"/>
          </w:tcPr>
          <w:p w14:paraId="54F32CBE" w14:textId="77777777" w:rsidR="00D33C1D" w:rsidRPr="00D33C1D" w:rsidRDefault="00D33C1D" w:rsidP="00D06E67">
            <w:pPr>
              <w:spacing w:after="60"/>
              <w:jc w:val="center"/>
              <w:rPr>
                <w:color w:val="0D0D0D" w:themeColor="text1" w:themeTint="F2"/>
                <w:sz w:val="18"/>
                <w:lang w:val="fr-FR"/>
              </w:rPr>
            </w:pPr>
          </w:p>
        </w:tc>
      </w:tr>
      <w:tr w:rsidR="00D33C1D" w:rsidRPr="00D33C1D" w14:paraId="525BDCBB" w14:textId="77777777" w:rsidTr="00D06E67">
        <w:trPr>
          <w:trHeight w:val="240"/>
          <w:jc w:val="center"/>
        </w:trPr>
        <w:tc>
          <w:tcPr>
            <w:tcW w:w="1075" w:type="dxa"/>
            <w:shd w:val="clear" w:color="auto" w:fill="auto"/>
          </w:tcPr>
          <w:p w14:paraId="2ADD196A"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HCFC-22</w:t>
            </w:r>
          </w:p>
        </w:tc>
        <w:tc>
          <w:tcPr>
            <w:tcW w:w="900" w:type="dxa"/>
            <w:shd w:val="clear" w:color="auto" w:fill="auto"/>
          </w:tcPr>
          <w:p w14:paraId="7F24C0C9" w14:textId="77777777" w:rsidR="00D33C1D" w:rsidRPr="00D33C1D" w:rsidRDefault="00D33C1D" w:rsidP="00D06E67">
            <w:pPr>
              <w:spacing w:after="60"/>
              <w:jc w:val="right"/>
              <w:rPr>
                <w:color w:val="0D0D0D" w:themeColor="text1" w:themeTint="F2"/>
                <w:sz w:val="18"/>
                <w:lang w:val="fr-FR"/>
              </w:rPr>
            </w:pPr>
          </w:p>
        </w:tc>
        <w:tc>
          <w:tcPr>
            <w:tcW w:w="631" w:type="dxa"/>
            <w:shd w:val="clear" w:color="auto" w:fill="auto"/>
          </w:tcPr>
          <w:p w14:paraId="4004D196" w14:textId="77777777" w:rsidR="00D33C1D" w:rsidRPr="00D33C1D" w:rsidRDefault="00D33C1D" w:rsidP="00D06E67">
            <w:pPr>
              <w:spacing w:after="60"/>
              <w:jc w:val="right"/>
              <w:rPr>
                <w:color w:val="0D0D0D" w:themeColor="text1" w:themeTint="F2"/>
                <w:sz w:val="18"/>
                <w:lang w:val="fr-FR"/>
              </w:rPr>
            </w:pPr>
          </w:p>
        </w:tc>
        <w:tc>
          <w:tcPr>
            <w:tcW w:w="786" w:type="dxa"/>
            <w:shd w:val="clear" w:color="auto" w:fill="auto"/>
          </w:tcPr>
          <w:p w14:paraId="13E936FE" w14:textId="77777777" w:rsidR="00D33C1D" w:rsidRPr="00D33C1D" w:rsidRDefault="00D33C1D" w:rsidP="00D06E67">
            <w:pPr>
              <w:spacing w:after="60"/>
              <w:jc w:val="right"/>
              <w:rPr>
                <w:color w:val="0D0D0D" w:themeColor="text1" w:themeTint="F2"/>
                <w:sz w:val="18"/>
                <w:lang w:val="fr-FR"/>
              </w:rPr>
            </w:pPr>
          </w:p>
        </w:tc>
        <w:tc>
          <w:tcPr>
            <w:tcW w:w="0" w:type="auto"/>
            <w:shd w:val="clear" w:color="auto" w:fill="auto"/>
          </w:tcPr>
          <w:p w14:paraId="74EF7D65" w14:textId="77777777" w:rsidR="00D33C1D" w:rsidRPr="00D33C1D" w:rsidRDefault="00D33C1D" w:rsidP="00D06E67">
            <w:pPr>
              <w:spacing w:after="60"/>
              <w:jc w:val="right"/>
              <w:rPr>
                <w:color w:val="0D0D0D" w:themeColor="text1" w:themeTint="F2"/>
                <w:sz w:val="18"/>
                <w:lang w:val="fr-FR"/>
              </w:rPr>
            </w:pPr>
          </w:p>
        </w:tc>
        <w:tc>
          <w:tcPr>
            <w:tcW w:w="0" w:type="auto"/>
            <w:shd w:val="clear" w:color="auto" w:fill="auto"/>
          </w:tcPr>
          <w:p w14:paraId="22AA84B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2,40</w:t>
            </w:r>
          </w:p>
        </w:tc>
        <w:tc>
          <w:tcPr>
            <w:tcW w:w="0" w:type="auto"/>
            <w:shd w:val="clear" w:color="auto" w:fill="auto"/>
          </w:tcPr>
          <w:p w14:paraId="02B1AE5C" w14:textId="77777777" w:rsidR="00D33C1D" w:rsidRPr="00D33C1D" w:rsidRDefault="00D33C1D" w:rsidP="00D06E67">
            <w:pPr>
              <w:spacing w:after="60"/>
              <w:jc w:val="right"/>
              <w:rPr>
                <w:color w:val="0D0D0D" w:themeColor="text1" w:themeTint="F2"/>
                <w:sz w:val="18"/>
                <w:lang w:val="fr-FR"/>
              </w:rPr>
            </w:pPr>
          </w:p>
        </w:tc>
        <w:tc>
          <w:tcPr>
            <w:tcW w:w="0" w:type="auto"/>
            <w:shd w:val="clear" w:color="auto" w:fill="auto"/>
          </w:tcPr>
          <w:p w14:paraId="757A9F0A" w14:textId="77777777" w:rsidR="00D33C1D" w:rsidRPr="00D33C1D" w:rsidRDefault="00D33C1D" w:rsidP="00D06E67">
            <w:pPr>
              <w:spacing w:after="60"/>
              <w:jc w:val="right"/>
              <w:rPr>
                <w:color w:val="0D0D0D" w:themeColor="text1" w:themeTint="F2"/>
                <w:sz w:val="18"/>
                <w:lang w:val="fr-FR"/>
              </w:rPr>
            </w:pPr>
          </w:p>
        </w:tc>
        <w:tc>
          <w:tcPr>
            <w:tcW w:w="0" w:type="auto"/>
            <w:shd w:val="clear" w:color="auto" w:fill="auto"/>
          </w:tcPr>
          <w:p w14:paraId="7C34357F" w14:textId="77777777" w:rsidR="00D33C1D" w:rsidRPr="00D33C1D" w:rsidRDefault="00D33C1D" w:rsidP="00D06E67">
            <w:pPr>
              <w:spacing w:after="60"/>
              <w:jc w:val="right"/>
              <w:rPr>
                <w:color w:val="0D0D0D" w:themeColor="text1" w:themeTint="F2"/>
                <w:sz w:val="18"/>
                <w:lang w:val="fr-FR"/>
              </w:rPr>
            </w:pPr>
          </w:p>
        </w:tc>
        <w:tc>
          <w:tcPr>
            <w:tcW w:w="1909" w:type="dxa"/>
            <w:shd w:val="clear" w:color="auto" w:fill="auto"/>
          </w:tcPr>
          <w:p w14:paraId="79F54B6F"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2,40</w:t>
            </w:r>
          </w:p>
        </w:tc>
      </w:tr>
    </w:tbl>
    <w:p w14:paraId="292FD211" w14:textId="77777777" w:rsidR="00D33C1D" w:rsidRPr="00A567C1" w:rsidRDefault="00D33C1D" w:rsidP="00D33C1D">
      <w:pPr>
        <w:spacing w:after="60"/>
        <w:jc w:val="center"/>
        <w:rPr>
          <w:color w:val="0D0D0D" w:themeColor="text1" w:themeTint="F2"/>
          <w:sz w:val="16"/>
          <w:szCs w:val="16"/>
          <w:lang w:val="fr-FR"/>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50"/>
        <w:gridCol w:w="754"/>
        <w:gridCol w:w="5369"/>
        <w:gridCol w:w="1428"/>
      </w:tblGrid>
      <w:tr w:rsidR="00D33C1D" w:rsidRPr="00E1514B" w14:paraId="0BA17827" w14:textId="77777777" w:rsidTr="00D06E67">
        <w:trPr>
          <w:trHeight w:val="240"/>
          <w:jc w:val="center"/>
        </w:trPr>
        <w:tc>
          <w:tcPr>
            <w:tcW w:w="10201" w:type="dxa"/>
            <w:gridSpan w:val="4"/>
            <w:shd w:val="clear" w:color="auto" w:fill="auto"/>
          </w:tcPr>
          <w:p w14:paraId="2A9AB1BD"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(IV) DONNÉES SUR LA CONSOMMATION (tonnes PAO)</w:t>
            </w:r>
          </w:p>
        </w:tc>
      </w:tr>
      <w:tr w:rsidR="00D33C1D" w:rsidRPr="00D33C1D" w14:paraId="34E2BC31" w14:textId="77777777" w:rsidTr="00D06E67">
        <w:trPr>
          <w:trHeight w:val="240"/>
          <w:jc w:val="center"/>
        </w:trPr>
        <w:tc>
          <w:tcPr>
            <w:tcW w:w="0" w:type="auto"/>
            <w:shd w:val="clear" w:color="auto" w:fill="auto"/>
          </w:tcPr>
          <w:p w14:paraId="4C8B3780"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Référence 2009-2010 :</w:t>
            </w:r>
          </w:p>
        </w:tc>
        <w:tc>
          <w:tcPr>
            <w:tcW w:w="0" w:type="auto"/>
            <w:shd w:val="clear" w:color="auto" w:fill="auto"/>
          </w:tcPr>
          <w:p w14:paraId="13DD0058"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5,3</w:t>
            </w:r>
          </w:p>
        </w:tc>
        <w:tc>
          <w:tcPr>
            <w:tcW w:w="0" w:type="auto"/>
            <w:shd w:val="clear" w:color="auto" w:fill="auto"/>
          </w:tcPr>
          <w:p w14:paraId="2062F774"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Point de départ des réductions globales durables :</w:t>
            </w:r>
          </w:p>
        </w:tc>
        <w:tc>
          <w:tcPr>
            <w:tcW w:w="1006" w:type="dxa"/>
            <w:shd w:val="clear" w:color="auto" w:fill="auto"/>
          </w:tcPr>
          <w:p w14:paraId="0FBBDB8F"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5,33</w:t>
            </w:r>
          </w:p>
        </w:tc>
      </w:tr>
      <w:tr w:rsidR="00D33C1D" w:rsidRPr="00E1514B" w14:paraId="1B937C4B" w14:textId="77777777" w:rsidTr="00D06E67">
        <w:trPr>
          <w:trHeight w:val="240"/>
          <w:jc w:val="center"/>
        </w:trPr>
        <w:tc>
          <w:tcPr>
            <w:tcW w:w="10201" w:type="dxa"/>
            <w:gridSpan w:val="4"/>
            <w:shd w:val="clear" w:color="auto" w:fill="auto"/>
          </w:tcPr>
          <w:p w14:paraId="795A62F6"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CONSOMMATION ADMISSIBLE AU FINANCEMENT (tonnes PAO)</w:t>
            </w:r>
          </w:p>
        </w:tc>
      </w:tr>
      <w:tr w:rsidR="00D33C1D" w:rsidRPr="00D33C1D" w14:paraId="66590503" w14:textId="77777777" w:rsidTr="00D06E67">
        <w:trPr>
          <w:trHeight w:val="240"/>
          <w:jc w:val="center"/>
        </w:trPr>
        <w:tc>
          <w:tcPr>
            <w:tcW w:w="0" w:type="auto"/>
            <w:shd w:val="clear" w:color="auto" w:fill="auto"/>
          </w:tcPr>
          <w:p w14:paraId="041405B8"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Déjà approuvée :</w:t>
            </w:r>
          </w:p>
        </w:tc>
        <w:tc>
          <w:tcPr>
            <w:tcW w:w="0" w:type="auto"/>
            <w:shd w:val="clear" w:color="auto" w:fill="auto"/>
          </w:tcPr>
          <w:p w14:paraId="0F2C075D"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2,33</w:t>
            </w:r>
          </w:p>
        </w:tc>
        <w:tc>
          <w:tcPr>
            <w:tcW w:w="0" w:type="auto"/>
            <w:shd w:val="clear" w:color="auto" w:fill="auto"/>
          </w:tcPr>
          <w:p w14:paraId="27233202"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Restante :</w:t>
            </w:r>
          </w:p>
        </w:tc>
        <w:tc>
          <w:tcPr>
            <w:tcW w:w="1006" w:type="dxa"/>
            <w:shd w:val="clear" w:color="auto" w:fill="auto"/>
          </w:tcPr>
          <w:p w14:paraId="0C424B8D"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3,00</w:t>
            </w:r>
          </w:p>
        </w:tc>
      </w:tr>
    </w:tbl>
    <w:p w14:paraId="0022250D" w14:textId="77777777" w:rsidR="00D33C1D" w:rsidRPr="00A567C1" w:rsidRDefault="00D33C1D" w:rsidP="00D33C1D">
      <w:pPr>
        <w:spacing w:after="60"/>
        <w:jc w:val="center"/>
        <w:rPr>
          <w:color w:val="0D0D0D" w:themeColor="text1" w:themeTint="F2"/>
          <w:sz w:val="16"/>
          <w:szCs w:val="16"/>
          <w:lang w:val="fr-FR"/>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6"/>
        <w:gridCol w:w="2835"/>
        <w:gridCol w:w="5634"/>
      </w:tblGrid>
      <w:tr w:rsidR="00D33C1D" w:rsidRPr="00D33C1D" w14:paraId="0AB592E7" w14:textId="77777777" w:rsidTr="00D06E67">
        <w:trPr>
          <w:trHeight w:val="240"/>
          <w:jc w:val="center"/>
        </w:trPr>
        <w:tc>
          <w:tcPr>
            <w:tcW w:w="4531" w:type="dxa"/>
            <w:gridSpan w:val="2"/>
            <w:shd w:val="clear" w:color="auto" w:fill="auto"/>
          </w:tcPr>
          <w:p w14:paraId="38F418D9"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(V) PLAN D’ACTIVITÉS</w:t>
            </w:r>
          </w:p>
        </w:tc>
        <w:tc>
          <w:tcPr>
            <w:tcW w:w="5634" w:type="dxa"/>
            <w:shd w:val="clear" w:color="auto" w:fill="auto"/>
          </w:tcPr>
          <w:p w14:paraId="076A0E5C"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2020</w:t>
            </w:r>
          </w:p>
        </w:tc>
      </w:tr>
      <w:tr w:rsidR="00D33C1D" w:rsidRPr="00D33C1D" w14:paraId="4C6EA657" w14:textId="77777777" w:rsidTr="00D33C1D">
        <w:trPr>
          <w:trHeight w:val="240"/>
          <w:jc w:val="center"/>
        </w:trPr>
        <w:tc>
          <w:tcPr>
            <w:tcW w:w="1696" w:type="dxa"/>
            <w:vMerge w:val="restart"/>
            <w:shd w:val="clear" w:color="auto" w:fill="auto"/>
          </w:tcPr>
          <w:p w14:paraId="72D15339"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PNUD</w:t>
            </w:r>
          </w:p>
        </w:tc>
        <w:tc>
          <w:tcPr>
            <w:tcW w:w="2835" w:type="dxa"/>
            <w:shd w:val="clear" w:color="auto" w:fill="auto"/>
          </w:tcPr>
          <w:p w14:paraId="6372B175"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Élimination des SAO (tonnes PAO)</w:t>
            </w:r>
          </w:p>
        </w:tc>
        <w:tc>
          <w:tcPr>
            <w:tcW w:w="5634" w:type="dxa"/>
            <w:shd w:val="clear" w:color="auto" w:fill="auto"/>
          </w:tcPr>
          <w:p w14:paraId="420ECA2B"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0,15</w:t>
            </w:r>
          </w:p>
        </w:tc>
      </w:tr>
      <w:tr w:rsidR="00D33C1D" w:rsidRPr="00D33C1D" w14:paraId="128A79FB" w14:textId="77777777" w:rsidTr="00D33C1D">
        <w:trPr>
          <w:trHeight w:val="240"/>
          <w:jc w:val="center"/>
        </w:trPr>
        <w:tc>
          <w:tcPr>
            <w:tcW w:w="1696" w:type="dxa"/>
            <w:vMerge/>
            <w:shd w:val="clear" w:color="auto" w:fill="auto"/>
          </w:tcPr>
          <w:p w14:paraId="4BF045D3" w14:textId="77777777" w:rsidR="00D33C1D" w:rsidRPr="00D33C1D" w:rsidRDefault="00D33C1D" w:rsidP="00D06E67">
            <w:pPr>
              <w:spacing w:after="60"/>
              <w:jc w:val="center"/>
              <w:rPr>
                <w:color w:val="0D0D0D" w:themeColor="text1" w:themeTint="F2"/>
                <w:sz w:val="18"/>
                <w:lang w:val="fr-FR"/>
              </w:rPr>
            </w:pPr>
          </w:p>
        </w:tc>
        <w:tc>
          <w:tcPr>
            <w:tcW w:w="2835" w:type="dxa"/>
            <w:shd w:val="clear" w:color="auto" w:fill="auto"/>
          </w:tcPr>
          <w:p w14:paraId="5BB390E8"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Financement ($ US)</w:t>
            </w:r>
          </w:p>
        </w:tc>
        <w:tc>
          <w:tcPr>
            <w:tcW w:w="5634" w:type="dxa"/>
            <w:shd w:val="clear" w:color="auto" w:fill="auto"/>
          </w:tcPr>
          <w:p w14:paraId="12CB0BA5"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33 863</w:t>
            </w:r>
          </w:p>
        </w:tc>
      </w:tr>
    </w:tbl>
    <w:p w14:paraId="65765F22" w14:textId="77777777" w:rsidR="00D33C1D" w:rsidRPr="00A567C1" w:rsidRDefault="00D33C1D" w:rsidP="00D33C1D">
      <w:pPr>
        <w:spacing w:after="60"/>
        <w:jc w:val="center"/>
        <w:rPr>
          <w:color w:val="0D0D0D" w:themeColor="text1" w:themeTint="F2"/>
          <w:sz w:val="16"/>
          <w:szCs w:val="16"/>
          <w:lang w:val="fr-FR"/>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9"/>
        <w:gridCol w:w="742"/>
        <w:gridCol w:w="770"/>
        <w:gridCol w:w="700"/>
        <w:gridCol w:w="697"/>
        <w:gridCol w:w="712"/>
        <w:gridCol w:w="712"/>
        <w:gridCol w:w="712"/>
        <w:gridCol w:w="711"/>
        <w:gridCol w:w="712"/>
        <w:gridCol w:w="712"/>
        <w:gridCol w:w="712"/>
        <w:gridCol w:w="712"/>
        <w:gridCol w:w="712"/>
      </w:tblGrid>
      <w:tr w:rsidR="00D33C1D" w:rsidRPr="00D33C1D" w14:paraId="6A8C5069" w14:textId="77777777" w:rsidTr="00D33C1D">
        <w:trPr>
          <w:jc w:val="center"/>
        </w:trPr>
        <w:tc>
          <w:tcPr>
            <w:tcW w:w="2361" w:type="dxa"/>
            <w:gridSpan w:val="3"/>
            <w:shd w:val="clear" w:color="auto" w:fill="auto"/>
          </w:tcPr>
          <w:p w14:paraId="092C8A19"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(VI) DONNÉES DU PROJET</w:t>
            </w:r>
          </w:p>
        </w:tc>
        <w:tc>
          <w:tcPr>
            <w:tcW w:w="700" w:type="dxa"/>
            <w:shd w:val="clear" w:color="auto" w:fill="auto"/>
            <w:tcMar>
              <w:left w:w="0" w:type="dxa"/>
              <w:right w:w="58" w:type="dxa"/>
            </w:tcMar>
          </w:tcPr>
          <w:p w14:paraId="0CBAA665"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2011</w:t>
            </w:r>
          </w:p>
        </w:tc>
        <w:tc>
          <w:tcPr>
            <w:tcW w:w="697" w:type="dxa"/>
            <w:shd w:val="clear" w:color="auto" w:fill="auto"/>
            <w:tcMar>
              <w:left w:w="0" w:type="dxa"/>
              <w:right w:w="58" w:type="dxa"/>
            </w:tcMar>
          </w:tcPr>
          <w:p w14:paraId="6F8E24D7"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2012</w:t>
            </w:r>
          </w:p>
        </w:tc>
        <w:tc>
          <w:tcPr>
            <w:tcW w:w="712" w:type="dxa"/>
            <w:shd w:val="clear" w:color="auto" w:fill="auto"/>
            <w:tcMar>
              <w:left w:w="0" w:type="dxa"/>
              <w:right w:w="58" w:type="dxa"/>
            </w:tcMar>
          </w:tcPr>
          <w:p w14:paraId="3B283621"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2013</w:t>
            </w:r>
          </w:p>
        </w:tc>
        <w:tc>
          <w:tcPr>
            <w:tcW w:w="712" w:type="dxa"/>
            <w:shd w:val="clear" w:color="auto" w:fill="auto"/>
            <w:tcMar>
              <w:left w:w="0" w:type="dxa"/>
              <w:right w:w="58" w:type="dxa"/>
            </w:tcMar>
          </w:tcPr>
          <w:p w14:paraId="10B16ABB"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2014</w:t>
            </w:r>
          </w:p>
        </w:tc>
        <w:tc>
          <w:tcPr>
            <w:tcW w:w="712" w:type="dxa"/>
            <w:shd w:val="clear" w:color="auto" w:fill="auto"/>
            <w:tcMar>
              <w:left w:w="0" w:type="dxa"/>
              <w:right w:w="58" w:type="dxa"/>
            </w:tcMar>
          </w:tcPr>
          <w:p w14:paraId="01583A24"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2015</w:t>
            </w:r>
          </w:p>
        </w:tc>
        <w:tc>
          <w:tcPr>
            <w:tcW w:w="711" w:type="dxa"/>
            <w:shd w:val="clear" w:color="auto" w:fill="auto"/>
            <w:tcMar>
              <w:left w:w="0" w:type="dxa"/>
              <w:right w:w="58" w:type="dxa"/>
            </w:tcMar>
          </w:tcPr>
          <w:p w14:paraId="30BB1F04"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2016</w:t>
            </w:r>
          </w:p>
        </w:tc>
        <w:tc>
          <w:tcPr>
            <w:tcW w:w="712" w:type="dxa"/>
            <w:shd w:val="clear" w:color="auto" w:fill="auto"/>
            <w:tcMar>
              <w:left w:w="0" w:type="dxa"/>
              <w:right w:w="58" w:type="dxa"/>
            </w:tcMar>
          </w:tcPr>
          <w:p w14:paraId="15A1AF2E"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2017</w:t>
            </w:r>
          </w:p>
        </w:tc>
        <w:tc>
          <w:tcPr>
            <w:tcW w:w="712" w:type="dxa"/>
            <w:shd w:val="clear" w:color="auto" w:fill="auto"/>
            <w:tcMar>
              <w:left w:w="0" w:type="dxa"/>
              <w:right w:w="58" w:type="dxa"/>
            </w:tcMar>
          </w:tcPr>
          <w:p w14:paraId="76CA24B4"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2018</w:t>
            </w:r>
          </w:p>
        </w:tc>
        <w:tc>
          <w:tcPr>
            <w:tcW w:w="712" w:type="dxa"/>
            <w:shd w:val="clear" w:color="auto" w:fill="auto"/>
            <w:tcMar>
              <w:left w:w="0" w:type="dxa"/>
              <w:right w:w="58" w:type="dxa"/>
            </w:tcMar>
          </w:tcPr>
          <w:p w14:paraId="43EEFD4C"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2019</w:t>
            </w:r>
          </w:p>
        </w:tc>
        <w:tc>
          <w:tcPr>
            <w:tcW w:w="712" w:type="dxa"/>
            <w:shd w:val="clear" w:color="auto" w:fill="auto"/>
            <w:tcMar>
              <w:left w:w="0" w:type="dxa"/>
              <w:right w:w="58" w:type="dxa"/>
            </w:tcMar>
          </w:tcPr>
          <w:p w14:paraId="42781E0E"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2020</w:t>
            </w:r>
          </w:p>
        </w:tc>
        <w:tc>
          <w:tcPr>
            <w:tcW w:w="712" w:type="dxa"/>
            <w:shd w:val="clear" w:color="auto" w:fill="auto"/>
            <w:tcMar>
              <w:left w:w="0" w:type="dxa"/>
              <w:right w:w="58" w:type="dxa"/>
            </w:tcMar>
          </w:tcPr>
          <w:p w14:paraId="1525E9F0" w14:textId="77777777" w:rsidR="00D33C1D" w:rsidRPr="00D33C1D" w:rsidRDefault="00D33C1D" w:rsidP="00D06E67">
            <w:pPr>
              <w:spacing w:after="60"/>
              <w:jc w:val="center"/>
              <w:rPr>
                <w:b/>
                <w:color w:val="0D0D0D" w:themeColor="text1" w:themeTint="F2"/>
                <w:sz w:val="18"/>
                <w:lang w:val="fr-FR"/>
              </w:rPr>
            </w:pPr>
            <w:r w:rsidRPr="00D33C1D">
              <w:rPr>
                <w:b/>
                <w:color w:val="0D0D0D" w:themeColor="text1" w:themeTint="F2"/>
                <w:sz w:val="18"/>
                <w:lang w:val="fr-FR"/>
              </w:rPr>
              <w:t>Total</w:t>
            </w:r>
          </w:p>
        </w:tc>
      </w:tr>
      <w:tr w:rsidR="00D33C1D" w:rsidRPr="00D33C1D" w14:paraId="3961E6CE" w14:textId="77777777" w:rsidTr="00D33C1D">
        <w:trPr>
          <w:jc w:val="center"/>
        </w:trPr>
        <w:tc>
          <w:tcPr>
            <w:tcW w:w="2361" w:type="dxa"/>
            <w:gridSpan w:val="3"/>
            <w:shd w:val="clear" w:color="auto" w:fill="auto"/>
          </w:tcPr>
          <w:p w14:paraId="23F5BD23"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Limites de consommation du Protocole de Montréal</w:t>
            </w:r>
          </w:p>
        </w:tc>
        <w:tc>
          <w:tcPr>
            <w:tcW w:w="700" w:type="dxa"/>
            <w:shd w:val="clear" w:color="auto" w:fill="auto"/>
            <w:tcMar>
              <w:left w:w="0" w:type="dxa"/>
              <w:right w:w="58" w:type="dxa"/>
            </w:tcMar>
          </w:tcPr>
          <w:p w14:paraId="2565BE42"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c>
          <w:tcPr>
            <w:tcW w:w="697" w:type="dxa"/>
            <w:shd w:val="clear" w:color="auto" w:fill="auto"/>
            <w:tcMar>
              <w:left w:w="0" w:type="dxa"/>
              <w:right w:w="58" w:type="dxa"/>
            </w:tcMar>
          </w:tcPr>
          <w:p w14:paraId="4B40BBF3"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c>
          <w:tcPr>
            <w:tcW w:w="712" w:type="dxa"/>
            <w:shd w:val="clear" w:color="auto" w:fill="auto"/>
            <w:tcMar>
              <w:left w:w="0" w:type="dxa"/>
              <w:right w:w="58" w:type="dxa"/>
            </w:tcMar>
          </w:tcPr>
          <w:p w14:paraId="0D77282E"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5,3</w:t>
            </w:r>
          </w:p>
        </w:tc>
        <w:tc>
          <w:tcPr>
            <w:tcW w:w="712" w:type="dxa"/>
            <w:shd w:val="clear" w:color="auto" w:fill="auto"/>
            <w:tcMar>
              <w:left w:w="0" w:type="dxa"/>
              <w:right w:w="58" w:type="dxa"/>
            </w:tcMar>
          </w:tcPr>
          <w:p w14:paraId="2F4D2A74"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5,3</w:t>
            </w:r>
          </w:p>
        </w:tc>
        <w:tc>
          <w:tcPr>
            <w:tcW w:w="712" w:type="dxa"/>
            <w:shd w:val="clear" w:color="auto" w:fill="auto"/>
            <w:tcMar>
              <w:left w:w="0" w:type="dxa"/>
              <w:right w:w="58" w:type="dxa"/>
            </w:tcMar>
          </w:tcPr>
          <w:p w14:paraId="3E627164"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4,8</w:t>
            </w:r>
          </w:p>
        </w:tc>
        <w:tc>
          <w:tcPr>
            <w:tcW w:w="711" w:type="dxa"/>
            <w:shd w:val="clear" w:color="auto" w:fill="auto"/>
            <w:tcMar>
              <w:left w:w="0" w:type="dxa"/>
              <w:right w:w="58" w:type="dxa"/>
            </w:tcMar>
          </w:tcPr>
          <w:p w14:paraId="61A4ED95"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4,8</w:t>
            </w:r>
          </w:p>
        </w:tc>
        <w:tc>
          <w:tcPr>
            <w:tcW w:w="712" w:type="dxa"/>
            <w:shd w:val="clear" w:color="auto" w:fill="auto"/>
            <w:tcMar>
              <w:left w:w="0" w:type="dxa"/>
              <w:right w:w="58" w:type="dxa"/>
            </w:tcMar>
          </w:tcPr>
          <w:p w14:paraId="0F3B4852"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4,8</w:t>
            </w:r>
          </w:p>
        </w:tc>
        <w:tc>
          <w:tcPr>
            <w:tcW w:w="712" w:type="dxa"/>
            <w:shd w:val="clear" w:color="auto" w:fill="auto"/>
            <w:tcMar>
              <w:left w:w="0" w:type="dxa"/>
              <w:right w:w="58" w:type="dxa"/>
            </w:tcMar>
          </w:tcPr>
          <w:p w14:paraId="7052276F"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4,8</w:t>
            </w:r>
          </w:p>
        </w:tc>
        <w:tc>
          <w:tcPr>
            <w:tcW w:w="712" w:type="dxa"/>
            <w:shd w:val="clear" w:color="auto" w:fill="auto"/>
            <w:tcMar>
              <w:left w:w="0" w:type="dxa"/>
              <w:right w:w="58" w:type="dxa"/>
            </w:tcMar>
          </w:tcPr>
          <w:p w14:paraId="1ABFCFA1"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4,8</w:t>
            </w:r>
          </w:p>
        </w:tc>
        <w:tc>
          <w:tcPr>
            <w:tcW w:w="712" w:type="dxa"/>
            <w:shd w:val="clear" w:color="auto" w:fill="auto"/>
            <w:tcMar>
              <w:left w:w="0" w:type="dxa"/>
              <w:right w:w="58" w:type="dxa"/>
            </w:tcMar>
          </w:tcPr>
          <w:p w14:paraId="4B8D022B"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3,5</w:t>
            </w:r>
          </w:p>
        </w:tc>
        <w:tc>
          <w:tcPr>
            <w:tcW w:w="712" w:type="dxa"/>
            <w:shd w:val="clear" w:color="auto" w:fill="auto"/>
            <w:tcMar>
              <w:left w:w="0" w:type="dxa"/>
              <w:right w:w="58" w:type="dxa"/>
            </w:tcMar>
          </w:tcPr>
          <w:p w14:paraId="7B990BAD"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r>
      <w:tr w:rsidR="00D33C1D" w:rsidRPr="00D33C1D" w14:paraId="0D7E160A" w14:textId="77777777" w:rsidTr="00D33C1D">
        <w:trPr>
          <w:jc w:val="center"/>
        </w:trPr>
        <w:tc>
          <w:tcPr>
            <w:tcW w:w="2361" w:type="dxa"/>
            <w:gridSpan w:val="3"/>
            <w:shd w:val="clear" w:color="auto" w:fill="auto"/>
          </w:tcPr>
          <w:p w14:paraId="7BE04985"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Consommation maximale admissible (tonnes PAO)</w:t>
            </w:r>
          </w:p>
        </w:tc>
        <w:tc>
          <w:tcPr>
            <w:tcW w:w="700" w:type="dxa"/>
            <w:shd w:val="clear" w:color="auto" w:fill="auto"/>
            <w:tcMar>
              <w:left w:w="0" w:type="dxa"/>
              <w:right w:w="58" w:type="dxa"/>
            </w:tcMar>
          </w:tcPr>
          <w:p w14:paraId="6671679A"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c>
          <w:tcPr>
            <w:tcW w:w="697" w:type="dxa"/>
            <w:shd w:val="clear" w:color="auto" w:fill="auto"/>
            <w:tcMar>
              <w:left w:w="0" w:type="dxa"/>
              <w:right w:w="58" w:type="dxa"/>
            </w:tcMar>
          </w:tcPr>
          <w:p w14:paraId="27A07B8E"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c>
          <w:tcPr>
            <w:tcW w:w="712" w:type="dxa"/>
            <w:shd w:val="clear" w:color="auto" w:fill="auto"/>
            <w:tcMar>
              <w:left w:w="0" w:type="dxa"/>
              <w:right w:w="58" w:type="dxa"/>
            </w:tcMar>
          </w:tcPr>
          <w:p w14:paraId="52B0ACAF"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5,33</w:t>
            </w:r>
          </w:p>
        </w:tc>
        <w:tc>
          <w:tcPr>
            <w:tcW w:w="712" w:type="dxa"/>
            <w:shd w:val="clear" w:color="auto" w:fill="auto"/>
            <w:tcMar>
              <w:left w:w="0" w:type="dxa"/>
              <w:right w:w="58" w:type="dxa"/>
            </w:tcMar>
          </w:tcPr>
          <w:p w14:paraId="5EDD94F5"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5,33</w:t>
            </w:r>
          </w:p>
        </w:tc>
        <w:tc>
          <w:tcPr>
            <w:tcW w:w="712" w:type="dxa"/>
            <w:shd w:val="clear" w:color="auto" w:fill="auto"/>
            <w:tcMar>
              <w:left w:w="0" w:type="dxa"/>
              <w:right w:w="58" w:type="dxa"/>
            </w:tcMar>
          </w:tcPr>
          <w:p w14:paraId="75A85D9B" w14:textId="77777777" w:rsidR="00D33C1D" w:rsidRPr="00D33C1D" w:rsidRDefault="00D33C1D" w:rsidP="00D06E67">
            <w:pPr>
              <w:spacing w:after="60"/>
              <w:jc w:val="right"/>
              <w:rPr>
                <w:color w:val="0D0D0D" w:themeColor="text1" w:themeTint="F2"/>
                <w:sz w:val="19"/>
                <w:szCs w:val="19"/>
                <w:lang w:val="fr-FR"/>
              </w:rPr>
            </w:pPr>
            <w:r w:rsidRPr="00D33C1D">
              <w:rPr>
                <w:color w:val="0D0D0D" w:themeColor="text1" w:themeTint="F2"/>
                <w:sz w:val="19"/>
                <w:lang w:val="fr-FR"/>
              </w:rPr>
              <w:t>4,79</w:t>
            </w:r>
          </w:p>
        </w:tc>
        <w:tc>
          <w:tcPr>
            <w:tcW w:w="711" w:type="dxa"/>
            <w:shd w:val="clear" w:color="auto" w:fill="auto"/>
            <w:tcMar>
              <w:left w:w="0" w:type="dxa"/>
              <w:right w:w="58" w:type="dxa"/>
            </w:tcMar>
          </w:tcPr>
          <w:p w14:paraId="571C0502" w14:textId="77777777" w:rsidR="00D33C1D" w:rsidRPr="00D33C1D" w:rsidRDefault="00D33C1D" w:rsidP="00D06E67">
            <w:pPr>
              <w:jc w:val="right"/>
              <w:rPr>
                <w:color w:val="0D0D0D" w:themeColor="text1" w:themeTint="F2"/>
                <w:sz w:val="19"/>
                <w:szCs w:val="19"/>
                <w:lang w:val="fr-FR"/>
              </w:rPr>
            </w:pPr>
            <w:r w:rsidRPr="00D33C1D">
              <w:rPr>
                <w:color w:val="0D0D0D" w:themeColor="text1" w:themeTint="F2"/>
                <w:sz w:val="19"/>
                <w:lang w:val="fr-FR"/>
              </w:rPr>
              <w:t>4,14</w:t>
            </w:r>
          </w:p>
        </w:tc>
        <w:tc>
          <w:tcPr>
            <w:tcW w:w="712" w:type="dxa"/>
            <w:shd w:val="clear" w:color="auto" w:fill="auto"/>
            <w:tcMar>
              <w:left w:w="0" w:type="dxa"/>
              <w:right w:w="58" w:type="dxa"/>
            </w:tcMar>
          </w:tcPr>
          <w:p w14:paraId="68F907BF" w14:textId="77777777" w:rsidR="00D33C1D" w:rsidRPr="00D33C1D" w:rsidRDefault="00D33C1D" w:rsidP="00D06E67">
            <w:pPr>
              <w:jc w:val="right"/>
              <w:rPr>
                <w:color w:val="0D0D0D" w:themeColor="text1" w:themeTint="F2"/>
                <w:sz w:val="19"/>
                <w:szCs w:val="19"/>
                <w:lang w:val="fr-FR"/>
              </w:rPr>
            </w:pPr>
            <w:r w:rsidRPr="00D33C1D">
              <w:rPr>
                <w:color w:val="0D0D0D" w:themeColor="text1" w:themeTint="F2"/>
                <w:sz w:val="19"/>
                <w:lang w:val="fr-FR"/>
              </w:rPr>
              <w:t>4,14</w:t>
            </w:r>
          </w:p>
        </w:tc>
        <w:tc>
          <w:tcPr>
            <w:tcW w:w="712" w:type="dxa"/>
            <w:shd w:val="clear" w:color="auto" w:fill="auto"/>
            <w:tcMar>
              <w:left w:w="0" w:type="dxa"/>
              <w:right w:w="58" w:type="dxa"/>
            </w:tcMar>
          </w:tcPr>
          <w:p w14:paraId="34AB2B6A" w14:textId="77777777" w:rsidR="00D33C1D" w:rsidRPr="00D33C1D" w:rsidRDefault="00D33C1D" w:rsidP="00D06E67">
            <w:pPr>
              <w:jc w:val="right"/>
              <w:rPr>
                <w:color w:val="0D0D0D" w:themeColor="text1" w:themeTint="F2"/>
                <w:sz w:val="19"/>
                <w:szCs w:val="19"/>
                <w:lang w:val="fr-FR"/>
              </w:rPr>
            </w:pPr>
            <w:r w:rsidRPr="00D33C1D">
              <w:rPr>
                <w:color w:val="0D0D0D" w:themeColor="text1" w:themeTint="F2"/>
                <w:sz w:val="19"/>
                <w:lang w:val="fr-FR"/>
              </w:rPr>
              <w:t>4,14</w:t>
            </w:r>
          </w:p>
        </w:tc>
        <w:tc>
          <w:tcPr>
            <w:tcW w:w="712" w:type="dxa"/>
            <w:shd w:val="clear" w:color="auto" w:fill="auto"/>
            <w:tcMar>
              <w:left w:w="0" w:type="dxa"/>
              <w:right w:w="58" w:type="dxa"/>
            </w:tcMar>
          </w:tcPr>
          <w:p w14:paraId="25AD531B" w14:textId="77777777" w:rsidR="00D33C1D" w:rsidRPr="00D33C1D" w:rsidRDefault="00D33C1D" w:rsidP="00D06E67">
            <w:pPr>
              <w:jc w:val="right"/>
              <w:rPr>
                <w:color w:val="0D0D0D" w:themeColor="text1" w:themeTint="F2"/>
                <w:sz w:val="19"/>
                <w:szCs w:val="19"/>
                <w:lang w:val="fr-FR"/>
              </w:rPr>
            </w:pPr>
            <w:r w:rsidRPr="00D33C1D">
              <w:rPr>
                <w:color w:val="0D0D0D" w:themeColor="text1" w:themeTint="F2"/>
                <w:sz w:val="19"/>
                <w:lang w:val="fr-FR"/>
              </w:rPr>
              <w:t>4,14</w:t>
            </w:r>
          </w:p>
        </w:tc>
        <w:tc>
          <w:tcPr>
            <w:tcW w:w="712" w:type="dxa"/>
            <w:shd w:val="clear" w:color="auto" w:fill="auto"/>
            <w:tcMar>
              <w:left w:w="0" w:type="dxa"/>
              <w:right w:w="58" w:type="dxa"/>
            </w:tcMar>
          </w:tcPr>
          <w:p w14:paraId="055A053C" w14:textId="77777777" w:rsidR="00D33C1D" w:rsidRPr="00D33C1D" w:rsidRDefault="00D33C1D" w:rsidP="00D06E67">
            <w:pPr>
              <w:jc w:val="right"/>
              <w:rPr>
                <w:color w:val="0D0D0D" w:themeColor="text1" w:themeTint="F2"/>
                <w:sz w:val="19"/>
                <w:szCs w:val="19"/>
                <w:lang w:val="fr-FR"/>
              </w:rPr>
            </w:pPr>
            <w:r w:rsidRPr="00D33C1D">
              <w:rPr>
                <w:color w:val="0D0D0D" w:themeColor="text1" w:themeTint="F2"/>
                <w:sz w:val="19"/>
                <w:lang w:val="fr-FR"/>
              </w:rPr>
              <w:t>3,00</w:t>
            </w:r>
          </w:p>
        </w:tc>
        <w:tc>
          <w:tcPr>
            <w:tcW w:w="712" w:type="dxa"/>
            <w:shd w:val="clear" w:color="auto" w:fill="auto"/>
            <w:tcMar>
              <w:left w:w="0" w:type="dxa"/>
              <w:right w:w="58" w:type="dxa"/>
            </w:tcMar>
          </w:tcPr>
          <w:p w14:paraId="69877AC7" w14:textId="77777777" w:rsidR="00D33C1D" w:rsidRPr="00D33C1D" w:rsidRDefault="00D33C1D" w:rsidP="00D06E67">
            <w:pPr>
              <w:spacing w:after="60"/>
              <w:jc w:val="right"/>
              <w:rPr>
                <w:color w:val="0D0D0D" w:themeColor="text1" w:themeTint="F2"/>
                <w:sz w:val="18"/>
                <w:szCs w:val="18"/>
                <w:lang w:val="fr-FR"/>
              </w:rPr>
            </w:pPr>
            <w:r w:rsidRPr="00D33C1D">
              <w:rPr>
                <w:color w:val="0D0D0D" w:themeColor="text1" w:themeTint="F2"/>
                <w:sz w:val="18"/>
                <w:lang w:val="fr-FR"/>
              </w:rPr>
              <w:t>s.o.</w:t>
            </w:r>
          </w:p>
        </w:tc>
      </w:tr>
      <w:tr w:rsidR="00D33C1D" w:rsidRPr="00D33C1D" w14:paraId="44199109" w14:textId="77777777" w:rsidTr="00D33C1D">
        <w:trPr>
          <w:jc w:val="center"/>
        </w:trPr>
        <w:tc>
          <w:tcPr>
            <w:tcW w:w="849" w:type="dxa"/>
            <w:vMerge w:val="restart"/>
            <w:shd w:val="clear" w:color="auto" w:fill="auto"/>
          </w:tcPr>
          <w:p w14:paraId="392026C5"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Financement convenu ($ US)</w:t>
            </w:r>
          </w:p>
        </w:tc>
        <w:tc>
          <w:tcPr>
            <w:tcW w:w="742" w:type="dxa"/>
            <w:vMerge w:val="restart"/>
            <w:shd w:val="clear" w:color="auto" w:fill="auto"/>
          </w:tcPr>
          <w:p w14:paraId="217C22B1"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PNUD</w:t>
            </w:r>
          </w:p>
        </w:tc>
        <w:tc>
          <w:tcPr>
            <w:tcW w:w="770" w:type="dxa"/>
            <w:shd w:val="clear" w:color="auto" w:fill="auto"/>
          </w:tcPr>
          <w:p w14:paraId="324BB2F3"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de projet</w:t>
            </w:r>
          </w:p>
        </w:tc>
        <w:tc>
          <w:tcPr>
            <w:tcW w:w="700" w:type="dxa"/>
            <w:shd w:val="clear" w:color="auto" w:fill="auto"/>
            <w:tcMar>
              <w:left w:w="0" w:type="dxa"/>
              <w:right w:w="58" w:type="dxa"/>
            </w:tcMar>
          </w:tcPr>
          <w:p w14:paraId="1D1CD52B"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200 000</w:t>
            </w:r>
          </w:p>
        </w:tc>
        <w:tc>
          <w:tcPr>
            <w:tcW w:w="697" w:type="dxa"/>
            <w:shd w:val="clear" w:color="auto" w:fill="auto"/>
            <w:tcMar>
              <w:left w:w="0" w:type="dxa"/>
              <w:right w:w="58" w:type="dxa"/>
            </w:tcMar>
          </w:tcPr>
          <w:p w14:paraId="762A91A2"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5A21EAD6"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623AFEAA"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150 000</w:t>
            </w:r>
          </w:p>
        </w:tc>
        <w:tc>
          <w:tcPr>
            <w:tcW w:w="712" w:type="dxa"/>
            <w:shd w:val="clear" w:color="auto" w:fill="auto"/>
            <w:tcMar>
              <w:left w:w="0" w:type="dxa"/>
              <w:right w:w="58" w:type="dxa"/>
            </w:tcMar>
          </w:tcPr>
          <w:p w14:paraId="0C48A151"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1" w:type="dxa"/>
            <w:shd w:val="clear" w:color="auto" w:fill="auto"/>
            <w:tcMar>
              <w:left w:w="0" w:type="dxa"/>
              <w:right w:w="58" w:type="dxa"/>
            </w:tcMar>
          </w:tcPr>
          <w:p w14:paraId="596166EF"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08B6B5BF"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119 400</w:t>
            </w:r>
          </w:p>
        </w:tc>
        <w:tc>
          <w:tcPr>
            <w:tcW w:w="712" w:type="dxa"/>
            <w:shd w:val="clear" w:color="auto" w:fill="auto"/>
            <w:tcMar>
              <w:left w:w="0" w:type="dxa"/>
              <w:right w:w="58" w:type="dxa"/>
            </w:tcMar>
          </w:tcPr>
          <w:p w14:paraId="64670879"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5FBCEA9D"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6D816F0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31 500</w:t>
            </w:r>
          </w:p>
        </w:tc>
        <w:tc>
          <w:tcPr>
            <w:tcW w:w="712" w:type="dxa"/>
            <w:shd w:val="clear" w:color="auto" w:fill="auto"/>
            <w:tcMar>
              <w:left w:w="0" w:type="dxa"/>
              <w:right w:w="58" w:type="dxa"/>
            </w:tcMar>
          </w:tcPr>
          <w:p w14:paraId="198CA819"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500 900</w:t>
            </w:r>
          </w:p>
        </w:tc>
      </w:tr>
      <w:tr w:rsidR="00D33C1D" w:rsidRPr="00D33C1D" w14:paraId="156E83F9" w14:textId="77777777" w:rsidTr="00D33C1D">
        <w:trPr>
          <w:jc w:val="center"/>
        </w:trPr>
        <w:tc>
          <w:tcPr>
            <w:tcW w:w="849" w:type="dxa"/>
            <w:vMerge/>
            <w:shd w:val="clear" w:color="auto" w:fill="auto"/>
          </w:tcPr>
          <w:p w14:paraId="23DDEAD3" w14:textId="77777777" w:rsidR="00D33C1D" w:rsidRPr="00D33C1D" w:rsidRDefault="00D33C1D" w:rsidP="00D06E67">
            <w:pPr>
              <w:spacing w:after="60"/>
              <w:jc w:val="center"/>
              <w:rPr>
                <w:color w:val="0D0D0D" w:themeColor="text1" w:themeTint="F2"/>
                <w:sz w:val="18"/>
                <w:lang w:val="fr-FR"/>
              </w:rPr>
            </w:pPr>
          </w:p>
        </w:tc>
        <w:tc>
          <w:tcPr>
            <w:tcW w:w="742" w:type="dxa"/>
            <w:vMerge/>
            <w:shd w:val="clear" w:color="auto" w:fill="auto"/>
          </w:tcPr>
          <w:p w14:paraId="1386715A" w14:textId="77777777" w:rsidR="00D33C1D" w:rsidRPr="00D33C1D" w:rsidRDefault="00D33C1D" w:rsidP="00D06E67">
            <w:pPr>
              <w:spacing w:after="60"/>
              <w:jc w:val="center"/>
              <w:rPr>
                <w:color w:val="0D0D0D" w:themeColor="text1" w:themeTint="F2"/>
                <w:sz w:val="18"/>
                <w:lang w:val="fr-FR"/>
              </w:rPr>
            </w:pPr>
          </w:p>
        </w:tc>
        <w:tc>
          <w:tcPr>
            <w:tcW w:w="770" w:type="dxa"/>
            <w:shd w:val="clear" w:color="auto" w:fill="auto"/>
          </w:tcPr>
          <w:p w14:paraId="27B7553A"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d’appui</w:t>
            </w:r>
          </w:p>
        </w:tc>
        <w:tc>
          <w:tcPr>
            <w:tcW w:w="700" w:type="dxa"/>
            <w:shd w:val="clear" w:color="auto" w:fill="auto"/>
            <w:tcMar>
              <w:left w:w="0" w:type="dxa"/>
              <w:right w:w="58" w:type="dxa"/>
            </w:tcMar>
          </w:tcPr>
          <w:p w14:paraId="3F4D4925"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15 000</w:t>
            </w:r>
          </w:p>
        </w:tc>
        <w:tc>
          <w:tcPr>
            <w:tcW w:w="697" w:type="dxa"/>
            <w:shd w:val="clear" w:color="auto" w:fill="auto"/>
            <w:tcMar>
              <w:left w:w="0" w:type="dxa"/>
              <w:right w:w="58" w:type="dxa"/>
            </w:tcMar>
          </w:tcPr>
          <w:p w14:paraId="12FBD75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62805E8C"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71B80111"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11 250</w:t>
            </w:r>
          </w:p>
        </w:tc>
        <w:tc>
          <w:tcPr>
            <w:tcW w:w="712" w:type="dxa"/>
            <w:shd w:val="clear" w:color="auto" w:fill="auto"/>
            <w:tcMar>
              <w:left w:w="0" w:type="dxa"/>
              <w:right w:w="58" w:type="dxa"/>
            </w:tcMar>
          </w:tcPr>
          <w:p w14:paraId="3B0DCBB5"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1" w:type="dxa"/>
            <w:shd w:val="clear" w:color="auto" w:fill="auto"/>
            <w:tcMar>
              <w:left w:w="0" w:type="dxa"/>
              <w:right w:w="58" w:type="dxa"/>
            </w:tcMar>
          </w:tcPr>
          <w:p w14:paraId="1B4CB33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68837A3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8 955</w:t>
            </w:r>
          </w:p>
        </w:tc>
        <w:tc>
          <w:tcPr>
            <w:tcW w:w="712" w:type="dxa"/>
            <w:shd w:val="clear" w:color="auto" w:fill="auto"/>
            <w:tcMar>
              <w:left w:w="0" w:type="dxa"/>
              <w:right w:w="58" w:type="dxa"/>
            </w:tcMar>
          </w:tcPr>
          <w:p w14:paraId="16F3EC18"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26B507F9"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09FF983A"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2 363</w:t>
            </w:r>
          </w:p>
        </w:tc>
        <w:tc>
          <w:tcPr>
            <w:tcW w:w="712" w:type="dxa"/>
            <w:shd w:val="clear" w:color="auto" w:fill="auto"/>
            <w:tcMar>
              <w:left w:w="0" w:type="dxa"/>
              <w:right w:w="58" w:type="dxa"/>
            </w:tcMar>
          </w:tcPr>
          <w:p w14:paraId="2D7FA876"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37 568</w:t>
            </w:r>
          </w:p>
        </w:tc>
      </w:tr>
      <w:tr w:rsidR="00D33C1D" w:rsidRPr="00D33C1D" w14:paraId="43C59E36" w14:textId="77777777" w:rsidTr="00D33C1D">
        <w:trPr>
          <w:jc w:val="center"/>
        </w:trPr>
        <w:tc>
          <w:tcPr>
            <w:tcW w:w="1591" w:type="dxa"/>
            <w:gridSpan w:val="2"/>
            <w:vMerge w:val="restart"/>
            <w:shd w:val="clear" w:color="auto" w:fill="auto"/>
          </w:tcPr>
          <w:p w14:paraId="4BC99769"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Financement approuvé par ExCom ($ US)</w:t>
            </w:r>
          </w:p>
        </w:tc>
        <w:tc>
          <w:tcPr>
            <w:tcW w:w="770" w:type="dxa"/>
            <w:shd w:val="clear" w:color="auto" w:fill="auto"/>
          </w:tcPr>
          <w:p w14:paraId="0FC27A94"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de projet</w:t>
            </w:r>
          </w:p>
        </w:tc>
        <w:tc>
          <w:tcPr>
            <w:tcW w:w="700" w:type="dxa"/>
            <w:shd w:val="clear" w:color="auto" w:fill="auto"/>
            <w:tcMar>
              <w:left w:w="0" w:type="dxa"/>
              <w:right w:w="58" w:type="dxa"/>
            </w:tcMar>
          </w:tcPr>
          <w:p w14:paraId="32E534AB"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200 000</w:t>
            </w:r>
          </w:p>
        </w:tc>
        <w:tc>
          <w:tcPr>
            <w:tcW w:w="697" w:type="dxa"/>
            <w:shd w:val="clear" w:color="auto" w:fill="auto"/>
            <w:tcMar>
              <w:left w:w="0" w:type="dxa"/>
              <w:right w:w="58" w:type="dxa"/>
            </w:tcMar>
          </w:tcPr>
          <w:p w14:paraId="1E2240BE"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231A6A7A"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47739FAA"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150 000</w:t>
            </w:r>
          </w:p>
        </w:tc>
        <w:tc>
          <w:tcPr>
            <w:tcW w:w="712" w:type="dxa"/>
            <w:shd w:val="clear" w:color="auto" w:fill="auto"/>
            <w:tcMar>
              <w:left w:w="0" w:type="dxa"/>
              <w:right w:w="58" w:type="dxa"/>
            </w:tcMar>
          </w:tcPr>
          <w:p w14:paraId="39C1125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1" w:type="dxa"/>
            <w:shd w:val="clear" w:color="auto" w:fill="auto"/>
            <w:tcMar>
              <w:left w:w="0" w:type="dxa"/>
              <w:right w:w="58" w:type="dxa"/>
            </w:tcMar>
          </w:tcPr>
          <w:p w14:paraId="3EE8E4A0"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0797AC3D"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60B75907"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119 400</w:t>
            </w:r>
          </w:p>
        </w:tc>
        <w:tc>
          <w:tcPr>
            <w:tcW w:w="712" w:type="dxa"/>
            <w:shd w:val="clear" w:color="auto" w:fill="auto"/>
            <w:tcMar>
              <w:left w:w="0" w:type="dxa"/>
              <w:right w:w="58" w:type="dxa"/>
            </w:tcMar>
          </w:tcPr>
          <w:p w14:paraId="74DF5C9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37EF56FC"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73E8C47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fldChar w:fldCharType="begin"/>
            </w:r>
            <w:r w:rsidRPr="00D33C1D">
              <w:rPr>
                <w:color w:val="0D0D0D" w:themeColor="text1" w:themeTint="F2"/>
                <w:sz w:val="18"/>
                <w:lang w:val="fr-FR"/>
              </w:rPr>
              <w:instrText xml:space="preserve"> =SUM(LEFT) </w:instrText>
            </w:r>
            <w:r w:rsidRPr="00D33C1D">
              <w:rPr>
                <w:color w:val="0D0D0D" w:themeColor="text1" w:themeTint="F2"/>
                <w:sz w:val="18"/>
                <w:lang w:val="fr-FR"/>
              </w:rPr>
              <w:fldChar w:fldCharType="separate"/>
            </w:r>
            <w:r w:rsidRPr="00D33C1D">
              <w:rPr>
                <w:color w:val="0D0D0D" w:themeColor="text1" w:themeTint="F2"/>
                <w:sz w:val="18"/>
                <w:lang w:val="fr-FR"/>
              </w:rPr>
              <w:t>469,400</w:t>
            </w:r>
            <w:r w:rsidRPr="00D33C1D">
              <w:rPr>
                <w:color w:val="0D0D0D" w:themeColor="text1" w:themeTint="F2"/>
                <w:sz w:val="18"/>
                <w:lang w:val="fr-FR"/>
              </w:rPr>
              <w:fldChar w:fldCharType="end"/>
            </w:r>
          </w:p>
        </w:tc>
      </w:tr>
      <w:tr w:rsidR="00D33C1D" w:rsidRPr="00D33C1D" w14:paraId="066A9282" w14:textId="77777777" w:rsidTr="00D33C1D">
        <w:trPr>
          <w:jc w:val="center"/>
        </w:trPr>
        <w:tc>
          <w:tcPr>
            <w:tcW w:w="1591" w:type="dxa"/>
            <w:gridSpan w:val="2"/>
            <w:vMerge/>
            <w:shd w:val="clear" w:color="auto" w:fill="auto"/>
          </w:tcPr>
          <w:p w14:paraId="0F535211" w14:textId="77777777" w:rsidR="00D33C1D" w:rsidRPr="00D33C1D" w:rsidRDefault="00D33C1D" w:rsidP="00D06E67">
            <w:pPr>
              <w:spacing w:after="60"/>
              <w:jc w:val="center"/>
              <w:rPr>
                <w:color w:val="0D0D0D" w:themeColor="text1" w:themeTint="F2"/>
                <w:sz w:val="18"/>
                <w:lang w:val="fr-FR"/>
              </w:rPr>
            </w:pPr>
          </w:p>
        </w:tc>
        <w:tc>
          <w:tcPr>
            <w:tcW w:w="770" w:type="dxa"/>
            <w:shd w:val="clear" w:color="auto" w:fill="auto"/>
          </w:tcPr>
          <w:p w14:paraId="0A7FFE7E"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d’appui</w:t>
            </w:r>
          </w:p>
        </w:tc>
        <w:tc>
          <w:tcPr>
            <w:tcW w:w="700" w:type="dxa"/>
            <w:shd w:val="clear" w:color="auto" w:fill="auto"/>
            <w:tcMar>
              <w:left w:w="0" w:type="dxa"/>
              <w:right w:w="58" w:type="dxa"/>
            </w:tcMar>
          </w:tcPr>
          <w:p w14:paraId="6B52D09B"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15 000</w:t>
            </w:r>
          </w:p>
        </w:tc>
        <w:tc>
          <w:tcPr>
            <w:tcW w:w="697" w:type="dxa"/>
            <w:shd w:val="clear" w:color="auto" w:fill="auto"/>
            <w:tcMar>
              <w:left w:w="0" w:type="dxa"/>
              <w:right w:w="58" w:type="dxa"/>
            </w:tcMar>
          </w:tcPr>
          <w:p w14:paraId="6319CA49"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6F7235A6"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0B810710"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11 250</w:t>
            </w:r>
          </w:p>
        </w:tc>
        <w:tc>
          <w:tcPr>
            <w:tcW w:w="712" w:type="dxa"/>
            <w:shd w:val="clear" w:color="auto" w:fill="auto"/>
            <w:tcMar>
              <w:left w:w="0" w:type="dxa"/>
              <w:right w:w="58" w:type="dxa"/>
            </w:tcMar>
          </w:tcPr>
          <w:p w14:paraId="6FF897B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1" w:type="dxa"/>
            <w:shd w:val="clear" w:color="auto" w:fill="auto"/>
            <w:tcMar>
              <w:left w:w="0" w:type="dxa"/>
              <w:right w:w="58" w:type="dxa"/>
            </w:tcMar>
          </w:tcPr>
          <w:p w14:paraId="2EE09248"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7858AF7E"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7D515EB8"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8 955</w:t>
            </w:r>
          </w:p>
        </w:tc>
        <w:tc>
          <w:tcPr>
            <w:tcW w:w="712" w:type="dxa"/>
            <w:shd w:val="clear" w:color="auto" w:fill="auto"/>
            <w:tcMar>
              <w:left w:w="0" w:type="dxa"/>
              <w:right w:w="58" w:type="dxa"/>
            </w:tcMar>
          </w:tcPr>
          <w:p w14:paraId="35ABB30E"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1700DD7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0</w:t>
            </w:r>
          </w:p>
        </w:tc>
        <w:tc>
          <w:tcPr>
            <w:tcW w:w="712" w:type="dxa"/>
            <w:shd w:val="clear" w:color="auto" w:fill="auto"/>
            <w:tcMar>
              <w:left w:w="0" w:type="dxa"/>
              <w:right w:w="58" w:type="dxa"/>
            </w:tcMar>
          </w:tcPr>
          <w:p w14:paraId="173C7BEB"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fldChar w:fldCharType="begin"/>
            </w:r>
            <w:r w:rsidRPr="00D33C1D">
              <w:rPr>
                <w:color w:val="0D0D0D" w:themeColor="text1" w:themeTint="F2"/>
                <w:sz w:val="18"/>
                <w:lang w:val="fr-FR"/>
              </w:rPr>
              <w:instrText xml:space="preserve"> =SUM(LEFT) </w:instrText>
            </w:r>
            <w:r w:rsidRPr="00D33C1D">
              <w:rPr>
                <w:color w:val="0D0D0D" w:themeColor="text1" w:themeTint="F2"/>
                <w:sz w:val="18"/>
                <w:lang w:val="fr-FR"/>
              </w:rPr>
              <w:fldChar w:fldCharType="separate"/>
            </w:r>
            <w:r w:rsidRPr="00D33C1D">
              <w:rPr>
                <w:color w:val="0D0D0D" w:themeColor="text1" w:themeTint="F2"/>
                <w:sz w:val="18"/>
                <w:lang w:val="fr-FR"/>
              </w:rPr>
              <w:t>35,205</w:t>
            </w:r>
            <w:r w:rsidRPr="00D33C1D">
              <w:rPr>
                <w:color w:val="0D0D0D" w:themeColor="text1" w:themeTint="F2"/>
                <w:sz w:val="18"/>
                <w:lang w:val="fr-FR"/>
              </w:rPr>
              <w:fldChar w:fldCharType="end"/>
            </w:r>
          </w:p>
        </w:tc>
      </w:tr>
      <w:tr w:rsidR="00D33C1D" w:rsidRPr="00D33C1D" w14:paraId="7B7B3C0F" w14:textId="77777777" w:rsidTr="00D33C1D">
        <w:trPr>
          <w:jc w:val="center"/>
        </w:trPr>
        <w:tc>
          <w:tcPr>
            <w:tcW w:w="1591" w:type="dxa"/>
            <w:gridSpan w:val="2"/>
            <w:vMerge w:val="restart"/>
            <w:shd w:val="clear" w:color="auto" w:fill="auto"/>
          </w:tcPr>
          <w:p w14:paraId="4183382E"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Financement total demandé pour approbation à la présente réunion ($ US)</w:t>
            </w:r>
          </w:p>
        </w:tc>
        <w:tc>
          <w:tcPr>
            <w:tcW w:w="770" w:type="dxa"/>
            <w:shd w:val="clear" w:color="auto" w:fill="auto"/>
          </w:tcPr>
          <w:p w14:paraId="620F03F7"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de projet</w:t>
            </w:r>
          </w:p>
        </w:tc>
        <w:tc>
          <w:tcPr>
            <w:tcW w:w="700" w:type="dxa"/>
            <w:shd w:val="clear" w:color="auto" w:fill="auto"/>
            <w:tcMar>
              <w:left w:w="0" w:type="dxa"/>
              <w:right w:w="58" w:type="dxa"/>
            </w:tcMar>
          </w:tcPr>
          <w:p w14:paraId="751810F7" w14:textId="77777777" w:rsidR="00D33C1D" w:rsidRPr="00D33C1D" w:rsidRDefault="00D33C1D" w:rsidP="00D06E67">
            <w:pPr>
              <w:spacing w:after="60"/>
              <w:jc w:val="right"/>
              <w:rPr>
                <w:color w:val="0D0D0D" w:themeColor="text1" w:themeTint="F2"/>
                <w:sz w:val="18"/>
                <w:lang w:val="fr-FR"/>
              </w:rPr>
            </w:pPr>
          </w:p>
        </w:tc>
        <w:tc>
          <w:tcPr>
            <w:tcW w:w="697" w:type="dxa"/>
            <w:shd w:val="clear" w:color="auto" w:fill="auto"/>
            <w:tcMar>
              <w:left w:w="0" w:type="dxa"/>
              <w:right w:w="58" w:type="dxa"/>
            </w:tcMar>
          </w:tcPr>
          <w:p w14:paraId="374FC5B2"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0A602226"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50AAF2C"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5EEFAA3" w14:textId="77777777" w:rsidR="00D33C1D" w:rsidRPr="00D33C1D" w:rsidRDefault="00D33C1D" w:rsidP="00D06E67">
            <w:pPr>
              <w:spacing w:after="60"/>
              <w:jc w:val="right"/>
              <w:rPr>
                <w:color w:val="0D0D0D" w:themeColor="text1" w:themeTint="F2"/>
                <w:sz w:val="18"/>
                <w:lang w:val="fr-FR"/>
              </w:rPr>
            </w:pPr>
          </w:p>
        </w:tc>
        <w:tc>
          <w:tcPr>
            <w:tcW w:w="711" w:type="dxa"/>
            <w:shd w:val="clear" w:color="auto" w:fill="auto"/>
            <w:tcMar>
              <w:left w:w="0" w:type="dxa"/>
              <w:right w:w="58" w:type="dxa"/>
            </w:tcMar>
          </w:tcPr>
          <w:p w14:paraId="5C11F5E9"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3813DC6A"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6CFB9025"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09D5B9C8"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6744D524"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31 500</w:t>
            </w:r>
          </w:p>
        </w:tc>
        <w:tc>
          <w:tcPr>
            <w:tcW w:w="712" w:type="dxa"/>
            <w:shd w:val="clear" w:color="auto" w:fill="auto"/>
            <w:tcMar>
              <w:left w:w="0" w:type="dxa"/>
              <w:right w:w="58" w:type="dxa"/>
            </w:tcMar>
          </w:tcPr>
          <w:p w14:paraId="56B1BBB7"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31 500</w:t>
            </w:r>
          </w:p>
        </w:tc>
      </w:tr>
      <w:tr w:rsidR="00D33C1D" w:rsidRPr="00D33C1D" w14:paraId="7115A648" w14:textId="77777777" w:rsidTr="00D33C1D">
        <w:trPr>
          <w:jc w:val="center"/>
        </w:trPr>
        <w:tc>
          <w:tcPr>
            <w:tcW w:w="1591" w:type="dxa"/>
            <w:gridSpan w:val="2"/>
            <w:vMerge/>
            <w:shd w:val="clear" w:color="auto" w:fill="auto"/>
          </w:tcPr>
          <w:p w14:paraId="41BC10D2" w14:textId="77777777" w:rsidR="00D33C1D" w:rsidRPr="00D33C1D" w:rsidRDefault="00D33C1D" w:rsidP="00D06E67">
            <w:pPr>
              <w:spacing w:after="60"/>
              <w:jc w:val="center"/>
              <w:rPr>
                <w:color w:val="0D0D0D" w:themeColor="text1" w:themeTint="F2"/>
                <w:sz w:val="18"/>
                <w:lang w:val="fr-FR"/>
              </w:rPr>
            </w:pPr>
          </w:p>
        </w:tc>
        <w:tc>
          <w:tcPr>
            <w:tcW w:w="770" w:type="dxa"/>
            <w:shd w:val="clear" w:color="auto" w:fill="auto"/>
          </w:tcPr>
          <w:p w14:paraId="66DE2E6A" w14:textId="77777777" w:rsidR="00D33C1D" w:rsidRPr="00D33C1D" w:rsidRDefault="00D33C1D" w:rsidP="00D06E67">
            <w:pPr>
              <w:spacing w:after="60"/>
              <w:jc w:val="left"/>
              <w:rPr>
                <w:color w:val="0D0D0D" w:themeColor="text1" w:themeTint="F2"/>
                <w:sz w:val="18"/>
                <w:lang w:val="fr-FR"/>
              </w:rPr>
            </w:pPr>
            <w:r w:rsidRPr="00D33C1D">
              <w:rPr>
                <w:color w:val="0D0D0D" w:themeColor="text1" w:themeTint="F2"/>
                <w:sz w:val="18"/>
                <w:lang w:val="fr-FR"/>
              </w:rPr>
              <w:t>Coûts d’appui</w:t>
            </w:r>
          </w:p>
        </w:tc>
        <w:tc>
          <w:tcPr>
            <w:tcW w:w="700" w:type="dxa"/>
            <w:shd w:val="clear" w:color="auto" w:fill="auto"/>
            <w:tcMar>
              <w:left w:w="0" w:type="dxa"/>
              <w:right w:w="58" w:type="dxa"/>
            </w:tcMar>
          </w:tcPr>
          <w:p w14:paraId="74A78873" w14:textId="77777777" w:rsidR="00D33C1D" w:rsidRPr="00D33C1D" w:rsidRDefault="00D33C1D" w:rsidP="00D06E67">
            <w:pPr>
              <w:spacing w:after="60"/>
              <w:jc w:val="right"/>
              <w:rPr>
                <w:color w:val="0D0D0D" w:themeColor="text1" w:themeTint="F2"/>
                <w:sz w:val="18"/>
                <w:lang w:val="fr-FR"/>
              </w:rPr>
            </w:pPr>
          </w:p>
        </w:tc>
        <w:tc>
          <w:tcPr>
            <w:tcW w:w="697" w:type="dxa"/>
            <w:shd w:val="clear" w:color="auto" w:fill="auto"/>
            <w:tcMar>
              <w:left w:w="0" w:type="dxa"/>
              <w:right w:w="58" w:type="dxa"/>
            </w:tcMar>
          </w:tcPr>
          <w:p w14:paraId="5A2A8BDA"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D440F93"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7164B07"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1D49101B" w14:textId="77777777" w:rsidR="00D33C1D" w:rsidRPr="00D33C1D" w:rsidRDefault="00D33C1D" w:rsidP="00D06E67">
            <w:pPr>
              <w:spacing w:after="60"/>
              <w:jc w:val="right"/>
              <w:rPr>
                <w:color w:val="0D0D0D" w:themeColor="text1" w:themeTint="F2"/>
                <w:sz w:val="18"/>
                <w:lang w:val="fr-FR"/>
              </w:rPr>
            </w:pPr>
          </w:p>
        </w:tc>
        <w:tc>
          <w:tcPr>
            <w:tcW w:w="711" w:type="dxa"/>
            <w:shd w:val="clear" w:color="auto" w:fill="auto"/>
            <w:tcMar>
              <w:left w:w="0" w:type="dxa"/>
              <w:right w:w="58" w:type="dxa"/>
            </w:tcMar>
          </w:tcPr>
          <w:p w14:paraId="16FB9701"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4CDCC7DF"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4CEC8CEE"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9E754EA" w14:textId="77777777" w:rsidR="00D33C1D" w:rsidRPr="00D33C1D" w:rsidRDefault="00D33C1D" w:rsidP="00D06E67">
            <w:pPr>
              <w:spacing w:after="60"/>
              <w:jc w:val="right"/>
              <w:rPr>
                <w:color w:val="0D0D0D" w:themeColor="text1" w:themeTint="F2"/>
                <w:sz w:val="18"/>
                <w:lang w:val="fr-FR"/>
              </w:rPr>
            </w:pPr>
          </w:p>
        </w:tc>
        <w:tc>
          <w:tcPr>
            <w:tcW w:w="712" w:type="dxa"/>
            <w:shd w:val="clear" w:color="auto" w:fill="auto"/>
            <w:tcMar>
              <w:left w:w="0" w:type="dxa"/>
              <w:right w:w="58" w:type="dxa"/>
            </w:tcMar>
          </w:tcPr>
          <w:p w14:paraId="2AB14F4E"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2 363</w:t>
            </w:r>
          </w:p>
        </w:tc>
        <w:tc>
          <w:tcPr>
            <w:tcW w:w="712" w:type="dxa"/>
            <w:shd w:val="clear" w:color="auto" w:fill="auto"/>
            <w:tcMar>
              <w:left w:w="0" w:type="dxa"/>
              <w:right w:w="58" w:type="dxa"/>
            </w:tcMar>
          </w:tcPr>
          <w:p w14:paraId="6F3C22F3" w14:textId="77777777" w:rsidR="00D33C1D" w:rsidRPr="00D33C1D" w:rsidRDefault="00D33C1D" w:rsidP="00D06E67">
            <w:pPr>
              <w:spacing w:after="60"/>
              <w:jc w:val="right"/>
              <w:rPr>
                <w:color w:val="0D0D0D" w:themeColor="text1" w:themeTint="F2"/>
                <w:sz w:val="18"/>
                <w:lang w:val="fr-FR"/>
              </w:rPr>
            </w:pPr>
            <w:r w:rsidRPr="00D33C1D">
              <w:rPr>
                <w:color w:val="0D0D0D" w:themeColor="text1" w:themeTint="F2"/>
                <w:sz w:val="18"/>
                <w:lang w:val="fr-FR"/>
              </w:rPr>
              <w:t>2 363</w:t>
            </w:r>
          </w:p>
        </w:tc>
      </w:tr>
    </w:tbl>
    <w:p w14:paraId="66990879" w14:textId="77777777" w:rsidR="00D33C1D" w:rsidRPr="00A567C1" w:rsidRDefault="00D33C1D" w:rsidP="00D33C1D">
      <w:pPr>
        <w:rPr>
          <w:color w:val="0D0D0D" w:themeColor="text1" w:themeTint="F2"/>
          <w:sz w:val="16"/>
          <w:szCs w:val="16"/>
          <w:lang w:val="fr-FR"/>
        </w:rPr>
      </w:pP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D33C1D" w:rsidRPr="00D33C1D" w14:paraId="091A944E" w14:textId="77777777" w:rsidTr="00D06E67">
        <w:trPr>
          <w:trHeight w:val="240"/>
        </w:trPr>
        <w:tc>
          <w:tcPr>
            <w:tcW w:w="3431" w:type="dxa"/>
            <w:shd w:val="clear" w:color="auto" w:fill="auto"/>
          </w:tcPr>
          <w:p w14:paraId="17E6EE97" w14:textId="77777777" w:rsidR="00D33C1D" w:rsidRPr="00D33C1D" w:rsidRDefault="00D33C1D" w:rsidP="00D06E67">
            <w:pPr>
              <w:spacing w:after="60"/>
              <w:jc w:val="left"/>
              <w:rPr>
                <w:b/>
                <w:color w:val="0D0D0D" w:themeColor="text1" w:themeTint="F2"/>
                <w:sz w:val="18"/>
                <w:lang w:val="fr-FR"/>
              </w:rPr>
            </w:pPr>
            <w:r w:rsidRPr="00D33C1D">
              <w:rPr>
                <w:b/>
                <w:color w:val="0D0D0D" w:themeColor="text1" w:themeTint="F2"/>
                <w:sz w:val="18"/>
                <w:lang w:val="fr-FR"/>
              </w:rPr>
              <w:t>Recommandation du Secrétariat :</w:t>
            </w:r>
          </w:p>
        </w:tc>
        <w:tc>
          <w:tcPr>
            <w:tcW w:w="6776" w:type="dxa"/>
            <w:shd w:val="clear" w:color="auto" w:fill="auto"/>
          </w:tcPr>
          <w:p w14:paraId="115BC829" w14:textId="77777777" w:rsidR="00D33C1D" w:rsidRPr="00D33C1D" w:rsidRDefault="00D33C1D" w:rsidP="00D06E67">
            <w:pPr>
              <w:spacing w:after="60"/>
              <w:jc w:val="center"/>
              <w:rPr>
                <w:color w:val="0D0D0D" w:themeColor="text1" w:themeTint="F2"/>
                <w:sz w:val="18"/>
                <w:lang w:val="fr-FR"/>
              </w:rPr>
            </w:pPr>
            <w:r w:rsidRPr="00D33C1D">
              <w:rPr>
                <w:color w:val="0D0D0D" w:themeColor="text1" w:themeTint="F2"/>
                <w:sz w:val="18"/>
                <w:lang w:val="fr-FR"/>
              </w:rPr>
              <w:t>Pour approbation globale</w:t>
            </w:r>
          </w:p>
        </w:tc>
      </w:tr>
    </w:tbl>
    <w:p w14:paraId="5BB82BC8" w14:textId="77777777" w:rsidR="00D33C1D" w:rsidRPr="00A567C1" w:rsidRDefault="00D33C1D" w:rsidP="00A567C1">
      <w:pPr>
        <w:rPr>
          <w:color w:val="0D0D0D" w:themeColor="text1" w:themeTint="F2"/>
          <w:lang w:val="fr-FR"/>
        </w:rPr>
      </w:pPr>
      <w:r w:rsidRPr="00D33C1D">
        <w:rPr>
          <w:lang w:val="fr-FR"/>
        </w:rPr>
        <w:br w:type="page"/>
      </w:r>
    </w:p>
    <w:p w14:paraId="43748161" w14:textId="77777777" w:rsidR="00D33C1D" w:rsidRPr="00D33C1D" w:rsidRDefault="00D33C1D" w:rsidP="00D33C1D">
      <w:pPr>
        <w:jc w:val="center"/>
        <w:rPr>
          <w:b/>
          <w:color w:val="0D0D0D" w:themeColor="text1" w:themeTint="F2"/>
          <w:lang w:val="fr-FR"/>
        </w:rPr>
      </w:pPr>
      <w:r w:rsidRPr="00D33C1D">
        <w:rPr>
          <w:b/>
          <w:color w:val="0D0D0D" w:themeColor="text1" w:themeTint="F2"/>
          <w:lang w:val="fr-FR"/>
        </w:rPr>
        <w:lastRenderedPageBreak/>
        <w:t>DESCRIPTION DU PROJET</w:t>
      </w:r>
    </w:p>
    <w:p w14:paraId="67944B64" w14:textId="77777777" w:rsidR="00D33C1D" w:rsidRPr="00D33C1D" w:rsidRDefault="00D33C1D" w:rsidP="00D33C1D">
      <w:pPr>
        <w:rPr>
          <w:color w:val="0D0D0D" w:themeColor="text1" w:themeTint="F2"/>
          <w:lang w:val="fr-FR"/>
        </w:rPr>
      </w:pPr>
    </w:p>
    <w:p w14:paraId="3F1D1D69"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Au nom du gouvernement de la Géorgie, le PNUD, à titre d’agence d’exécution désignée, a présenté une demande de financement pour la quatrième et dernière tranche de la phase I du plan de gestion de l’élimination des HCFC (PGEH), pour un montant de 31 500 $ US, plus des coûts d’appui d’agence de 2 363 $ US.</w:t>
      </w:r>
      <w:r w:rsidRPr="00D33C1D">
        <w:rPr>
          <w:rStyle w:val="FootnoteReference"/>
          <w:color w:val="0D0D0D" w:themeColor="text1" w:themeTint="F2"/>
          <w:lang w:val="fr-FR"/>
        </w:rPr>
        <w:footnoteReference w:id="1"/>
      </w:r>
      <w:r w:rsidRPr="00D33C1D">
        <w:rPr>
          <w:color w:val="0D0D0D" w:themeColor="text1" w:themeTint="F2"/>
          <w:lang w:val="fr-FR"/>
        </w:rPr>
        <w:t xml:space="preserve"> La présentation comprend un rapport périodique sur la mise en œuvre de la troisième tranche et le plan de mise en œuvre de la tranche pour 2020 et 2021.</w:t>
      </w:r>
    </w:p>
    <w:p w14:paraId="5AFE1611" w14:textId="77777777" w:rsidR="00D33C1D" w:rsidRPr="00D33C1D" w:rsidRDefault="00D33C1D" w:rsidP="00D33C1D">
      <w:pPr>
        <w:rPr>
          <w:color w:val="0D0D0D" w:themeColor="text1" w:themeTint="F2"/>
          <w:u w:val="single"/>
          <w:lang w:val="fr-FR"/>
        </w:rPr>
      </w:pPr>
      <w:r w:rsidRPr="00D33C1D">
        <w:rPr>
          <w:color w:val="0D0D0D" w:themeColor="text1" w:themeTint="F2"/>
          <w:u w:val="single"/>
          <w:lang w:val="fr-FR"/>
        </w:rPr>
        <w:t>Rapport sur la consommation de HCFC</w:t>
      </w:r>
    </w:p>
    <w:p w14:paraId="60A16A9B" w14:textId="77777777" w:rsidR="00D33C1D" w:rsidRPr="00D33C1D" w:rsidRDefault="00D33C1D" w:rsidP="00D33C1D">
      <w:pPr>
        <w:rPr>
          <w:color w:val="0D0D0D" w:themeColor="text1" w:themeTint="F2"/>
          <w:lang w:val="fr-FR"/>
        </w:rPr>
      </w:pPr>
    </w:p>
    <w:p w14:paraId="2B83B3BF"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Le gouvernement de la Géorgie a communiqué au titre du rapport sur la mise en œuvre du programme du pays une consommation de 2,40 tonnes PAO de HCFC en 2019, ce qui est inférieur de 55 </w:t>
      </w:r>
      <w:r w:rsidR="00DC6C7E">
        <w:rPr>
          <w:color w:val="0D0D0D" w:themeColor="text1" w:themeTint="F2"/>
          <w:lang w:val="fr-FR"/>
        </w:rPr>
        <w:t xml:space="preserve">pour cent </w:t>
      </w:r>
      <w:r w:rsidRPr="00D33C1D">
        <w:rPr>
          <w:color w:val="0D0D0D" w:themeColor="text1" w:themeTint="F2"/>
          <w:lang w:val="fr-FR"/>
        </w:rPr>
        <w:t>à la valeur de référence pour la conformité. La consommation de HCFC pour les années 2015</w:t>
      </w:r>
      <w:r w:rsidR="00DC6C7E">
        <w:rPr>
          <w:color w:val="0D0D0D" w:themeColor="text1" w:themeTint="F2"/>
          <w:lang w:val="fr-FR"/>
        </w:rPr>
        <w:t> </w:t>
      </w:r>
      <w:r w:rsidRPr="00D33C1D">
        <w:rPr>
          <w:color w:val="0D0D0D" w:themeColor="text1" w:themeTint="F2"/>
          <w:lang w:val="fr-FR"/>
        </w:rPr>
        <w:t>à</w:t>
      </w:r>
      <w:r w:rsidR="00DC6C7E">
        <w:rPr>
          <w:color w:val="0D0D0D" w:themeColor="text1" w:themeTint="F2"/>
          <w:lang w:val="fr-FR"/>
        </w:rPr>
        <w:t> </w:t>
      </w:r>
      <w:r w:rsidRPr="00D33C1D">
        <w:rPr>
          <w:color w:val="0D0D0D" w:themeColor="text1" w:themeTint="F2"/>
          <w:lang w:val="fr-FR"/>
        </w:rPr>
        <w:t xml:space="preserve">2019 est indiquée dans le tableau 1. </w:t>
      </w:r>
    </w:p>
    <w:p w14:paraId="76936E64" w14:textId="77777777" w:rsidR="00D33C1D" w:rsidRPr="00D33C1D" w:rsidRDefault="00D33C1D" w:rsidP="00D33C1D">
      <w:pPr>
        <w:rPr>
          <w:b/>
          <w:color w:val="0D0D0D" w:themeColor="text1" w:themeTint="F2"/>
          <w:lang w:val="fr-FR"/>
        </w:rPr>
      </w:pPr>
      <w:bookmarkStart w:id="0" w:name="_Hlk37178566"/>
      <w:r w:rsidRPr="00D33C1D">
        <w:rPr>
          <w:b/>
          <w:color w:val="0D0D0D" w:themeColor="text1" w:themeTint="F2"/>
          <w:lang w:val="fr-FR"/>
        </w:rPr>
        <w:t>Tableau 1. Consommation de HCFC en Géorgie (2015-2019, données de l’Article 7)</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D33C1D" w:rsidRPr="00D33C1D" w14:paraId="68CBB504" w14:textId="77777777" w:rsidTr="00D06E67">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EE186" w14:textId="77777777" w:rsidR="00D33C1D" w:rsidRPr="00D33C1D" w:rsidRDefault="00D33C1D" w:rsidP="00D06E67">
            <w:pPr>
              <w:widowControl w:val="0"/>
              <w:rPr>
                <w:b/>
                <w:bCs/>
                <w:color w:val="0D0D0D" w:themeColor="text1" w:themeTint="F2"/>
                <w:sz w:val="20"/>
                <w:szCs w:val="20"/>
                <w:lang w:val="fr-FR"/>
              </w:rPr>
            </w:pPr>
            <w:r w:rsidRPr="00D33C1D">
              <w:rPr>
                <w:b/>
                <w:color w:val="0D0D0D" w:themeColor="text1" w:themeTint="F2"/>
                <w:sz w:val="20"/>
                <w:lang w:val="fr-FR"/>
              </w:rPr>
              <w:t>HCFC</w:t>
            </w:r>
          </w:p>
        </w:tc>
        <w:tc>
          <w:tcPr>
            <w:tcW w:w="601" w:type="pct"/>
            <w:tcBorders>
              <w:top w:val="single" w:sz="4" w:space="0" w:color="auto"/>
              <w:left w:val="nil"/>
              <w:bottom w:val="single" w:sz="4" w:space="0" w:color="auto"/>
              <w:right w:val="single" w:sz="4" w:space="0" w:color="auto"/>
            </w:tcBorders>
            <w:shd w:val="clear" w:color="auto" w:fill="auto"/>
            <w:noWrap/>
          </w:tcPr>
          <w:p w14:paraId="1D1E9A70"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2015</w:t>
            </w:r>
          </w:p>
        </w:tc>
        <w:tc>
          <w:tcPr>
            <w:tcW w:w="601" w:type="pct"/>
            <w:tcBorders>
              <w:top w:val="single" w:sz="4" w:space="0" w:color="auto"/>
              <w:left w:val="nil"/>
              <w:bottom w:val="single" w:sz="4" w:space="0" w:color="auto"/>
              <w:right w:val="single" w:sz="4" w:space="0" w:color="auto"/>
            </w:tcBorders>
          </w:tcPr>
          <w:p w14:paraId="3A177C7A"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2016</w:t>
            </w:r>
          </w:p>
        </w:tc>
        <w:tc>
          <w:tcPr>
            <w:tcW w:w="601" w:type="pct"/>
            <w:tcBorders>
              <w:top w:val="single" w:sz="4" w:space="0" w:color="auto"/>
              <w:left w:val="single" w:sz="4" w:space="0" w:color="auto"/>
              <w:bottom w:val="single" w:sz="4" w:space="0" w:color="auto"/>
              <w:right w:val="single" w:sz="4" w:space="0" w:color="auto"/>
            </w:tcBorders>
          </w:tcPr>
          <w:p w14:paraId="320F1A3B"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2017</w:t>
            </w:r>
          </w:p>
        </w:tc>
        <w:tc>
          <w:tcPr>
            <w:tcW w:w="601" w:type="pct"/>
            <w:tcBorders>
              <w:top w:val="single" w:sz="4" w:space="0" w:color="auto"/>
              <w:left w:val="single" w:sz="4" w:space="0" w:color="auto"/>
              <w:bottom w:val="single" w:sz="4" w:space="0" w:color="auto"/>
              <w:right w:val="single" w:sz="4" w:space="0" w:color="auto"/>
            </w:tcBorders>
            <w:vAlign w:val="center"/>
          </w:tcPr>
          <w:p w14:paraId="086E0EF9"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01410927"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2019*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8D477" w14:textId="77777777" w:rsidR="00D33C1D" w:rsidRPr="00D33C1D" w:rsidRDefault="00D33C1D" w:rsidP="00D06E67">
            <w:pPr>
              <w:widowControl w:val="0"/>
              <w:jc w:val="center"/>
              <w:rPr>
                <w:b/>
                <w:bCs/>
                <w:color w:val="0D0D0D" w:themeColor="text1" w:themeTint="F2"/>
                <w:sz w:val="20"/>
                <w:szCs w:val="20"/>
                <w:lang w:val="fr-FR"/>
              </w:rPr>
            </w:pPr>
            <w:r w:rsidRPr="00D33C1D">
              <w:rPr>
                <w:b/>
                <w:color w:val="0D0D0D" w:themeColor="text1" w:themeTint="F2"/>
                <w:sz w:val="20"/>
                <w:lang w:val="fr-FR"/>
              </w:rPr>
              <w:t>Référence</w:t>
            </w:r>
          </w:p>
        </w:tc>
      </w:tr>
      <w:tr w:rsidR="00D33C1D" w:rsidRPr="00D33C1D" w14:paraId="7A4D42B8" w14:textId="77777777" w:rsidTr="00D06E6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EC534F" w14:textId="77777777" w:rsidR="00D33C1D" w:rsidRPr="00D33C1D" w:rsidRDefault="00D33C1D" w:rsidP="00D06E67">
            <w:pPr>
              <w:widowControl w:val="0"/>
              <w:rPr>
                <w:b/>
                <w:bCs/>
                <w:color w:val="0D0D0D" w:themeColor="text1" w:themeTint="F2"/>
                <w:sz w:val="20"/>
                <w:szCs w:val="20"/>
                <w:lang w:val="fr-FR"/>
              </w:rPr>
            </w:pPr>
            <w:r w:rsidRPr="00D33C1D">
              <w:rPr>
                <w:b/>
                <w:color w:val="0D0D0D" w:themeColor="text1" w:themeTint="F2"/>
                <w:sz w:val="20"/>
                <w:lang w:val="fr-FR"/>
              </w:rPr>
              <w:t>Tonnes métriques</w:t>
            </w:r>
          </w:p>
        </w:tc>
        <w:tc>
          <w:tcPr>
            <w:tcW w:w="601" w:type="pct"/>
            <w:tcBorders>
              <w:top w:val="nil"/>
              <w:left w:val="nil"/>
              <w:bottom w:val="single" w:sz="4" w:space="0" w:color="auto"/>
              <w:right w:val="single" w:sz="4" w:space="0" w:color="auto"/>
            </w:tcBorders>
            <w:shd w:val="clear" w:color="auto" w:fill="auto"/>
            <w:noWrap/>
            <w:vAlign w:val="center"/>
            <w:hideMark/>
          </w:tcPr>
          <w:p w14:paraId="2A44FD61" w14:textId="77777777" w:rsidR="00D33C1D" w:rsidRPr="00D33C1D" w:rsidRDefault="00D33C1D" w:rsidP="00D06E67">
            <w:pPr>
              <w:widowControl w:val="0"/>
              <w:rPr>
                <w:b/>
                <w:bCs/>
                <w:color w:val="0D0D0D" w:themeColor="text1" w:themeTint="F2"/>
                <w:sz w:val="20"/>
                <w:szCs w:val="20"/>
                <w:lang w:val="fr-FR"/>
              </w:rPr>
            </w:pPr>
          </w:p>
        </w:tc>
        <w:tc>
          <w:tcPr>
            <w:tcW w:w="601" w:type="pct"/>
            <w:tcBorders>
              <w:top w:val="single" w:sz="4" w:space="0" w:color="auto"/>
              <w:left w:val="nil"/>
              <w:bottom w:val="single" w:sz="4" w:space="0" w:color="auto"/>
              <w:right w:val="single" w:sz="4" w:space="0" w:color="auto"/>
            </w:tcBorders>
          </w:tcPr>
          <w:p w14:paraId="33B9397F" w14:textId="77777777" w:rsidR="00D33C1D" w:rsidRPr="00D33C1D" w:rsidRDefault="00D33C1D" w:rsidP="00D06E67">
            <w:pPr>
              <w:widowControl w:val="0"/>
              <w:rPr>
                <w:b/>
                <w:bCs/>
                <w:color w:val="0D0D0D" w:themeColor="text1" w:themeTint="F2"/>
                <w:sz w:val="20"/>
                <w:szCs w:val="20"/>
                <w:lang w:val="fr-FR"/>
              </w:rPr>
            </w:pPr>
          </w:p>
        </w:tc>
        <w:tc>
          <w:tcPr>
            <w:tcW w:w="601" w:type="pct"/>
            <w:tcBorders>
              <w:top w:val="nil"/>
              <w:left w:val="single" w:sz="4" w:space="0" w:color="auto"/>
              <w:bottom w:val="single" w:sz="4" w:space="0" w:color="auto"/>
              <w:right w:val="single" w:sz="4" w:space="0" w:color="auto"/>
            </w:tcBorders>
          </w:tcPr>
          <w:p w14:paraId="63DF8D02" w14:textId="77777777" w:rsidR="00D33C1D" w:rsidRPr="00D33C1D" w:rsidRDefault="00D33C1D" w:rsidP="00D06E67">
            <w:pPr>
              <w:widowControl w:val="0"/>
              <w:rPr>
                <w:b/>
                <w:bCs/>
                <w:color w:val="0D0D0D" w:themeColor="text1" w:themeTint="F2"/>
                <w:sz w:val="20"/>
                <w:szCs w:val="20"/>
                <w:lang w:val="fr-FR"/>
              </w:rPr>
            </w:pPr>
          </w:p>
        </w:tc>
        <w:tc>
          <w:tcPr>
            <w:tcW w:w="601" w:type="pct"/>
            <w:tcBorders>
              <w:top w:val="nil"/>
              <w:left w:val="single" w:sz="4" w:space="0" w:color="auto"/>
              <w:bottom w:val="single" w:sz="4" w:space="0" w:color="auto"/>
              <w:right w:val="single" w:sz="4" w:space="0" w:color="auto"/>
            </w:tcBorders>
            <w:vAlign w:val="center"/>
          </w:tcPr>
          <w:p w14:paraId="123177B2" w14:textId="77777777" w:rsidR="00D33C1D" w:rsidRPr="00D33C1D" w:rsidRDefault="00D33C1D" w:rsidP="00D06E67">
            <w:pPr>
              <w:widowControl w:val="0"/>
              <w:rPr>
                <w:b/>
                <w:bCs/>
                <w:color w:val="0D0D0D" w:themeColor="text1" w:themeTint="F2"/>
                <w:sz w:val="20"/>
                <w:szCs w:val="20"/>
                <w:lang w:val="fr-FR"/>
              </w:rPr>
            </w:pPr>
          </w:p>
        </w:tc>
        <w:tc>
          <w:tcPr>
            <w:tcW w:w="601" w:type="pct"/>
            <w:tcBorders>
              <w:top w:val="nil"/>
              <w:left w:val="single" w:sz="4" w:space="0" w:color="auto"/>
              <w:bottom w:val="single" w:sz="4" w:space="0" w:color="auto"/>
              <w:right w:val="single" w:sz="4" w:space="0" w:color="auto"/>
            </w:tcBorders>
            <w:vAlign w:val="center"/>
          </w:tcPr>
          <w:p w14:paraId="0EC9A5B5" w14:textId="77777777" w:rsidR="00D33C1D" w:rsidRPr="00D33C1D" w:rsidRDefault="00D33C1D" w:rsidP="00D06E67">
            <w:pPr>
              <w:widowControl w:val="0"/>
              <w:rPr>
                <w:b/>
                <w:bCs/>
                <w:color w:val="0D0D0D" w:themeColor="text1" w:themeTint="F2"/>
                <w:sz w:val="20"/>
                <w:szCs w:val="20"/>
                <w:lang w:val="fr-FR"/>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68E6D383" w14:textId="77777777" w:rsidR="00D33C1D" w:rsidRPr="00D33C1D" w:rsidRDefault="00D33C1D" w:rsidP="00D06E67">
            <w:pPr>
              <w:widowControl w:val="0"/>
              <w:rPr>
                <w:b/>
                <w:bCs/>
                <w:color w:val="0D0D0D" w:themeColor="text1" w:themeTint="F2"/>
                <w:sz w:val="20"/>
                <w:szCs w:val="20"/>
                <w:lang w:val="fr-FR"/>
              </w:rPr>
            </w:pPr>
          </w:p>
        </w:tc>
      </w:tr>
      <w:tr w:rsidR="00D33C1D" w:rsidRPr="00D33C1D" w14:paraId="1BBDDFEB" w14:textId="77777777" w:rsidTr="00D06E6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058FE6" w14:textId="77777777" w:rsidR="00D33C1D" w:rsidRPr="00D33C1D" w:rsidRDefault="00D33C1D" w:rsidP="00D06E67">
            <w:pPr>
              <w:widowControl w:val="0"/>
              <w:rPr>
                <w:color w:val="0D0D0D" w:themeColor="text1" w:themeTint="F2"/>
                <w:sz w:val="20"/>
                <w:szCs w:val="20"/>
                <w:lang w:val="fr-FR"/>
              </w:rPr>
            </w:pPr>
            <w:r w:rsidRPr="00D33C1D">
              <w:rPr>
                <w:color w:val="0D0D0D" w:themeColor="text1" w:themeTint="F2"/>
                <w:sz w:val="20"/>
                <w:lang w:val="fr-FR"/>
              </w:rPr>
              <w:t>HCFC-22</w:t>
            </w:r>
          </w:p>
        </w:tc>
        <w:tc>
          <w:tcPr>
            <w:tcW w:w="601" w:type="pct"/>
            <w:tcBorders>
              <w:top w:val="nil"/>
              <w:left w:val="nil"/>
              <w:bottom w:val="single" w:sz="4" w:space="0" w:color="auto"/>
              <w:right w:val="single" w:sz="4" w:space="0" w:color="auto"/>
            </w:tcBorders>
            <w:shd w:val="clear" w:color="auto" w:fill="auto"/>
            <w:noWrap/>
            <w:tcMar>
              <w:left w:w="115" w:type="dxa"/>
              <w:right w:w="202" w:type="dxa"/>
            </w:tcMar>
          </w:tcPr>
          <w:p w14:paraId="4D6E1231"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30,60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12BCBF04"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25,20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6DF8B9E4"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38,20</w:t>
            </w:r>
          </w:p>
        </w:tc>
        <w:tc>
          <w:tcPr>
            <w:tcW w:w="601" w:type="pct"/>
            <w:tcBorders>
              <w:top w:val="nil"/>
              <w:left w:val="single" w:sz="4" w:space="0" w:color="auto"/>
              <w:bottom w:val="single" w:sz="4" w:space="0" w:color="auto"/>
              <w:right w:val="single" w:sz="4" w:space="0" w:color="auto"/>
            </w:tcBorders>
            <w:tcMar>
              <w:left w:w="115" w:type="dxa"/>
              <w:right w:w="202" w:type="dxa"/>
            </w:tcMar>
            <w:vAlign w:val="bottom"/>
          </w:tcPr>
          <w:p w14:paraId="7A005DEE"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34,32</w:t>
            </w:r>
          </w:p>
        </w:tc>
        <w:tc>
          <w:tcPr>
            <w:tcW w:w="601" w:type="pct"/>
            <w:tcBorders>
              <w:top w:val="nil"/>
              <w:left w:val="single" w:sz="4" w:space="0" w:color="auto"/>
              <w:bottom w:val="single" w:sz="4" w:space="0" w:color="auto"/>
              <w:right w:val="single" w:sz="4" w:space="0" w:color="auto"/>
            </w:tcBorders>
            <w:tcMar>
              <w:left w:w="115" w:type="dxa"/>
              <w:right w:w="202" w:type="dxa"/>
            </w:tcMar>
          </w:tcPr>
          <w:p w14:paraId="7B20684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43,59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54D262A" w14:textId="77777777" w:rsidR="00D33C1D" w:rsidRPr="00D33C1D" w:rsidRDefault="00D33C1D" w:rsidP="00D06E67">
            <w:pPr>
              <w:widowControl w:val="0"/>
              <w:jc w:val="right"/>
              <w:rPr>
                <w:color w:val="0D0D0D" w:themeColor="text1" w:themeTint="F2"/>
                <w:sz w:val="20"/>
                <w:szCs w:val="20"/>
                <w:lang w:val="fr-FR"/>
              </w:rPr>
            </w:pPr>
            <w:r w:rsidRPr="00D33C1D">
              <w:rPr>
                <w:b/>
                <w:color w:val="0D0D0D" w:themeColor="text1" w:themeTint="F2"/>
                <w:sz w:val="20"/>
                <w:lang w:val="fr-FR"/>
              </w:rPr>
              <w:t>83,1</w:t>
            </w:r>
          </w:p>
        </w:tc>
      </w:tr>
      <w:tr w:rsidR="00D33C1D" w:rsidRPr="00D33C1D" w14:paraId="5368F2E7" w14:textId="77777777" w:rsidTr="00D06E6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43F8DC" w14:textId="77777777" w:rsidR="00D33C1D" w:rsidRPr="00D33C1D" w:rsidRDefault="00D33C1D" w:rsidP="00D06E67">
            <w:pPr>
              <w:widowControl w:val="0"/>
              <w:rPr>
                <w:color w:val="0D0D0D" w:themeColor="text1" w:themeTint="F2"/>
                <w:sz w:val="20"/>
                <w:szCs w:val="20"/>
                <w:lang w:val="fr-FR"/>
              </w:rPr>
            </w:pPr>
            <w:r w:rsidRPr="00D33C1D">
              <w:rPr>
                <w:color w:val="0D0D0D" w:themeColor="text1" w:themeTint="F2"/>
                <w:sz w:val="20"/>
                <w:lang w:val="fr-FR"/>
              </w:rPr>
              <w:t>HCFC-142b</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0AEFC7E"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04194F2F"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59FF76A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3877771A"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5A20EE2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C5CE92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9,9</w:t>
            </w:r>
          </w:p>
        </w:tc>
      </w:tr>
      <w:tr w:rsidR="00D33C1D" w:rsidRPr="00D33C1D" w14:paraId="65FD2DB0" w14:textId="77777777" w:rsidTr="00D06E6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C3B662D" w14:textId="77777777" w:rsidR="00D33C1D" w:rsidRPr="00D33C1D" w:rsidRDefault="00D33C1D" w:rsidP="00D06E67">
            <w:pPr>
              <w:widowControl w:val="0"/>
              <w:rPr>
                <w:b/>
                <w:color w:val="0D0D0D" w:themeColor="text1" w:themeTint="F2"/>
                <w:sz w:val="20"/>
                <w:szCs w:val="20"/>
                <w:lang w:val="fr-FR"/>
              </w:rPr>
            </w:pPr>
            <w:r w:rsidRPr="00D33C1D">
              <w:rPr>
                <w:b/>
                <w:color w:val="0D0D0D" w:themeColor="text1" w:themeTint="F2"/>
                <w:sz w:val="20"/>
                <w:lang w:val="fr-FR"/>
              </w:rPr>
              <w:t>Total (tm)</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DCBB986"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30,06</w:t>
            </w:r>
          </w:p>
        </w:tc>
        <w:tc>
          <w:tcPr>
            <w:tcW w:w="601" w:type="pct"/>
            <w:tcBorders>
              <w:top w:val="single" w:sz="4" w:space="0" w:color="auto"/>
              <w:left w:val="nil"/>
              <w:bottom w:val="single" w:sz="4" w:space="0" w:color="auto"/>
              <w:right w:val="single" w:sz="4" w:space="0" w:color="auto"/>
            </w:tcBorders>
            <w:tcMar>
              <w:left w:w="115" w:type="dxa"/>
              <w:right w:w="202" w:type="dxa"/>
            </w:tcMar>
          </w:tcPr>
          <w:p w14:paraId="5B98EFD1"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25,20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1535103A"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38,20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2FBC38BE"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34,32</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62D9A94A"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43,59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34054AC"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93,0</w:t>
            </w:r>
          </w:p>
        </w:tc>
      </w:tr>
      <w:tr w:rsidR="00D33C1D" w:rsidRPr="00D33C1D" w14:paraId="2A624365" w14:textId="77777777" w:rsidTr="00D06E6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CEA5A9" w14:textId="77777777" w:rsidR="00D33C1D" w:rsidRPr="00D33C1D" w:rsidRDefault="00D33C1D" w:rsidP="00D06E67">
            <w:pPr>
              <w:widowControl w:val="0"/>
              <w:rPr>
                <w:b/>
                <w:bCs/>
                <w:color w:val="0D0D0D" w:themeColor="text1" w:themeTint="F2"/>
                <w:sz w:val="20"/>
                <w:szCs w:val="20"/>
                <w:lang w:val="fr-FR"/>
              </w:rPr>
            </w:pPr>
            <w:r w:rsidRPr="00D33C1D">
              <w:rPr>
                <w:b/>
                <w:color w:val="0D0D0D" w:themeColor="text1" w:themeTint="F2"/>
                <w:sz w:val="20"/>
                <w:lang w:val="fr-FR"/>
              </w:rPr>
              <w:t>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EB60D60" w14:textId="77777777" w:rsidR="00D33C1D" w:rsidRPr="00D33C1D" w:rsidRDefault="00D33C1D" w:rsidP="00D06E67">
            <w:pPr>
              <w:widowControl w:val="0"/>
              <w:jc w:val="right"/>
              <w:rPr>
                <w:color w:val="0D0D0D" w:themeColor="text1" w:themeTint="F2"/>
                <w:sz w:val="20"/>
                <w:szCs w:val="20"/>
                <w:lang w:val="fr-FR"/>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92BF292" w14:textId="77777777" w:rsidR="00D33C1D" w:rsidRPr="00D33C1D" w:rsidRDefault="00D33C1D" w:rsidP="00D06E67">
            <w:pPr>
              <w:widowControl w:val="0"/>
              <w:jc w:val="right"/>
              <w:rPr>
                <w:color w:val="0D0D0D" w:themeColor="text1" w:themeTint="F2"/>
                <w:sz w:val="20"/>
                <w:szCs w:val="20"/>
                <w:lang w:val="fr-FR"/>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76058495" w14:textId="77777777" w:rsidR="00D33C1D" w:rsidRPr="00D33C1D" w:rsidRDefault="00D33C1D" w:rsidP="00D06E67">
            <w:pPr>
              <w:widowControl w:val="0"/>
              <w:jc w:val="right"/>
              <w:rPr>
                <w:color w:val="0D0D0D" w:themeColor="text1" w:themeTint="F2"/>
                <w:sz w:val="20"/>
                <w:szCs w:val="20"/>
                <w:lang w:val="fr-FR"/>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CBC3526" w14:textId="77777777" w:rsidR="00D33C1D" w:rsidRPr="00D33C1D" w:rsidRDefault="00D33C1D" w:rsidP="00D06E67">
            <w:pPr>
              <w:widowControl w:val="0"/>
              <w:jc w:val="right"/>
              <w:rPr>
                <w:color w:val="0D0D0D" w:themeColor="text1" w:themeTint="F2"/>
                <w:sz w:val="20"/>
                <w:szCs w:val="20"/>
                <w:lang w:val="fr-FR"/>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B4FD7BB" w14:textId="77777777" w:rsidR="00D33C1D" w:rsidRPr="00D33C1D" w:rsidRDefault="00D33C1D" w:rsidP="00D06E67">
            <w:pPr>
              <w:widowControl w:val="0"/>
              <w:jc w:val="right"/>
              <w:rPr>
                <w:color w:val="0D0D0D" w:themeColor="text1" w:themeTint="F2"/>
                <w:sz w:val="20"/>
                <w:szCs w:val="20"/>
                <w:lang w:val="fr-FR"/>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1141478" w14:textId="77777777" w:rsidR="00D33C1D" w:rsidRPr="00D33C1D" w:rsidRDefault="00D33C1D" w:rsidP="00D06E67">
            <w:pPr>
              <w:widowControl w:val="0"/>
              <w:jc w:val="right"/>
              <w:rPr>
                <w:color w:val="0D0D0D" w:themeColor="text1" w:themeTint="F2"/>
                <w:sz w:val="20"/>
                <w:szCs w:val="20"/>
                <w:lang w:val="fr-FR"/>
              </w:rPr>
            </w:pPr>
          </w:p>
        </w:tc>
      </w:tr>
      <w:tr w:rsidR="00D33C1D" w:rsidRPr="00D33C1D" w14:paraId="3D81E343" w14:textId="77777777" w:rsidTr="00D06E6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C040A7" w14:textId="77777777" w:rsidR="00D33C1D" w:rsidRPr="00D33C1D" w:rsidRDefault="00D33C1D" w:rsidP="00D06E67">
            <w:pPr>
              <w:widowControl w:val="0"/>
              <w:rPr>
                <w:color w:val="0D0D0D" w:themeColor="text1" w:themeTint="F2"/>
                <w:sz w:val="20"/>
                <w:szCs w:val="20"/>
                <w:lang w:val="fr-FR"/>
              </w:rPr>
            </w:pPr>
            <w:r w:rsidRPr="00D33C1D">
              <w:rPr>
                <w:color w:val="0D0D0D" w:themeColor="text1" w:themeTint="F2"/>
                <w:sz w:val="20"/>
                <w:lang w:val="fr-FR"/>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7CFAAB"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1,68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1DA94E36"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1,39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32A2A2A"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2,10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3A037BF"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1,89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34874D7E"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2,40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5B4A099" w14:textId="77777777" w:rsidR="00D33C1D" w:rsidRPr="00D33C1D" w:rsidRDefault="00D33C1D" w:rsidP="00D06E67">
            <w:pPr>
              <w:widowControl w:val="0"/>
              <w:jc w:val="right"/>
              <w:rPr>
                <w:color w:val="0D0D0D" w:themeColor="text1" w:themeTint="F2"/>
                <w:sz w:val="20"/>
                <w:szCs w:val="20"/>
                <w:lang w:val="fr-FR"/>
              </w:rPr>
            </w:pPr>
            <w:r w:rsidRPr="00D33C1D">
              <w:rPr>
                <w:b/>
                <w:color w:val="0D0D0D" w:themeColor="text1" w:themeTint="F2"/>
                <w:sz w:val="20"/>
                <w:lang w:val="fr-FR"/>
              </w:rPr>
              <w:t>4,6</w:t>
            </w:r>
          </w:p>
        </w:tc>
      </w:tr>
      <w:tr w:rsidR="00D33C1D" w:rsidRPr="00D33C1D" w14:paraId="12E0C71C" w14:textId="77777777" w:rsidTr="00D06E6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F8630C" w14:textId="77777777" w:rsidR="00D33C1D" w:rsidRPr="00D33C1D" w:rsidRDefault="00D33C1D" w:rsidP="00D06E67">
            <w:pPr>
              <w:widowControl w:val="0"/>
              <w:rPr>
                <w:color w:val="0D0D0D" w:themeColor="text1" w:themeTint="F2"/>
                <w:sz w:val="20"/>
                <w:szCs w:val="20"/>
                <w:lang w:val="fr-FR"/>
              </w:rPr>
            </w:pPr>
            <w:r w:rsidRPr="00D33C1D">
              <w:rPr>
                <w:color w:val="0D0D0D" w:themeColor="text1" w:themeTint="F2"/>
                <w:sz w:val="20"/>
                <w:lang w:val="fr-FR"/>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5FC97CD"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26588883"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2D79D8CA"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67E96FF"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17397C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A921FF5" w14:textId="77777777" w:rsidR="00D33C1D" w:rsidRPr="00D33C1D" w:rsidRDefault="00D33C1D" w:rsidP="00D06E67">
            <w:pPr>
              <w:widowControl w:val="0"/>
              <w:jc w:val="right"/>
              <w:rPr>
                <w:color w:val="0D0D0D" w:themeColor="text1" w:themeTint="F2"/>
                <w:sz w:val="20"/>
                <w:szCs w:val="20"/>
                <w:lang w:val="fr-FR"/>
              </w:rPr>
            </w:pPr>
            <w:r w:rsidRPr="00D33C1D">
              <w:rPr>
                <w:color w:val="0D0D0D" w:themeColor="text1" w:themeTint="F2"/>
                <w:sz w:val="20"/>
                <w:lang w:val="fr-FR"/>
              </w:rPr>
              <w:t>0,6</w:t>
            </w:r>
          </w:p>
        </w:tc>
      </w:tr>
      <w:tr w:rsidR="00D33C1D" w:rsidRPr="00D33C1D" w14:paraId="2095A5A4" w14:textId="77777777" w:rsidTr="00D06E6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4432D20" w14:textId="77777777" w:rsidR="00D33C1D" w:rsidRPr="00D33C1D" w:rsidRDefault="00D33C1D" w:rsidP="00D06E67">
            <w:pPr>
              <w:widowControl w:val="0"/>
              <w:rPr>
                <w:b/>
                <w:color w:val="0D0D0D" w:themeColor="text1" w:themeTint="F2"/>
                <w:sz w:val="20"/>
                <w:szCs w:val="20"/>
                <w:lang w:val="fr-FR"/>
              </w:rPr>
            </w:pPr>
            <w:r w:rsidRPr="00D33C1D">
              <w:rPr>
                <w:b/>
                <w:color w:val="0D0D0D" w:themeColor="text1" w:themeTint="F2"/>
                <w:sz w:val="20"/>
                <w:lang w:val="fr-FR"/>
              </w:rPr>
              <w:t>Total (tonnes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027080E"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1,68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646CDC59"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1,39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3F4E2550"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2,10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3FA45E1"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1,89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3579E15"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2,40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3586132" w14:textId="77777777" w:rsidR="00D33C1D" w:rsidRPr="00D33C1D" w:rsidRDefault="00D33C1D" w:rsidP="00D06E67">
            <w:pPr>
              <w:widowControl w:val="0"/>
              <w:jc w:val="right"/>
              <w:rPr>
                <w:b/>
                <w:color w:val="0D0D0D" w:themeColor="text1" w:themeTint="F2"/>
                <w:sz w:val="20"/>
                <w:szCs w:val="20"/>
                <w:lang w:val="fr-FR"/>
              </w:rPr>
            </w:pPr>
            <w:r w:rsidRPr="00D33C1D">
              <w:rPr>
                <w:b/>
                <w:color w:val="0D0D0D" w:themeColor="text1" w:themeTint="F2"/>
                <w:sz w:val="20"/>
                <w:lang w:val="fr-FR"/>
              </w:rPr>
              <w:t>5,3</w:t>
            </w:r>
          </w:p>
        </w:tc>
      </w:tr>
    </w:tbl>
    <w:p w14:paraId="28003C67" w14:textId="77777777" w:rsidR="00D33C1D" w:rsidRPr="00D33C1D" w:rsidRDefault="00D33C1D" w:rsidP="00D33C1D">
      <w:pPr>
        <w:rPr>
          <w:sz w:val="16"/>
          <w:szCs w:val="16"/>
          <w:lang w:val="fr-FR"/>
        </w:rPr>
      </w:pPr>
      <w:r w:rsidRPr="00D33C1D">
        <w:rPr>
          <w:sz w:val="16"/>
          <w:lang w:val="fr-FR"/>
        </w:rPr>
        <w:t>*</w:t>
      </w:r>
      <w:r w:rsidRPr="00DC6C7E">
        <w:rPr>
          <w:sz w:val="19"/>
          <w:szCs w:val="19"/>
          <w:lang w:val="fr-FR"/>
        </w:rPr>
        <w:t>Données du programme de pays.</w:t>
      </w:r>
    </w:p>
    <w:p w14:paraId="2C19FB42" w14:textId="77777777" w:rsidR="00D33C1D" w:rsidRPr="00D33C1D" w:rsidRDefault="00D33C1D" w:rsidP="00D33C1D">
      <w:pPr>
        <w:rPr>
          <w:color w:val="0D0D0D" w:themeColor="text1" w:themeTint="F2"/>
          <w:lang w:val="fr-FR"/>
        </w:rPr>
      </w:pPr>
    </w:p>
    <w:bookmarkEnd w:id="0"/>
    <w:p w14:paraId="7BC8E385" w14:textId="77777777" w:rsidR="00D33C1D" w:rsidRPr="00D33C1D" w:rsidRDefault="00D33C1D" w:rsidP="00D33C1D">
      <w:pPr>
        <w:pStyle w:val="Heading1"/>
        <w:tabs>
          <w:tab w:val="clear" w:pos="0"/>
          <w:tab w:val="num" w:pos="90"/>
        </w:tabs>
        <w:rPr>
          <w:lang w:val="fr-FR"/>
        </w:rPr>
      </w:pPr>
      <w:r w:rsidRPr="00D33C1D">
        <w:rPr>
          <w:color w:val="0D0D0D" w:themeColor="text1" w:themeTint="F2"/>
          <w:lang w:val="fr-FR"/>
        </w:rPr>
        <w:t>Le HCFC</w:t>
      </w:r>
      <w:r w:rsidRPr="00D33C1D">
        <w:rPr>
          <w:color w:val="0D0D0D" w:themeColor="text1" w:themeTint="F2"/>
          <w:lang w:val="fr-FR"/>
        </w:rPr>
        <w:noBreakHyphen/>
        <w:t xml:space="preserve">22 est utilisé pour l’entretien et la maintenance des équipements de réfrigération et de climatisation. L’augmentation significative entre 2016 et 2017 a été causée par l’épuisement graduel de HCFC-22 mis en réserve avant le gel de la consommation en 2013. </w:t>
      </w:r>
      <w:r w:rsidRPr="00D33C1D">
        <w:rPr>
          <w:lang w:val="fr-FR"/>
        </w:rPr>
        <w:t xml:space="preserve">La consommation de </w:t>
      </w:r>
      <w:r w:rsidRPr="00D33C1D">
        <w:rPr>
          <w:color w:val="0D0D0D" w:themeColor="text1" w:themeTint="F2"/>
          <w:lang w:val="fr-FR"/>
        </w:rPr>
        <w:t>HCFC-22 a augmenté en 2019, avec 2,40 tonnes PAO, en raison de la constitution de stocks de HCFC-22 par les importateurs</w:t>
      </w:r>
      <w:r w:rsidRPr="00D33C1D">
        <w:rPr>
          <w:lang w:val="fr-FR"/>
        </w:rPr>
        <w:t xml:space="preserve"> en prévision des augmentations de prix et du quota d’importation inférieur en 2020. </w:t>
      </w:r>
    </w:p>
    <w:p w14:paraId="64CD6FA2" w14:textId="77777777" w:rsidR="00D33C1D" w:rsidRPr="00D33C1D" w:rsidRDefault="00D33C1D" w:rsidP="00D33C1D">
      <w:pPr>
        <w:pStyle w:val="Heading1"/>
        <w:tabs>
          <w:tab w:val="clear" w:pos="0"/>
          <w:tab w:val="num" w:pos="90"/>
        </w:tabs>
        <w:rPr>
          <w:lang w:val="fr-FR"/>
        </w:rPr>
      </w:pPr>
      <w:r w:rsidRPr="00D33C1D">
        <w:rPr>
          <w:color w:val="0D0D0D" w:themeColor="text1" w:themeTint="F2"/>
          <w:lang w:val="fr-FR"/>
        </w:rPr>
        <w:t>Bien qu’une tendance ascendante de la consommation de HCFC ai</w:t>
      </w:r>
      <w:r w:rsidR="00821435">
        <w:rPr>
          <w:color w:val="0D0D0D" w:themeColor="text1" w:themeTint="F2"/>
          <w:lang w:val="fr-FR"/>
        </w:rPr>
        <w:t>t</w:t>
      </w:r>
      <w:r w:rsidRPr="00D33C1D">
        <w:rPr>
          <w:color w:val="0D0D0D" w:themeColor="text1" w:themeTint="F2"/>
          <w:lang w:val="fr-FR"/>
        </w:rPr>
        <w:t xml:space="preserve"> été notée au cours des cinq dernières années, la consommation moyenne (c’est-à-dire 1,90 tonne PAO) est inférieure de 65 pour cent à la valeur de référence pour la conformité. </w:t>
      </w:r>
      <w:r w:rsidRPr="00D33C1D">
        <w:rPr>
          <w:lang w:val="fr-FR"/>
        </w:rPr>
        <w:t>Cette</w:t>
      </w:r>
      <w:r w:rsidRPr="00D33C1D">
        <w:rPr>
          <w:color w:val="0D0D0D" w:themeColor="text1" w:themeTint="F2"/>
          <w:lang w:val="fr-FR"/>
        </w:rPr>
        <w:t xml:space="preserve"> réduction par rapport à la valeur de référence est due à l’application du programme </w:t>
      </w:r>
      <w:r w:rsidRPr="00D33C1D">
        <w:rPr>
          <w:lang w:val="fr-FR"/>
        </w:rPr>
        <w:t xml:space="preserve">d’octroi de permis et de quotas d’importation/exportation et à la mise en œuvre des activités dans le cadre du PGEH, qui comprennent la formation des techniciens et l’assistance technique fournie au secteur de l’entretien des équipements de réfrigération. </w:t>
      </w:r>
      <w:r w:rsidRPr="00D33C1D">
        <w:rPr>
          <w:color w:val="0D0D0D" w:themeColor="text1" w:themeTint="F2"/>
          <w:lang w:val="fr-FR"/>
        </w:rPr>
        <w:t xml:space="preserve">Le HCFC-142b, qui était consommé dans le secteur des solvants pour le nettoyage à sec des vêtements, est éliminé depuis 2011, après la conversion du sous-secteur du nettoyage à sec. </w:t>
      </w:r>
      <w:r w:rsidRPr="00D33C1D">
        <w:rPr>
          <w:lang w:val="fr-FR"/>
        </w:rPr>
        <w:t>L’importation d’équipements de réfrigération et de climatisation sans HCFC-22 a également contribué à la réduction de la consommation de HCFC.</w:t>
      </w:r>
    </w:p>
    <w:p w14:paraId="38407FAE" w14:textId="77777777" w:rsidR="00D33C1D" w:rsidRPr="00D33C1D" w:rsidRDefault="00D33C1D" w:rsidP="00D33C1D">
      <w:pPr>
        <w:rPr>
          <w:i/>
          <w:color w:val="0D0D0D" w:themeColor="text1" w:themeTint="F2"/>
          <w:lang w:val="fr-FR"/>
        </w:rPr>
      </w:pPr>
      <w:r w:rsidRPr="00D33C1D">
        <w:rPr>
          <w:i/>
          <w:color w:val="0D0D0D" w:themeColor="text1" w:themeTint="F2"/>
          <w:lang w:val="fr-FR"/>
        </w:rPr>
        <w:t>Rapport de mise en œuvre du programme du pays</w:t>
      </w:r>
    </w:p>
    <w:p w14:paraId="1D6F0A48" w14:textId="77777777" w:rsidR="00D33C1D" w:rsidRPr="00D33C1D" w:rsidRDefault="00D33C1D" w:rsidP="00D33C1D">
      <w:pPr>
        <w:rPr>
          <w:color w:val="0D0D0D" w:themeColor="text1" w:themeTint="F2"/>
          <w:lang w:val="fr-FR"/>
        </w:rPr>
      </w:pPr>
    </w:p>
    <w:p w14:paraId="47EA3E5A"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 xml:space="preserve">Dans le cadre du rapport de mise en œuvre du programme du pays de 2018, le gouvernement de la Géorgie a communiqué des données sur la consommation sectorielle de HCFC conformes aux données déclarées en vertu de l’Article 7 du Protocole de Montréal. </w:t>
      </w:r>
    </w:p>
    <w:p w14:paraId="0066E681" w14:textId="77777777" w:rsidR="00D33C1D" w:rsidRPr="00D33C1D" w:rsidRDefault="00D33C1D" w:rsidP="00D33C1D">
      <w:pPr>
        <w:keepNext/>
        <w:keepLines/>
        <w:rPr>
          <w:i/>
          <w:color w:val="0D0D0D" w:themeColor="text1" w:themeTint="F2"/>
          <w:lang w:val="fr-FR"/>
        </w:rPr>
      </w:pPr>
      <w:r w:rsidRPr="00D33C1D">
        <w:rPr>
          <w:i/>
          <w:color w:val="0D0D0D" w:themeColor="text1" w:themeTint="F2"/>
          <w:lang w:val="fr-FR"/>
        </w:rPr>
        <w:lastRenderedPageBreak/>
        <w:t>Rapport de vérification</w:t>
      </w:r>
    </w:p>
    <w:p w14:paraId="06A5943F" w14:textId="77777777" w:rsidR="00D33C1D" w:rsidRPr="00D33C1D" w:rsidRDefault="00D33C1D" w:rsidP="00D33C1D">
      <w:pPr>
        <w:keepNext/>
        <w:keepLines/>
        <w:rPr>
          <w:color w:val="0D0D0D" w:themeColor="text1" w:themeTint="F2"/>
          <w:lang w:val="fr-FR"/>
        </w:rPr>
      </w:pPr>
    </w:p>
    <w:p w14:paraId="1934DCE7" w14:textId="77777777" w:rsidR="00D33C1D" w:rsidRPr="00D33C1D" w:rsidRDefault="00D33C1D" w:rsidP="00D33C1D">
      <w:pPr>
        <w:pStyle w:val="Heading1"/>
        <w:keepNext/>
        <w:keepLines/>
        <w:rPr>
          <w:color w:val="0D0D0D" w:themeColor="text1" w:themeTint="F2"/>
          <w:lang w:val="fr-FR"/>
        </w:rPr>
      </w:pPr>
      <w:r w:rsidRPr="00D33C1D">
        <w:rPr>
          <w:color w:val="0D0D0D" w:themeColor="text1" w:themeTint="F2"/>
          <w:lang w:val="fr-FR"/>
        </w:rPr>
        <w:t>Le rapport de vérification mis à jour comportant les données de consommation de HCFC de 2016</w:t>
      </w:r>
      <w:r w:rsidR="00DC6C7E">
        <w:rPr>
          <w:color w:val="0D0D0D" w:themeColor="text1" w:themeTint="F2"/>
          <w:lang w:val="fr-FR"/>
        </w:rPr>
        <w:t> </w:t>
      </w:r>
      <w:r w:rsidRPr="00D33C1D">
        <w:rPr>
          <w:color w:val="0D0D0D" w:themeColor="text1" w:themeTint="F2"/>
          <w:lang w:val="fr-FR"/>
        </w:rPr>
        <w:t>et</w:t>
      </w:r>
      <w:r w:rsidR="00DC6C7E">
        <w:rPr>
          <w:color w:val="0D0D0D" w:themeColor="text1" w:themeTint="F2"/>
          <w:lang w:val="fr-FR"/>
        </w:rPr>
        <w:t> </w:t>
      </w:r>
      <w:r w:rsidRPr="00D33C1D">
        <w:rPr>
          <w:color w:val="0D0D0D" w:themeColor="text1" w:themeTint="F2"/>
          <w:lang w:val="fr-FR"/>
        </w:rPr>
        <w:t>2017 a été présenté en juin 2018, conformément à la condition d’approbation de la troisième tranche définie à la 81</w:t>
      </w:r>
      <w:r w:rsidRPr="00D33C1D">
        <w:rPr>
          <w:color w:val="0D0D0D" w:themeColor="text1" w:themeTint="F2"/>
          <w:vertAlign w:val="superscript"/>
          <w:lang w:val="fr-FR"/>
        </w:rPr>
        <w:t>e</w:t>
      </w:r>
      <w:r w:rsidRPr="00D33C1D">
        <w:rPr>
          <w:color w:val="0D0D0D" w:themeColor="text1" w:themeTint="F2"/>
          <w:lang w:val="fr-FR"/>
        </w:rPr>
        <w:t xml:space="preserve"> réunion. Le rapport a confirmé que le pays était en conformité avec le Protocole de Montréal et avec son Accord avec le Comité exécutif pour ces années. </w:t>
      </w:r>
    </w:p>
    <w:p w14:paraId="1C0B4B9E" w14:textId="77777777" w:rsidR="00D33C1D" w:rsidRPr="00D33C1D" w:rsidRDefault="00D33C1D" w:rsidP="00D33C1D">
      <w:pPr>
        <w:rPr>
          <w:color w:val="0D0D0D" w:themeColor="text1" w:themeTint="F2"/>
          <w:u w:val="single"/>
          <w:lang w:val="fr-FR"/>
        </w:rPr>
      </w:pPr>
      <w:r w:rsidRPr="00D33C1D">
        <w:rPr>
          <w:color w:val="0D0D0D" w:themeColor="text1" w:themeTint="F2"/>
          <w:u w:val="single"/>
          <w:lang w:val="fr-FR"/>
        </w:rPr>
        <w:t>Rapport périodique sur la mise en œuvre de la troisième tranche du PGEH</w:t>
      </w:r>
    </w:p>
    <w:p w14:paraId="7860BACF" w14:textId="77777777" w:rsidR="00D33C1D" w:rsidRPr="00D33C1D" w:rsidRDefault="00D33C1D" w:rsidP="00D33C1D">
      <w:pPr>
        <w:rPr>
          <w:color w:val="0D0D0D" w:themeColor="text1" w:themeTint="F2"/>
          <w:lang w:val="fr-FR"/>
        </w:rPr>
      </w:pPr>
    </w:p>
    <w:p w14:paraId="31EB878E" w14:textId="77777777" w:rsidR="00D33C1D" w:rsidRPr="00D33C1D" w:rsidRDefault="00D33C1D" w:rsidP="00D33C1D">
      <w:pPr>
        <w:rPr>
          <w:i/>
          <w:color w:val="0D0D0D" w:themeColor="text1" w:themeTint="F2"/>
          <w:lang w:val="fr-FR"/>
        </w:rPr>
      </w:pPr>
      <w:r w:rsidRPr="00D33C1D">
        <w:rPr>
          <w:i/>
          <w:color w:val="0D0D0D" w:themeColor="text1" w:themeTint="F2"/>
          <w:lang w:val="fr-FR"/>
        </w:rPr>
        <w:t>Cadre juridique</w:t>
      </w:r>
    </w:p>
    <w:p w14:paraId="33BC277B" w14:textId="77777777" w:rsidR="00D33C1D" w:rsidRPr="00D33C1D" w:rsidRDefault="00D33C1D" w:rsidP="00D33C1D">
      <w:pPr>
        <w:rPr>
          <w:color w:val="0D0D0D" w:themeColor="text1" w:themeTint="F2"/>
          <w:lang w:val="fr-FR"/>
        </w:rPr>
      </w:pPr>
    </w:p>
    <w:p w14:paraId="54436BCE" w14:textId="77777777" w:rsidR="00D33C1D" w:rsidRPr="00D33C1D" w:rsidRDefault="00D33C1D" w:rsidP="00D33C1D">
      <w:pPr>
        <w:pStyle w:val="Heading1"/>
        <w:tabs>
          <w:tab w:val="num" w:pos="-159"/>
        </w:tabs>
        <w:rPr>
          <w:color w:val="0D0D0D" w:themeColor="text1" w:themeTint="F2"/>
          <w:lang w:val="fr-FR"/>
        </w:rPr>
      </w:pPr>
      <w:r w:rsidRPr="00D33C1D">
        <w:rPr>
          <w:color w:val="0D0D0D" w:themeColor="text1" w:themeTint="F2"/>
          <w:lang w:val="fr-FR"/>
        </w:rPr>
        <w:t xml:space="preserve">Le pays possède un cadre juridique concernant la protection de l’environnement qui contient des dispositions sur la protection de la couche d’ozone. En 2014, le gouvernement a modifié sa législation en matière d’importation et d’exportation de SAO en introduisant le système de quotas de HCFC. En avril 2016, des modifications ont été introduites dans les lois sur la protection de l’environnement, la protection de l’air, les licences, les permis et les redevances afin, entre autres, de renforcer les règlements sur l’importation et l’exportation des SAO, d’établir des sanctions administratives pour la violation des règlements sur les SAO, ainsi que de renforcer les exigences réglementaires pour la certification des techniciens de réfrigération et de climatisation. </w:t>
      </w:r>
    </w:p>
    <w:p w14:paraId="398B9AAC" w14:textId="77777777" w:rsidR="00D33C1D" w:rsidRPr="00D33C1D" w:rsidRDefault="00D33C1D" w:rsidP="00D33C1D">
      <w:pPr>
        <w:pStyle w:val="Heading1"/>
        <w:tabs>
          <w:tab w:val="num" w:pos="-159"/>
        </w:tabs>
        <w:rPr>
          <w:rFonts w:eastAsia="SimSun"/>
          <w:color w:val="0D0D0D" w:themeColor="text1" w:themeTint="F2"/>
          <w:lang w:val="fr-FR"/>
        </w:rPr>
      </w:pPr>
      <w:r w:rsidRPr="00D33C1D">
        <w:rPr>
          <w:color w:val="0D0D0D" w:themeColor="text1" w:themeTint="F2"/>
          <w:lang w:val="fr-FR"/>
        </w:rPr>
        <w:t xml:space="preserve">D’autres modifications ont été ébauchées en 2019, dont un programme d’octroi de permis pour les usages exemptés des SAO ; des pénalités plus strictes pour les importations illicites ; l’établissement de la validité juridique des rapports électroniques ; et la certification des entreprises de réfrigération et de climatisation. Un autre projet législatif comprend l’alignement de la certification pour la réfrigération et la climatisation sur les règlements de l’Union européenne (UE) relatifs aux gaz fluorés ; une interdiction des importations d’équipements au HCFC-22 ; et une résolution visant à rendre les fabricants, les importateurs et les détaillants de systèmes de réfrigération et de climatisation responsables des déchets produits par ces produits, y compris les SAO. Les modifications et projets de législation devraient être examinés au Parlement pour adoption au second semestre 2020. </w:t>
      </w:r>
    </w:p>
    <w:p w14:paraId="3BB99459" w14:textId="77777777" w:rsidR="00D33C1D" w:rsidRPr="00D33C1D" w:rsidRDefault="00D33C1D" w:rsidP="00D33C1D">
      <w:pPr>
        <w:pStyle w:val="Heading1"/>
        <w:rPr>
          <w:lang w:val="fr-FR"/>
        </w:rPr>
      </w:pPr>
      <w:r w:rsidRPr="00D33C1D">
        <w:rPr>
          <w:lang w:val="fr-FR"/>
        </w:rPr>
        <w:t>L’application de la législation nationale pour l’interdiction des SAO éliminés, la liste des SAO interdits et les pénalités pour les violations ont permis aux préposés aux douanes d’intercepter plusieurs cas de commerce illicite de SAO qui ont été éliminés. Le gouvernement n’a connaissance de la disponibilité sur le marché d’aucune substance réglementée qui a été éliminée, ni d’aucun stock de ces substances, autre que le bromure de méthyle, qui n’est pas utilisé. L’Agence nationale de l’alimentation, du ministère de la Protection de l’environnement et de l’Agriculture dispose de 1,9 tm de bromure de méthyle, entreposées jusqu’à l’identification d’une installation d’élimination appropriée.</w:t>
      </w:r>
    </w:p>
    <w:p w14:paraId="597CE855" w14:textId="77777777" w:rsidR="00D33C1D" w:rsidRPr="00D33C1D" w:rsidRDefault="00D33C1D" w:rsidP="00D33C1D">
      <w:pPr>
        <w:pStyle w:val="Heading1"/>
        <w:numPr>
          <w:ilvl w:val="0"/>
          <w:numId w:val="0"/>
        </w:numPr>
        <w:rPr>
          <w:i/>
          <w:color w:val="0D0D0D" w:themeColor="text1" w:themeTint="F2"/>
          <w:lang w:val="fr-FR"/>
        </w:rPr>
      </w:pPr>
      <w:r w:rsidRPr="00D33C1D">
        <w:rPr>
          <w:i/>
          <w:color w:val="0D0D0D" w:themeColor="text1" w:themeTint="F2"/>
          <w:lang w:val="fr-FR"/>
        </w:rPr>
        <w:t>Secteur de l’entretien des équipements de réfrigération</w:t>
      </w:r>
    </w:p>
    <w:p w14:paraId="27E9E217" w14:textId="77777777" w:rsidR="00D33C1D" w:rsidRPr="00D33C1D" w:rsidRDefault="00D33C1D" w:rsidP="00D33C1D">
      <w:pPr>
        <w:pStyle w:val="Heading1"/>
        <w:tabs>
          <w:tab w:val="num" w:pos="-159"/>
        </w:tabs>
        <w:rPr>
          <w:color w:val="0D0D0D" w:themeColor="text1" w:themeTint="F2"/>
          <w:lang w:val="fr-FR"/>
        </w:rPr>
      </w:pPr>
      <w:r w:rsidRPr="00D33C1D">
        <w:rPr>
          <w:color w:val="0D0D0D" w:themeColor="text1" w:themeTint="F2"/>
          <w:lang w:val="fr-FR"/>
        </w:rPr>
        <w:t xml:space="preserve">Les activités suivantes ont été mises en œuvre : </w:t>
      </w:r>
    </w:p>
    <w:p w14:paraId="529364B2" w14:textId="77777777" w:rsidR="00D33C1D" w:rsidRPr="00D33C1D" w:rsidRDefault="00D33C1D" w:rsidP="00D33C1D">
      <w:pPr>
        <w:pStyle w:val="Heading2"/>
        <w:numPr>
          <w:ilvl w:val="1"/>
          <w:numId w:val="1"/>
        </w:numPr>
        <w:rPr>
          <w:color w:val="0D0D0D" w:themeColor="text1" w:themeTint="F2"/>
          <w:lang w:val="fr-FR"/>
        </w:rPr>
      </w:pPr>
      <w:r w:rsidRPr="00D33C1D">
        <w:rPr>
          <w:color w:val="0D0D0D" w:themeColor="text1" w:themeTint="F2"/>
          <w:lang w:val="fr-FR"/>
        </w:rPr>
        <w:t>Au total, 49 préposés aux douanes ont été formés à l’utilisation des identificateurs de réfrigérant pour le contrôle des importations et des exportations de SAO ; 41 inspecteurs environnementaux ont été formés aux caractéristiques techniques des différents types d’équipements de réfrigération et de climatisation au HCFC-22, à la réalisation d’inspection appropriées et à l’utilisation des identificateurs de réfrigérant ; et huit identificateurs de réfrigérant ont été achetés et livrés aux autorités douanières ;</w:t>
      </w:r>
    </w:p>
    <w:p w14:paraId="7B8AE06B" w14:textId="77777777" w:rsidR="00D33C1D" w:rsidRPr="00D33C1D" w:rsidRDefault="00D33C1D" w:rsidP="00D33C1D">
      <w:pPr>
        <w:pStyle w:val="Heading2"/>
        <w:numPr>
          <w:ilvl w:val="1"/>
          <w:numId w:val="1"/>
        </w:numPr>
        <w:spacing w:after="120"/>
        <w:rPr>
          <w:color w:val="0D0D0D" w:themeColor="text1" w:themeTint="F2"/>
          <w:lang w:val="fr-FR"/>
        </w:rPr>
      </w:pPr>
      <w:r w:rsidRPr="00D33C1D">
        <w:rPr>
          <w:color w:val="0D0D0D" w:themeColor="text1" w:themeTint="F2"/>
          <w:lang w:val="fr-FR"/>
        </w:rPr>
        <w:t xml:space="preserve">Huit ensembles d’équipements d’entretien (par exemple, des machines de récupération de réfrigérant, des bouteilles de réfrigérant réutilisables, des pompes à vide, des manomètres, des détecteurs portables de fuites et des multimètres numériques) ont été fournis aux techniciens d’entretien de réfrigération et de climatisation certifiés après une session de </w:t>
      </w:r>
      <w:r w:rsidRPr="00D33C1D">
        <w:rPr>
          <w:color w:val="0D0D0D" w:themeColor="text1" w:themeTint="F2"/>
          <w:lang w:val="fr-FR"/>
        </w:rPr>
        <w:lastRenderedPageBreak/>
        <w:t>formation en novembre 2019 ; des outils supplémentaires seront distribués ultérieurement, en 2020, une fois les restrictions liées au COVID</w:t>
      </w:r>
      <w:r w:rsidRPr="00D33C1D">
        <w:rPr>
          <w:color w:val="0D0D0D" w:themeColor="text1" w:themeTint="F2"/>
          <w:lang w:val="fr-FR"/>
        </w:rPr>
        <w:noBreakHyphen/>
        <w:t>19 levées ; et</w:t>
      </w:r>
    </w:p>
    <w:p w14:paraId="19D06E52" w14:textId="77777777" w:rsidR="00D33C1D" w:rsidRPr="00D33C1D" w:rsidRDefault="00D33C1D" w:rsidP="00D33C1D">
      <w:pPr>
        <w:pStyle w:val="Heading2"/>
        <w:numPr>
          <w:ilvl w:val="1"/>
          <w:numId w:val="1"/>
        </w:numPr>
        <w:rPr>
          <w:rFonts w:ascii="Sylfaen" w:eastAsia="Calibri" w:hAnsi="Sylfaen"/>
          <w:iCs/>
          <w:color w:val="0D0D0D" w:themeColor="text1" w:themeTint="F2"/>
          <w:lang w:val="fr-FR"/>
        </w:rPr>
      </w:pPr>
      <w:bookmarkStart w:id="1" w:name="_Hlk38287203"/>
      <w:r w:rsidRPr="00D33C1D">
        <w:rPr>
          <w:color w:val="0D0D0D" w:themeColor="text1" w:themeTint="F2"/>
          <w:lang w:val="fr-FR"/>
        </w:rPr>
        <w:t>Une évaluation/étude du marché des applications destinées aux utilisateurs finaux du HCFC</w:t>
      </w:r>
      <w:r w:rsidRPr="00D33C1D">
        <w:rPr>
          <w:color w:val="0D0D0D" w:themeColor="text1" w:themeTint="F2"/>
          <w:lang w:val="fr-FR"/>
        </w:rPr>
        <w:noBreakHyphen/>
        <w:t>22 dans divers secteurs économiques a été effectuée pour sélectionner un utilisateur final approprié pour une démonstration du remplacement du HCFC</w:t>
      </w:r>
      <w:r w:rsidRPr="00D33C1D">
        <w:rPr>
          <w:color w:val="0D0D0D" w:themeColor="text1" w:themeTint="F2"/>
          <w:lang w:val="fr-FR"/>
        </w:rPr>
        <w:noBreakHyphen/>
        <w:t xml:space="preserve">22 par des réfrigérants naturels dans des équipements de réfrigération et de climatisation. </w:t>
      </w:r>
    </w:p>
    <w:bookmarkEnd w:id="1"/>
    <w:p w14:paraId="6C250698" w14:textId="77777777" w:rsidR="00D33C1D" w:rsidRPr="00D33C1D" w:rsidRDefault="00D33C1D" w:rsidP="00D33C1D">
      <w:pPr>
        <w:pStyle w:val="Heading2"/>
        <w:keepNext/>
        <w:keepLines/>
        <w:numPr>
          <w:ilvl w:val="0"/>
          <w:numId w:val="0"/>
        </w:numPr>
        <w:rPr>
          <w:i/>
          <w:color w:val="0D0D0D" w:themeColor="text1" w:themeTint="F2"/>
          <w:lang w:val="fr-FR"/>
        </w:rPr>
      </w:pPr>
      <w:r w:rsidRPr="00D33C1D">
        <w:rPr>
          <w:i/>
          <w:color w:val="0D0D0D" w:themeColor="text1" w:themeTint="F2"/>
          <w:lang w:val="fr-FR"/>
        </w:rPr>
        <w:t>Unité de mise en œuvre et de suivi du projet</w:t>
      </w:r>
    </w:p>
    <w:p w14:paraId="637AE802" w14:textId="77777777" w:rsidR="00D33C1D" w:rsidRPr="00D33C1D" w:rsidRDefault="00D33C1D" w:rsidP="00D33C1D">
      <w:pPr>
        <w:pStyle w:val="Heading1"/>
        <w:keepNext/>
        <w:keepLines/>
        <w:rPr>
          <w:color w:val="0D0D0D" w:themeColor="text1" w:themeTint="F2"/>
          <w:u w:val="single"/>
          <w:lang w:val="fr-FR"/>
        </w:rPr>
      </w:pPr>
      <w:r w:rsidRPr="00D33C1D">
        <w:rPr>
          <w:color w:val="0D0D0D" w:themeColor="text1" w:themeTint="F2"/>
          <w:lang w:val="fr-FR"/>
        </w:rPr>
        <w:t>La mise en œuvre et le suivi du projet sont coordonnés par une équipe de mise en œuvre du projet dans le cadre du programme d’activités de facilitation du Protocole de Montréal au ministère de la Protection de l’environnement et de l’Agriculture ; cette équipe est constituée de vacataires, dont un directeur à temps partiel, un assistant de projet et des consultants nationaux. Les dépenses liées au suivi et à la mise en œuvre du projet pour les trois premières tranches du PGEH se sont élevées à 73 767 $ US, comprenant le personnel et les consultants (59 247 $ US), le loyer (2 500 $ US), les déplacements (2 809 $</w:t>
      </w:r>
      <w:r w:rsidR="002775DE">
        <w:rPr>
          <w:color w:val="0D0D0D" w:themeColor="text1" w:themeTint="F2"/>
          <w:lang w:val="fr-FR"/>
        </w:rPr>
        <w:t> </w:t>
      </w:r>
      <w:r w:rsidRPr="00D33C1D">
        <w:rPr>
          <w:color w:val="0D0D0D" w:themeColor="text1" w:themeTint="F2"/>
          <w:lang w:val="fr-FR"/>
        </w:rPr>
        <w:t xml:space="preserve">US) et les communications/publications (9 211 $ US). </w:t>
      </w:r>
    </w:p>
    <w:p w14:paraId="7D23790D" w14:textId="77777777" w:rsidR="00D33C1D" w:rsidRPr="00D33C1D" w:rsidRDefault="00D33C1D" w:rsidP="00D33C1D">
      <w:pPr>
        <w:pStyle w:val="Heading1"/>
        <w:keepNext/>
        <w:numPr>
          <w:ilvl w:val="0"/>
          <w:numId w:val="0"/>
        </w:numPr>
        <w:rPr>
          <w:color w:val="0D0D0D" w:themeColor="text1" w:themeTint="F2"/>
          <w:u w:val="single"/>
          <w:lang w:val="fr-FR"/>
        </w:rPr>
      </w:pPr>
      <w:r w:rsidRPr="00D33C1D">
        <w:rPr>
          <w:color w:val="0D0D0D" w:themeColor="text1" w:themeTint="F2"/>
          <w:u w:val="single"/>
          <w:lang w:val="fr-FR"/>
        </w:rPr>
        <w:t>Décaissement du financement</w:t>
      </w:r>
    </w:p>
    <w:p w14:paraId="54E7F03E" w14:textId="77777777" w:rsidR="00D33C1D" w:rsidRPr="00D33C1D" w:rsidRDefault="00D33C1D" w:rsidP="00D33C1D">
      <w:pPr>
        <w:pStyle w:val="Heading1"/>
        <w:keepNext/>
        <w:rPr>
          <w:color w:val="0D0D0D" w:themeColor="text1" w:themeTint="F2"/>
          <w:lang w:val="fr-FR"/>
        </w:rPr>
      </w:pPr>
      <w:r w:rsidRPr="00D33C1D">
        <w:rPr>
          <w:color w:val="0D0D0D" w:themeColor="text1" w:themeTint="F2"/>
          <w:lang w:val="fr-FR"/>
        </w:rPr>
        <w:t>En date de mars 2020, des 469 400 $ US approuvés, 361 501 $ US avaient été décaissés, comme indiqué dans le Tableau 2. Le solde de 107 899$ US sera décaissé en 2020 et 2021.</w:t>
      </w:r>
    </w:p>
    <w:p w14:paraId="60F85290" w14:textId="77777777" w:rsidR="00D33C1D" w:rsidRPr="00D33C1D" w:rsidRDefault="00D33C1D" w:rsidP="00D33C1D">
      <w:pPr>
        <w:keepNext/>
        <w:rPr>
          <w:b/>
          <w:color w:val="0D0D0D" w:themeColor="text1" w:themeTint="F2"/>
          <w:lang w:val="fr-FR"/>
        </w:rPr>
      </w:pPr>
      <w:r w:rsidRPr="00D33C1D">
        <w:rPr>
          <w:b/>
          <w:color w:val="0D0D0D" w:themeColor="text1" w:themeTint="F2"/>
          <w:lang w:val="fr-FR"/>
        </w:rPr>
        <w:t>Tableau 2. Rapport financier de la phase I du PGEH pour la Géorgie ($ US)</w:t>
      </w:r>
    </w:p>
    <w:tbl>
      <w:tblPr>
        <w:tblStyle w:val="TableGrid"/>
        <w:tblW w:w="0" w:type="auto"/>
        <w:tblLook w:val="04A0" w:firstRow="1" w:lastRow="0" w:firstColumn="1" w:lastColumn="0" w:noHBand="0" w:noVBand="1"/>
      </w:tblPr>
      <w:tblGrid>
        <w:gridCol w:w="2337"/>
        <w:gridCol w:w="2337"/>
        <w:gridCol w:w="2338"/>
        <w:gridCol w:w="2338"/>
      </w:tblGrid>
      <w:tr w:rsidR="00D33C1D" w:rsidRPr="00D33C1D" w14:paraId="2BD61559" w14:textId="77777777" w:rsidTr="00D06E67">
        <w:tc>
          <w:tcPr>
            <w:tcW w:w="2337" w:type="dxa"/>
          </w:tcPr>
          <w:p w14:paraId="31844890" w14:textId="77777777" w:rsidR="00D33C1D" w:rsidRPr="00D33C1D" w:rsidRDefault="00D33C1D" w:rsidP="00D06E67">
            <w:pPr>
              <w:jc w:val="center"/>
              <w:rPr>
                <w:b/>
                <w:color w:val="0D0D0D" w:themeColor="text1" w:themeTint="F2"/>
                <w:sz w:val="20"/>
                <w:szCs w:val="20"/>
                <w:lang w:val="fr-FR"/>
              </w:rPr>
            </w:pPr>
            <w:r w:rsidRPr="00D33C1D">
              <w:rPr>
                <w:b/>
                <w:color w:val="0D0D0D" w:themeColor="text1" w:themeTint="F2"/>
                <w:sz w:val="20"/>
                <w:lang w:val="fr-FR"/>
              </w:rPr>
              <w:t>Tranche</w:t>
            </w:r>
          </w:p>
        </w:tc>
        <w:tc>
          <w:tcPr>
            <w:tcW w:w="2337" w:type="dxa"/>
          </w:tcPr>
          <w:p w14:paraId="3AE08585" w14:textId="77777777" w:rsidR="00D33C1D" w:rsidRPr="00D33C1D" w:rsidRDefault="00D33C1D" w:rsidP="00D06E67">
            <w:pPr>
              <w:jc w:val="center"/>
              <w:rPr>
                <w:b/>
                <w:color w:val="0D0D0D" w:themeColor="text1" w:themeTint="F2"/>
                <w:sz w:val="20"/>
                <w:szCs w:val="20"/>
                <w:lang w:val="fr-FR"/>
              </w:rPr>
            </w:pPr>
            <w:r w:rsidRPr="00D33C1D">
              <w:rPr>
                <w:b/>
                <w:color w:val="0D0D0D" w:themeColor="text1" w:themeTint="F2"/>
                <w:sz w:val="20"/>
                <w:lang w:val="fr-FR"/>
              </w:rPr>
              <w:t>Approuvé</w:t>
            </w:r>
          </w:p>
        </w:tc>
        <w:tc>
          <w:tcPr>
            <w:tcW w:w="2338" w:type="dxa"/>
          </w:tcPr>
          <w:p w14:paraId="526F048D" w14:textId="77777777" w:rsidR="00D33C1D" w:rsidRPr="00D33C1D" w:rsidRDefault="00D33C1D" w:rsidP="00D06E67">
            <w:pPr>
              <w:jc w:val="center"/>
              <w:rPr>
                <w:b/>
                <w:color w:val="0D0D0D" w:themeColor="text1" w:themeTint="F2"/>
                <w:sz w:val="20"/>
                <w:szCs w:val="20"/>
                <w:lang w:val="fr-FR"/>
              </w:rPr>
            </w:pPr>
            <w:r w:rsidRPr="00D33C1D">
              <w:rPr>
                <w:b/>
                <w:color w:val="0D0D0D" w:themeColor="text1" w:themeTint="F2"/>
                <w:sz w:val="20"/>
                <w:lang w:val="fr-FR"/>
              </w:rPr>
              <w:t>Décaissé</w:t>
            </w:r>
          </w:p>
        </w:tc>
        <w:tc>
          <w:tcPr>
            <w:tcW w:w="2338" w:type="dxa"/>
          </w:tcPr>
          <w:p w14:paraId="080E68C5" w14:textId="77777777" w:rsidR="00D33C1D" w:rsidRPr="00D33C1D" w:rsidRDefault="00D33C1D" w:rsidP="00D06E67">
            <w:pPr>
              <w:jc w:val="center"/>
              <w:rPr>
                <w:b/>
                <w:color w:val="0D0D0D" w:themeColor="text1" w:themeTint="F2"/>
                <w:sz w:val="20"/>
                <w:szCs w:val="20"/>
                <w:lang w:val="fr-FR"/>
              </w:rPr>
            </w:pPr>
            <w:r w:rsidRPr="00D33C1D">
              <w:rPr>
                <w:b/>
                <w:color w:val="0D0D0D" w:themeColor="text1" w:themeTint="F2"/>
                <w:sz w:val="20"/>
                <w:lang w:val="fr-FR"/>
              </w:rPr>
              <w:t>Taux de décaissement (%)</w:t>
            </w:r>
          </w:p>
        </w:tc>
      </w:tr>
      <w:tr w:rsidR="00D33C1D" w:rsidRPr="00D33C1D" w14:paraId="3FFCB3B4" w14:textId="77777777" w:rsidTr="00D06E67">
        <w:tc>
          <w:tcPr>
            <w:tcW w:w="2337" w:type="dxa"/>
          </w:tcPr>
          <w:p w14:paraId="4EFDD19F"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Première</w:t>
            </w:r>
          </w:p>
        </w:tc>
        <w:tc>
          <w:tcPr>
            <w:tcW w:w="2337" w:type="dxa"/>
          </w:tcPr>
          <w:p w14:paraId="7A5F95E1" w14:textId="77777777" w:rsidR="00D33C1D" w:rsidRPr="00D33C1D" w:rsidRDefault="00D33C1D" w:rsidP="00D06E67">
            <w:pPr>
              <w:jc w:val="right"/>
              <w:rPr>
                <w:color w:val="0D0D0D" w:themeColor="text1" w:themeTint="F2"/>
                <w:sz w:val="20"/>
                <w:szCs w:val="20"/>
                <w:lang w:val="fr-FR"/>
              </w:rPr>
            </w:pPr>
            <w:r w:rsidRPr="00D33C1D">
              <w:rPr>
                <w:sz w:val="20"/>
                <w:lang w:val="fr-FR"/>
              </w:rPr>
              <w:t>200 000</w:t>
            </w:r>
          </w:p>
        </w:tc>
        <w:tc>
          <w:tcPr>
            <w:tcW w:w="2338" w:type="dxa"/>
          </w:tcPr>
          <w:p w14:paraId="4005BFC4" w14:textId="77777777" w:rsidR="00D33C1D" w:rsidRPr="00D33C1D" w:rsidRDefault="00D33C1D" w:rsidP="00D06E67">
            <w:pPr>
              <w:jc w:val="right"/>
              <w:rPr>
                <w:color w:val="0D0D0D" w:themeColor="text1" w:themeTint="F2"/>
                <w:sz w:val="20"/>
                <w:szCs w:val="20"/>
                <w:lang w:val="fr-FR"/>
              </w:rPr>
            </w:pPr>
            <w:r w:rsidRPr="00D33C1D">
              <w:rPr>
                <w:sz w:val="20"/>
                <w:lang w:val="fr-FR"/>
              </w:rPr>
              <w:t>200 000</w:t>
            </w:r>
          </w:p>
        </w:tc>
        <w:tc>
          <w:tcPr>
            <w:tcW w:w="2338" w:type="dxa"/>
          </w:tcPr>
          <w:p w14:paraId="379A92C0" w14:textId="77777777" w:rsidR="00D33C1D" w:rsidRPr="00D33C1D" w:rsidRDefault="00D33C1D" w:rsidP="00D06E67">
            <w:pPr>
              <w:jc w:val="right"/>
              <w:rPr>
                <w:color w:val="0D0D0D" w:themeColor="text1" w:themeTint="F2"/>
                <w:sz w:val="20"/>
                <w:szCs w:val="20"/>
                <w:lang w:val="fr-FR"/>
              </w:rPr>
            </w:pPr>
            <w:r w:rsidRPr="00D33C1D">
              <w:rPr>
                <w:sz w:val="20"/>
                <w:lang w:val="fr-FR"/>
              </w:rPr>
              <w:t>100</w:t>
            </w:r>
          </w:p>
        </w:tc>
      </w:tr>
      <w:tr w:rsidR="00D33C1D" w:rsidRPr="00D33C1D" w14:paraId="705F222A" w14:textId="77777777" w:rsidTr="00D06E67">
        <w:tc>
          <w:tcPr>
            <w:tcW w:w="2337" w:type="dxa"/>
          </w:tcPr>
          <w:p w14:paraId="5C86E611"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Deuxième</w:t>
            </w:r>
          </w:p>
        </w:tc>
        <w:tc>
          <w:tcPr>
            <w:tcW w:w="2337" w:type="dxa"/>
          </w:tcPr>
          <w:p w14:paraId="3E3506AC" w14:textId="77777777" w:rsidR="00D33C1D" w:rsidRPr="00D33C1D" w:rsidRDefault="00D33C1D" w:rsidP="00D06E67">
            <w:pPr>
              <w:jc w:val="right"/>
              <w:rPr>
                <w:color w:val="0D0D0D" w:themeColor="text1" w:themeTint="F2"/>
                <w:sz w:val="20"/>
                <w:szCs w:val="20"/>
                <w:lang w:val="fr-FR"/>
              </w:rPr>
            </w:pPr>
            <w:r w:rsidRPr="00D33C1D">
              <w:rPr>
                <w:sz w:val="20"/>
                <w:lang w:val="fr-FR"/>
              </w:rPr>
              <w:t>150 000</w:t>
            </w:r>
          </w:p>
        </w:tc>
        <w:tc>
          <w:tcPr>
            <w:tcW w:w="2338" w:type="dxa"/>
          </w:tcPr>
          <w:p w14:paraId="134DCEED" w14:textId="77777777" w:rsidR="00D33C1D" w:rsidRPr="00D33C1D" w:rsidRDefault="00D33C1D" w:rsidP="00D06E67">
            <w:pPr>
              <w:jc w:val="right"/>
              <w:rPr>
                <w:color w:val="0D0D0D" w:themeColor="text1" w:themeTint="F2"/>
                <w:sz w:val="20"/>
                <w:szCs w:val="20"/>
                <w:lang w:val="fr-FR"/>
              </w:rPr>
            </w:pPr>
            <w:r w:rsidRPr="00D33C1D">
              <w:rPr>
                <w:sz w:val="20"/>
                <w:lang w:val="fr-FR"/>
              </w:rPr>
              <w:t>108 247</w:t>
            </w:r>
          </w:p>
        </w:tc>
        <w:tc>
          <w:tcPr>
            <w:tcW w:w="2338" w:type="dxa"/>
          </w:tcPr>
          <w:p w14:paraId="2B0816CB" w14:textId="77777777" w:rsidR="00D33C1D" w:rsidRPr="00D33C1D" w:rsidRDefault="00D33C1D" w:rsidP="00D06E67">
            <w:pPr>
              <w:jc w:val="right"/>
              <w:rPr>
                <w:color w:val="0D0D0D" w:themeColor="text1" w:themeTint="F2"/>
                <w:sz w:val="20"/>
                <w:szCs w:val="20"/>
                <w:lang w:val="fr-FR"/>
              </w:rPr>
            </w:pPr>
            <w:r w:rsidRPr="00D33C1D">
              <w:rPr>
                <w:sz w:val="20"/>
                <w:lang w:val="fr-FR"/>
              </w:rPr>
              <w:t>72</w:t>
            </w:r>
          </w:p>
        </w:tc>
      </w:tr>
      <w:tr w:rsidR="00D33C1D" w:rsidRPr="00D33C1D" w14:paraId="3EFB1EAD" w14:textId="77777777" w:rsidTr="00D06E67">
        <w:tc>
          <w:tcPr>
            <w:tcW w:w="2337" w:type="dxa"/>
          </w:tcPr>
          <w:p w14:paraId="0CAE9CD9"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Troisième</w:t>
            </w:r>
          </w:p>
        </w:tc>
        <w:tc>
          <w:tcPr>
            <w:tcW w:w="2337" w:type="dxa"/>
          </w:tcPr>
          <w:p w14:paraId="21C3E06A" w14:textId="77777777" w:rsidR="00D33C1D" w:rsidRPr="00D33C1D" w:rsidRDefault="00D33C1D" w:rsidP="00D06E67">
            <w:pPr>
              <w:jc w:val="right"/>
              <w:rPr>
                <w:color w:val="0D0D0D" w:themeColor="text1" w:themeTint="F2"/>
                <w:sz w:val="20"/>
                <w:szCs w:val="20"/>
                <w:lang w:val="fr-FR"/>
              </w:rPr>
            </w:pPr>
            <w:r w:rsidRPr="00D33C1D">
              <w:rPr>
                <w:sz w:val="20"/>
                <w:lang w:val="fr-FR"/>
              </w:rPr>
              <w:t>119 400</w:t>
            </w:r>
          </w:p>
        </w:tc>
        <w:tc>
          <w:tcPr>
            <w:tcW w:w="2338" w:type="dxa"/>
          </w:tcPr>
          <w:p w14:paraId="72850318" w14:textId="77777777" w:rsidR="00D33C1D" w:rsidRPr="00D33C1D" w:rsidRDefault="00D33C1D" w:rsidP="00D06E67">
            <w:pPr>
              <w:jc w:val="right"/>
              <w:rPr>
                <w:color w:val="0D0D0D" w:themeColor="text1" w:themeTint="F2"/>
                <w:sz w:val="20"/>
                <w:szCs w:val="20"/>
                <w:lang w:val="fr-FR"/>
              </w:rPr>
            </w:pPr>
            <w:r w:rsidRPr="00D33C1D">
              <w:rPr>
                <w:sz w:val="20"/>
                <w:lang w:val="fr-FR"/>
              </w:rPr>
              <w:t>53 256</w:t>
            </w:r>
          </w:p>
        </w:tc>
        <w:tc>
          <w:tcPr>
            <w:tcW w:w="2338" w:type="dxa"/>
          </w:tcPr>
          <w:p w14:paraId="73D49F95" w14:textId="77777777" w:rsidR="00D33C1D" w:rsidRPr="00D33C1D" w:rsidRDefault="00D33C1D" w:rsidP="00D06E67">
            <w:pPr>
              <w:jc w:val="right"/>
              <w:rPr>
                <w:color w:val="0D0D0D" w:themeColor="text1" w:themeTint="F2"/>
                <w:sz w:val="20"/>
                <w:szCs w:val="20"/>
                <w:lang w:val="fr-FR"/>
              </w:rPr>
            </w:pPr>
            <w:r w:rsidRPr="00D33C1D">
              <w:rPr>
                <w:sz w:val="20"/>
                <w:lang w:val="fr-FR"/>
              </w:rPr>
              <w:t>45</w:t>
            </w:r>
          </w:p>
        </w:tc>
      </w:tr>
      <w:tr w:rsidR="00D33C1D" w:rsidRPr="00D33C1D" w14:paraId="3F824EC4" w14:textId="77777777" w:rsidTr="00D06E67">
        <w:tc>
          <w:tcPr>
            <w:tcW w:w="2337" w:type="dxa"/>
          </w:tcPr>
          <w:p w14:paraId="42D49CF4"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Total</w:t>
            </w:r>
          </w:p>
        </w:tc>
        <w:tc>
          <w:tcPr>
            <w:tcW w:w="2337" w:type="dxa"/>
          </w:tcPr>
          <w:p w14:paraId="719608C4" w14:textId="77777777" w:rsidR="00D33C1D" w:rsidRPr="00D33C1D" w:rsidRDefault="00D33C1D" w:rsidP="00D06E67">
            <w:pPr>
              <w:jc w:val="right"/>
              <w:rPr>
                <w:color w:val="0D0D0D" w:themeColor="text1" w:themeTint="F2"/>
                <w:sz w:val="20"/>
                <w:szCs w:val="20"/>
                <w:lang w:val="fr-FR"/>
              </w:rPr>
            </w:pPr>
            <w:r w:rsidRPr="00D33C1D">
              <w:rPr>
                <w:sz w:val="20"/>
                <w:lang w:val="fr-FR"/>
              </w:rPr>
              <w:t>469 400</w:t>
            </w:r>
          </w:p>
        </w:tc>
        <w:tc>
          <w:tcPr>
            <w:tcW w:w="2338" w:type="dxa"/>
          </w:tcPr>
          <w:p w14:paraId="23DB3606" w14:textId="77777777" w:rsidR="00D33C1D" w:rsidRPr="00D33C1D" w:rsidRDefault="00D33C1D" w:rsidP="00D06E67">
            <w:pPr>
              <w:jc w:val="right"/>
              <w:rPr>
                <w:color w:val="0D0D0D" w:themeColor="text1" w:themeTint="F2"/>
                <w:sz w:val="20"/>
                <w:szCs w:val="20"/>
                <w:lang w:val="fr-FR"/>
              </w:rPr>
            </w:pPr>
            <w:r w:rsidRPr="00D33C1D">
              <w:rPr>
                <w:sz w:val="20"/>
                <w:lang w:val="fr-FR"/>
              </w:rPr>
              <w:t>361 501</w:t>
            </w:r>
          </w:p>
        </w:tc>
        <w:tc>
          <w:tcPr>
            <w:tcW w:w="2338" w:type="dxa"/>
          </w:tcPr>
          <w:p w14:paraId="2BB45088" w14:textId="77777777" w:rsidR="00D33C1D" w:rsidRPr="00D33C1D" w:rsidRDefault="00D33C1D" w:rsidP="00D06E67">
            <w:pPr>
              <w:jc w:val="right"/>
              <w:rPr>
                <w:color w:val="0D0D0D" w:themeColor="text1" w:themeTint="F2"/>
                <w:sz w:val="20"/>
                <w:szCs w:val="20"/>
                <w:lang w:val="fr-FR"/>
              </w:rPr>
            </w:pPr>
            <w:r w:rsidRPr="00D33C1D">
              <w:rPr>
                <w:sz w:val="20"/>
                <w:lang w:val="fr-FR"/>
              </w:rPr>
              <w:t>77</w:t>
            </w:r>
          </w:p>
        </w:tc>
      </w:tr>
    </w:tbl>
    <w:p w14:paraId="05149B7C" w14:textId="77777777" w:rsidR="00D33C1D" w:rsidRPr="00D33C1D" w:rsidRDefault="00D33C1D" w:rsidP="00D33C1D">
      <w:pPr>
        <w:rPr>
          <w:color w:val="0D0D0D" w:themeColor="text1" w:themeTint="F2"/>
          <w:lang w:val="fr-FR"/>
        </w:rPr>
      </w:pPr>
    </w:p>
    <w:p w14:paraId="029D9534" w14:textId="77777777" w:rsidR="00D33C1D" w:rsidRPr="00D33C1D" w:rsidRDefault="00D33C1D" w:rsidP="00D33C1D">
      <w:pPr>
        <w:rPr>
          <w:color w:val="0D0D0D" w:themeColor="text1" w:themeTint="F2"/>
          <w:u w:val="single"/>
          <w:lang w:val="fr-FR"/>
        </w:rPr>
      </w:pPr>
      <w:bookmarkStart w:id="2" w:name="_Hlk38230781"/>
      <w:r w:rsidRPr="00D33C1D">
        <w:rPr>
          <w:color w:val="0D0D0D" w:themeColor="text1" w:themeTint="F2"/>
          <w:u w:val="single"/>
          <w:lang w:val="fr-FR"/>
        </w:rPr>
        <w:t>Plan de mise en œuvre pour la quatrième et dernière tranche du PGEH</w:t>
      </w:r>
    </w:p>
    <w:p w14:paraId="7271A55C" w14:textId="77777777" w:rsidR="00D33C1D" w:rsidRPr="00D33C1D" w:rsidRDefault="00D33C1D" w:rsidP="00D33C1D">
      <w:pPr>
        <w:rPr>
          <w:color w:val="0D0D0D" w:themeColor="text1" w:themeTint="F2"/>
          <w:lang w:val="fr-FR"/>
        </w:rPr>
      </w:pPr>
    </w:p>
    <w:p w14:paraId="0CE1A07B"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Les activités suivantes seront mises en œuvre d’ici décembre 2021 :</w:t>
      </w:r>
    </w:p>
    <w:p w14:paraId="46D64202" w14:textId="77777777" w:rsidR="00D33C1D" w:rsidRPr="00D33C1D" w:rsidRDefault="00D33C1D" w:rsidP="00D33C1D">
      <w:pPr>
        <w:pStyle w:val="Heading2"/>
        <w:numPr>
          <w:ilvl w:val="1"/>
          <w:numId w:val="1"/>
        </w:numPr>
        <w:rPr>
          <w:color w:val="000000" w:themeColor="text1"/>
          <w:lang w:val="fr-FR"/>
        </w:rPr>
      </w:pPr>
      <w:r w:rsidRPr="00D33C1D">
        <w:rPr>
          <w:lang w:val="fr-FR"/>
        </w:rPr>
        <w:t>Formation de remise à niveau pour</w:t>
      </w:r>
      <w:r w:rsidRPr="00D33C1D">
        <w:rPr>
          <w:color w:val="000000" w:themeColor="text1"/>
          <w:lang w:val="fr-FR"/>
        </w:rPr>
        <w:t xml:space="preserve"> 20 inspecteurs des douanes et environnementaux (une session) sur les règlements nationaux et les obligations internationales liés aux SAO, les importations illicites de SAO et l’utilisation d’identificateurs de réfrigérant ; étude analytique du</w:t>
      </w:r>
      <w:r w:rsidRPr="00D33C1D">
        <w:rPr>
          <w:lang w:val="fr-FR"/>
        </w:rPr>
        <w:t xml:space="preserve"> </w:t>
      </w:r>
      <w:r w:rsidRPr="00D33C1D">
        <w:rPr>
          <w:color w:val="0D0D0D" w:themeColor="text1" w:themeTint="F2"/>
          <w:lang w:val="fr-FR"/>
        </w:rPr>
        <w:t>genre dans les secteurs de la réfrigération et de la climatisation, d’une part, et des solvants</w:t>
      </w:r>
      <w:r w:rsidRPr="00D33C1D">
        <w:rPr>
          <w:color w:val="000000" w:themeColor="text1"/>
          <w:lang w:val="fr-FR"/>
        </w:rPr>
        <w:t>, d’autre part (2 500 $ US) ;</w:t>
      </w:r>
    </w:p>
    <w:p w14:paraId="24AF30D4" w14:textId="77777777" w:rsidR="00D33C1D" w:rsidRPr="00D33C1D" w:rsidRDefault="00D33C1D" w:rsidP="00D33C1D">
      <w:pPr>
        <w:pStyle w:val="Heading2"/>
        <w:numPr>
          <w:ilvl w:val="1"/>
          <w:numId w:val="1"/>
        </w:numPr>
        <w:rPr>
          <w:color w:val="0D0D0D" w:themeColor="text1" w:themeTint="F2"/>
          <w:lang w:val="fr-FR"/>
        </w:rPr>
      </w:pPr>
      <w:r w:rsidRPr="00D33C1D">
        <w:rPr>
          <w:color w:val="0D0D0D" w:themeColor="text1" w:themeTint="F2"/>
          <w:lang w:val="fr-FR"/>
        </w:rPr>
        <w:t>Achat d’équipements et d’outils supplémentaires pour le centre de récupération, recyclage et régénération (RRR) de réfrigérant ; préparation de l’évaluation de l’impact sur l’environnement nécessaire pour obtenir le permis environnemental pour les technologies de remplacement (R-290, CO</w:t>
      </w:r>
      <w:r w:rsidRPr="00D33C1D">
        <w:rPr>
          <w:color w:val="0D0D0D" w:themeColor="text1" w:themeTint="F2"/>
          <w:vertAlign w:val="subscript"/>
          <w:lang w:val="fr-FR"/>
        </w:rPr>
        <w:t>2</w:t>
      </w:r>
      <w:r w:rsidRPr="00D33C1D">
        <w:rPr>
          <w:color w:val="0D0D0D" w:themeColor="text1" w:themeTint="F2"/>
          <w:lang w:val="fr-FR"/>
        </w:rPr>
        <w:t>, ammoniac), afin de permettre au centre de RRR de gérer les réfrigérants résiduels (26 500 $ US) ;</w:t>
      </w:r>
    </w:p>
    <w:p w14:paraId="6FF0F048" w14:textId="77777777" w:rsidR="00D33C1D" w:rsidRPr="00D33C1D" w:rsidRDefault="00D33C1D" w:rsidP="00D33C1D">
      <w:pPr>
        <w:pStyle w:val="Heading2"/>
        <w:numPr>
          <w:ilvl w:val="1"/>
          <w:numId w:val="1"/>
        </w:numPr>
        <w:rPr>
          <w:lang w:val="fr-FR"/>
        </w:rPr>
      </w:pPr>
      <w:r w:rsidRPr="00D33C1D">
        <w:rPr>
          <w:lang w:val="fr-FR"/>
        </w:rPr>
        <w:t xml:space="preserve">Étude de marché nationale sur la durabilité de l’élimination des HCFC utilisés dans le secteur des solvants et sur l’application des solutions de remplacement ; organisation d’un atelier de sensibilisation pour présenter les résultats et discuter des développements, des règlements et des mesures de sécurité associés aux nouvelles technologies ; et préparation et distribution d’une brochure sur les technologies de remplacement des SAO dans le secteur des solvants (31 638 $ US des tranches précédentes) ; </w:t>
      </w:r>
    </w:p>
    <w:p w14:paraId="093EEE00" w14:textId="77777777" w:rsidR="00D33C1D" w:rsidRPr="00D33C1D" w:rsidRDefault="00D33C1D" w:rsidP="00D33C1D">
      <w:pPr>
        <w:pStyle w:val="Heading2"/>
        <w:numPr>
          <w:ilvl w:val="1"/>
          <w:numId w:val="1"/>
        </w:numPr>
        <w:rPr>
          <w:color w:val="0D0D0D" w:themeColor="text1" w:themeTint="F2"/>
          <w:lang w:val="fr-FR"/>
        </w:rPr>
      </w:pPr>
      <w:r w:rsidRPr="00D33C1D">
        <w:rPr>
          <w:color w:val="0D0D0D" w:themeColor="text1" w:themeTint="F2"/>
          <w:lang w:val="fr-FR"/>
        </w:rPr>
        <w:lastRenderedPageBreak/>
        <w:t>Recrutement d’un consultant technique pour évaluer l’infrastructure et définir les paramètres techniques pour les équipements à acheter pour un projet de démonstration ; achat et installation des équipements dans deux cliniques sélectionnées ; et atelier de sensibilisation du secteur de la réfrigération et de la climatisation, d’une part, et commercial, d’autre part (83 030 $ US des tranches précédentes) ; et</w:t>
      </w:r>
    </w:p>
    <w:p w14:paraId="4E3D2295" w14:textId="77777777" w:rsidR="00D33C1D" w:rsidRPr="00D33C1D" w:rsidRDefault="00D33C1D" w:rsidP="00D33C1D">
      <w:pPr>
        <w:pStyle w:val="Heading2"/>
        <w:widowControl/>
        <w:numPr>
          <w:ilvl w:val="1"/>
          <w:numId w:val="1"/>
        </w:numPr>
        <w:rPr>
          <w:color w:val="0D0D0D" w:themeColor="text1" w:themeTint="F2"/>
          <w:lang w:val="fr-FR"/>
        </w:rPr>
      </w:pPr>
      <w:r w:rsidRPr="00D33C1D">
        <w:rPr>
          <w:color w:val="0D0D0D" w:themeColor="text1" w:themeTint="F2"/>
          <w:lang w:val="fr-FR"/>
        </w:rPr>
        <w:t>Mise en œuvre et suivi du projet (2 500 $ US) : recrutement d’un expert du suivi à temps partiel (2 000 $ US) et déplacements (500 $ US).</w:t>
      </w:r>
    </w:p>
    <w:bookmarkEnd w:id="2"/>
    <w:p w14:paraId="1A648AE5" w14:textId="77777777" w:rsidR="00ED3866" w:rsidRDefault="00ED3866" w:rsidP="00D33C1D">
      <w:pPr>
        <w:keepNext/>
        <w:jc w:val="center"/>
        <w:rPr>
          <w:b/>
          <w:color w:val="0D0D0D" w:themeColor="text1" w:themeTint="F2"/>
          <w:lang w:val="fr-FR"/>
        </w:rPr>
      </w:pPr>
    </w:p>
    <w:p w14:paraId="1E3121B9" w14:textId="77777777" w:rsidR="00D33C1D" w:rsidRPr="00D33C1D" w:rsidRDefault="00D33C1D" w:rsidP="00D33C1D">
      <w:pPr>
        <w:keepNext/>
        <w:jc w:val="center"/>
        <w:rPr>
          <w:b/>
          <w:color w:val="0D0D0D" w:themeColor="text1" w:themeTint="F2"/>
          <w:lang w:val="fr-FR"/>
        </w:rPr>
      </w:pPr>
      <w:r w:rsidRPr="00D33C1D">
        <w:rPr>
          <w:b/>
          <w:color w:val="0D0D0D" w:themeColor="text1" w:themeTint="F2"/>
          <w:lang w:val="fr-FR"/>
        </w:rPr>
        <w:t>OBSERVATIONS ET RECOMMENDATION DU SECRÉTARIAT</w:t>
      </w:r>
    </w:p>
    <w:p w14:paraId="5DE78854" w14:textId="77777777" w:rsidR="00D33C1D" w:rsidRPr="00D33C1D" w:rsidRDefault="00D33C1D" w:rsidP="00D33C1D">
      <w:pPr>
        <w:keepNext/>
        <w:rPr>
          <w:color w:val="0D0D0D" w:themeColor="text1" w:themeTint="F2"/>
          <w:lang w:val="fr-FR"/>
        </w:rPr>
      </w:pPr>
    </w:p>
    <w:p w14:paraId="1665DB5B" w14:textId="77777777" w:rsidR="00D33C1D" w:rsidRPr="00D33C1D" w:rsidRDefault="00D33C1D" w:rsidP="00D33C1D">
      <w:pPr>
        <w:keepNext/>
        <w:rPr>
          <w:b/>
          <w:color w:val="0D0D0D" w:themeColor="text1" w:themeTint="F2"/>
          <w:lang w:val="fr-FR"/>
        </w:rPr>
      </w:pPr>
      <w:r w:rsidRPr="00D33C1D">
        <w:rPr>
          <w:b/>
          <w:color w:val="0D0D0D" w:themeColor="text1" w:themeTint="F2"/>
          <w:lang w:val="fr-FR"/>
        </w:rPr>
        <w:t>OBSERVATIONS</w:t>
      </w:r>
    </w:p>
    <w:p w14:paraId="5C9CE78E" w14:textId="77777777" w:rsidR="00D33C1D" w:rsidRPr="00D33C1D" w:rsidRDefault="00D33C1D" w:rsidP="00D33C1D">
      <w:pPr>
        <w:keepNext/>
        <w:rPr>
          <w:color w:val="0D0D0D" w:themeColor="text1" w:themeTint="F2"/>
          <w:lang w:val="fr-FR"/>
        </w:rPr>
      </w:pPr>
    </w:p>
    <w:p w14:paraId="0A6C26F4" w14:textId="77777777" w:rsidR="00D33C1D" w:rsidRPr="00D33C1D" w:rsidRDefault="00D33C1D" w:rsidP="00D33C1D">
      <w:pPr>
        <w:keepNext/>
        <w:rPr>
          <w:color w:val="0D0D0D" w:themeColor="text1" w:themeTint="F2"/>
          <w:u w:val="single"/>
          <w:lang w:val="fr-FR"/>
        </w:rPr>
      </w:pPr>
      <w:r w:rsidRPr="00D33C1D">
        <w:rPr>
          <w:color w:val="0D0D0D" w:themeColor="text1" w:themeTint="F2"/>
          <w:u w:val="single"/>
          <w:lang w:val="fr-FR"/>
        </w:rPr>
        <w:t>Rapport périodique sur la mise en œuvre de la troisième tranche du PGEH</w:t>
      </w:r>
    </w:p>
    <w:p w14:paraId="721F157C" w14:textId="77777777" w:rsidR="00D33C1D" w:rsidRPr="00D33C1D" w:rsidRDefault="00D33C1D" w:rsidP="00D33C1D">
      <w:pPr>
        <w:keepNext/>
        <w:rPr>
          <w:color w:val="0D0D0D" w:themeColor="text1" w:themeTint="F2"/>
          <w:lang w:val="fr-FR"/>
        </w:rPr>
      </w:pPr>
    </w:p>
    <w:p w14:paraId="2D8834C1" w14:textId="77777777" w:rsidR="00D33C1D" w:rsidRPr="00D33C1D" w:rsidRDefault="00D33C1D" w:rsidP="00D33C1D">
      <w:pPr>
        <w:keepNext/>
        <w:rPr>
          <w:i/>
          <w:color w:val="0D0D0D" w:themeColor="text1" w:themeTint="F2"/>
          <w:lang w:val="fr-FR"/>
        </w:rPr>
      </w:pPr>
      <w:r w:rsidRPr="00D33C1D">
        <w:rPr>
          <w:i/>
          <w:color w:val="0D0D0D" w:themeColor="text1" w:themeTint="F2"/>
          <w:lang w:val="fr-FR"/>
        </w:rPr>
        <w:t>Cadre juridique</w:t>
      </w:r>
    </w:p>
    <w:p w14:paraId="5D5C8995" w14:textId="77777777" w:rsidR="00D33C1D" w:rsidRPr="00D33C1D" w:rsidRDefault="00D33C1D" w:rsidP="00D33C1D">
      <w:pPr>
        <w:keepNext/>
        <w:rPr>
          <w:color w:val="0D0D0D" w:themeColor="text1" w:themeTint="F2"/>
          <w:lang w:val="fr-FR"/>
        </w:rPr>
      </w:pPr>
    </w:p>
    <w:p w14:paraId="4216FF2E" w14:textId="77777777" w:rsidR="00D33C1D" w:rsidRPr="00D33C1D" w:rsidRDefault="00D33C1D" w:rsidP="00D33C1D">
      <w:pPr>
        <w:pStyle w:val="Heading1"/>
        <w:keepNext/>
        <w:rPr>
          <w:color w:val="0D0D0D" w:themeColor="text1" w:themeTint="F2"/>
          <w:lang w:val="fr-FR"/>
        </w:rPr>
      </w:pPr>
      <w:r w:rsidRPr="00D33C1D">
        <w:rPr>
          <w:color w:val="0D0D0D" w:themeColor="text1" w:themeTint="F2"/>
          <w:lang w:val="fr-FR"/>
        </w:rPr>
        <w:t xml:space="preserve">Le gouvernement de la Géorgie a émis un quota d’importation de HCFC pour 2020 à hauteur de 2,97 tonnes PAO (54,00 tm), ce qui est inférieur de 15 pour cent au niveau de conformité de 3,50 tonnes PAO dans le cadre du Protocole de Montréal et conformément aux objectifs définis dans son Accord avec le Comité exécutif. </w:t>
      </w:r>
    </w:p>
    <w:p w14:paraId="074870B0" w14:textId="77777777" w:rsidR="00D33C1D" w:rsidRPr="00D33C1D" w:rsidRDefault="00D33C1D" w:rsidP="00D33C1D">
      <w:pPr>
        <w:rPr>
          <w:i/>
          <w:color w:val="0D0D0D" w:themeColor="text1" w:themeTint="F2"/>
          <w:lang w:val="fr-FR"/>
        </w:rPr>
      </w:pPr>
      <w:r w:rsidRPr="00D33C1D">
        <w:rPr>
          <w:i/>
          <w:color w:val="0D0D0D" w:themeColor="text1" w:themeTint="F2"/>
          <w:lang w:val="fr-FR"/>
        </w:rPr>
        <w:t>Secteur de l’entretien des équipements de réfrigération</w:t>
      </w:r>
    </w:p>
    <w:p w14:paraId="0117D5C6" w14:textId="77777777" w:rsidR="00D33C1D" w:rsidRPr="00D33C1D" w:rsidRDefault="00D33C1D" w:rsidP="00D33C1D">
      <w:pPr>
        <w:rPr>
          <w:color w:val="0D0D0D" w:themeColor="text1" w:themeTint="F2"/>
          <w:lang w:val="fr-FR"/>
        </w:rPr>
      </w:pPr>
    </w:p>
    <w:p w14:paraId="0A70CB80" w14:textId="77777777" w:rsidR="00D33C1D" w:rsidRPr="00D33C1D" w:rsidRDefault="00D33C1D" w:rsidP="00D33C1D">
      <w:pPr>
        <w:pStyle w:val="Heading1"/>
        <w:rPr>
          <w:u w:val="single"/>
          <w:lang w:val="fr-FR"/>
        </w:rPr>
      </w:pPr>
      <w:r w:rsidRPr="00D33C1D">
        <w:rPr>
          <w:lang w:val="fr-FR"/>
        </w:rPr>
        <w:t>L’une des conditions pour l’approbation de la troisième tranche était que le programme d’incitation financière améliore la durabilité de la formation des techniciens d’entretien (décision 81/34(a)). Le PNUD a indiqué que le système de certification renforcé pour les techniciens de réfrigération, qui serait complètement en place ultérieurement en 2020, exigeait un ensemble minimal d’outils/équipements pour certains types d’entretiens de réfrigération et de climatisation, ce qui nécessiterait un apport financier des techniciens.</w:t>
      </w:r>
    </w:p>
    <w:p w14:paraId="243B9451" w14:textId="77777777" w:rsidR="00D33C1D" w:rsidRPr="00D33C1D" w:rsidRDefault="00D33C1D" w:rsidP="00D33C1D">
      <w:pPr>
        <w:pStyle w:val="Heading1"/>
        <w:numPr>
          <w:ilvl w:val="0"/>
          <w:numId w:val="0"/>
        </w:numPr>
        <w:rPr>
          <w:i/>
          <w:lang w:val="fr-FR"/>
        </w:rPr>
      </w:pPr>
      <w:r w:rsidRPr="00D33C1D">
        <w:rPr>
          <w:i/>
          <w:lang w:val="fr-FR"/>
        </w:rPr>
        <w:t>Projet de démonstration</w:t>
      </w:r>
    </w:p>
    <w:p w14:paraId="1CB5A9DA" w14:textId="77777777" w:rsidR="00D33C1D" w:rsidRPr="00D33C1D" w:rsidRDefault="00D33C1D" w:rsidP="00D33C1D">
      <w:pPr>
        <w:pStyle w:val="Heading1"/>
        <w:rPr>
          <w:rFonts w:eastAsia="Calibri"/>
          <w:iCs/>
          <w:lang w:val="fr-FR"/>
        </w:rPr>
      </w:pPr>
      <w:r w:rsidRPr="00D33C1D">
        <w:rPr>
          <w:lang w:val="fr-FR"/>
        </w:rPr>
        <w:t>En ce qui concerne le projet de démonstration à destination des utilisateurs finaux, pour la transition aux réfrigérants naturels qui avait été approuvée dans le cadre de la tranche précédente, conformément à la décision 84/84,</w:t>
      </w:r>
      <w:r w:rsidRPr="00D33C1D">
        <w:rPr>
          <w:rStyle w:val="FootnoteReference"/>
          <w:lang w:val="fr-FR"/>
        </w:rPr>
        <w:footnoteReference w:id="2"/>
      </w:r>
      <w:r w:rsidRPr="00D33C1D">
        <w:rPr>
          <w:lang w:val="fr-FR"/>
        </w:rPr>
        <w:t xml:space="preserve"> le PNUD a indiqué que les utilisateurs finaux étaient réticents à introduire des équipements à faible PRP et économiques en énergie dans les applications de réfrigération à cause des coûts plus élevés. Bien que plusieurs centaines d’utilisateurs finaux en Géorgie utilisent des équipements au HCFC</w:t>
      </w:r>
      <w:r w:rsidRPr="00D33C1D">
        <w:rPr>
          <w:lang w:val="fr-FR"/>
        </w:rPr>
        <w:noBreakHyphen/>
        <w:t>22, seuls 14 utilisateurs finaux étaient intéressés pour participer au projet de démonstration, et le PNUD est d’avis que ce nombre pourrait diminuer après l’épidémie de COVID-19. La méthode proposée, compte tenu des conditions du marché local, était non seulement la conversion des SAO, mais de manière plus importante encore la sensibilisation des utilisateurs finaux aux avantages des solutions de remplacement, dont l’efficacité énergétique. L’Association géorgienne de</w:t>
      </w:r>
      <w:r w:rsidRPr="00D33C1D">
        <w:rPr>
          <w:color w:val="0D0D0D" w:themeColor="text1" w:themeTint="F2"/>
          <w:lang w:val="fr-FR"/>
        </w:rPr>
        <w:t>s ingénieurs de réfrigération, cryogénie et climatisation</w:t>
      </w:r>
      <w:r w:rsidRPr="00D33C1D">
        <w:rPr>
          <w:lang w:val="fr-FR"/>
        </w:rPr>
        <w:t xml:space="preserve"> serait impliquée dans la diffusion des informations techniques aux utilisateurs finaux. En outre, la phase II du PGEH inclurait des séminaires de sensibilisation. </w:t>
      </w:r>
    </w:p>
    <w:p w14:paraId="0041D7CB" w14:textId="77777777" w:rsidR="00D33C1D" w:rsidRPr="00D33C1D" w:rsidRDefault="00D33C1D" w:rsidP="00D33C1D">
      <w:pPr>
        <w:pStyle w:val="Heading1"/>
        <w:rPr>
          <w:rFonts w:eastAsia="Calibri"/>
          <w:iCs/>
          <w:color w:val="0D0D0D" w:themeColor="text1" w:themeTint="F2"/>
          <w:lang w:val="fr-FR"/>
        </w:rPr>
      </w:pPr>
      <w:bookmarkStart w:id="3" w:name="_Hlk37940451"/>
      <w:r w:rsidRPr="00D33C1D">
        <w:rPr>
          <w:color w:val="0D0D0D" w:themeColor="text1" w:themeTint="F2"/>
          <w:lang w:val="fr-FR"/>
        </w:rPr>
        <w:t>En ce qui concerne le co-financement des utilisateurs finaux, le PNUD a indiqué qu’aucun co-financement n’avait encore été communiqué puisque le programme de démonstration avait été reprogrammé pour fin 2020 ou début 2021 ; cependant, un utilisateur final (Med Alpha, qui a été sélectionné pour prendre part au projet de démonstration) s’était engagé à co</w:t>
      </w:r>
      <w:r w:rsidRPr="00D33C1D">
        <w:rPr>
          <w:color w:val="0D0D0D" w:themeColor="text1" w:themeTint="F2"/>
          <w:lang w:val="fr-FR"/>
        </w:rPr>
        <w:noBreakHyphen/>
        <w:t xml:space="preserve">financer les projets à mettre en œuvre </w:t>
      </w:r>
      <w:r w:rsidRPr="00D33C1D">
        <w:rPr>
          <w:color w:val="0D0D0D" w:themeColor="text1" w:themeTint="F2"/>
          <w:lang w:val="fr-FR"/>
        </w:rPr>
        <w:lastRenderedPageBreak/>
        <w:t xml:space="preserve">dans deux de ses filiales. </w:t>
      </w:r>
      <w:bookmarkEnd w:id="3"/>
      <w:r w:rsidRPr="00D33C1D">
        <w:rPr>
          <w:color w:val="0D0D0D" w:themeColor="text1" w:themeTint="F2"/>
          <w:lang w:val="fr-FR"/>
        </w:rPr>
        <w:t xml:space="preserve">Le PNUD a également indiqué que le niveau de co-financement par les utilisateurs finaux pouvait représenter jusqu’à 40 pour cent du coût total s’ils étaient convaincus que l’installation fonctionnerait correctement, que les coûts d’exploitation étaient raisonnables et qu’ils bénéficieraient d’une garantie technique d’un an. </w:t>
      </w:r>
    </w:p>
    <w:p w14:paraId="79003C6E"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Le PNUD a convenu, conformément à la décision 84/84(d), de présenter des rapports détaillés des résultats du projet des utilisateurs finaux entrepris en Géorgie une fois celui-ci terminé, pour permettre au Secrétariat d’élaborer des fiches d’information pour les futurs projets.</w:t>
      </w:r>
    </w:p>
    <w:p w14:paraId="191B3A91" w14:textId="77777777" w:rsidR="00D33C1D" w:rsidRPr="00D33C1D" w:rsidRDefault="00D33C1D" w:rsidP="00D33C1D">
      <w:pPr>
        <w:pStyle w:val="Heading1"/>
        <w:rPr>
          <w:rFonts w:eastAsia="Calibri"/>
          <w:iCs/>
          <w:color w:val="0D0D0D" w:themeColor="text1" w:themeTint="F2"/>
          <w:lang w:val="fr-FR"/>
        </w:rPr>
      </w:pPr>
      <w:r w:rsidRPr="00D33C1D">
        <w:rPr>
          <w:color w:val="0D0D0D" w:themeColor="text1" w:themeTint="F2"/>
          <w:lang w:val="fr-FR"/>
        </w:rPr>
        <w:t>Le PNUD a indiqué que la première étape pour s’appuyer sur les activités des tranches précédentes serait l’introduction de l’interdiction des importations d’équipements aux SAO. En parallèle, l’introduction de nouvelles exigences dans la réglementation sur l’approvisionnement gouvernemental ou public et les incitations fiscales devrait être prise en compte pour soutenir le renforcement des technologies de remplacement à PRP faible ou nul. Pour encourager encore le recours aux technologies de remplacement, la ratification prévue de l’Amendement de Kigali devrait être l’étape suivante.</w:t>
      </w:r>
    </w:p>
    <w:p w14:paraId="44A29AD3" w14:textId="77777777" w:rsidR="00D33C1D" w:rsidRPr="00D33C1D" w:rsidRDefault="00D33C1D" w:rsidP="00D33C1D">
      <w:pPr>
        <w:pStyle w:val="Heading1"/>
        <w:numPr>
          <w:ilvl w:val="0"/>
          <w:numId w:val="0"/>
        </w:numPr>
        <w:rPr>
          <w:i/>
          <w:iCs/>
          <w:lang w:val="fr-FR"/>
        </w:rPr>
      </w:pPr>
      <w:r w:rsidRPr="00D33C1D">
        <w:rPr>
          <w:i/>
          <w:lang w:val="fr-FR"/>
        </w:rPr>
        <w:t xml:space="preserve">Secteur des solvants </w:t>
      </w:r>
    </w:p>
    <w:p w14:paraId="2D1A7BCD" w14:textId="77777777" w:rsidR="00D33C1D" w:rsidRPr="00D33C1D" w:rsidRDefault="00D33C1D" w:rsidP="00D33C1D">
      <w:pPr>
        <w:pStyle w:val="Heading1"/>
        <w:autoSpaceDE w:val="0"/>
        <w:autoSpaceDN w:val="0"/>
        <w:adjustRightInd w:val="0"/>
        <w:rPr>
          <w:rFonts w:eastAsia="Calibri"/>
          <w:color w:val="0D0D0D" w:themeColor="text1" w:themeTint="F2"/>
          <w:lang w:val="fr-FR"/>
        </w:rPr>
      </w:pPr>
      <w:r w:rsidRPr="00D33C1D">
        <w:rPr>
          <w:lang w:val="fr-FR"/>
        </w:rPr>
        <w:t xml:space="preserve">Depuis 2011, l’usage de HCFC-142b a été abandonné en Géorgie en raison de l’accomplissement du projet de démonstration pour fournir des appareils de nettoyage sans HCFC à deux entreprises, entraînant l’élimination de 0,72 tonne PAO. Des 185 900 $ US approuvés pour le secteur des solvants, 154 263 $ US ont été décaissés ; avec le solde disponible (31 638 $ US), le </w:t>
      </w:r>
      <w:r w:rsidRPr="00D33C1D">
        <w:rPr>
          <w:color w:val="0D0D0D" w:themeColor="text1" w:themeTint="F2"/>
          <w:lang w:val="fr-FR"/>
        </w:rPr>
        <w:t xml:space="preserve">gouvernement mettra en œuvre l’atelier de sensibilisation pour le secteur des solvants qui était initialement programmé pour la deuxième tranche, fin 2020 ou début 2021, pour permettre au projet de se concentrer sur les besoins du secteur de l’entretien. En outre, il a été décidé de terminer les activités de sensibilisation plus près de la fin de la phase I du PGEH. </w:t>
      </w:r>
    </w:p>
    <w:p w14:paraId="6C0C3792" w14:textId="77777777" w:rsidR="00D33C1D" w:rsidRPr="00D33C1D" w:rsidRDefault="00D33C1D" w:rsidP="00D33C1D">
      <w:pPr>
        <w:pStyle w:val="Heading1"/>
        <w:numPr>
          <w:ilvl w:val="0"/>
          <w:numId w:val="0"/>
        </w:numPr>
        <w:rPr>
          <w:u w:val="single"/>
          <w:lang w:val="fr-FR"/>
        </w:rPr>
      </w:pPr>
      <w:r w:rsidRPr="00D33C1D">
        <w:rPr>
          <w:u w:val="single"/>
          <w:lang w:val="fr-FR"/>
        </w:rPr>
        <w:t>Mise en œuvre de la politique d’égalité des genres</w:t>
      </w:r>
      <w:r w:rsidRPr="00D33C1D">
        <w:rPr>
          <w:rStyle w:val="FootnoteReference"/>
          <w:color w:val="0D0D0D" w:themeColor="text1" w:themeTint="F2"/>
          <w:u w:val="single"/>
          <w:lang w:val="fr-FR"/>
        </w:rPr>
        <w:footnoteReference w:id="3"/>
      </w:r>
    </w:p>
    <w:p w14:paraId="2BBCBC8C" w14:textId="77777777" w:rsidR="00D33C1D" w:rsidRPr="00D33C1D" w:rsidRDefault="00D33C1D" w:rsidP="00D33C1D">
      <w:pPr>
        <w:pStyle w:val="Heading1"/>
        <w:rPr>
          <w:color w:val="0D0D0D" w:themeColor="text1" w:themeTint="F2"/>
          <w:u w:val="single"/>
          <w:lang w:val="fr-FR"/>
        </w:rPr>
      </w:pPr>
      <w:r w:rsidRPr="00D33C1D">
        <w:rPr>
          <w:lang w:val="fr-FR"/>
        </w:rPr>
        <w:t>Une analyse des</w:t>
      </w:r>
      <w:r w:rsidRPr="00D33C1D">
        <w:rPr>
          <w:color w:val="0D0D0D" w:themeColor="text1" w:themeTint="F2"/>
          <w:lang w:val="fr-FR"/>
        </w:rPr>
        <w:t xml:space="preserve"> genres menée </w:t>
      </w:r>
      <w:bookmarkStart w:id="4" w:name="_Hlk39499453"/>
      <w:r w:rsidRPr="00D33C1D">
        <w:rPr>
          <w:color w:val="0D0D0D" w:themeColor="text1" w:themeTint="F2"/>
          <w:lang w:val="fr-FR"/>
        </w:rPr>
        <w:t>dans le cadre des activités de renforcement de la capacité pour les techniciens de réfrigération et de climatisation</w:t>
      </w:r>
      <w:bookmarkEnd w:id="4"/>
      <w:r w:rsidRPr="00D33C1D">
        <w:rPr>
          <w:color w:val="0D0D0D" w:themeColor="text1" w:themeTint="F2"/>
          <w:lang w:val="fr-FR"/>
        </w:rPr>
        <w:t xml:space="preserve">, les préposés aux douanes et les inspecteurs environnementaux a révélé que les stagiaires pour l’entretien de réfrigération et de climatisation étaient principalement des hommes, alors que les stagiaires du service des douanes et d’inspection environnementale étaient respectivement à 40 pour cent et à 20 pour cent des femmes. </w:t>
      </w:r>
      <w:r w:rsidRPr="00D33C1D">
        <w:rPr>
          <w:lang w:val="fr-FR"/>
        </w:rPr>
        <w:t xml:space="preserve">La quatrième </w:t>
      </w:r>
      <w:r w:rsidRPr="00D33C1D">
        <w:rPr>
          <w:color w:val="0D0D0D" w:themeColor="text1" w:themeTint="F2"/>
          <w:lang w:val="fr-FR"/>
        </w:rPr>
        <w:t>tranche de la phase I du PGEH comporte une étude analytique des genres dans les secteurs de l’entretien de réfrigération et de climatisation et des solvants, et comprendra des</w:t>
      </w:r>
      <w:r w:rsidRPr="00D33C1D">
        <w:rPr>
          <w:lang w:val="fr-FR"/>
        </w:rPr>
        <w:t xml:space="preserve"> recommandations pour de plus amples mesures dans le contexte du PGEH en ce qui concerne les formations et l’emploi dans les secteurs de l’entretien de réfrigération et de climatisation et des solvants. </w:t>
      </w:r>
    </w:p>
    <w:p w14:paraId="029A1EE7" w14:textId="77777777" w:rsidR="00D33C1D" w:rsidRPr="00D33C1D" w:rsidRDefault="00D33C1D" w:rsidP="00D33C1D">
      <w:pPr>
        <w:pStyle w:val="Heading1"/>
        <w:numPr>
          <w:ilvl w:val="0"/>
          <w:numId w:val="0"/>
        </w:numPr>
        <w:rPr>
          <w:color w:val="0D0D0D" w:themeColor="text1" w:themeTint="F2"/>
          <w:u w:val="single"/>
          <w:lang w:val="fr-FR"/>
        </w:rPr>
      </w:pPr>
      <w:r w:rsidRPr="00D33C1D">
        <w:rPr>
          <w:color w:val="0D0D0D" w:themeColor="text1" w:themeTint="F2"/>
          <w:u w:val="single"/>
          <w:lang w:val="fr-FR"/>
        </w:rPr>
        <w:t xml:space="preserve">Durabilité de l’élimination des HCFC </w:t>
      </w:r>
    </w:p>
    <w:p w14:paraId="6DA047CD" w14:textId="77777777" w:rsidR="00D33C1D" w:rsidRPr="00D33C1D" w:rsidRDefault="00D33C1D" w:rsidP="00D33C1D">
      <w:pPr>
        <w:pStyle w:val="Heading1"/>
        <w:rPr>
          <w:lang w:val="fr-FR"/>
        </w:rPr>
      </w:pPr>
      <w:r w:rsidRPr="00D33C1D">
        <w:rPr>
          <w:lang w:val="fr-FR"/>
        </w:rPr>
        <w:t>Le pays dispose d’un programme d’octroi de permis et de quotas pour garantir le contrôle durable des importations de HCFC, et la capacité des préposés aux douanes continue à être renforcée. La poursuite de la formation des techniciens de réfrigération et de climatisation, ainsi que l’assistance technique et les équipements qui leurs sont fournis, à eux et au centre de RRR, et la poursuite de l’implication de l’association de la réfrigération, renforceront encore le secteur de l’entretien des équipements de réfrigération et assureront la durabilité à long terme de l’élimination des HCFC ; ceci sera complété par l’interdiction des importations d’équipements au</w:t>
      </w:r>
      <w:r w:rsidRPr="00D33C1D">
        <w:rPr>
          <w:color w:val="0D0D0D" w:themeColor="text1" w:themeTint="F2"/>
          <w:lang w:val="fr-FR"/>
        </w:rPr>
        <w:t xml:space="preserve"> HCFC-22 et par le système de </w:t>
      </w:r>
      <w:r w:rsidRPr="00D33C1D">
        <w:rPr>
          <w:lang w:val="fr-FR"/>
        </w:rPr>
        <w:t>certification pour les techniciens de réfrigération</w:t>
      </w:r>
      <w:r w:rsidRPr="00D33C1D">
        <w:rPr>
          <w:color w:val="0D0D0D" w:themeColor="text1" w:themeTint="F2"/>
          <w:lang w:val="fr-FR"/>
        </w:rPr>
        <w:t>, prévu pour fin 2020</w:t>
      </w:r>
      <w:r w:rsidRPr="00D33C1D">
        <w:rPr>
          <w:lang w:val="fr-FR"/>
        </w:rPr>
        <w:t xml:space="preserve">. L’étude de marché prévue sur le secteur des solvants et </w:t>
      </w:r>
      <w:r w:rsidRPr="00D33C1D">
        <w:rPr>
          <w:lang w:val="fr-FR"/>
        </w:rPr>
        <w:lastRenderedPageBreak/>
        <w:t xml:space="preserve">l’application des solutions de remplacement des SAO, ainsi que les activités de sensibilisation pour ce secteur, aideront à assurer l’élimination des HCFC dans le secteur des solvants. </w:t>
      </w:r>
    </w:p>
    <w:p w14:paraId="38EF730B" w14:textId="77777777" w:rsidR="00D33C1D" w:rsidRPr="00D33C1D" w:rsidRDefault="00D33C1D" w:rsidP="00D33C1D">
      <w:pPr>
        <w:rPr>
          <w:color w:val="0D0D0D" w:themeColor="text1" w:themeTint="F2"/>
          <w:u w:val="single"/>
          <w:lang w:val="fr-FR"/>
        </w:rPr>
      </w:pPr>
      <w:r w:rsidRPr="00D33C1D">
        <w:rPr>
          <w:color w:val="0D0D0D" w:themeColor="text1" w:themeTint="F2"/>
          <w:u w:val="single"/>
          <w:lang w:val="fr-FR"/>
        </w:rPr>
        <w:t>Date d’achèvement de la phase I du PGEH</w:t>
      </w:r>
    </w:p>
    <w:p w14:paraId="551D493B" w14:textId="77777777" w:rsidR="00D33C1D" w:rsidRPr="00D33C1D" w:rsidRDefault="00D33C1D" w:rsidP="00D33C1D">
      <w:pPr>
        <w:rPr>
          <w:color w:val="0D0D0D" w:themeColor="text1" w:themeTint="F2"/>
          <w:u w:val="single"/>
          <w:lang w:val="fr-FR"/>
        </w:rPr>
      </w:pPr>
    </w:p>
    <w:p w14:paraId="5F8F4D46" w14:textId="77777777" w:rsidR="00D33C1D" w:rsidRPr="00D33C1D" w:rsidRDefault="00D33C1D" w:rsidP="00D33C1D">
      <w:pPr>
        <w:pStyle w:val="Heading1"/>
        <w:rPr>
          <w:color w:val="0D0D0D" w:themeColor="text1" w:themeTint="F2"/>
          <w:lang w:val="fr-FR"/>
        </w:rPr>
      </w:pPr>
      <w:r w:rsidRPr="00D33C1D">
        <w:rPr>
          <w:color w:val="0D0D0D" w:themeColor="text1" w:themeTint="F2"/>
          <w:lang w:val="fr-FR"/>
        </w:rPr>
        <w:t xml:space="preserve">Le PNUD a indiqué que la phase I du PGEH pour la Géorgie serait terminée d’ici décembre 2021, conformément à l’Accord. </w:t>
      </w:r>
    </w:p>
    <w:p w14:paraId="17946567" w14:textId="77777777" w:rsidR="00D33C1D" w:rsidRPr="00D33C1D" w:rsidRDefault="00D33C1D" w:rsidP="00D33C1D">
      <w:pPr>
        <w:keepNext/>
        <w:rPr>
          <w:color w:val="0D0D0D" w:themeColor="text1" w:themeTint="F2"/>
          <w:u w:val="single"/>
          <w:lang w:val="fr-FR"/>
        </w:rPr>
      </w:pPr>
      <w:r w:rsidRPr="00D33C1D">
        <w:rPr>
          <w:color w:val="0D0D0D" w:themeColor="text1" w:themeTint="F2"/>
          <w:u w:val="single"/>
          <w:lang w:val="fr-FR"/>
        </w:rPr>
        <w:t>Conclusion</w:t>
      </w:r>
    </w:p>
    <w:p w14:paraId="3302D445" w14:textId="77777777" w:rsidR="00D33C1D" w:rsidRPr="00D33C1D" w:rsidRDefault="00D33C1D" w:rsidP="00D33C1D">
      <w:pPr>
        <w:keepNext/>
        <w:rPr>
          <w:color w:val="0D0D0D" w:themeColor="text1" w:themeTint="F2"/>
          <w:lang w:val="fr-FR"/>
        </w:rPr>
      </w:pPr>
    </w:p>
    <w:p w14:paraId="0E962938" w14:textId="77777777" w:rsidR="00D33C1D" w:rsidRPr="00D33C1D" w:rsidRDefault="00D33C1D" w:rsidP="00D33C1D">
      <w:pPr>
        <w:pStyle w:val="Heading1"/>
        <w:keepNext/>
        <w:rPr>
          <w:color w:val="0D0D0D" w:themeColor="text1" w:themeTint="F2"/>
          <w:lang w:val="fr-FR"/>
        </w:rPr>
      </w:pPr>
      <w:r w:rsidRPr="00D33C1D">
        <w:rPr>
          <w:color w:val="0D0D0D" w:themeColor="text1" w:themeTint="F2"/>
          <w:lang w:val="fr-FR"/>
        </w:rPr>
        <w:t xml:space="preserve">Le gouvernement de Géorgie progresse dans la mise en œuvre de sa phase I du PGEH malgré le décalage des activités liées au projet de démonstration et au secteur des solvants à la quatrième tranche. La consommation de HCFC en 2019 était inférieure de 42 pour cent à la consommation maximale admissible de l’Accord, et aucune consommation de HCFC n’a été communiquée dans le secteur des solvants depuis 2011. Le pays dispose d’un programme fonctionnel d’octroi de permis et de quotas et le cadre juridique est encore renforcé avec des pénalités plus strictes pour les importations illicites, et d’autres améliorations sont apportées au système de certification pour la réfrigération et la climatisation afin de le mettre en conformité avec les règlements de l’UE. Le niveau de décaissement de la troisième tranche est de 45 pour cent et le taux de décaissement global a atteint 77 pour cent. Les activités mise en œuvre à ce jour et celles prévues sans le cadre de la quatrième tranche continueront à soutenir l’effort du pays pour satisfaire à ses obligations de conformité dans le cadre du Protocole. </w:t>
      </w:r>
    </w:p>
    <w:p w14:paraId="31B80E21" w14:textId="77777777" w:rsidR="00D33C1D" w:rsidRPr="00D33C1D" w:rsidRDefault="00D33C1D" w:rsidP="00D33C1D">
      <w:pPr>
        <w:keepNext/>
        <w:rPr>
          <w:color w:val="0D0D0D" w:themeColor="text1" w:themeTint="F2"/>
          <w:lang w:val="fr-FR"/>
        </w:rPr>
      </w:pPr>
      <w:r w:rsidRPr="00D33C1D">
        <w:rPr>
          <w:b/>
          <w:color w:val="0D0D0D" w:themeColor="text1" w:themeTint="F2"/>
          <w:lang w:val="fr-FR"/>
        </w:rPr>
        <w:t>RECOMMANDATION</w:t>
      </w:r>
    </w:p>
    <w:p w14:paraId="7D02D815" w14:textId="77777777" w:rsidR="00D33C1D" w:rsidRPr="00D33C1D" w:rsidRDefault="00D33C1D" w:rsidP="00D33C1D">
      <w:pPr>
        <w:keepNext/>
        <w:rPr>
          <w:color w:val="0D0D0D" w:themeColor="text1" w:themeTint="F2"/>
          <w:lang w:val="fr-FR"/>
        </w:rPr>
      </w:pPr>
    </w:p>
    <w:p w14:paraId="7128A47F" w14:textId="77777777" w:rsidR="00D33C1D" w:rsidRPr="00D33C1D" w:rsidRDefault="00D33C1D" w:rsidP="00D33C1D">
      <w:pPr>
        <w:pStyle w:val="Heading1"/>
        <w:rPr>
          <w:lang w:val="fr-FR"/>
        </w:rPr>
      </w:pPr>
      <w:r w:rsidRPr="00D33C1D">
        <w:rPr>
          <w:lang w:val="fr-FR"/>
        </w:rPr>
        <w:t>Le Secrétariat du Fonds recommande que le Comité exécutif prenne note du rapport périodique sur la mise en œuvre de la troisième tranche de la phase I du plan de gestion de l’élimination des HCFC (PGEH) de la Géorgie. Il recommande aussi l’approbation globale de la quatrième et dernière tranche de la phase I du PGEH de la Géorgie, et du plan correspondant de mise en œuvre de la tranche de 2020-2021, au niveau de financement indiqué dans le tableau ci-dessous </w:t>
      </w:r>
      <w:r w:rsidRPr="00D33C1D">
        <w:rPr>
          <w:color w:val="0D0D0D" w:themeColor="text1" w:themeTint="F2"/>
          <w:lang w:val="fr-F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33C1D" w:rsidRPr="00D018D5" w14:paraId="2217DAD1" w14:textId="77777777" w:rsidTr="00D06E67">
        <w:tc>
          <w:tcPr>
            <w:tcW w:w="540" w:type="dxa"/>
          </w:tcPr>
          <w:p w14:paraId="3F3B9A8B" w14:textId="77777777" w:rsidR="00D33C1D" w:rsidRPr="00D33C1D" w:rsidRDefault="00D33C1D" w:rsidP="00D06E67">
            <w:pPr>
              <w:jc w:val="center"/>
              <w:rPr>
                <w:b/>
                <w:bCs/>
                <w:color w:val="0D0D0D" w:themeColor="text1" w:themeTint="F2"/>
                <w:sz w:val="20"/>
                <w:szCs w:val="20"/>
                <w:lang w:val="fr-FR"/>
              </w:rPr>
            </w:pPr>
          </w:p>
        </w:tc>
        <w:tc>
          <w:tcPr>
            <w:tcW w:w="4320" w:type="dxa"/>
            <w:vAlign w:val="center"/>
          </w:tcPr>
          <w:p w14:paraId="6CA48A74" w14:textId="77777777" w:rsidR="00D33C1D" w:rsidRPr="00D33C1D" w:rsidRDefault="00D33C1D" w:rsidP="00D06E67">
            <w:pPr>
              <w:jc w:val="center"/>
              <w:rPr>
                <w:b/>
                <w:bCs/>
                <w:color w:val="0D0D0D" w:themeColor="text1" w:themeTint="F2"/>
                <w:sz w:val="20"/>
                <w:szCs w:val="20"/>
                <w:lang w:val="fr-FR"/>
              </w:rPr>
            </w:pPr>
            <w:r w:rsidRPr="00D33C1D">
              <w:rPr>
                <w:b/>
                <w:color w:val="0D0D0D" w:themeColor="text1" w:themeTint="F2"/>
                <w:sz w:val="20"/>
                <w:lang w:val="fr-FR"/>
              </w:rPr>
              <w:t>Titre du projet</w:t>
            </w:r>
          </w:p>
        </w:tc>
        <w:tc>
          <w:tcPr>
            <w:tcW w:w="1461" w:type="dxa"/>
            <w:tcMar>
              <w:left w:w="29" w:type="dxa"/>
              <w:right w:w="29" w:type="dxa"/>
            </w:tcMar>
          </w:tcPr>
          <w:p w14:paraId="7F607AAC" w14:textId="77777777" w:rsidR="00D33C1D" w:rsidRPr="00D33C1D" w:rsidRDefault="00D33C1D" w:rsidP="00D06E67">
            <w:pPr>
              <w:jc w:val="center"/>
              <w:rPr>
                <w:b/>
                <w:bCs/>
                <w:color w:val="0D0D0D" w:themeColor="text1" w:themeTint="F2"/>
                <w:sz w:val="20"/>
                <w:szCs w:val="20"/>
                <w:lang w:val="fr-FR"/>
              </w:rPr>
            </w:pPr>
            <w:r w:rsidRPr="00D33C1D">
              <w:rPr>
                <w:b/>
                <w:color w:val="0D0D0D" w:themeColor="text1" w:themeTint="F2"/>
                <w:sz w:val="20"/>
                <w:lang w:val="fr-FR"/>
              </w:rPr>
              <w:t>Financement du projet ($ US)</w:t>
            </w:r>
          </w:p>
        </w:tc>
        <w:tc>
          <w:tcPr>
            <w:tcW w:w="1461" w:type="dxa"/>
            <w:tcMar>
              <w:left w:w="29" w:type="dxa"/>
              <w:right w:w="29" w:type="dxa"/>
            </w:tcMar>
          </w:tcPr>
          <w:p w14:paraId="334F2679" w14:textId="77777777" w:rsidR="00D33C1D" w:rsidRPr="00D33C1D" w:rsidRDefault="00D33C1D" w:rsidP="00D06E67">
            <w:pPr>
              <w:jc w:val="center"/>
              <w:rPr>
                <w:b/>
                <w:bCs/>
                <w:color w:val="0D0D0D" w:themeColor="text1" w:themeTint="F2"/>
                <w:sz w:val="20"/>
                <w:szCs w:val="20"/>
                <w:lang w:val="fr-FR"/>
              </w:rPr>
            </w:pPr>
            <w:r w:rsidRPr="00D33C1D">
              <w:rPr>
                <w:b/>
                <w:color w:val="0D0D0D" w:themeColor="text1" w:themeTint="F2"/>
                <w:sz w:val="20"/>
                <w:lang w:val="fr-FR"/>
              </w:rPr>
              <w:t>Coûts d’appui ($ US)</w:t>
            </w:r>
          </w:p>
        </w:tc>
        <w:tc>
          <w:tcPr>
            <w:tcW w:w="1461" w:type="dxa"/>
            <w:tcMar>
              <w:left w:w="29" w:type="dxa"/>
              <w:right w:w="29" w:type="dxa"/>
            </w:tcMar>
          </w:tcPr>
          <w:p w14:paraId="7E83D1E3" w14:textId="77777777" w:rsidR="00D33C1D" w:rsidRPr="00D33C1D" w:rsidRDefault="00D33C1D" w:rsidP="00D06E67">
            <w:pPr>
              <w:jc w:val="center"/>
              <w:rPr>
                <w:b/>
                <w:bCs/>
                <w:color w:val="0D0D0D" w:themeColor="text1" w:themeTint="F2"/>
                <w:sz w:val="20"/>
                <w:szCs w:val="20"/>
                <w:lang w:val="fr-FR"/>
              </w:rPr>
            </w:pPr>
            <w:r w:rsidRPr="00D33C1D">
              <w:rPr>
                <w:b/>
                <w:color w:val="0D0D0D" w:themeColor="text1" w:themeTint="F2"/>
                <w:sz w:val="20"/>
                <w:lang w:val="fr-FR"/>
              </w:rPr>
              <w:t>Agence de mise en œuvre</w:t>
            </w:r>
          </w:p>
        </w:tc>
      </w:tr>
      <w:tr w:rsidR="00D33C1D" w:rsidRPr="00D33C1D" w14:paraId="336F28A6" w14:textId="77777777" w:rsidTr="00ED3866">
        <w:trPr>
          <w:trHeight w:val="590"/>
        </w:trPr>
        <w:tc>
          <w:tcPr>
            <w:tcW w:w="540" w:type="dxa"/>
          </w:tcPr>
          <w:p w14:paraId="08324664"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w:t>
            </w:r>
            <w:proofErr w:type="gramStart"/>
            <w:r w:rsidRPr="00D33C1D">
              <w:rPr>
                <w:color w:val="0D0D0D" w:themeColor="text1" w:themeTint="F2"/>
                <w:sz w:val="20"/>
                <w:lang w:val="fr-FR"/>
              </w:rPr>
              <w:t>a</w:t>
            </w:r>
            <w:proofErr w:type="gramEnd"/>
            <w:r w:rsidRPr="00D33C1D">
              <w:rPr>
                <w:color w:val="0D0D0D" w:themeColor="text1" w:themeTint="F2"/>
                <w:sz w:val="20"/>
                <w:lang w:val="fr-FR"/>
              </w:rPr>
              <w:t>)</w:t>
            </w:r>
          </w:p>
        </w:tc>
        <w:tc>
          <w:tcPr>
            <w:tcW w:w="4320" w:type="dxa"/>
          </w:tcPr>
          <w:p w14:paraId="0BC3223A" w14:textId="77777777" w:rsidR="00D33C1D" w:rsidRPr="00D33C1D" w:rsidRDefault="00D33C1D" w:rsidP="00D06E67">
            <w:pPr>
              <w:rPr>
                <w:color w:val="0D0D0D" w:themeColor="text1" w:themeTint="F2"/>
                <w:sz w:val="20"/>
                <w:szCs w:val="20"/>
                <w:lang w:val="fr-FR"/>
              </w:rPr>
            </w:pPr>
            <w:r w:rsidRPr="00D33C1D">
              <w:rPr>
                <w:color w:val="0D0D0D" w:themeColor="text1" w:themeTint="F2"/>
                <w:sz w:val="20"/>
                <w:lang w:val="fr-FR"/>
              </w:rPr>
              <w:t>Plan de gestion de l’élimination des HCFC (phase I, quatrième tranche)</w:t>
            </w:r>
          </w:p>
        </w:tc>
        <w:tc>
          <w:tcPr>
            <w:tcW w:w="1461" w:type="dxa"/>
          </w:tcPr>
          <w:p w14:paraId="5804D1E0" w14:textId="77777777" w:rsidR="00D33C1D" w:rsidRPr="00D33C1D" w:rsidRDefault="00D33C1D" w:rsidP="00D06E67">
            <w:pPr>
              <w:jc w:val="right"/>
              <w:rPr>
                <w:color w:val="0D0D0D" w:themeColor="text1" w:themeTint="F2"/>
                <w:sz w:val="20"/>
                <w:szCs w:val="20"/>
                <w:lang w:val="fr-FR"/>
              </w:rPr>
            </w:pPr>
            <w:r w:rsidRPr="00D33C1D">
              <w:rPr>
                <w:color w:val="0D0D0D" w:themeColor="text1" w:themeTint="F2"/>
                <w:sz w:val="20"/>
                <w:lang w:val="fr-FR"/>
              </w:rPr>
              <w:t>31 500</w:t>
            </w:r>
          </w:p>
        </w:tc>
        <w:tc>
          <w:tcPr>
            <w:tcW w:w="1461" w:type="dxa"/>
          </w:tcPr>
          <w:p w14:paraId="4BF4712A" w14:textId="77777777" w:rsidR="00D33C1D" w:rsidRPr="00D33C1D" w:rsidRDefault="00D33C1D" w:rsidP="00D06E67">
            <w:pPr>
              <w:jc w:val="right"/>
              <w:rPr>
                <w:color w:val="0D0D0D" w:themeColor="text1" w:themeTint="F2"/>
                <w:sz w:val="20"/>
                <w:szCs w:val="20"/>
                <w:lang w:val="fr-FR"/>
              </w:rPr>
            </w:pPr>
            <w:r w:rsidRPr="00D33C1D">
              <w:rPr>
                <w:color w:val="0D0D0D" w:themeColor="text1" w:themeTint="F2"/>
                <w:sz w:val="20"/>
                <w:lang w:val="fr-FR"/>
              </w:rPr>
              <w:t>2 363</w:t>
            </w:r>
          </w:p>
        </w:tc>
        <w:tc>
          <w:tcPr>
            <w:tcW w:w="1461" w:type="dxa"/>
          </w:tcPr>
          <w:p w14:paraId="7BA63C95" w14:textId="77777777" w:rsidR="00D33C1D" w:rsidRPr="00D33C1D" w:rsidRDefault="00D33C1D" w:rsidP="00D06E67">
            <w:pPr>
              <w:jc w:val="right"/>
              <w:rPr>
                <w:color w:val="0D0D0D" w:themeColor="text1" w:themeTint="F2"/>
                <w:sz w:val="20"/>
                <w:szCs w:val="20"/>
                <w:lang w:val="fr-FR"/>
              </w:rPr>
            </w:pPr>
            <w:r w:rsidRPr="00D33C1D">
              <w:rPr>
                <w:color w:val="0D0D0D" w:themeColor="text1" w:themeTint="F2"/>
                <w:sz w:val="20"/>
                <w:lang w:val="fr-FR"/>
              </w:rPr>
              <w:t>PNUD</w:t>
            </w:r>
          </w:p>
        </w:tc>
      </w:tr>
    </w:tbl>
    <w:p w14:paraId="4A774058" w14:textId="77777777" w:rsidR="00D33C1D" w:rsidRPr="00D33C1D" w:rsidRDefault="00D33C1D" w:rsidP="00D33C1D">
      <w:pPr>
        <w:rPr>
          <w:color w:val="0D0D0D" w:themeColor="text1" w:themeTint="F2"/>
          <w:lang w:val="fr-FR"/>
        </w:rPr>
      </w:pPr>
    </w:p>
    <w:p w14:paraId="5BEC5A37" w14:textId="77777777" w:rsidR="00D33C1D" w:rsidRPr="00D33C1D" w:rsidRDefault="00D33C1D" w:rsidP="00D33C1D">
      <w:pPr>
        <w:rPr>
          <w:color w:val="0D0D0D" w:themeColor="text1" w:themeTint="F2"/>
          <w:lang w:val="fr-FR"/>
        </w:rPr>
      </w:pPr>
    </w:p>
    <w:p w14:paraId="154DDF8D" w14:textId="77777777" w:rsidR="00D33C1D" w:rsidRPr="00D33C1D" w:rsidRDefault="00D33C1D" w:rsidP="00D33C1D">
      <w:pPr>
        <w:rPr>
          <w:color w:val="0D0D0D" w:themeColor="text1" w:themeTint="F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33C1D" w:rsidRPr="00D33C1D" w14:paraId="1404EA6B" w14:textId="77777777" w:rsidTr="00D06E67">
        <w:tc>
          <w:tcPr>
            <w:tcW w:w="1871" w:type="dxa"/>
          </w:tcPr>
          <w:p w14:paraId="6785E974" w14:textId="77777777" w:rsidR="00D33C1D" w:rsidRPr="00D33C1D" w:rsidRDefault="00D33C1D" w:rsidP="00D06E67">
            <w:pPr>
              <w:rPr>
                <w:color w:val="0D0D0D" w:themeColor="text1" w:themeTint="F2"/>
                <w:lang w:val="fr-FR"/>
              </w:rPr>
            </w:pPr>
          </w:p>
        </w:tc>
        <w:tc>
          <w:tcPr>
            <w:tcW w:w="1872" w:type="dxa"/>
          </w:tcPr>
          <w:p w14:paraId="175A010D" w14:textId="77777777" w:rsidR="00D33C1D" w:rsidRPr="00D33C1D" w:rsidRDefault="00D33C1D" w:rsidP="00D06E67">
            <w:pPr>
              <w:rPr>
                <w:color w:val="0D0D0D" w:themeColor="text1" w:themeTint="F2"/>
                <w:lang w:val="fr-FR"/>
              </w:rPr>
            </w:pPr>
          </w:p>
        </w:tc>
        <w:tc>
          <w:tcPr>
            <w:tcW w:w="1872" w:type="dxa"/>
            <w:tcBorders>
              <w:bottom w:val="single" w:sz="4" w:space="0" w:color="auto"/>
            </w:tcBorders>
          </w:tcPr>
          <w:p w14:paraId="72E71780" w14:textId="77777777" w:rsidR="00D33C1D" w:rsidRPr="00D33C1D" w:rsidRDefault="00D33C1D" w:rsidP="00D06E67">
            <w:pPr>
              <w:rPr>
                <w:color w:val="0D0D0D" w:themeColor="text1" w:themeTint="F2"/>
                <w:lang w:val="fr-FR"/>
              </w:rPr>
            </w:pPr>
          </w:p>
        </w:tc>
        <w:tc>
          <w:tcPr>
            <w:tcW w:w="1872" w:type="dxa"/>
          </w:tcPr>
          <w:p w14:paraId="267D8A27" w14:textId="77777777" w:rsidR="00D33C1D" w:rsidRPr="00D33C1D" w:rsidRDefault="00D33C1D" w:rsidP="00D06E67">
            <w:pPr>
              <w:rPr>
                <w:color w:val="0D0D0D" w:themeColor="text1" w:themeTint="F2"/>
                <w:lang w:val="fr-FR"/>
              </w:rPr>
            </w:pPr>
          </w:p>
        </w:tc>
        <w:tc>
          <w:tcPr>
            <w:tcW w:w="1873" w:type="dxa"/>
          </w:tcPr>
          <w:p w14:paraId="3929CF5D" w14:textId="77777777" w:rsidR="00D33C1D" w:rsidRPr="00D33C1D" w:rsidRDefault="00D33C1D" w:rsidP="00D06E67">
            <w:pPr>
              <w:rPr>
                <w:color w:val="0D0D0D" w:themeColor="text1" w:themeTint="F2"/>
                <w:lang w:val="fr-FR"/>
              </w:rPr>
            </w:pPr>
          </w:p>
        </w:tc>
      </w:tr>
    </w:tbl>
    <w:p w14:paraId="1BA1D73A" w14:textId="77777777" w:rsidR="00441083" w:rsidRPr="00D33C1D" w:rsidRDefault="00441083" w:rsidP="00A567C1">
      <w:pPr>
        <w:rPr>
          <w:lang w:val="fr-FR"/>
        </w:rPr>
      </w:pPr>
    </w:p>
    <w:sectPr w:rsidR="00441083" w:rsidRPr="00D33C1D" w:rsidSect="00ED3866">
      <w:headerReference w:type="even" r:id="rId16"/>
      <w:headerReference w:type="first" r:id="rId17"/>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C9BB5" w14:textId="77777777" w:rsidR="003A68FC" w:rsidRDefault="003A68FC">
      <w:r>
        <w:separator/>
      </w:r>
    </w:p>
  </w:endnote>
  <w:endnote w:type="continuationSeparator" w:id="0">
    <w:p w14:paraId="586685CE" w14:textId="77777777" w:rsidR="003A68FC" w:rsidRDefault="003A6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8057819"/>
      <w:docPartObj>
        <w:docPartGallery w:val="Page Numbers (Bottom of Page)"/>
        <w:docPartUnique/>
      </w:docPartObj>
    </w:sdtPr>
    <w:sdtEndPr>
      <w:rPr>
        <w:rStyle w:val="PageNumber"/>
      </w:rPr>
    </w:sdtEndPr>
    <w:sdtContent>
      <w:p w14:paraId="6AF6C27E" w14:textId="77777777" w:rsidR="00ED3866" w:rsidRDefault="00ED3866"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79048B9" w14:textId="77777777" w:rsidR="00ED3866" w:rsidRDefault="00ED38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371896"/>
      <w:docPartObj>
        <w:docPartGallery w:val="Page Numbers (Bottom of Page)"/>
        <w:docPartUnique/>
      </w:docPartObj>
    </w:sdtPr>
    <w:sdtEndPr>
      <w:rPr>
        <w:rStyle w:val="PageNumber"/>
      </w:rPr>
    </w:sdtEndPr>
    <w:sdtContent>
      <w:p w14:paraId="36EFC801" w14:textId="77777777" w:rsidR="00ED3866" w:rsidRDefault="00ED3866"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7D8A728" w14:textId="77777777" w:rsidR="00ED3866" w:rsidRDefault="00ED38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0E11373C" w14:textId="77777777" w:rsidR="00A567C1" w:rsidRPr="00A567C1" w:rsidRDefault="00A567C1" w:rsidP="00A567C1">
        <w:pPr>
          <w:pBdr>
            <w:top w:val="single" w:sz="4" w:space="1" w:color="auto"/>
            <w:left w:val="single" w:sz="4" w:space="4" w:color="auto"/>
            <w:bottom w:val="single" w:sz="4" w:space="10" w:color="auto"/>
            <w:right w:val="single" w:sz="4" w:space="4" w:color="auto"/>
          </w:pBdr>
          <w:jc w:val="center"/>
          <w:rPr>
            <w:rFonts w:cs="MS Serif"/>
            <w:sz w:val="20"/>
            <w:lang w:val="fr-CA"/>
          </w:rPr>
        </w:pPr>
        <w:r w:rsidRPr="00A567C1">
          <w:rPr>
            <w:rFonts w:cs="MS Serif"/>
            <w:sz w:val="20"/>
            <w:lang w:val="fr-CA"/>
          </w:rPr>
          <w:t xml:space="preserve">Les documents de présession du Comité exécutif du Fonds multilatéral aux fins d’application du Protocole de </w:t>
        </w:r>
      </w:p>
      <w:p w14:paraId="4580C1C7" w14:textId="77777777" w:rsidR="00441083" w:rsidRPr="00A567C1" w:rsidRDefault="00A567C1" w:rsidP="00A567C1">
        <w:pPr>
          <w:pBdr>
            <w:top w:val="single" w:sz="4" w:space="1" w:color="auto"/>
            <w:left w:val="single" w:sz="4" w:space="4" w:color="auto"/>
            <w:bottom w:val="single" w:sz="4" w:space="10" w:color="auto"/>
            <w:right w:val="single" w:sz="4" w:space="4" w:color="auto"/>
          </w:pBdr>
          <w:jc w:val="center"/>
          <w:rPr>
            <w:noProof/>
            <w:lang w:val="fr-CA"/>
          </w:rPr>
        </w:pPr>
        <w:r w:rsidRPr="00A567C1">
          <w:rPr>
            <w:rFonts w:cs="MS Serif"/>
            <w:sz w:val="20"/>
            <w:lang w:val="fr-CA"/>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145BB" w14:textId="77777777" w:rsidR="003A68FC" w:rsidRDefault="003A68FC">
      <w:r>
        <w:separator/>
      </w:r>
    </w:p>
  </w:footnote>
  <w:footnote w:type="continuationSeparator" w:id="0">
    <w:p w14:paraId="6A2D05B6" w14:textId="77777777" w:rsidR="003A68FC" w:rsidRDefault="003A68FC">
      <w:r>
        <w:continuationSeparator/>
      </w:r>
    </w:p>
  </w:footnote>
  <w:footnote w:id="1">
    <w:p w14:paraId="318E8235" w14:textId="77777777" w:rsidR="00D33C1D" w:rsidRPr="00D32B3E" w:rsidRDefault="00D33C1D" w:rsidP="00D33C1D">
      <w:pPr>
        <w:pStyle w:val="FootnoteText"/>
      </w:pPr>
      <w:r>
        <w:rPr>
          <w:rStyle w:val="FootnoteReference"/>
        </w:rPr>
        <w:footnoteRef/>
      </w:r>
      <w:r>
        <w:t xml:space="preserve"> Conformément à la lettre du 12 mars 2020 du ministère de la Protection de l’environnement et de l’Agriculture de la Géorgie au Secrétariat.</w:t>
      </w:r>
    </w:p>
  </w:footnote>
  <w:footnote w:id="2">
    <w:p w14:paraId="4325EE77" w14:textId="77777777" w:rsidR="00D33C1D" w:rsidRPr="00D32B3E" w:rsidRDefault="00D33C1D" w:rsidP="00D33C1D">
      <w:pPr>
        <w:pStyle w:val="FootnoteText"/>
      </w:pPr>
      <w:r>
        <w:rPr>
          <w:rStyle w:val="FootnoteReference"/>
        </w:rPr>
        <w:footnoteRef/>
      </w:r>
      <w:r>
        <w:t xml:space="preserve"> Informations à fournir liées aux projets de démonstration et aux projets pilotes à destination des utilisateurs finaux.</w:t>
      </w:r>
    </w:p>
  </w:footnote>
  <w:footnote w:id="3">
    <w:p w14:paraId="213A2273" w14:textId="77777777" w:rsidR="00D33C1D" w:rsidRPr="00D32B3E" w:rsidRDefault="00D33C1D" w:rsidP="00D33C1D">
      <w:pPr>
        <w:pStyle w:val="FootnoteText"/>
        <w:jc w:val="both"/>
      </w:pPr>
      <w:r>
        <w:rPr>
          <w:rStyle w:val="FootnoteReference"/>
        </w:rPr>
        <w:footnoteRef/>
      </w:r>
      <w:r>
        <w:t xml:space="preserve"> La </w:t>
      </w:r>
      <w:r w:rsidR="00EF1CD5">
        <w:t>d</w:t>
      </w:r>
      <w:r>
        <w:t>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B157D" w14:textId="77777777" w:rsidR="00A567C1" w:rsidRDefault="00A567C1" w:rsidP="00A567C1">
    <w:pPr>
      <w:pStyle w:val="Header"/>
    </w:pPr>
    <w:r>
      <w:fldChar w:fldCharType="begin"/>
    </w:r>
    <w:r>
      <w:instrText xml:space="preserve"> DOCPROPERTY "Document number"  \* MERGEFORMAT </w:instrText>
    </w:r>
    <w:r>
      <w:fldChar w:fldCharType="separate"/>
    </w:r>
    <w:r>
      <w:t>UNEP/</w:t>
    </w:r>
    <w:proofErr w:type="spellStart"/>
    <w:r>
      <w:t>OzL.Pro</w:t>
    </w:r>
    <w:proofErr w:type="spellEnd"/>
    <w:r>
      <w:t>/ExCom/85/27</w:t>
    </w:r>
    <w:r>
      <w:fldChar w:fldCharType="end"/>
    </w:r>
  </w:p>
  <w:p w14:paraId="5CA41FFE" w14:textId="77777777" w:rsidR="00A567C1" w:rsidRDefault="00A567C1" w:rsidP="00A567C1">
    <w:pPr>
      <w:pStyle w:val="Header"/>
    </w:pPr>
  </w:p>
  <w:p w14:paraId="1F6C4D55" w14:textId="77777777" w:rsidR="00A567C1" w:rsidRPr="00A567C1" w:rsidRDefault="00A567C1" w:rsidP="00A56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B3EA1" w14:textId="77777777" w:rsidR="00A567C1" w:rsidRDefault="00A567C1" w:rsidP="00E1514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/ExCom/85/27</w:t>
    </w:r>
    <w:r>
      <w:fldChar w:fldCharType="end"/>
    </w:r>
  </w:p>
  <w:p w14:paraId="0B9E7C5C" w14:textId="77777777" w:rsidR="00A567C1" w:rsidRDefault="00A567C1">
    <w:pPr>
      <w:pStyle w:val="Header"/>
    </w:pPr>
  </w:p>
  <w:p w14:paraId="5A158F0A" w14:textId="77777777" w:rsidR="00A567C1" w:rsidRDefault="00A56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ACC54" w14:textId="77777777" w:rsidR="00E1514B" w:rsidRDefault="00E151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63474" w14:textId="77777777" w:rsidR="00ED3866" w:rsidRDefault="00ED3866" w:rsidP="00A567C1">
    <w:pPr>
      <w:pStyle w:val="Header"/>
    </w:pPr>
    <w:r>
      <w:fldChar w:fldCharType="begin"/>
    </w:r>
    <w:r>
      <w:instrText xml:space="preserve"> DOCPROPERTY "Document number"  \* MERGEFORMAT </w:instrText>
    </w:r>
    <w:r>
      <w:fldChar w:fldCharType="separate"/>
    </w:r>
    <w:r>
      <w:t>UNEP/</w:t>
    </w:r>
    <w:proofErr w:type="spellStart"/>
    <w:r>
      <w:t>OzL.Pro</w:t>
    </w:r>
    <w:proofErr w:type="spellEnd"/>
    <w:r>
      <w:t>/ExCom/85/27</w:t>
    </w:r>
    <w:r>
      <w:fldChar w:fldCharType="end"/>
    </w:r>
  </w:p>
  <w:p w14:paraId="3087332A" w14:textId="77777777" w:rsidR="00ED3866" w:rsidRDefault="00ED3866" w:rsidP="00A567C1">
    <w:pPr>
      <w:pStyle w:val="Header"/>
    </w:pPr>
  </w:p>
  <w:p w14:paraId="4DC290D3" w14:textId="77777777" w:rsidR="00ED3866" w:rsidRPr="00A567C1" w:rsidRDefault="00ED3866" w:rsidP="00A567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4914D" w14:textId="77777777" w:rsidR="00ED3866" w:rsidRDefault="00ED38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9BB"/>
    <w:rsid w:val="000407AC"/>
    <w:rsid w:val="000F6C8E"/>
    <w:rsid w:val="00125F83"/>
    <w:rsid w:val="001C3D0C"/>
    <w:rsid w:val="001D4CE7"/>
    <w:rsid w:val="00265AF0"/>
    <w:rsid w:val="002775DE"/>
    <w:rsid w:val="002F0B57"/>
    <w:rsid w:val="0035747A"/>
    <w:rsid w:val="003A0CA4"/>
    <w:rsid w:val="003A68FC"/>
    <w:rsid w:val="00441083"/>
    <w:rsid w:val="004C2C87"/>
    <w:rsid w:val="004E3A36"/>
    <w:rsid w:val="005B3CAD"/>
    <w:rsid w:val="005C278F"/>
    <w:rsid w:val="005F79BB"/>
    <w:rsid w:val="00605093"/>
    <w:rsid w:val="006B387F"/>
    <w:rsid w:val="007034FA"/>
    <w:rsid w:val="0075750B"/>
    <w:rsid w:val="00821435"/>
    <w:rsid w:val="008A31BD"/>
    <w:rsid w:val="008E3A0C"/>
    <w:rsid w:val="0091161A"/>
    <w:rsid w:val="009666A1"/>
    <w:rsid w:val="00972E99"/>
    <w:rsid w:val="009A5180"/>
    <w:rsid w:val="00A567C1"/>
    <w:rsid w:val="00AC013C"/>
    <w:rsid w:val="00AE63D8"/>
    <w:rsid w:val="00B811F2"/>
    <w:rsid w:val="00BC3C7D"/>
    <w:rsid w:val="00C27322"/>
    <w:rsid w:val="00C6443E"/>
    <w:rsid w:val="00D018D5"/>
    <w:rsid w:val="00D33C1D"/>
    <w:rsid w:val="00D7654A"/>
    <w:rsid w:val="00DB4E64"/>
    <w:rsid w:val="00DC6C7E"/>
    <w:rsid w:val="00DD3433"/>
    <w:rsid w:val="00DD415A"/>
    <w:rsid w:val="00E1514B"/>
    <w:rsid w:val="00E348C6"/>
    <w:rsid w:val="00E5211B"/>
    <w:rsid w:val="00E54871"/>
    <w:rsid w:val="00E60D9C"/>
    <w:rsid w:val="00EB2067"/>
    <w:rsid w:val="00ED3866"/>
    <w:rsid w:val="00EF1CD5"/>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D0DDA"/>
  <w15:docId w15:val="{5B98F8F7-5515-47C1-BA51-232E2EA8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List Paragraph1,List Paragraph (numbered (a)),Lapis Bulleted List,WB Para,List Square,маркированный,Bullets,Akapit z listą BS,Абзац списка1,List 100s,References,WB List Paragraph,Dot pt,F5 List Paragraph,Indicator Text,L"/>
    <w:basedOn w:val="Normal"/>
    <w:link w:val="ListParagraphChar"/>
    <w:uiPriority w:val="34"/>
    <w:qFormat/>
    <w:rsid w:val="00D33C1D"/>
    <w:pPr>
      <w:ind w:left="720"/>
      <w:contextualSpacing/>
      <w:jc w:val="left"/>
    </w:pPr>
    <w:rPr>
      <w:sz w:val="24"/>
      <w:szCs w:val="24"/>
      <w:lang w:val="fr-FR" w:eastAsia="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33C1D"/>
    <w:pPr>
      <w:jc w:val="left"/>
    </w:pPr>
    <w:rPr>
      <w:sz w:val="20"/>
      <w:szCs w:val="20"/>
      <w:lang w:val="fr-FR" w:eastAsia="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33C1D"/>
    <w:rPr>
      <w:lang w:val="fr-FR" w:eastAsia="en-GB"/>
    </w:rPr>
  </w:style>
  <w:style w:type="character" w:styleId="FootnoteReference">
    <w:name w:val="footnote reference"/>
    <w:aliases w:val="Footnote Text1,Footnote Text2,Footnote text"/>
    <w:basedOn w:val="DefaultParagraphFont"/>
    <w:uiPriority w:val="99"/>
    <w:unhideWhenUsed/>
    <w:rsid w:val="00D33C1D"/>
    <w:rPr>
      <w:vertAlign w:val="superscript"/>
    </w:rPr>
  </w:style>
  <w:style w:type="character" w:customStyle="1" w:styleId="ListParagraphChar">
    <w:name w:val="List Paragraph Char"/>
    <w:aliases w:val="List Paragraph1 Char,List Paragraph (numbered (a)) Char,Lapis Bulleted List Char,WB Para Char,List Square Char,маркированный Char,Bullets Char,Akapit z listą BS Char,Абзац списка1 Char,List 100s Char,References Char,Dot pt Char"/>
    <w:link w:val="ListParagraph"/>
    <w:uiPriority w:val="34"/>
    <w:locked/>
    <w:rsid w:val="00D33C1D"/>
    <w:rPr>
      <w:sz w:val="24"/>
      <w:szCs w:val="24"/>
      <w:lang w:val="fr-FR" w:eastAsia="en-GB"/>
    </w:rPr>
  </w:style>
  <w:style w:type="character" w:styleId="PageNumber">
    <w:name w:val="page number"/>
    <w:basedOn w:val="DefaultParagraphFont"/>
    <w:uiPriority w:val="99"/>
    <w:semiHidden/>
    <w:unhideWhenUsed/>
    <w:rsid w:val="00A56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5\200507%20-%208527\Commande\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UNEP/OzL.Pro/ExCom/85/27</Document_x0020_Number>
  </documentManagement>
</p:properties>
</file>

<file path=customXml/itemProps1.xml><?xml version="1.0" encoding="utf-8"?>
<ds:datastoreItem xmlns:ds="http://schemas.openxmlformats.org/officeDocument/2006/customXml" ds:itemID="{F196EE75-82B2-4054-8FC5-A2D55921430B}"/>
</file>

<file path=customXml/itemProps2.xml><?xml version="1.0" encoding="utf-8"?>
<ds:datastoreItem xmlns:ds="http://schemas.openxmlformats.org/officeDocument/2006/customXml" ds:itemID="{76D0DA57-1964-4A19-874E-53C650A0024E}"/>
</file>

<file path=customXml/itemProps3.xml><?xml version="1.0" encoding="utf-8"?>
<ds:datastoreItem xmlns:ds="http://schemas.openxmlformats.org/officeDocument/2006/customXml" ds:itemID="{E28464E3-587D-4FB1-8C51-63430BF24D38}"/>
</file>

<file path=customXml/itemProps4.xml><?xml version="1.0" encoding="utf-8"?>
<ds:datastoreItem xmlns:ds="http://schemas.openxmlformats.org/officeDocument/2006/customXml" ds:itemID="{404CA073-AAA8-47AB-9CC2-311B60EC52AA}"/>
</file>

<file path=docProps/app.xml><?xml version="1.0" encoding="utf-8"?>
<Properties xmlns="http://schemas.openxmlformats.org/officeDocument/2006/extended-properties" xmlns:vt="http://schemas.openxmlformats.org/officeDocument/2006/docPropsVTypes">
  <Template>F85-Template</Template>
  <TotalTime>13</TotalTime>
  <Pages>8</Pages>
  <Words>3222</Words>
  <Characters>18371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Proposition de projet: Géorgie</vt:lpstr>
    </vt:vector>
  </TitlesOfParts>
  <Manager/>
  <Company>UNMFS</Company>
  <LinksUpToDate>false</LinksUpToDate>
  <CharactersWithSpaces>21550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Géorgie</dc:title>
  <dc:subject/>
  <dc:creator>Microsoft Office User</dc:creator>
  <cp:keywords/>
  <dc:description/>
  <cp:lastModifiedBy>Lynda</cp:lastModifiedBy>
  <cp:revision>6</cp:revision>
  <cp:lastPrinted>2001-05-26T16:40:00Z</cp:lastPrinted>
  <dcterms:created xsi:type="dcterms:W3CDTF">2020-05-21T00:42:00Z</dcterms:created>
  <dcterms:modified xsi:type="dcterms:W3CDTF">2020-05-28T15:46:00Z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UNEP/OzL.Pro/ExCom/85/27</vt:lpwstr>
  </property>
  <property fmtid="{D5CDD505-2E9C-101B-9397-08002B2CF9AE}" pid="3" name="Revision date">
    <vt:lpwstr>4 mai 2020</vt:lpwstr>
  </property>
  <property fmtid="{D5CDD505-2E9C-101B-9397-08002B2CF9AE}" pid="4" name="ContentTypeId">
    <vt:lpwstr>0x010100291B81A444E34248BBC988D4638CFC23</vt:lpwstr>
  </property>
</Properties>
</file>