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687EE7" w:rsidRPr="00687EE7" w14:paraId="53A6680B" w14:textId="77777777" w:rsidTr="009C59F7">
        <w:trPr>
          <w:trHeight w:val="720"/>
        </w:trPr>
        <w:tc>
          <w:tcPr>
            <w:tcW w:w="5490" w:type="dxa"/>
            <w:gridSpan w:val="2"/>
            <w:tcBorders>
              <w:bottom w:val="single" w:sz="18" w:space="0" w:color="auto"/>
            </w:tcBorders>
          </w:tcPr>
          <w:p w14:paraId="75E17DFD" w14:textId="77777777" w:rsidR="00C15867" w:rsidRPr="00687EE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bCs/>
                <w:sz w:val="28"/>
                <w:szCs w:val="28"/>
                <w:lang w:val="fr"/>
              </w:rPr>
              <w:t>NATIONS</w:t>
            </w:r>
            <w:r>
              <w:rPr>
                <w:rFonts w:ascii="Univers" w:hAnsi="Univers"/>
                <w:sz w:val="28"/>
                <w:szCs w:val="28"/>
                <w:lang w:val="fr"/>
              </w:rPr>
              <w:br/>
            </w:r>
            <w:r>
              <w:rPr>
                <w:rFonts w:ascii="Univers" w:hAnsi="Univers"/>
                <w:b/>
                <w:bCs/>
                <w:sz w:val="28"/>
                <w:szCs w:val="28"/>
                <w:lang w:val="fr"/>
              </w:rPr>
              <w:t>UNIES</w:t>
            </w:r>
          </w:p>
        </w:tc>
        <w:tc>
          <w:tcPr>
            <w:tcW w:w="4590" w:type="dxa"/>
            <w:tcBorders>
              <w:bottom w:val="single" w:sz="18" w:space="0" w:color="auto"/>
            </w:tcBorders>
          </w:tcPr>
          <w:p w14:paraId="66AB45EC" w14:textId="77777777" w:rsidR="00C15867" w:rsidRPr="00687EE7" w:rsidRDefault="00C15867" w:rsidP="009C59F7">
            <w:pPr>
              <w:jc w:val="right"/>
              <w:rPr>
                <w:sz w:val="52"/>
                <w:szCs w:val="52"/>
              </w:rPr>
            </w:pPr>
            <w:r>
              <w:rPr>
                <w:rFonts w:ascii="Univers Bold" w:hAnsi="Univers Bold"/>
                <w:b/>
                <w:bCs/>
                <w:sz w:val="72"/>
                <w:lang w:val="fr"/>
              </w:rPr>
              <w:t>EP</w:t>
            </w:r>
          </w:p>
        </w:tc>
      </w:tr>
      <w:tr w:rsidR="00687EE7" w:rsidRPr="00687EE7" w14:paraId="08072A2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1F24AC2" w14:textId="77777777" w:rsidR="00C15867" w:rsidRPr="00687EE7" w:rsidRDefault="00E52838" w:rsidP="009C59F7">
            <w:pPr>
              <w:spacing w:before="120"/>
            </w:pPr>
            <w:r>
              <w:rPr>
                <w:noProof/>
                <w:lang w:val="fr"/>
              </w:rPr>
              <mc:AlternateContent>
                <mc:Choice Requires="wpg">
                  <w:drawing>
                    <wp:anchor distT="0" distB="0" distL="114300" distR="114300" simplePos="0" relativeHeight="251660288" behindDoc="0" locked="0" layoutInCell="1" allowOverlap="1" wp14:anchorId="600E4E27" wp14:editId="1FD9177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E"/>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82704E5"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24714FF" w14:textId="77777777" w:rsidR="002676CE" w:rsidRDefault="002676CE"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bCs/>
                <w:sz w:val="32"/>
                <w:lang w:val="fr"/>
              </w:rPr>
            </w:pPr>
          </w:p>
          <w:p w14:paraId="372AC95F" w14:textId="60B60768" w:rsidR="00C15867" w:rsidRPr="00455EF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Pr>
                <w:rFonts w:ascii="Univers" w:hAnsi="Univers"/>
                <w:b/>
                <w:bCs/>
                <w:sz w:val="32"/>
                <w:lang w:val="fr"/>
              </w:rPr>
              <w:t>Programme des</w:t>
            </w:r>
          </w:p>
          <w:p w14:paraId="7F7C13A1" w14:textId="77777777" w:rsidR="00C15867" w:rsidRPr="00455EF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Pr>
                <w:rFonts w:ascii="Univers" w:hAnsi="Univers"/>
                <w:b/>
                <w:bCs/>
                <w:sz w:val="32"/>
                <w:lang w:val="fr"/>
              </w:rPr>
              <w:t>Nations Unies pour</w:t>
            </w:r>
          </w:p>
          <w:p w14:paraId="560A0AB0" w14:textId="77777777" w:rsidR="00C15867" w:rsidRPr="00455EF6"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Pr>
                <w:rFonts w:ascii="Univers" w:hAnsi="Univers"/>
                <w:b/>
                <w:bCs/>
                <w:sz w:val="32"/>
                <w:lang w:val="fr"/>
              </w:rPr>
              <w:t>l’environnement</w:t>
            </w:r>
          </w:p>
          <w:p w14:paraId="5A48DDE0" w14:textId="77777777" w:rsidR="00C15867" w:rsidRPr="00455EF6" w:rsidRDefault="00C15867" w:rsidP="009C59F7">
            <w:pPr>
              <w:spacing w:before="720"/>
              <w:ind w:left="158"/>
              <w:rPr>
                <w:lang w:val="fr-FR"/>
              </w:rPr>
            </w:pPr>
          </w:p>
        </w:tc>
        <w:tc>
          <w:tcPr>
            <w:tcW w:w="4590" w:type="dxa"/>
            <w:tcBorders>
              <w:top w:val="nil"/>
              <w:left w:val="nil"/>
              <w:bottom w:val="single" w:sz="36" w:space="0" w:color="auto"/>
              <w:right w:val="nil"/>
            </w:tcBorders>
          </w:tcPr>
          <w:p w14:paraId="7F095039" w14:textId="77777777" w:rsidR="002676CE" w:rsidRDefault="002676CE" w:rsidP="009C59F7">
            <w:pPr>
              <w:rPr>
                <w:lang w:val="fr"/>
              </w:rPr>
            </w:pPr>
          </w:p>
          <w:p w14:paraId="3874AF58" w14:textId="3BFD49E9" w:rsidR="00C15867" w:rsidRPr="008565FC" w:rsidRDefault="00C15867" w:rsidP="009C59F7">
            <w:pPr>
              <w:rPr>
                <w:lang w:val="fr-FR"/>
              </w:rPr>
            </w:pPr>
            <w:proofErr w:type="spellStart"/>
            <w:r>
              <w:rPr>
                <w:lang w:val="fr"/>
              </w:rPr>
              <w:t>Distr</w:t>
            </w:r>
            <w:proofErr w:type="spellEnd"/>
            <w:r>
              <w:rPr>
                <w:lang w:val="fr"/>
              </w:rPr>
              <w:t>.</w:t>
            </w:r>
          </w:p>
          <w:p w14:paraId="6F779C0E" w14:textId="77777777" w:rsidR="00923540" w:rsidRPr="008565FC" w:rsidRDefault="00923540" w:rsidP="00923540">
            <w:pPr>
              <w:rPr>
                <w:lang w:val="fr-FR"/>
              </w:rPr>
            </w:pPr>
            <w:r>
              <w:rPr>
                <w:lang w:val="fr"/>
              </w:rPr>
              <w:t>GÉNÉRALE</w:t>
            </w:r>
          </w:p>
          <w:p w14:paraId="64345B7E" w14:textId="77777777" w:rsidR="00C15867" w:rsidRPr="008565FC" w:rsidRDefault="00C15867" w:rsidP="009C59F7">
            <w:pPr>
              <w:rPr>
                <w:lang w:val="fr-FR"/>
              </w:rPr>
            </w:pPr>
          </w:p>
          <w:p w14:paraId="47A6E19E" w14:textId="7076BACA" w:rsidR="00C15867" w:rsidRPr="00455EF6" w:rsidRDefault="00A8039C" w:rsidP="009C59F7">
            <w:pPr>
              <w:rPr>
                <w:lang w:val="fr-FR"/>
              </w:rPr>
            </w:pPr>
            <w:r>
              <w:rPr>
                <w:lang w:val="fr"/>
              </w:rPr>
              <w:fldChar w:fldCharType="begin"/>
            </w:r>
            <w:r>
              <w:rPr>
                <w:lang w:val="fr"/>
              </w:rPr>
              <w:instrText xml:space="preserve"> DOCPROPERTY "Document number"  \* MERGEFORMAT </w:instrText>
            </w:r>
            <w:r>
              <w:rPr>
                <w:lang w:val="fr"/>
              </w:rPr>
              <w:fldChar w:fldCharType="separate"/>
            </w:r>
            <w:r>
              <w:rPr>
                <w:lang w:val="fr"/>
              </w:rPr>
              <w:t>UNEP/</w:t>
            </w:r>
            <w:proofErr w:type="spellStart"/>
            <w:r>
              <w:rPr>
                <w:lang w:val="fr"/>
              </w:rPr>
              <w:t>OzL.Pro</w:t>
            </w:r>
            <w:proofErr w:type="spellEnd"/>
            <w:r>
              <w:rPr>
                <w:lang w:val="fr"/>
              </w:rPr>
              <w:t>/</w:t>
            </w:r>
            <w:proofErr w:type="spellStart"/>
            <w:r>
              <w:rPr>
                <w:lang w:val="fr"/>
              </w:rPr>
              <w:t>ExCom</w:t>
            </w:r>
            <w:proofErr w:type="spellEnd"/>
            <w:r>
              <w:rPr>
                <w:lang w:val="fr"/>
              </w:rPr>
              <w:t>/93/101</w:t>
            </w:r>
            <w:r>
              <w:rPr>
                <w:lang w:val="fr"/>
              </w:rPr>
              <w:fldChar w:fldCharType="end"/>
            </w:r>
          </w:p>
          <w:p w14:paraId="682A3300" w14:textId="600091C6" w:rsidR="00C15867" w:rsidRPr="00455EF6" w:rsidRDefault="00BC2495" w:rsidP="009C59F7">
            <w:pPr>
              <w:rPr>
                <w:lang w:val="fr-FR"/>
              </w:rPr>
            </w:pPr>
            <w:r>
              <w:rPr>
                <w:lang w:val="fr"/>
              </w:rPr>
              <w:fldChar w:fldCharType="begin"/>
            </w:r>
            <w:r>
              <w:rPr>
                <w:lang w:val="fr"/>
              </w:rPr>
              <w:instrText xml:space="preserve"> DOCPROPERTY "Revision date" \@ "d MMMM YYYY"  \* MERGEFORMAT </w:instrText>
            </w:r>
            <w:r>
              <w:rPr>
                <w:lang w:val="fr"/>
              </w:rPr>
              <w:fldChar w:fldCharType="separate"/>
            </w:r>
            <w:r>
              <w:rPr>
                <w:lang w:val="fr"/>
              </w:rPr>
              <w:t>30 novembre 2023</w:t>
            </w:r>
            <w:r>
              <w:rPr>
                <w:lang w:val="fr"/>
              </w:rPr>
              <w:fldChar w:fldCharType="end"/>
            </w:r>
          </w:p>
          <w:p w14:paraId="35F38794" w14:textId="77777777" w:rsidR="00C15867" w:rsidRPr="00455EF6" w:rsidRDefault="00C15867" w:rsidP="009C59F7">
            <w:pPr>
              <w:rPr>
                <w:caps/>
                <w:lang w:val="fr-FR"/>
              </w:rPr>
            </w:pPr>
          </w:p>
          <w:p w14:paraId="594D98EA" w14:textId="77777777" w:rsidR="00455EF6" w:rsidRDefault="00C15867" w:rsidP="009C59F7">
            <w:pPr>
              <w:rPr>
                <w:lang w:val="fr"/>
              </w:rPr>
            </w:pPr>
            <w:r>
              <w:rPr>
                <w:lang w:val="fr"/>
              </w:rPr>
              <w:t xml:space="preserve">FRANÇAIS </w:t>
            </w:r>
          </w:p>
          <w:p w14:paraId="5AA506EA" w14:textId="3469C8EA" w:rsidR="00C15867" w:rsidRPr="00687EE7" w:rsidRDefault="00C15867" w:rsidP="009C59F7">
            <w:r>
              <w:rPr>
                <w:lang w:val="fr"/>
              </w:rPr>
              <w:t>ORIGINAL : ANGLAIS</w:t>
            </w:r>
          </w:p>
        </w:tc>
      </w:tr>
    </w:tbl>
    <w:p w14:paraId="15E910A2" w14:textId="77777777" w:rsidR="00CA59FB" w:rsidRPr="00455EF6" w:rsidRDefault="00C15867" w:rsidP="00CA59FB">
      <w:pPr>
        <w:jc w:val="left"/>
        <w:rPr>
          <w:lang w:val="fr-FR"/>
        </w:rPr>
      </w:pPr>
      <w:r>
        <w:rPr>
          <w:lang w:val="fr"/>
        </w:rPr>
        <w:t>COMITÉ EXÉCUTIF</w:t>
      </w:r>
      <w:r>
        <w:rPr>
          <w:lang w:val="fr"/>
        </w:rPr>
        <w:br/>
        <w:t xml:space="preserve">  DU FONDS MULTILATÉRAL AUX FINS</w:t>
      </w:r>
      <w:r>
        <w:rPr>
          <w:lang w:val="fr"/>
        </w:rPr>
        <w:br/>
        <w:t xml:space="preserve">  D’APPLICATION DU PROTOCOLE DE MONTRÉAL</w:t>
      </w:r>
      <w:r>
        <w:rPr>
          <w:lang w:val="fr"/>
        </w:rPr>
        <w:br/>
        <w:t>Quatre-vingt-treizième réunion</w:t>
      </w:r>
    </w:p>
    <w:p w14:paraId="292FD0FF" w14:textId="77777777" w:rsidR="00CA59FB" w:rsidRPr="00455EF6" w:rsidRDefault="00CA59FB" w:rsidP="00CA59FB">
      <w:pPr>
        <w:jc w:val="left"/>
        <w:rPr>
          <w:lang w:val="fr-FR"/>
        </w:rPr>
      </w:pPr>
      <w:r>
        <w:rPr>
          <w:lang w:val="fr"/>
        </w:rPr>
        <w:t>Montréal, 15-19 décembre 2023</w:t>
      </w:r>
    </w:p>
    <w:p w14:paraId="2A719EAE" w14:textId="0D08FC22" w:rsidR="0079781A" w:rsidRPr="00455EF6" w:rsidRDefault="0079781A" w:rsidP="0079781A">
      <w:pPr>
        <w:jc w:val="left"/>
        <w:rPr>
          <w:lang w:val="fr-FR"/>
        </w:rPr>
      </w:pPr>
      <w:r>
        <w:rPr>
          <w:lang w:val="fr"/>
        </w:rPr>
        <w:t>Point 11 de l’ordre du jour provisoire</w:t>
      </w:r>
      <w:r>
        <w:rPr>
          <w:rStyle w:val="FootnoteReference"/>
          <w:lang w:val="fr"/>
        </w:rPr>
        <w:footnoteReference w:id="1"/>
      </w:r>
    </w:p>
    <w:p w14:paraId="63E13D18" w14:textId="77777777" w:rsidR="00C15867" w:rsidRPr="00455EF6" w:rsidRDefault="00C15867" w:rsidP="00CA59FB">
      <w:pPr>
        <w:jc w:val="left"/>
        <w:rPr>
          <w:lang w:val="fr-FR"/>
        </w:rPr>
      </w:pPr>
    </w:p>
    <w:p w14:paraId="52F1B149" w14:textId="7FEA3635" w:rsidR="00066CE8" w:rsidRPr="00455EF6" w:rsidRDefault="00066CE8" w:rsidP="007F4FCC">
      <w:pPr>
        <w:pStyle w:val="Heading5"/>
        <w:numPr>
          <w:ilvl w:val="0"/>
          <w:numId w:val="0"/>
        </w:numPr>
        <w:rPr>
          <w:lang w:val="fr-FR"/>
        </w:rPr>
      </w:pPr>
    </w:p>
    <w:p w14:paraId="5B592197" w14:textId="73D962D8" w:rsidR="008565FC" w:rsidRPr="00E1444C" w:rsidRDefault="007F4FCC" w:rsidP="00E1444C">
      <w:pPr>
        <w:jc w:val="center"/>
        <w:rPr>
          <w:b/>
          <w:bCs/>
          <w:lang w:val="fr"/>
        </w:rPr>
      </w:pPr>
      <w:r>
        <w:rPr>
          <w:b/>
          <w:bCs/>
          <w:lang w:val="fr"/>
        </w:rPr>
        <w:t>EXAMEN DU RÉGIME DES COÛTS ADMINISTRATIFS DU FONDS MULTILATÉRAL (décisions 88/74 c) et 91/67 b))</w:t>
      </w:r>
    </w:p>
    <w:p w14:paraId="34098556" w14:textId="77777777" w:rsidR="007F4FCC" w:rsidRPr="00455EF6" w:rsidRDefault="007F4FCC" w:rsidP="007F4FCC">
      <w:pPr>
        <w:rPr>
          <w:lang w:val="fr-FR"/>
        </w:rPr>
      </w:pPr>
    </w:p>
    <w:p w14:paraId="6C4D10C7" w14:textId="77777777" w:rsidR="007F4FCC" w:rsidRPr="00455EF6" w:rsidRDefault="007F4FCC" w:rsidP="007F4FCC">
      <w:pPr>
        <w:jc w:val="left"/>
        <w:rPr>
          <w:lang w:val="fr-FR"/>
        </w:rPr>
      </w:pPr>
    </w:p>
    <w:p w14:paraId="638988A5" w14:textId="77777777" w:rsidR="007F4FCC" w:rsidRPr="00687EE7" w:rsidRDefault="007F4FCC" w:rsidP="007F4FCC">
      <w:pPr>
        <w:spacing w:after="240"/>
        <w:rPr>
          <w:b/>
          <w:sz w:val="24"/>
          <w:szCs w:val="24"/>
        </w:rPr>
      </w:pPr>
      <w:r>
        <w:rPr>
          <w:b/>
          <w:bCs/>
          <w:sz w:val="24"/>
          <w:szCs w:val="24"/>
          <w:lang w:val="fr"/>
        </w:rPr>
        <w:t>Introduction</w:t>
      </w:r>
    </w:p>
    <w:p w14:paraId="2E4C0094" w14:textId="77777777" w:rsidR="007F4FCC" w:rsidRPr="00455EF6" w:rsidRDefault="007F4FCC" w:rsidP="00D51323">
      <w:pPr>
        <w:pStyle w:val="Heading1"/>
        <w:rPr>
          <w:lang w:val="fr-FR"/>
        </w:rPr>
      </w:pPr>
      <w:r>
        <w:rPr>
          <w:lang w:val="fr"/>
        </w:rPr>
        <w:t>À sa 88</w:t>
      </w:r>
      <w:r>
        <w:rPr>
          <w:vertAlign w:val="superscript"/>
          <w:lang w:val="fr"/>
        </w:rPr>
        <w:t>e</w:t>
      </w:r>
      <w:r>
        <w:rPr>
          <w:lang w:val="fr"/>
        </w:rPr>
        <w:t> réunion, le Comité exécutif a demandé au Secrétariat de présenter, lors de la dernière réunion de 2023, l’analyse du régime des coûts administratifs et du financement des coûts de base en tenant compte des décisions pertinentes du Comité exécutif, notamment celles qui seront prises jusqu’à l’avant-dernière réunion de 2023, à partir desquelles le Comité exécutif décidera s’il convient de maintenir le régime des coûts administratifs du Fonds multilatéral de la période triennale 2021-2023 pour la période triennale 2024-2026 (décision 88/74 c)).</w:t>
      </w:r>
    </w:p>
    <w:p w14:paraId="34BEF10D" w14:textId="77777777" w:rsidR="007F4FCC" w:rsidRPr="00455EF6" w:rsidRDefault="007F4FCC" w:rsidP="00D51323">
      <w:pPr>
        <w:pStyle w:val="Heading1"/>
        <w:rPr>
          <w:lang w:val="fr-FR"/>
        </w:rPr>
      </w:pPr>
      <w:r>
        <w:rPr>
          <w:lang w:val="fr"/>
        </w:rPr>
        <w:t>Depuis la 89</w:t>
      </w:r>
      <w:r>
        <w:rPr>
          <w:vertAlign w:val="superscript"/>
          <w:lang w:val="fr"/>
        </w:rPr>
        <w:t>e</w:t>
      </w:r>
      <w:r>
        <w:rPr>
          <w:lang w:val="fr"/>
        </w:rPr>
        <w:t xml:space="preserve"> réunion, le Comité exécutif a pris des décisions sur les niveaux de financement des projets de renforcement des institutions (décision 91/63), le niveau et les modalités de financement de la réduction progressive des HFC dans le secteur de l’entretien des équipements de réfrigération (décision 92/37), les moyens de donner effet au paragraphe 16 de la décision XXVIII/2 et le paragraphe 2 de la décision XXX/5 des Parties (décision 89/6), un guichet de financement pour fournir un appui aux pays visés à l’article 5 en vue de préparer un inventaire des banques de substances réglementées utilisées ou indésirables et un plan pour la collecte, le transport et l’élimination de ces substances (décision 91/66) et des projets pilotes pour maintenir et/ou améliorer l’efficacité énergétique des technologies et équipements de remplacement dans le contexte de la réduction progressive des HFC, y compris un guichet de financement pour de tels projets (décision 91/65). En outre, d’autres questions telles que le projet de directives sur le financement de l’élimination progressive des HFC, y compris l’examen de la mise en œuvre du paragraphe 24 de la décision XXVIII/2, les aspects relatifs au secteur de l’installation et de l’assemblage sur site et d’autres questions (par exemple, le cadre opérationnel pour le maintien et/ou l’amélioration de l’efficacité énergétique dans les secteurs de la fabrication et des services (décision 92/38)) sont en cours d’examen. Ces décisions pourront avoir une incidence directe sur les coûts administratifs perçus par les </w:t>
      </w:r>
      <w:r>
        <w:rPr>
          <w:lang w:val="fr"/>
        </w:rPr>
        <w:lastRenderedPageBreak/>
        <w:t xml:space="preserve">agences pour les projets approuvés, et donc sur la planification de leurs besoins organisationnels et opérationnels.  </w:t>
      </w:r>
    </w:p>
    <w:p w14:paraId="1C325DE9" w14:textId="77777777" w:rsidR="007F4FCC" w:rsidRPr="00455EF6" w:rsidRDefault="007F4FCC" w:rsidP="00D51323">
      <w:pPr>
        <w:pStyle w:val="Heading1"/>
        <w:rPr>
          <w:lang w:val="fr-FR"/>
        </w:rPr>
      </w:pPr>
      <w:r>
        <w:rPr>
          <w:lang w:val="fr"/>
        </w:rPr>
        <w:t>Lors de la trente-cinquième Réunion des Parties</w:t>
      </w:r>
      <w:r>
        <w:rPr>
          <w:rStyle w:val="FootnoteReference"/>
          <w:lang w:val="fr"/>
        </w:rPr>
        <w:footnoteReference w:id="2"/>
      </w:r>
      <w:r>
        <w:rPr>
          <w:lang w:val="fr"/>
        </w:rPr>
        <w:t xml:space="preserve">, le niveau de reconstitution des ressources pour la période triennale 2024-2026 a été fixé à 965 millions $US (décision XXXV/1). Ce niveau aura un impact sur les futurs plans d’activités des agences ainsi que sur les coûts d’appui administratif correspondants. </w:t>
      </w:r>
    </w:p>
    <w:p w14:paraId="5349737C" w14:textId="77777777" w:rsidR="007F4FCC" w:rsidRPr="00455EF6" w:rsidRDefault="007F4FCC" w:rsidP="00D51323">
      <w:pPr>
        <w:pStyle w:val="Heading1"/>
        <w:rPr>
          <w:lang w:val="fr-FR"/>
        </w:rPr>
      </w:pPr>
      <w:r>
        <w:rPr>
          <w:lang w:val="fr"/>
        </w:rPr>
        <w:t>Le Secrétariat a préparé le présent document en tenant compte des documents suivants :</w:t>
      </w:r>
    </w:p>
    <w:p w14:paraId="43E02C98" w14:textId="77777777" w:rsidR="007F4FCC" w:rsidRPr="00455EF6" w:rsidRDefault="007F4FCC" w:rsidP="00D51323">
      <w:pPr>
        <w:pStyle w:val="Heading2"/>
        <w:rPr>
          <w:lang w:val="fr-FR"/>
        </w:rPr>
      </w:pPr>
      <w:bookmarkStart w:id="0" w:name="_Hlk151486228"/>
      <w:r>
        <w:rPr>
          <w:lang w:val="fr"/>
        </w:rPr>
        <w:t>Le plan d’activités global du Fonds multilatéral pour 2024-2026</w:t>
      </w:r>
      <w:bookmarkEnd w:id="0"/>
      <w:r>
        <w:rPr>
          <w:rStyle w:val="FootnoteReference"/>
          <w:lang w:val="fr"/>
        </w:rPr>
        <w:footnoteReference w:id="3"/>
      </w:r>
      <w:r>
        <w:rPr>
          <w:lang w:val="fr"/>
        </w:rPr>
        <w:t>, qui sera présenté lors de la 93</w:t>
      </w:r>
      <w:r>
        <w:rPr>
          <w:vertAlign w:val="superscript"/>
          <w:lang w:val="fr"/>
        </w:rPr>
        <w:t>e</w:t>
      </w:r>
      <w:r>
        <w:rPr>
          <w:lang w:val="fr"/>
        </w:rPr>
        <w:t> réunion, afin d’évaluer le total des coûts d’appui disponibles aux agences d’exécution pour leurs opérations au cours de cette période, en notant qu’elles ont soumis leurs plans d’activités pour la période 2024-2026 avant la décision XXXV/1 relative au niveau de reconstitution des ressources pour la période triennale 2024-2026 ;</w:t>
      </w:r>
    </w:p>
    <w:p w14:paraId="0A1BA72D" w14:textId="77777777" w:rsidR="007F4FCC" w:rsidRPr="00455EF6" w:rsidRDefault="007F4FCC" w:rsidP="00D51323">
      <w:pPr>
        <w:pStyle w:val="Heading2"/>
        <w:rPr>
          <w:lang w:val="fr-FR"/>
        </w:rPr>
      </w:pPr>
      <w:r>
        <w:rPr>
          <w:lang w:val="fr"/>
        </w:rPr>
        <w:t>Le budget du Programme d’aide à la conformité (PAC) du PNUE et les budgets de base du PNUD, de l’ONUDI et de la Banque mondiale pour les années 2021, 2022 et 2023</w:t>
      </w:r>
      <w:r>
        <w:rPr>
          <w:rStyle w:val="FootnoteReference"/>
          <w:lang w:val="fr"/>
        </w:rPr>
        <w:footnoteReference w:id="4"/>
      </w:r>
      <w:r>
        <w:rPr>
          <w:lang w:val="fr"/>
        </w:rPr>
        <w:t> ;</w:t>
      </w:r>
    </w:p>
    <w:p w14:paraId="61E928A9" w14:textId="77777777" w:rsidR="007F4FCC" w:rsidRPr="00455EF6" w:rsidRDefault="007F4FCC" w:rsidP="00D51323">
      <w:pPr>
        <w:pStyle w:val="Heading2"/>
        <w:rPr>
          <w:lang w:val="fr-FR"/>
        </w:rPr>
      </w:pPr>
      <w:r>
        <w:rPr>
          <w:lang w:val="fr"/>
        </w:rPr>
        <w:t>L’analyse de la capacité des institutions du Fonds multilatéral à faire face à la réduction progressive des HFC a déjà été présentée à la 91</w:t>
      </w:r>
      <w:r>
        <w:rPr>
          <w:vertAlign w:val="superscript"/>
          <w:lang w:val="fr"/>
        </w:rPr>
        <w:t>e</w:t>
      </w:r>
      <w:r>
        <w:rPr>
          <w:lang w:val="fr"/>
        </w:rPr>
        <w:t> réunion.</w:t>
      </w:r>
      <w:r>
        <w:rPr>
          <w:rStyle w:val="FootnoteReference"/>
          <w:lang w:val="fr"/>
        </w:rPr>
        <w:footnoteReference w:id="5"/>
      </w:r>
      <w:r>
        <w:rPr>
          <w:lang w:val="fr"/>
        </w:rPr>
        <w:t xml:space="preserve"> À la suite des discussions susmentionnées, le Comité exécutif a demandé au Secrétariat de poursuivre les discussions avec les agences d’exécution sur leurs perspectives concernant les ressources supplémentaires nécessaires compte tenu de l’augmentation prévue de la charge de travail associée à la réduction progressive des HFC et de les prendre en compte dans son examen du régime des coûts administratifs du Fonds multilatéral, à soumettre lors de la 93</w:t>
      </w:r>
      <w:r>
        <w:rPr>
          <w:vertAlign w:val="superscript"/>
          <w:lang w:val="fr"/>
        </w:rPr>
        <w:t>e</w:t>
      </w:r>
      <w:r>
        <w:rPr>
          <w:lang w:val="fr"/>
        </w:rPr>
        <w:t> réunion (décision 91/67 b)).</w:t>
      </w:r>
    </w:p>
    <w:p w14:paraId="48C9C7E4" w14:textId="77777777" w:rsidR="007F4FCC" w:rsidRPr="00455EF6" w:rsidRDefault="007F4FCC" w:rsidP="00D51323">
      <w:pPr>
        <w:pStyle w:val="Heading1"/>
        <w:rPr>
          <w:lang w:val="fr-FR"/>
        </w:rPr>
      </w:pPr>
      <w:r>
        <w:rPr>
          <w:lang w:val="fr"/>
        </w:rPr>
        <w:t xml:space="preserve">Le Secrétariat a eu des discussions avec chacune des agences d’exécution sur les incidences sur le régime des coûts administratifs au cours de la période triennale 2024-2026 et a également cherché à obtenir des informations par le biais d’un questionnaire sur la façon dont les coûts d’appui du régime des coûts administratifs actuel sont gérés, sur l’impact des nouveaux projets qui devraient être soumis au cours de la prochaine période triennale, sur les besoins d’appui supplémentaire pour les pays, en notant que certains d’entre eux ont du mal à mettre en œuvre plusieurs activités (PGEH, plans de mise en œuvre de l’Amendement de Kigali pour les HFC (KIP), projets liés à l’efficacité énergétique, gestion des banques de SAO et HFC indésirables, etc.) et sur les capacités techniques des agences nécessaires pour fournir une assistance aux pays à faible consommation (PFC).  </w:t>
      </w:r>
    </w:p>
    <w:p w14:paraId="00065045" w14:textId="77777777" w:rsidR="007F4FCC" w:rsidRPr="00455EF6" w:rsidRDefault="007F4FCC" w:rsidP="007F4FCC">
      <w:pPr>
        <w:rPr>
          <w:b/>
          <w:sz w:val="24"/>
          <w:szCs w:val="24"/>
          <w:lang w:val="fr-FR"/>
        </w:rPr>
      </w:pPr>
      <w:r>
        <w:rPr>
          <w:b/>
          <w:bCs/>
          <w:sz w:val="24"/>
          <w:szCs w:val="24"/>
          <w:lang w:val="fr"/>
        </w:rPr>
        <w:t>Aperçu du régime des coûts administratifs du Fonds multilatéral</w:t>
      </w:r>
    </w:p>
    <w:p w14:paraId="0D4223C3" w14:textId="77777777" w:rsidR="007F4FCC" w:rsidRPr="00455EF6" w:rsidRDefault="007F4FCC" w:rsidP="007F4FCC">
      <w:pPr>
        <w:rPr>
          <w:b/>
          <w:lang w:val="fr-FR"/>
        </w:rPr>
      </w:pPr>
    </w:p>
    <w:p w14:paraId="3D62A843" w14:textId="77777777" w:rsidR="007F4FCC" w:rsidRPr="00455EF6" w:rsidRDefault="007F4FCC" w:rsidP="00D51323">
      <w:pPr>
        <w:pStyle w:val="Heading1"/>
        <w:rPr>
          <w:lang w:val="fr-FR"/>
        </w:rPr>
      </w:pPr>
      <w:r>
        <w:rPr>
          <w:lang w:val="fr"/>
        </w:rPr>
        <w:t>Depuis la création du Fonds multilatéral, les taux des coûts d’appui au programme, calculés en pourcentage des approbations de financement de projet par période triennale, ont généralement oscillé en dessous de 13 %</w:t>
      </w:r>
      <w:r>
        <w:rPr>
          <w:rStyle w:val="FootnoteReference"/>
          <w:lang w:val="fr"/>
        </w:rPr>
        <w:footnoteReference w:id="6"/>
      </w:r>
      <w:r>
        <w:rPr>
          <w:lang w:val="fr"/>
        </w:rPr>
        <w:t xml:space="preserve">, comme le montre le tableau 1. </w:t>
      </w:r>
    </w:p>
    <w:p w14:paraId="0CDDF139" w14:textId="77777777" w:rsidR="007F4FCC" w:rsidRPr="00455EF6" w:rsidRDefault="007F4FCC" w:rsidP="007F4FCC">
      <w:pPr>
        <w:widowControl w:val="0"/>
        <w:rPr>
          <w:b/>
          <w:lang w:val="fr-FR"/>
        </w:rPr>
      </w:pPr>
      <w:r>
        <w:rPr>
          <w:b/>
          <w:bCs/>
          <w:lang w:val="fr"/>
        </w:rPr>
        <w:lastRenderedPageBreak/>
        <w:t>Tableau 1. Pourcentage des coûts administratifs payés par le Fonds multilatéral par période triennale depuis 1991</w:t>
      </w:r>
      <w:r>
        <w:rPr>
          <w:rStyle w:val="FootnoteReference"/>
          <w:lang w:val="fr"/>
        </w:rPr>
        <w:footnoteReference w:id="7"/>
      </w:r>
    </w:p>
    <w:tbl>
      <w:tblPr>
        <w:tblW w:w="9450" w:type="dxa"/>
        <w:tblInd w:w="-5" w:type="dxa"/>
        <w:tblLayout w:type="fixed"/>
        <w:tblLook w:val="04A0" w:firstRow="1" w:lastRow="0" w:firstColumn="1" w:lastColumn="0" w:noHBand="0" w:noVBand="1"/>
      </w:tblPr>
      <w:tblGrid>
        <w:gridCol w:w="1096"/>
        <w:gridCol w:w="759"/>
        <w:gridCol w:w="759"/>
        <w:gridCol w:w="760"/>
        <w:gridCol w:w="759"/>
        <w:gridCol w:w="760"/>
        <w:gridCol w:w="759"/>
        <w:gridCol w:w="760"/>
        <w:gridCol w:w="759"/>
        <w:gridCol w:w="760"/>
        <w:gridCol w:w="759"/>
        <w:gridCol w:w="760"/>
      </w:tblGrid>
      <w:tr w:rsidR="00687EE7" w:rsidRPr="00687EE7" w14:paraId="28D7EFE2" w14:textId="77777777" w:rsidTr="00540C7D">
        <w:trPr>
          <w:trHeight w:val="152"/>
          <w:tblHeader/>
        </w:trPr>
        <w:tc>
          <w:tcPr>
            <w:tcW w:w="1096" w:type="dxa"/>
            <w:tcBorders>
              <w:top w:val="single" w:sz="4" w:space="0" w:color="auto"/>
              <w:left w:val="single" w:sz="4" w:space="0" w:color="auto"/>
              <w:bottom w:val="single" w:sz="4" w:space="0" w:color="auto"/>
              <w:right w:val="single" w:sz="4" w:space="0" w:color="auto"/>
            </w:tcBorders>
            <w:shd w:val="clear" w:color="auto" w:fill="auto"/>
            <w:noWrap/>
            <w:hideMark/>
          </w:tcPr>
          <w:p w14:paraId="397BC1AB" w14:textId="77777777" w:rsidR="007F4FCC" w:rsidRPr="00455EF6" w:rsidRDefault="007F4FCC" w:rsidP="00540C7D">
            <w:pPr>
              <w:keepNext/>
              <w:jc w:val="center"/>
              <w:rPr>
                <w:b/>
                <w:bCs/>
                <w:sz w:val="18"/>
                <w:szCs w:val="18"/>
                <w:lang w:val="fr-FR"/>
              </w:rPr>
            </w:pP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5BC18C2B" w14:textId="77777777" w:rsidR="007F4FCC" w:rsidRPr="00687EE7" w:rsidRDefault="007F4FCC" w:rsidP="00540C7D">
            <w:pPr>
              <w:keepNext/>
              <w:ind w:left="-120" w:right="-116"/>
              <w:jc w:val="center"/>
              <w:rPr>
                <w:b/>
                <w:bCs/>
                <w:sz w:val="18"/>
                <w:szCs w:val="18"/>
              </w:rPr>
            </w:pPr>
            <w:r>
              <w:rPr>
                <w:b/>
                <w:bCs/>
                <w:sz w:val="18"/>
                <w:szCs w:val="18"/>
                <w:lang w:val="fr"/>
              </w:rPr>
              <w:t>1991-1999</w:t>
            </w: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2B2B3FAA" w14:textId="77777777" w:rsidR="007F4FCC" w:rsidRPr="00687EE7" w:rsidRDefault="007F4FCC" w:rsidP="00540C7D">
            <w:pPr>
              <w:keepNext/>
              <w:ind w:left="-120" w:right="-116"/>
              <w:jc w:val="center"/>
              <w:rPr>
                <w:b/>
                <w:bCs/>
                <w:sz w:val="18"/>
                <w:szCs w:val="18"/>
              </w:rPr>
            </w:pPr>
            <w:r>
              <w:rPr>
                <w:b/>
                <w:bCs/>
                <w:sz w:val="18"/>
                <w:szCs w:val="18"/>
                <w:lang w:val="fr"/>
              </w:rPr>
              <w:t>2000-2002</w:t>
            </w:r>
          </w:p>
        </w:tc>
        <w:tc>
          <w:tcPr>
            <w:tcW w:w="76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353621C5" w14:textId="77777777" w:rsidR="007F4FCC" w:rsidRPr="00687EE7" w:rsidRDefault="007F4FCC" w:rsidP="00540C7D">
            <w:pPr>
              <w:keepNext/>
              <w:ind w:left="-120" w:right="-116"/>
              <w:jc w:val="center"/>
              <w:rPr>
                <w:b/>
                <w:bCs/>
                <w:sz w:val="18"/>
                <w:szCs w:val="18"/>
              </w:rPr>
            </w:pPr>
            <w:r>
              <w:rPr>
                <w:b/>
                <w:bCs/>
                <w:sz w:val="18"/>
                <w:szCs w:val="18"/>
                <w:lang w:val="fr"/>
              </w:rPr>
              <w:t>2003-2005</w:t>
            </w: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78BA4134" w14:textId="77777777" w:rsidR="007F4FCC" w:rsidRPr="00687EE7" w:rsidRDefault="007F4FCC" w:rsidP="00540C7D">
            <w:pPr>
              <w:keepNext/>
              <w:ind w:left="-120" w:right="-116"/>
              <w:jc w:val="center"/>
              <w:rPr>
                <w:b/>
                <w:bCs/>
                <w:sz w:val="18"/>
                <w:szCs w:val="18"/>
              </w:rPr>
            </w:pPr>
            <w:r>
              <w:rPr>
                <w:b/>
                <w:bCs/>
                <w:sz w:val="18"/>
                <w:szCs w:val="18"/>
                <w:lang w:val="fr"/>
              </w:rPr>
              <w:t>2006-2008</w:t>
            </w:r>
          </w:p>
        </w:tc>
        <w:tc>
          <w:tcPr>
            <w:tcW w:w="76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1C646267" w14:textId="77777777" w:rsidR="007F4FCC" w:rsidRPr="00687EE7" w:rsidRDefault="007F4FCC" w:rsidP="00540C7D">
            <w:pPr>
              <w:keepNext/>
              <w:ind w:left="-120" w:right="-116"/>
              <w:jc w:val="center"/>
              <w:rPr>
                <w:b/>
                <w:bCs/>
                <w:sz w:val="18"/>
                <w:szCs w:val="18"/>
              </w:rPr>
            </w:pPr>
            <w:r>
              <w:rPr>
                <w:b/>
                <w:bCs/>
                <w:sz w:val="18"/>
                <w:szCs w:val="18"/>
                <w:lang w:val="fr"/>
              </w:rPr>
              <w:t>2009-2011</w:t>
            </w: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521FBC4B" w14:textId="77777777" w:rsidR="007F4FCC" w:rsidRPr="00687EE7" w:rsidRDefault="007F4FCC" w:rsidP="00540C7D">
            <w:pPr>
              <w:keepNext/>
              <w:ind w:left="-120" w:right="-116"/>
              <w:jc w:val="center"/>
              <w:rPr>
                <w:b/>
                <w:bCs/>
                <w:sz w:val="18"/>
                <w:szCs w:val="18"/>
              </w:rPr>
            </w:pPr>
            <w:r>
              <w:rPr>
                <w:b/>
                <w:bCs/>
                <w:sz w:val="18"/>
                <w:szCs w:val="18"/>
                <w:lang w:val="fr"/>
              </w:rPr>
              <w:t>2012-2014</w:t>
            </w:r>
          </w:p>
        </w:tc>
        <w:tc>
          <w:tcPr>
            <w:tcW w:w="76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26876FE6" w14:textId="77777777" w:rsidR="007F4FCC" w:rsidRPr="00687EE7" w:rsidRDefault="007F4FCC" w:rsidP="00540C7D">
            <w:pPr>
              <w:keepNext/>
              <w:ind w:left="-120" w:right="-116"/>
              <w:jc w:val="center"/>
              <w:rPr>
                <w:b/>
                <w:bCs/>
                <w:sz w:val="18"/>
                <w:szCs w:val="18"/>
              </w:rPr>
            </w:pPr>
            <w:r>
              <w:rPr>
                <w:b/>
                <w:bCs/>
                <w:sz w:val="18"/>
                <w:szCs w:val="18"/>
                <w:lang w:val="fr"/>
              </w:rPr>
              <w:t>2015-2017</w:t>
            </w: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34DC9E8D" w14:textId="77777777" w:rsidR="007F4FCC" w:rsidRPr="00687EE7" w:rsidRDefault="007F4FCC" w:rsidP="00540C7D">
            <w:pPr>
              <w:keepNext/>
              <w:ind w:left="-120" w:right="-116"/>
              <w:jc w:val="center"/>
              <w:rPr>
                <w:b/>
                <w:bCs/>
                <w:sz w:val="18"/>
                <w:szCs w:val="18"/>
              </w:rPr>
            </w:pPr>
            <w:r>
              <w:rPr>
                <w:b/>
                <w:bCs/>
                <w:sz w:val="18"/>
                <w:szCs w:val="18"/>
                <w:lang w:val="fr"/>
              </w:rPr>
              <w:t>2018-2020</w:t>
            </w:r>
          </w:p>
        </w:tc>
        <w:tc>
          <w:tcPr>
            <w:tcW w:w="76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0EBB5274" w14:textId="77777777" w:rsidR="007F4FCC" w:rsidRPr="00687EE7" w:rsidRDefault="007F4FCC" w:rsidP="00540C7D">
            <w:pPr>
              <w:keepNext/>
              <w:ind w:left="-192" w:right="-206"/>
              <w:jc w:val="center"/>
              <w:rPr>
                <w:b/>
                <w:bCs/>
                <w:sz w:val="18"/>
                <w:szCs w:val="18"/>
              </w:rPr>
            </w:pPr>
            <w:r>
              <w:rPr>
                <w:b/>
                <w:bCs/>
                <w:sz w:val="18"/>
                <w:szCs w:val="18"/>
                <w:lang w:val="fr"/>
              </w:rPr>
              <w:t>2021-</w:t>
            </w:r>
          </w:p>
          <w:p w14:paraId="4356EDB4" w14:textId="77777777" w:rsidR="007F4FCC" w:rsidRPr="00687EE7" w:rsidRDefault="007F4FCC" w:rsidP="00540C7D">
            <w:pPr>
              <w:keepNext/>
              <w:ind w:left="-192" w:right="-206"/>
              <w:jc w:val="center"/>
              <w:rPr>
                <w:b/>
                <w:bCs/>
                <w:sz w:val="18"/>
                <w:szCs w:val="18"/>
              </w:rPr>
            </w:pPr>
            <w:r>
              <w:rPr>
                <w:b/>
                <w:bCs/>
                <w:sz w:val="18"/>
                <w:szCs w:val="18"/>
                <w:lang w:val="fr"/>
              </w:rPr>
              <w:t>2023*</w:t>
            </w:r>
          </w:p>
        </w:tc>
        <w:tc>
          <w:tcPr>
            <w:tcW w:w="759"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78E9E9C1" w14:textId="77777777" w:rsidR="007F4FCC" w:rsidRPr="00687EE7" w:rsidRDefault="007F4FCC" w:rsidP="00540C7D">
            <w:pPr>
              <w:keepNext/>
              <w:ind w:left="-120" w:right="-116"/>
              <w:jc w:val="center"/>
              <w:rPr>
                <w:b/>
                <w:bCs/>
                <w:sz w:val="18"/>
                <w:szCs w:val="18"/>
              </w:rPr>
            </w:pPr>
            <w:r>
              <w:rPr>
                <w:b/>
                <w:bCs/>
                <w:sz w:val="18"/>
                <w:szCs w:val="18"/>
                <w:lang w:val="fr"/>
              </w:rPr>
              <w:t>2024-2026**</w:t>
            </w:r>
          </w:p>
        </w:tc>
        <w:tc>
          <w:tcPr>
            <w:tcW w:w="760" w:type="dxa"/>
            <w:tcBorders>
              <w:top w:val="single" w:sz="4" w:space="0" w:color="auto"/>
              <w:left w:val="nil"/>
              <w:bottom w:val="single" w:sz="4" w:space="0" w:color="auto"/>
              <w:right w:val="single" w:sz="4" w:space="0" w:color="auto"/>
            </w:tcBorders>
            <w:shd w:val="clear" w:color="auto" w:fill="auto"/>
            <w:noWrap/>
            <w:tcMar>
              <w:left w:w="130" w:type="dxa"/>
              <w:right w:w="130" w:type="dxa"/>
            </w:tcMar>
            <w:hideMark/>
          </w:tcPr>
          <w:p w14:paraId="40B98960" w14:textId="77777777" w:rsidR="007F4FCC" w:rsidRPr="00687EE7" w:rsidRDefault="007F4FCC" w:rsidP="00540C7D">
            <w:pPr>
              <w:keepNext/>
              <w:jc w:val="center"/>
              <w:rPr>
                <w:b/>
                <w:bCs/>
                <w:sz w:val="18"/>
                <w:szCs w:val="18"/>
              </w:rPr>
            </w:pPr>
            <w:r>
              <w:rPr>
                <w:b/>
                <w:bCs/>
                <w:sz w:val="18"/>
                <w:szCs w:val="18"/>
                <w:lang w:val="fr"/>
              </w:rPr>
              <w:t>Total</w:t>
            </w:r>
          </w:p>
        </w:tc>
      </w:tr>
      <w:tr w:rsidR="00687EE7" w:rsidRPr="00687EE7" w14:paraId="0FE67E84" w14:textId="77777777" w:rsidTr="00540C7D">
        <w:trPr>
          <w:trHeight w:val="62"/>
        </w:trPr>
        <w:tc>
          <w:tcPr>
            <w:tcW w:w="1096" w:type="dxa"/>
            <w:tcBorders>
              <w:top w:val="nil"/>
              <w:left w:val="single" w:sz="4" w:space="0" w:color="auto"/>
              <w:bottom w:val="single" w:sz="4" w:space="0" w:color="auto"/>
              <w:right w:val="single" w:sz="4" w:space="0" w:color="auto"/>
            </w:tcBorders>
            <w:shd w:val="clear" w:color="auto" w:fill="auto"/>
            <w:noWrap/>
            <w:hideMark/>
          </w:tcPr>
          <w:p w14:paraId="7F1A79EE" w14:textId="77777777" w:rsidR="007F4FCC" w:rsidRPr="00687EE7" w:rsidRDefault="007F4FCC" w:rsidP="00540C7D">
            <w:pPr>
              <w:keepNext/>
              <w:jc w:val="left"/>
              <w:rPr>
                <w:sz w:val="18"/>
                <w:szCs w:val="18"/>
              </w:rPr>
            </w:pPr>
            <w:r>
              <w:rPr>
                <w:sz w:val="18"/>
                <w:szCs w:val="18"/>
                <w:lang w:val="fr"/>
              </w:rPr>
              <w:t>Agences bilatérales</w:t>
            </w:r>
          </w:p>
        </w:tc>
        <w:tc>
          <w:tcPr>
            <w:tcW w:w="759" w:type="dxa"/>
            <w:tcBorders>
              <w:top w:val="nil"/>
              <w:left w:val="nil"/>
              <w:bottom w:val="single" w:sz="4" w:space="0" w:color="auto"/>
              <w:right w:val="single" w:sz="4" w:space="0" w:color="auto"/>
            </w:tcBorders>
            <w:shd w:val="clear" w:color="auto" w:fill="auto"/>
            <w:noWrap/>
            <w:hideMark/>
          </w:tcPr>
          <w:p w14:paraId="35C48E95" w14:textId="77777777" w:rsidR="007F4FCC" w:rsidRPr="00687EE7" w:rsidRDefault="007F4FCC" w:rsidP="00540C7D">
            <w:pPr>
              <w:keepNext/>
              <w:jc w:val="center"/>
              <w:rPr>
                <w:sz w:val="18"/>
                <w:szCs w:val="18"/>
              </w:rPr>
            </w:pPr>
            <w:r>
              <w:rPr>
                <w:sz w:val="18"/>
                <w:szCs w:val="18"/>
                <w:lang w:val="fr"/>
              </w:rPr>
              <w:t>2,8</w:t>
            </w:r>
          </w:p>
        </w:tc>
        <w:tc>
          <w:tcPr>
            <w:tcW w:w="759" w:type="dxa"/>
            <w:tcBorders>
              <w:top w:val="nil"/>
              <w:left w:val="nil"/>
              <w:bottom w:val="single" w:sz="4" w:space="0" w:color="auto"/>
              <w:right w:val="single" w:sz="4" w:space="0" w:color="auto"/>
            </w:tcBorders>
            <w:shd w:val="clear" w:color="auto" w:fill="auto"/>
            <w:noWrap/>
            <w:hideMark/>
          </w:tcPr>
          <w:p w14:paraId="509EABFD" w14:textId="77777777" w:rsidR="007F4FCC" w:rsidRPr="00687EE7" w:rsidRDefault="007F4FCC" w:rsidP="00540C7D">
            <w:pPr>
              <w:keepNext/>
              <w:jc w:val="center"/>
              <w:rPr>
                <w:sz w:val="18"/>
                <w:szCs w:val="18"/>
              </w:rPr>
            </w:pPr>
            <w:r>
              <w:rPr>
                <w:sz w:val="18"/>
                <w:szCs w:val="18"/>
                <w:lang w:val="fr"/>
              </w:rPr>
              <w:t>11,4</w:t>
            </w:r>
          </w:p>
        </w:tc>
        <w:tc>
          <w:tcPr>
            <w:tcW w:w="760" w:type="dxa"/>
            <w:tcBorders>
              <w:top w:val="nil"/>
              <w:left w:val="nil"/>
              <w:bottom w:val="single" w:sz="4" w:space="0" w:color="auto"/>
              <w:right w:val="single" w:sz="4" w:space="0" w:color="auto"/>
            </w:tcBorders>
            <w:shd w:val="clear" w:color="auto" w:fill="auto"/>
            <w:noWrap/>
            <w:hideMark/>
          </w:tcPr>
          <w:p w14:paraId="7238FC26" w14:textId="77777777" w:rsidR="007F4FCC" w:rsidRPr="00687EE7" w:rsidRDefault="007F4FCC" w:rsidP="00540C7D">
            <w:pPr>
              <w:keepNext/>
              <w:jc w:val="center"/>
              <w:rPr>
                <w:sz w:val="18"/>
                <w:szCs w:val="18"/>
              </w:rPr>
            </w:pPr>
            <w:r>
              <w:rPr>
                <w:sz w:val="18"/>
                <w:szCs w:val="18"/>
                <w:lang w:val="fr"/>
              </w:rPr>
              <w:t>10,7</w:t>
            </w:r>
          </w:p>
        </w:tc>
        <w:tc>
          <w:tcPr>
            <w:tcW w:w="759" w:type="dxa"/>
            <w:tcBorders>
              <w:top w:val="nil"/>
              <w:left w:val="nil"/>
              <w:bottom w:val="single" w:sz="4" w:space="0" w:color="auto"/>
              <w:right w:val="single" w:sz="4" w:space="0" w:color="auto"/>
            </w:tcBorders>
            <w:shd w:val="clear" w:color="auto" w:fill="auto"/>
            <w:noWrap/>
            <w:hideMark/>
          </w:tcPr>
          <w:p w14:paraId="0F2E2595" w14:textId="77777777" w:rsidR="007F4FCC" w:rsidRPr="00687EE7" w:rsidRDefault="007F4FCC" w:rsidP="00540C7D">
            <w:pPr>
              <w:keepNext/>
              <w:jc w:val="center"/>
              <w:rPr>
                <w:sz w:val="18"/>
                <w:szCs w:val="18"/>
              </w:rPr>
            </w:pPr>
            <w:r>
              <w:rPr>
                <w:sz w:val="18"/>
                <w:szCs w:val="18"/>
                <w:lang w:val="fr"/>
              </w:rPr>
              <w:t>12,4</w:t>
            </w:r>
          </w:p>
        </w:tc>
        <w:tc>
          <w:tcPr>
            <w:tcW w:w="760" w:type="dxa"/>
            <w:tcBorders>
              <w:top w:val="nil"/>
              <w:left w:val="nil"/>
              <w:bottom w:val="single" w:sz="4" w:space="0" w:color="auto"/>
              <w:right w:val="single" w:sz="4" w:space="0" w:color="auto"/>
            </w:tcBorders>
            <w:shd w:val="clear" w:color="auto" w:fill="auto"/>
            <w:noWrap/>
            <w:hideMark/>
          </w:tcPr>
          <w:p w14:paraId="78648EA1" w14:textId="77777777" w:rsidR="007F4FCC" w:rsidRPr="00687EE7" w:rsidRDefault="007F4FCC" w:rsidP="00540C7D">
            <w:pPr>
              <w:keepNext/>
              <w:jc w:val="center"/>
              <w:rPr>
                <w:sz w:val="18"/>
                <w:szCs w:val="18"/>
              </w:rPr>
            </w:pPr>
            <w:r>
              <w:rPr>
                <w:sz w:val="18"/>
                <w:szCs w:val="18"/>
                <w:lang w:val="fr"/>
              </w:rPr>
              <w:t>12,3</w:t>
            </w:r>
          </w:p>
        </w:tc>
        <w:tc>
          <w:tcPr>
            <w:tcW w:w="759" w:type="dxa"/>
            <w:tcBorders>
              <w:top w:val="nil"/>
              <w:left w:val="nil"/>
              <w:bottom w:val="single" w:sz="4" w:space="0" w:color="auto"/>
              <w:right w:val="single" w:sz="4" w:space="0" w:color="auto"/>
            </w:tcBorders>
            <w:shd w:val="clear" w:color="auto" w:fill="auto"/>
            <w:noWrap/>
            <w:hideMark/>
          </w:tcPr>
          <w:p w14:paraId="44C0BDF5" w14:textId="77777777" w:rsidR="007F4FCC" w:rsidRPr="00687EE7" w:rsidRDefault="007F4FCC" w:rsidP="00540C7D">
            <w:pPr>
              <w:keepNext/>
              <w:jc w:val="center"/>
              <w:rPr>
                <w:sz w:val="18"/>
                <w:szCs w:val="18"/>
              </w:rPr>
            </w:pPr>
            <w:r>
              <w:rPr>
                <w:sz w:val="18"/>
                <w:szCs w:val="18"/>
                <w:lang w:val="fr"/>
              </w:rPr>
              <w:t>11,7</w:t>
            </w:r>
          </w:p>
        </w:tc>
        <w:tc>
          <w:tcPr>
            <w:tcW w:w="760" w:type="dxa"/>
            <w:tcBorders>
              <w:top w:val="nil"/>
              <w:left w:val="nil"/>
              <w:bottom w:val="single" w:sz="4" w:space="0" w:color="auto"/>
              <w:right w:val="single" w:sz="4" w:space="0" w:color="auto"/>
            </w:tcBorders>
            <w:shd w:val="clear" w:color="auto" w:fill="auto"/>
            <w:noWrap/>
            <w:hideMark/>
          </w:tcPr>
          <w:p w14:paraId="3144496E" w14:textId="77777777" w:rsidR="007F4FCC" w:rsidRPr="00687EE7" w:rsidRDefault="007F4FCC" w:rsidP="00540C7D">
            <w:pPr>
              <w:keepNext/>
              <w:jc w:val="center"/>
              <w:rPr>
                <w:sz w:val="18"/>
                <w:szCs w:val="18"/>
              </w:rPr>
            </w:pPr>
            <w:r>
              <w:rPr>
                <w:sz w:val="18"/>
                <w:szCs w:val="18"/>
                <w:lang w:val="fr"/>
              </w:rPr>
              <w:t>11,8</w:t>
            </w:r>
          </w:p>
        </w:tc>
        <w:tc>
          <w:tcPr>
            <w:tcW w:w="759" w:type="dxa"/>
            <w:tcBorders>
              <w:top w:val="nil"/>
              <w:left w:val="nil"/>
              <w:bottom w:val="single" w:sz="4" w:space="0" w:color="auto"/>
              <w:right w:val="single" w:sz="4" w:space="0" w:color="auto"/>
            </w:tcBorders>
            <w:shd w:val="clear" w:color="auto" w:fill="auto"/>
            <w:noWrap/>
            <w:hideMark/>
          </w:tcPr>
          <w:p w14:paraId="23C1CA3E" w14:textId="77777777" w:rsidR="007F4FCC" w:rsidRPr="00687EE7" w:rsidRDefault="007F4FCC" w:rsidP="00540C7D">
            <w:pPr>
              <w:keepNext/>
              <w:jc w:val="center"/>
              <w:rPr>
                <w:sz w:val="18"/>
                <w:szCs w:val="18"/>
              </w:rPr>
            </w:pPr>
            <w:r>
              <w:rPr>
                <w:sz w:val="18"/>
                <w:szCs w:val="18"/>
                <w:lang w:val="fr"/>
              </w:rPr>
              <w:t>11,5</w:t>
            </w:r>
          </w:p>
        </w:tc>
        <w:tc>
          <w:tcPr>
            <w:tcW w:w="760" w:type="dxa"/>
            <w:tcBorders>
              <w:top w:val="nil"/>
              <w:left w:val="nil"/>
              <w:bottom w:val="single" w:sz="4" w:space="0" w:color="auto"/>
              <w:right w:val="single" w:sz="4" w:space="0" w:color="auto"/>
            </w:tcBorders>
            <w:shd w:val="clear" w:color="auto" w:fill="auto"/>
            <w:noWrap/>
            <w:hideMark/>
          </w:tcPr>
          <w:p w14:paraId="5C7878B9" w14:textId="77777777" w:rsidR="007F4FCC" w:rsidRPr="00687EE7" w:rsidRDefault="007F4FCC" w:rsidP="00540C7D">
            <w:pPr>
              <w:keepNext/>
              <w:jc w:val="center"/>
              <w:rPr>
                <w:sz w:val="18"/>
                <w:szCs w:val="18"/>
              </w:rPr>
            </w:pPr>
            <w:r>
              <w:rPr>
                <w:sz w:val="18"/>
                <w:szCs w:val="18"/>
                <w:lang w:val="fr"/>
              </w:rPr>
              <w:t>11,8</w:t>
            </w:r>
          </w:p>
        </w:tc>
        <w:tc>
          <w:tcPr>
            <w:tcW w:w="759" w:type="dxa"/>
            <w:tcBorders>
              <w:top w:val="nil"/>
              <w:left w:val="nil"/>
              <w:bottom w:val="single" w:sz="4" w:space="0" w:color="auto"/>
              <w:right w:val="single" w:sz="4" w:space="0" w:color="auto"/>
            </w:tcBorders>
            <w:shd w:val="clear" w:color="auto" w:fill="auto"/>
            <w:noWrap/>
            <w:hideMark/>
          </w:tcPr>
          <w:p w14:paraId="14BC46FF" w14:textId="77777777" w:rsidR="007F4FCC" w:rsidRPr="00687EE7" w:rsidRDefault="007F4FCC" w:rsidP="00540C7D">
            <w:pPr>
              <w:keepNext/>
              <w:jc w:val="center"/>
              <w:rPr>
                <w:sz w:val="18"/>
                <w:szCs w:val="18"/>
              </w:rPr>
            </w:pPr>
            <w:r>
              <w:rPr>
                <w:sz w:val="18"/>
                <w:szCs w:val="18"/>
                <w:lang w:val="fr"/>
              </w:rPr>
              <w:t>11,4</w:t>
            </w:r>
          </w:p>
        </w:tc>
        <w:tc>
          <w:tcPr>
            <w:tcW w:w="760" w:type="dxa"/>
            <w:tcBorders>
              <w:top w:val="nil"/>
              <w:left w:val="nil"/>
              <w:bottom w:val="single" w:sz="4" w:space="0" w:color="auto"/>
              <w:right w:val="single" w:sz="4" w:space="0" w:color="auto"/>
            </w:tcBorders>
            <w:shd w:val="clear" w:color="auto" w:fill="auto"/>
            <w:noWrap/>
            <w:hideMark/>
          </w:tcPr>
          <w:p w14:paraId="15FC6CCC" w14:textId="77777777" w:rsidR="007F4FCC" w:rsidRPr="00687EE7" w:rsidRDefault="007F4FCC" w:rsidP="00540C7D">
            <w:pPr>
              <w:keepNext/>
              <w:jc w:val="center"/>
              <w:rPr>
                <w:sz w:val="18"/>
                <w:szCs w:val="18"/>
              </w:rPr>
            </w:pPr>
            <w:r>
              <w:rPr>
                <w:sz w:val="18"/>
                <w:szCs w:val="18"/>
                <w:lang w:val="fr"/>
              </w:rPr>
              <w:t>9,9</w:t>
            </w:r>
          </w:p>
        </w:tc>
      </w:tr>
      <w:tr w:rsidR="00687EE7" w:rsidRPr="00687EE7" w14:paraId="17FE3E23" w14:textId="77777777" w:rsidTr="00540C7D">
        <w:trPr>
          <w:trHeight w:val="44"/>
        </w:trPr>
        <w:tc>
          <w:tcPr>
            <w:tcW w:w="1096" w:type="dxa"/>
            <w:tcBorders>
              <w:top w:val="nil"/>
              <w:left w:val="single" w:sz="4" w:space="0" w:color="auto"/>
              <w:bottom w:val="single" w:sz="4" w:space="0" w:color="auto"/>
              <w:right w:val="single" w:sz="4" w:space="0" w:color="auto"/>
            </w:tcBorders>
            <w:shd w:val="clear" w:color="auto" w:fill="auto"/>
            <w:noWrap/>
            <w:hideMark/>
          </w:tcPr>
          <w:p w14:paraId="18904E78" w14:textId="77777777" w:rsidR="007F4FCC" w:rsidRPr="00687EE7" w:rsidRDefault="007F4FCC" w:rsidP="00540C7D">
            <w:pPr>
              <w:keepNext/>
              <w:jc w:val="left"/>
              <w:rPr>
                <w:sz w:val="18"/>
                <w:szCs w:val="18"/>
              </w:rPr>
            </w:pPr>
            <w:r>
              <w:rPr>
                <w:sz w:val="18"/>
                <w:szCs w:val="18"/>
                <w:lang w:val="fr"/>
              </w:rPr>
              <w:t>PNUD</w:t>
            </w:r>
          </w:p>
        </w:tc>
        <w:tc>
          <w:tcPr>
            <w:tcW w:w="759" w:type="dxa"/>
            <w:tcBorders>
              <w:top w:val="nil"/>
              <w:left w:val="nil"/>
              <w:bottom w:val="single" w:sz="4" w:space="0" w:color="auto"/>
              <w:right w:val="single" w:sz="4" w:space="0" w:color="auto"/>
            </w:tcBorders>
            <w:shd w:val="clear" w:color="auto" w:fill="auto"/>
            <w:noWrap/>
            <w:hideMark/>
          </w:tcPr>
          <w:p w14:paraId="731F1421" w14:textId="77777777" w:rsidR="007F4FCC" w:rsidRPr="00687EE7" w:rsidRDefault="007F4FCC" w:rsidP="00540C7D">
            <w:pPr>
              <w:keepNext/>
              <w:jc w:val="center"/>
              <w:rPr>
                <w:sz w:val="18"/>
                <w:szCs w:val="18"/>
              </w:rPr>
            </w:pPr>
            <w:r>
              <w:rPr>
                <w:sz w:val="18"/>
                <w:szCs w:val="18"/>
                <w:lang w:val="fr"/>
              </w:rPr>
              <w:t>12,9</w:t>
            </w:r>
          </w:p>
        </w:tc>
        <w:tc>
          <w:tcPr>
            <w:tcW w:w="759" w:type="dxa"/>
            <w:tcBorders>
              <w:top w:val="nil"/>
              <w:left w:val="nil"/>
              <w:bottom w:val="single" w:sz="4" w:space="0" w:color="auto"/>
              <w:right w:val="single" w:sz="4" w:space="0" w:color="auto"/>
            </w:tcBorders>
            <w:shd w:val="clear" w:color="auto" w:fill="auto"/>
            <w:noWrap/>
            <w:hideMark/>
          </w:tcPr>
          <w:p w14:paraId="0A541B38" w14:textId="77777777" w:rsidR="007F4FCC" w:rsidRPr="00687EE7" w:rsidRDefault="007F4FCC" w:rsidP="00540C7D">
            <w:pPr>
              <w:keepNext/>
              <w:jc w:val="center"/>
              <w:rPr>
                <w:sz w:val="18"/>
                <w:szCs w:val="18"/>
              </w:rPr>
            </w:pPr>
            <w:r>
              <w:rPr>
                <w:sz w:val="18"/>
                <w:szCs w:val="18"/>
                <w:lang w:val="fr"/>
              </w:rPr>
              <w:t>12,9</w:t>
            </w:r>
          </w:p>
        </w:tc>
        <w:tc>
          <w:tcPr>
            <w:tcW w:w="760" w:type="dxa"/>
            <w:tcBorders>
              <w:top w:val="nil"/>
              <w:left w:val="nil"/>
              <w:bottom w:val="single" w:sz="4" w:space="0" w:color="auto"/>
              <w:right w:val="single" w:sz="4" w:space="0" w:color="auto"/>
            </w:tcBorders>
            <w:shd w:val="clear" w:color="auto" w:fill="auto"/>
            <w:noWrap/>
            <w:hideMark/>
          </w:tcPr>
          <w:p w14:paraId="57A4F61B" w14:textId="77777777" w:rsidR="007F4FCC" w:rsidRPr="00687EE7" w:rsidRDefault="007F4FCC" w:rsidP="00540C7D">
            <w:pPr>
              <w:keepNext/>
              <w:jc w:val="center"/>
              <w:rPr>
                <w:sz w:val="18"/>
                <w:szCs w:val="18"/>
              </w:rPr>
            </w:pPr>
            <w:r>
              <w:rPr>
                <w:sz w:val="18"/>
                <w:szCs w:val="18"/>
                <w:lang w:val="fr"/>
              </w:rPr>
              <w:t>13,2</w:t>
            </w:r>
          </w:p>
        </w:tc>
        <w:tc>
          <w:tcPr>
            <w:tcW w:w="759" w:type="dxa"/>
            <w:tcBorders>
              <w:top w:val="nil"/>
              <w:left w:val="nil"/>
              <w:bottom w:val="single" w:sz="4" w:space="0" w:color="auto"/>
              <w:right w:val="single" w:sz="4" w:space="0" w:color="auto"/>
            </w:tcBorders>
            <w:shd w:val="clear" w:color="auto" w:fill="auto"/>
            <w:noWrap/>
            <w:hideMark/>
          </w:tcPr>
          <w:p w14:paraId="6E823D93" w14:textId="77777777" w:rsidR="007F4FCC" w:rsidRPr="00687EE7" w:rsidRDefault="007F4FCC" w:rsidP="00540C7D">
            <w:pPr>
              <w:keepNext/>
              <w:jc w:val="center"/>
              <w:rPr>
                <w:sz w:val="18"/>
                <w:szCs w:val="18"/>
              </w:rPr>
            </w:pPr>
            <w:r>
              <w:rPr>
                <w:sz w:val="18"/>
                <w:szCs w:val="18"/>
                <w:lang w:val="fr"/>
              </w:rPr>
              <w:t>18,3</w:t>
            </w:r>
          </w:p>
        </w:tc>
        <w:tc>
          <w:tcPr>
            <w:tcW w:w="760" w:type="dxa"/>
            <w:tcBorders>
              <w:top w:val="nil"/>
              <w:left w:val="nil"/>
              <w:bottom w:val="single" w:sz="4" w:space="0" w:color="auto"/>
              <w:right w:val="single" w:sz="4" w:space="0" w:color="auto"/>
            </w:tcBorders>
            <w:shd w:val="clear" w:color="auto" w:fill="auto"/>
            <w:noWrap/>
            <w:hideMark/>
          </w:tcPr>
          <w:p w14:paraId="15813374" w14:textId="77777777" w:rsidR="007F4FCC" w:rsidRPr="00687EE7" w:rsidRDefault="007F4FCC" w:rsidP="00540C7D">
            <w:pPr>
              <w:keepNext/>
              <w:jc w:val="center"/>
              <w:rPr>
                <w:sz w:val="18"/>
                <w:szCs w:val="18"/>
              </w:rPr>
            </w:pPr>
            <w:r>
              <w:rPr>
                <w:sz w:val="18"/>
                <w:szCs w:val="18"/>
                <w:lang w:val="fr"/>
              </w:rPr>
              <w:t>14,0</w:t>
            </w:r>
          </w:p>
        </w:tc>
        <w:tc>
          <w:tcPr>
            <w:tcW w:w="759" w:type="dxa"/>
            <w:tcBorders>
              <w:top w:val="nil"/>
              <w:left w:val="nil"/>
              <w:bottom w:val="single" w:sz="4" w:space="0" w:color="auto"/>
              <w:right w:val="single" w:sz="4" w:space="0" w:color="auto"/>
            </w:tcBorders>
            <w:shd w:val="clear" w:color="auto" w:fill="auto"/>
            <w:noWrap/>
            <w:hideMark/>
          </w:tcPr>
          <w:p w14:paraId="189FB725" w14:textId="77777777" w:rsidR="007F4FCC" w:rsidRPr="00687EE7" w:rsidRDefault="007F4FCC" w:rsidP="00540C7D">
            <w:pPr>
              <w:keepNext/>
              <w:jc w:val="center"/>
              <w:rPr>
                <w:sz w:val="18"/>
                <w:szCs w:val="18"/>
              </w:rPr>
            </w:pPr>
            <w:r>
              <w:rPr>
                <w:sz w:val="18"/>
                <w:szCs w:val="18"/>
                <w:lang w:val="fr"/>
              </w:rPr>
              <w:t>13,9</w:t>
            </w:r>
          </w:p>
        </w:tc>
        <w:tc>
          <w:tcPr>
            <w:tcW w:w="760" w:type="dxa"/>
            <w:tcBorders>
              <w:top w:val="nil"/>
              <w:left w:val="nil"/>
              <w:bottom w:val="single" w:sz="4" w:space="0" w:color="auto"/>
              <w:right w:val="single" w:sz="4" w:space="0" w:color="auto"/>
            </w:tcBorders>
            <w:shd w:val="clear" w:color="auto" w:fill="auto"/>
            <w:noWrap/>
            <w:hideMark/>
          </w:tcPr>
          <w:p w14:paraId="4241BD4A" w14:textId="77777777" w:rsidR="007F4FCC" w:rsidRPr="00687EE7" w:rsidRDefault="007F4FCC" w:rsidP="00540C7D">
            <w:pPr>
              <w:keepNext/>
              <w:jc w:val="center"/>
              <w:rPr>
                <w:sz w:val="18"/>
                <w:szCs w:val="18"/>
              </w:rPr>
            </w:pPr>
            <w:r>
              <w:rPr>
                <w:sz w:val="18"/>
                <w:szCs w:val="18"/>
                <w:lang w:val="fr"/>
              </w:rPr>
              <w:t>12,8</w:t>
            </w:r>
          </w:p>
        </w:tc>
        <w:tc>
          <w:tcPr>
            <w:tcW w:w="759" w:type="dxa"/>
            <w:tcBorders>
              <w:top w:val="nil"/>
              <w:left w:val="nil"/>
              <w:bottom w:val="single" w:sz="4" w:space="0" w:color="auto"/>
              <w:right w:val="single" w:sz="4" w:space="0" w:color="auto"/>
            </w:tcBorders>
            <w:shd w:val="clear" w:color="auto" w:fill="auto"/>
            <w:noWrap/>
            <w:hideMark/>
          </w:tcPr>
          <w:p w14:paraId="6F079839" w14:textId="77777777" w:rsidR="007F4FCC" w:rsidRPr="00687EE7" w:rsidRDefault="007F4FCC" w:rsidP="00540C7D">
            <w:pPr>
              <w:keepNext/>
              <w:jc w:val="center"/>
              <w:rPr>
                <w:sz w:val="18"/>
                <w:szCs w:val="18"/>
              </w:rPr>
            </w:pPr>
            <w:r>
              <w:rPr>
                <w:sz w:val="18"/>
                <w:szCs w:val="18"/>
                <w:lang w:val="fr"/>
              </w:rPr>
              <w:t>14,7</w:t>
            </w:r>
          </w:p>
        </w:tc>
        <w:tc>
          <w:tcPr>
            <w:tcW w:w="760" w:type="dxa"/>
            <w:tcBorders>
              <w:top w:val="nil"/>
              <w:left w:val="nil"/>
              <w:bottom w:val="single" w:sz="4" w:space="0" w:color="auto"/>
              <w:right w:val="single" w:sz="4" w:space="0" w:color="auto"/>
            </w:tcBorders>
            <w:shd w:val="clear" w:color="auto" w:fill="auto"/>
            <w:noWrap/>
            <w:hideMark/>
          </w:tcPr>
          <w:p w14:paraId="1167A278" w14:textId="77777777" w:rsidR="007F4FCC" w:rsidRPr="00687EE7" w:rsidRDefault="007F4FCC" w:rsidP="00540C7D">
            <w:pPr>
              <w:keepNext/>
              <w:jc w:val="center"/>
              <w:rPr>
                <w:sz w:val="18"/>
                <w:szCs w:val="18"/>
              </w:rPr>
            </w:pPr>
            <w:r>
              <w:rPr>
                <w:sz w:val="18"/>
                <w:szCs w:val="18"/>
                <w:lang w:val="fr"/>
              </w:rPr>
              <w:t>15,2</w:t>
            </w:r>
          </w:p>
        </w:tc>
        <w:tc>
          <w:tcPr>
            <w:tcW w:w="759" w:type="dxa"/>
            <w:tcBorders>
              <w:top w:val="nil"/>
              <w:left w:val="nil"/>
              <w:bottom w:val="single" w:sz="4" w:space="0" w:color="auto"/>
              <w:right w:val="single" w:sz="4" w:space="0" w:color="auto"/>
            </w:tcBorders>
            <w:shd w:val="clear" w:color="auto" w:fill="auto"/>
            <w:noWrap/>
            <w:hideMark/>
          </w:tcPr>
          <w:p w14:paraId="4FD08E77" w14:textId="77777777" w:rsidR="007F4FCC" w:rsidRPr="00687EE7" w:rsidRDefault="007F4FCC" w:rsidP="00540C7D">
            <w:pPr>
              <w:keepNext/>
              <w:jc w:val="center"/>
              <w:rPr>
                <w:sz w:val="18"/>
                <w:szCs w:val="18"/>
              </w:rPr>
            </w:pPr>
            <w:r>
              <w:rPr>
                <w:sz w:val="18"/>
                <w:szCs w:val="18"/>
                <w:lang w:val="fr"/>
              </w:rPr>
              <w:t>11,0</w:t>
            </w:r>
          </w:p>
        </w:tc>
        <w:tc>
          <w:tcPr>
            <w:tcW w:w="760" w:type="dxa"/>
            <w:tcBorders>
              <w:top w:val="nil"/>
              <w:left w:val="nil"/>
              <w:bottom w:val="single" w:sz="4" w:space="0" w:color="auto"/>
              <w:right w:val="single" w:sz="4" w:space="0" w:color="auto"/>
            </w:tcBorders>
            <w:shd w:val="clear" w:color="auto" w:fill="auto"/>
            <w:noWrap/>
            <w:hideMark/>
          </w:tcPr>
          <w:p w14:paraId="0EF63FE7" w14:textId="77777777" w:rsidR="007F4FCC" w:rsidRPr="00687EE7" w:rsidRDefault="007F4FCC" w:rsidP="00540C7D">
            <w:pPr>
              <w:keepNext/>
              <w:jc w:val="center"/>
              <w:rPr>
                <w:sz w:val="18"/>
                <w:szCs w:val="18"/>
              </w:rPr>
            </w:pPr>
            <w:r>
              <w:rPr>
                <w:sz w:val="18"/>
                <w:szCs w:val="18"/>
                <w:lang w:val="fr"/>
              </w:rPr>
              <w:t>13,7</w:t>
            </w:r>
          </w:p>
        </w:tc>
      </w:tr>
      <w:tr w:rsidR="00687EE7" w:rsidRPr="00687EE7" w14:paraId="63637923" w14:textId="77777777" w:rsidTr="00540C7D">
        <w:trPr>
          <w:trHeight w:val="80"/>
        </w:trPr>
        <w:tc>
          <w:tcPr>
            <w:tcW w:w="1096" w:type="dxa"/>
            <w:tcBorders>
              <w:top w:val="nil"/>
              <w:left w:val="single" w:sz="4" w:space="0" w:color="auto"/>
              <w:bottom w:val="single" w:sz="4" w:space="0" w:color="auto"/>
              <w:right w:val="single" w:sz="4" w:space="0" w:color="auto"/>
            </w:tcBorders>
            <w:shd w:val="clear" w:color="auto" w:fill="auto"/>
            <w:noWrap/>
            <w:hideMark/>
          </w:tcPr>
          <w:p w14:paraId="0FA2878E" w14:textId="77777777" w:rsidR="007F4FCC" w:rsidRPr="00687EE7" w:rsidRDefault="007F4FCC" w:rsidP="00540C7D">
            <w:pPr>
              <w:keepNext/>
              <w:jc w:val="left"/>
              <w:rPr>
                <w:sz w:val="18"/>
                <w:szCs w:val="18"/>
              </w:rPr>
            </w:pPr>
            <w:r>
              <w:rPr>
                <w:sz w:val="18"/>
                <w:szCs w:val="18"/>
                <w:lang w:val="fr"/>
              </w:rPr>
              <w:t>PNUE</w:t>
            </w:r>
          </w:p>
        </w:tc>
        <w:tc>
          <w:tcPr>
            <w:tcW w:w="759" w:type="dxa"/>
            <w:tcBorders>
              <w:top w:val="nil"/>
              <w:left w:val="nil"/>
              <w:bottom w:val="single" w:sz="4" w:space="0" w:color="auto"/>
              <w:right w:val="single" w:sz="4" w:space="0" w:color="auto"/>
            </w:tcBorders>
            <w:shd w:val="clear" w:color="auto" w:fill="auto"/>
            <w:noWrap/>
            <w:hideMark/>
          </w:tcPr>
          <w:p w14:paraId="693706F5" w14:textId="77777777" w:rsidR="007F4FCC" w:rsidRPr="00687EE7" w:rsidRDefault="007F4FCC" w:rsidP="00540C7D">
            <w:pPr>
              <w:keepNext/>
              <w:jc w:val="center"/>
              <w:rPr>
                <w:sz w:val="18"/>
                <w:szCs w:val="18"/>
              </w:rPr>
            </w:pPr>
            <w:r>
              <w:rPr>
                <w:sz w:val="18"/>
                <w:szCs w:val="18"/>
                <w:lang w:val="fr"/>
              </w:rPr>
              <w:t>13,0</w:t>
            </w:r>
          </w:p>
        </w:tc>
        <w:tc>
          <w:tcPr>
            <w:tcW w:w="759" w:type="dxa"/>
            <w:tcBorders>
              <w:top w:val="nil"/>
              <w:left w:val="nil"/>
              <w:bottom w:val="single" w:sz="4" w:space="0" w:color="auto"/>
              <w:right w:val="single" w:sz="4" w:space="0" w:color="auto"/>
            </w:tcBorders>
            <w:shd w:val="clear" w:color="auto" w:fill="auto"/>
            <w:noWrap/>
            <w:hideMark/>
          </w:tcPr>
          <w:p w14:paraId="7F12E3EE" w14:textId="77777777" w:rsidR="007F4FCC" w:rsidRPr="00687EE7" w:rsidRDefault="007F4FCC" w:rsidP="00540C7D">
            <w:pPr>
              <w:keepNext/>
              <w:jc w:val="center"/>
              <w:rPr>
                <w:sz w:val="18"/>
                <w:szCs w:val="18"/>
              </w:rPr>
            </w:pPr>
            <w:r>
              <w:rPr>
                <w:sz w:val="18"/>
                <w:szCs w:val="18"/>
                <w:lang w:val="fr"/>
              </w:rPr>
              <w:t>9,7</w:t>
            </w:r>
          </w:p>
        </w:tc>
        <w:tc>
          <w:tcPr>
            <w:tcW w:w="760" w:type="dxa"/>
            <w:tcBorders>
              <w:top w:val="nil"/>
              <w:left w:val="nil"/>
              <w:bottom w:val="single" w:sz="4" w:space="0" w:color="auto"/>
              <w:right w:val="single" w:sz="4" w:space="0" w:color="auto"/>
            </w:tcBorders>
            <w:shd w:val="clear" w:color="auto" w:fill="auto"/>
            <w:noWrap/>
            <w:hideMark/>
          </w:tcPr>
          <w:p w14:paraId="12BF1621" w14:textId="77777777" w:rsidR="007F4FCC" w:rsidRPr="00687EE7" w:rsidRDefault="007F4FCC" w:rsidP="00540C7D">
            <w:pPr>
              <w:keepNext/>
              <w:jc w:val="center"/>
              <w:rPr>
                <w:sz w:val="18"/>
                <w:szCs w:val="18"/>
              </w:rPr>
            </w:pPr>
            <w:r>
              <w:rPr>
                <w:sz w:val="18"/>
                <w:szCs w:val="18"/>
                <w:lang w:val="fr"/>
              </w:rPr>
              <w:t>7,3</w:t>
            </w:r>
          </w:p>
        </w:tc>
        <w:tc>
          <w:tcPr>
            <w:tcW w:w="759" w:type="dxa"/>
            <w:tcBorders>
              <w:top w:val="nil"/>
              <w:left w:val="nil"/>
              <w:bottom w:val="single" w:sz="4" w:space="0" w:color="auto"/>
              <w:right w:val="single" w:sz="4" w:space="0" w:color="auto"/>
            </w:tcBorders>
            <w:shd w:val="clear" w:color="auto" w:fill="auto"/>
            <w:noWrap/>
            <w:hideMark/>
          </w:tcPr>
          <w:p w14:paraId="47C09C6C" w14:textId="77777777" w:rsidR="007F4FCC" w:rsidRPr="00687EE7" w:rsidRDefault="007F4FCC" w:rsidP="00540C7D">
            <w:pPr>
              <w:keepNext/>
              <w:jc w:val="center"/>
              <w:rPr>
                <w:sz w:val="18"/>
                <w:szCs w:val="18"/>
              </w:rPr>
            </w:pPr>
            <w:r>
              <w:rPr>
                <w:sz w:val="18"/>
                <w:szCs w:val="18"/>
                <w:lang w:val="fr"/>
              </w:rPr>
              <w:t>7,9</w:t>
            </w:r>
          </w:p>
        </w:tc>
        <w:tc>
          <w:tcPr>
            <w:tcW w:w="760" w:type="dxa"/>
            <w:tcBorders>
              <w:top w:val="nil"/>
              <w:left w:val="nil"/>
              <w:bottom w:val="single" w:sz="4" w:space="0" w:color="auto"/>
              <w:right w:val="single" w:sz="4" w:space="0" w:color="auto"/>
            </w:tcBorders>
            <w:shd w:val="clear" w:color="auto" w:fill="auto"/>
            <w:noWrap/>
            <w:hideMark/>
          </w:tcPr>
          <w:p w14:paraId="433DAA0F" w14:textId="77777777" w:rsidR="007F4FCC" w:rsidRPr="00687EE7" w:rsidRDefault="007F4FCC" w:rsidP="00540C7D">
            <w:pPr>
              <w:keepNext/>
              <w:jc w:val="center"/>
              <w:rPr>
                <w:sz w:val="18"/>
                <w:szCs w:val="18"/>
              </w:rPr>
            </w:pPr>
            <w:r>
              <w:rPr>
                <w:sz w:val="18"/>
                <w:szCs w:val="18"/>
                <w:lang w:val="fr"/>
              </w:rPr>
              <w:t>7,6</w:t>
            </w:r>
          </w:p>
        </w:tc>
        <w:tc>
          <w:tcPr>
            <w:tcW w:w="759" w:type="dxa"/>
            <w:tcBorders>
              <w:top w:val="nil"/>
              <w:left w:val="nil"/>
              <w:bottom w:val="single" w:sz="4" w:space="0" w:color="auto"/>
              <w:right w:val="single" w:sz="4" w:space="0" w:color="auto"/>
            </w:tcBorders>
            <w:shd w:val="clear" w:color="auto" w:fill="auto"/>
            <w:noWrap/>
            <w:hideMark/>
          </w:tcPr>
          <w:p w14:paraId="2FB1DE96" w14:textId="77777777" w:rsidR="007F4FCC" w:rsidRPr="00687EE7" w:rsidRDefault="007F4FCC" w:rsidP="00540C7D">
            <w:pPr>
              <w:keepNext/>
              <w:jc w:val="center"/>
              <w:rPr>
                <w:sz w:val="18"/>
                <w:szCs w:val="18"/>
              </w:rPr>
            </w:pPr>
            <w:r>
              <w:rPr>
                <w:sz w:val="18"/>
                <w:szCs w:val="18"/>
                <w:lang w:val="fr"/>
              </w:rPr>
              <w:t>7,0</w:t>
            </w:r>
          </w:p>
        </w:tc>
        <w:tc>
          <w:tcPr>
            <w:tcW w:w="760" w:type="dxa"/>
            <w:tcBorders>
              <w:top w:val="nil"/>
              <w:left w:val="nil"/>
              <w:bottom w:val="single" w:sz="4" w:space="0" w:color="auto"/>
              <w:right w:val="single" w:sz="4" w:space="0" w:color="auto"/>
            </w:tcBorders>
            <w:shd w:val="clear" w:color="auto" w:fill="auto"/>
            <w:noWrap/>
            <w:hideMark/>
          </w:tcPr>
          <w:p w14:paraId="55B4F1DD" w14:textId="77777777" w:rsidR="007F4FCC" w:rsidRPr="00687EE7" w:rsidRDefault="007F4FCC" w:rsidP="00540C7D">
            <w:pPr>
              <w:keepNext/>
              <w:jc w:val="center"/>
              <w:rPr>
                <w:sz w:val="18"/>
                <w:szCs w:val="18"/>
              </w:rPr>
            </w:pPr>
            <w:r>
              <w:rPr>
                <w:sz w:val="18"/>
                <w:szCs w:val="18"/>
                <w:lang w:val="fr"/>
              </w:rPr>
              <w:t>7,6</w:t>
            </w:r>
          </w:p>
        </w:tc>
        <w:tc>
          <w:tcPr>
            <w:tcW w:w="759" w:type="dxa"/>
            <w:tcBorders>
              <w:top w:val="nil"/>
              <w:left w:val="nil"/>
              <w:bottom w:val="single" w:sz="4" w:space="0" w:color="auto"/>
              <w:right w:val="single" w:sz="4" w:space="0" w:color="auto"/>
            </w:tcBorders>
            <w:shd w:val="clear" w:color="auto" w:fill="auto"/>
            <w:noWrap/>
            <w:hideMark/>
          </w:tcPr>
          <w:p w14:paraId="19AF8F2B" w14:textId="77777777" w:rsidR="007F4FCC" w:rsidRPr="00687EE7" w:rsidRDefault="007F4FCC" w:rsidP="00540C7D">
            <w:pPr>
              <w:keepNext/>
              <w:jc w:val="center"/>
              <w:rPr>
                <w:sz w:val="18"/>
                <w:szCs w:val="18"/>
              </w:rPr>
            </w:pPr>
            <w:r>
              <w:rPr>
                <w:sz w:val="18"/>
                <w:szCs w:val="18"/>
                <w:lang w:val="fr"/>
              </w:rPr>
              <w:t>7,6</w:t>
            </w:r>
          </w:p>
        </w:tc>
        <w:tc>
          <w:tcPr>
            <w:tcW w:w="760" w:type="dxa"/>
            <w:tcBorders>
              <w:top w:val="nil"/>
              <w:left w:val="nil"/>
              <w:bottom w:val="single" w:sz="4" w:space="0" w:color="auto"/>
              <w:right w:val="single" w:sz="4" w:space="0" w:color="auto"/>
            </w:tcBorders>
            <w:shd w:val="clear" w:color="auto" w:fill="auto"/>
            <w:noWrap/>
            <w:hideMark/>
          </w:tcPr>
          <w:p w14:paraId="7F141CF7" w14:textId="77777777" w:rsidR="007F4FCC" w:rsidRPr="00687EE7" w:rsidRDefault="007F4FCC" w:rsidP="00540C7D">
            <w:pPr>
              <w:keepNext/>
              <w:jc w:val="center"/>
              <w:rPr>
                <w:sz w:val="18"/>
                <w:szCs w:val="18"/>
              </w:rPr>
            </w:pPr>
            <w:r>
              <w:rPr>
                <w:sz w:val="18"/>
                <w:szCs w:val="18"/>
                <w:lang w:val="fr"/>
              </w:rPr>
              <w:t>7,5</w:t>
            </w:r>
          </w:p>
        </w:tc>
        <w:tc>
          <w:tcPr>
            <w:tcW w:w="759" w:type="dxa"/>
            <w:tcBorders>
              <w:top w:val="nil"/>
              <w:left w:val="nil"/>
              <w:bottom w:val="single" w:sz="4" w:space="0" w:color="auto"/>
              <w:right w:val="single" w:sz="4" w:space="0" w:color="auto"/>
            </w:tcBorders>
            <w:shd w:val="clear" w:color="auto" w:fill="auto"/>
            <w:noWrap/>
            <w:hideMark/>
          </w:tcPr>
          <w:p w14:paraId="41A82059" w14:textId="77777777" w:rsidR="007F4FCC" w:rsidRPr="00687EE7" w:rsidRDefault="007F4FCC" w:rsidP="00540C7D">
            <w:pPr>
              <w:keepNext/>
              <w:jc w:val="center"/>
              <w:rPr>
                <w:sz w:val="18"/>
                <w:szCs w:val="18"/>
              </w:rPr>
            </w:pPr>
            <w:r>
              <w:rPr>
                <w:sz w:val="18"/>
                <w:szCs w:val="18"/>
                <w:lang w:val="fr"/>
              </w:rPr>
              <w:t>8,8</w:t>
            </w:r>
          </w:p>
        </w:tc>
        <w:tc>
          <w:tcPr>
            <w:tcW w:w="760" w:type="dxa"/>
            <w:tcBorders>
              <w:top w:val="nil"/>
              <w:left w:val="nil"/>
              <w:bottom w:val="single" w:sz="4" w:space="0" w:color="auto"/>
              <w:right w:val="single" w:sz="4" w:space="0" w:color="auto"/>
            </w:tcBorders>
            <w:shd w:val="clear" w:color="auto" w:fill="auto"/>
            <w:noWrap/>
            <w:hideMark/>
          </w:tcPr>
          <w:p w14:paraId="69EDD078" w14:textId="77777777" w:rsidR="007F4FCC" w:rsidRPr="00687EE7" w:rsidRDefault="007F4FCC" w:rsidP="00540C7D">
            <w:pPr>
              <w:keepNext/>
              <w:jc w:val="center"/>
              <w:rPr>
                <w:sz w:val="18"/>
                <w:szCs w:val="18"/>
              </w:rPr>
            </w:pPr>
            <w:r>
              <w:rPr>
                <w:sz w:val="18"/>
                <w:szCs w:val="18"/>
                <w:lang w:val="fr"/>
              </w:rPr>
              <w:t>8,1</w:t>
            </w:r>
          </w:p>
        </w:tc>
      </w:tr>
      <w:tr w:rsidR="00687EE7" w:rsidRPr="00687EE7" w14:paraId="2A301BD4" w14:textId="77777777" w:rsidTr="00540C7D">
        <w:trPr>
          <w:trHeight w:val="44"/>
        </w:trPr>
        <w:tc>
          <w:tcPr>
            <w:tcW w:w="1096" w:type="dxa"/>
            <w:tcBorders>
              <w:top w:val="nil"/>
              <w:left w:val="single" w:sz="4" w:space="0" w:color="auto"/>
              <w:bottom w:val="single" w:sz="4" w:space="0" w:color="auto"/>
              <w:right w:val="single" w:sz="4" w:space="0" w:color="auto"/>
            </w:tcBorders>
            <w:shd w:val="clear" w:color="auto" w:fill="auto"/>
            <w:noWrap/>
            <w:hideMark/>
          </w:tcPr>
          <w:p w14:paraId="7A2B22FB" w14:textId="77777777" w:rsidR="007F4FCC" w:rsidRPr="00687EE7" w:rsidRDefault="007F4FCC" w:rsidP="00540C7D">
            <w:pPr>
              <w:keepNext/>
              <w:jc w:val="left"/>
              <w:rPr>
                <w:sz w:val="18"/>
                <w:szCs w:val="18"/>
              </w:rPr>
            </w:pPr>
            <w:r>
              <w:rPr>
                <w:sz w:val="18"/>
                <w:szCs w:val="18"/>
                <w:lang w:val="fr"/>
              </w:rPr>
              <w:t>ONUDI</w:t>
            </w:r>
          </w:p>
        </w:tc>
        <w:tc>
          <w:tcPr>
            <w:tcW w:w="759" w:type="dxa"/>
            <w:tcBorders>
              <w:top w:val="nil"/>
              <w:left w:val="nil"/>
              <w:bottom w:val="single" w:sz="4" w:space="0" w:color="auto"/>
              <w:right w:val="single" w:sz="4" w:space="0" w:color="auto"/>
            </w:tcBorders>
            <w:shd w:val="clear" w:color="auto" w:fill="auto"/>
            <w:noWrap/>
            <w:hideMark/>
          </w:tcPr>
          <w:p w14:paraId="63E9ED45" w14:textId="77777777" w:rsidR="007F4FCC" w:rsidRPr="00687EE7" w:rsidRDefault="007F4FCC" w:rsidP="00540C7D">
            <w:pPr>
              <w:keepNext/>
              <w:jc w:val="center"/>
              <w:rPr>
                <w:sz w:val="18"/>
                <w:szCs w:val="18"/>
              </w:rPr>
            </w:pPr>
            <w:r>
              <w:rPr>
                <w:sz w:val="18"/>
                <w:szCs w:val="18"/>
                <w:lang w:val="fr"/>
              </w:rPr>
              <w:t>12,8</w:t>
            </w:r>
          </w:p>
        </w:tc>
        <w:tc>
          <w:tcPr>
            <w:tcW w:w="759" w:type="dxa"/>
            <w:tcBorders>
              <w:top w:val="nil"/>
              <w:left w:val="nil"/>
              <w:bottom w:val="single" w:sz="4" w:space="0" w:color="auto"/>
              <w:right w:val="single" w:sz="4" w:space="0" w:color="auto"/>
            </w:tcBorders>
            <w:shd w:val="clear" w:color="auto" w:fill="auto"/>
            <w:noWrap/>
            <w:hideMark/>
          </w:tcPr>
          <w:p w14:paraId="20405419" w14:textId="77777777" w:rsidR="007F4FCC" w:rsidRPr="00687EE7" w:rsidRDefault="007F4FCC" w:rsidP="00540C7D">
            <w:pPr>
              <w:keepNext/>
              <w:jc w:val="center"/>
              <w:rPr>
                <w:sz w:val="18"/>
                <w:szCs w:val="18"/>
              </w:rPr>
            </w:pPr>
            <w:r>
              <w:rPr>
                <w:sz w:val="18"/>
                <w:szCs w:val="18"/>
                <w:lang w:val="fr"/>
              </w:rPr>
              <w:t>13,4</w:t>
            </w:r>
          </w:p>
        </w:tc>
        <w:tc>
          <w:tcPr>
            <w:tcW w:w="760" w:type="dxa"/>
            <w:tcBorders>
              <w:top w:val="nil"/>
              <w:left w:val="nil"/>
              <w:bottom w:val="single" w:sz="4" w:space="0" w:color="auto"/>
              <w:right w:val="single" w:sz="4" w:space="0" w:color="auto"/>
            </w:tcBorders>
            <w:shd w:val="clear" w:color="auto" w:fill="auto"/>
            <w:noWrap/>
            <w:hideMark/>
          </w:tcPr>
          <w:p w14:paraId="5EE7095D" w14:textId="77777777" w:rsidR="007F4FCC" w:rsidRPr="00687EE7" w:rsidRDefault="007F4FCC" w:rsidP="00540C7D">
            <w:pPr>
              <w:keepNext/>
              <w:jc w:val="center"/>
              <w:rPr>
                <w:sz w:val="18"/>
                <w:szCs w:val="18"/>
              </w:rPr>
            </w:pPr>
            <w:r>
              <w:rPr>
                <w:sz w:val="18"/>
                <w:szCs w:val="18"/>
                <w:lang w:val="fr"/>
              </w:rPr>
              <w:t>11,7</w:t>
            </w:r>
          </w:p>
        </w:tc>
        <w:tc>
          <w:tcPr>
            <w:tcW w:w="759" w:type="dxa"/>
            <w:tcBorders>
              <w:top w:val="nil"/>
              <w:left w:val="nil"/>
              <w:bottom w:val="single" w:sz="4" w:space="0" w:color="auto"/>
              <w:right w:val="single" w:sz="4" w:space="0" w:color="auto"/>
            </w:tcBorders>
            <w:shd w:val="clear" w:color="auto" w:fill="auto"/>
            <w:noWrap/>
            <w:hideMark/>
          </w:tcPr>
          <w:p w14:paraId="605F1D29" w14:textId="77777777" w:rsidR="007F4FCC" w:rsidRPr="00687EE7" w:rsidRDefault="007F4FCC" w:rsidP="00540C7D">
            <w:pPr>
              <w:keepNext/>
              <w:jc w:val="center"/>
              <w:rPr>
                <w:sz w:val="18"/>
                <w:szCs w:val="18"/>
              </w:rPr>
            </w:pPr>
            <w:r>
              <w:rPr>
                <w:sz w:val="18"/>
                <w:szCs w:val="18"/>
                <w:lang w:val="fr"/>
              </w:rPr>
              <w:t>14,4</w:t>
            </w:r>
          </w:p>
        </w:tc>
        <w:tc>
          <w:tcPr>
            <w:tcW w:w="760" w:type="dxa"/>
            <w:tcBorders>
              <w:top w:val="nil"/>
              <w:left w:val="nil"/>
              <w:bottom w:val="single" w:sz="4" w:space="0" w:color="auto"/>
              <w:right w:val="single" w:sz="4" w:space="0" w:color="auto"/>
            </w:tcBorders>
            <w:shd w:val="clear" w:color="auto" w:fill="auto"/>
            <w:noWrap/>
            <w:hideMark/>
          </w:tcPr>
          <w:p w14:paraId="3BEE88B5" w14:textId="77777777" w:rsidR="007F4FCC" w:rsidRPr="00687EE7" w:rsidRDefault="007F4FCC" w:rsidP="00540C7D">
            <w:pPr>
              <w:keepNext/>
              <w:jc w:val="center"/>
              <w:rPr>
                <w:sz w:val="18"/>
                <w:szCs w:val="18"/>
              </w:rPr>
            </w:pPr>
            <w:r>
              <w:rPr>
                <w:sz w:val="18"/>
                <w:szCs w:val="18"/>
                <w:lang w:val="fr"/>
              </w:rPr>
              <w:t>11,8</w:t>
            </w:r>
          </w:p>
        </w:tc>
        <w:tc>
          <w:tcPr>
            <w:tcW w:w="759" w:type="dxa"/>
            <w:tcBorders>
              <w:top w:val="nil"/>
              <w:left w:val="nil"/>
              <w:bottom w:val="single" w:sz="4" w:space="0" w:color="auto"/>
              <w:right w:val="single" w:sz="4" w:space="0" w:color="auto"/>
            </w:tcBorders>
            <w:shd w:val="clear" w:color="auto" w:fill="auto"/>
            <w:noWrap/>
            <w:hideMark/>
          </w:tcPr>
          <w:p w14:paraId="48FF674A" w14:textId="77777777" w:rsidR="007F4FCC" w:rsidRPr="00687EE7" w:rsidRDefault="007F4FCC" w:rsidP="00540C7D">
            <w:pPr>
              <w:keepNext/>
              <w:jc w:val="center"/>
              <w:rPr>
                <w:sz w:val="18"/>
                <w:szCs w:val="18"/>
              </w:rPr>
            </w:pPr>
            <w:r>
              <w:rPr>
                <w:sz w:val="18"/>
                <w:szCs w:val="18"/>
                <w:lang w:val="fr"/>
              </w:rPr>
              <w:t>13,8</w:t>
            </w:r>
          </w:p>
        </w:tc>
        <w:tc>
          <w:tcPr>
            <w:tcW w:w="760" w:type="dxa"/>
            <w:tcBorders>
              <w:top w:val="nil"/>
              <w:left w:val="nil"/>
              <w:bottom w:val="single" w:sz="4" w:space="0" w:color="auto"/>
              <w:right w:val="single" w:sz="4" w:space="0" w:color="auto"/>
            </w:tcBorders>
            <w:shd w:val="clear" w:color="auto" w:fill="auto"/>
            <w:noWrap/>
            <w:hideMark/>
          </w:tcPr>
          <w:p w14:paraId="092A4C11" w14:textId="77777777" w:rsidR="007F4FCC" w:rsidRPr="00687EE7" w:rsidRDefault="007F4FCC" w:rsidP="00540C7D">
            <w:pPr>
              <w:keepNext/>
              <w:jc w:val="center"/>
              <w:rPr>
                <w:sz w:val="18"/>
                <w:szCs w:val="18"/>
              </w:rPr>
            </w:pPr>
            <w:r>
              <w:rPr>
                <w:sz w:val="18"/>
                <w:szCs w:val="18"/>
                <w:lang w:val="fr"/>
              </w:rPr>
              <w:t>13,9</w:t>
            </w:r>
          </w:p>
        </w:tc>
        <w:tc>
          <w:tcPr>
            <w:tcW w:w="759" w:type="dxa"/>
            <w:tcBorders>
              <w:top w:val="nil"/>
              <w:left w:val="nil"/>
              <w:bottom w:val="single" w:sz="4" w:space="0" w:color="auto"/>
              <w:right w:val="single" w:sz="4" w:space="0" w:color="auto"/>
            </w:tcBorders>
            <w:shd w:val="clear" w:color="auto" w:fill="auto"/>
            <w:noWrap/>
            <w:hideMark/>
          </w:tcPr>
          <w:p w14:paraId="36B4D4E9" w14:textId="77777777" w:rsidR="007F4FCC" w:rsidRPr="00687EE7" w:rsidRDefault="007F4FCC" w:rsidP="00540C7D">
            <w:pPr>
              <w:keepNext/>
              <w:jc w:val="center"/>
              <w:rPr>
                <w:sz w:val="18"/>
                <w:szCs w:val="18"/>
              </w:rPr>
            </w:pPr>
            <w:r>
              <w:rPr>
                <w:sz w:val="18"/>
                <w:szCs w:val="18"/>
                <w:lang w:val="fr"/>
              </w:rPr>
              <w:t>15,2</w:t>
            </w:r>
          </w:p>
        </w:tc>
        <w:tc>
          <w:tcPr>
            <w:tcW w:w="760" w:type="dxa"/>
            <w:tcBorders>
              <w:top w:val="nil"/>
              <w:left w:val="nil"/>
              <w:bottom w:val="single" w:sz="4" w:space="0" w:color="auto"/>
              <w:right w:val="single" w:sz="4" w:space="0" w:color="auto"/>
            </w:tcBorders>
            <w:shd w:val="clear" w:color="auto" w:fill="auto"/>
            <w:noWrap/>
            <w:hideMark/>
          </w:tcPr>
          <w:p w14:paraId="5258B2FA" w14:textId="77777777" w:rsidR="007F4FCC" w:rsidRPr="00687EE7" w:rsidRDefault="007F4FCC" w:rsidP="00540C7D">
            <w:pPr>
              <w:keepNext/>
              <w:jc w:val="center"/>
              <w:rPr>
                <w:sz w:val="18"/>
                <w:szCs w:val="18"/>
              </w:rPr>
            </w:pPr>
            <w:r>
              <w:rPr>
                <w:sz w:val="18"/>
                <w:szCs w:val="18"/>
                <w:lang w:val="fr"/>
              </w:rPr>
              <w:t>13,4</w:t>
            </w:r>
          </w:p>
        </w:tc>
        <w:tc>
          <w:tcPr>
            <w:tcW w:w="759" w:type="dxa"/>
            <w:tcBorders>
              <w:top w:val="nil"/>
              <w:left w:val="nil"/>
              <w:bottom w:val="single" w:sz="4" w:space="0" w:color="auto"/>
              <w:right w:val="single" w:sz="4" w:space="0" w:color="auto"/>
            </w:tcBorders>
            <w:shd w:val="clear" w:color="auto" w:fill="auto"/>
            <w:noWrap/>
            <w:hideMark/>
          </w:tcPr>
          <w:p w14:paraId="2FD713D6" w14:textId="77777777" w:rsidR="007F4FCC" w:rsidRPr="00687EE7" w:rsidRDefault="007F4FCC" w:rsidP="00540C7D">
            <w:pPr>
              <w:keepNext/>
              <w:jc w:val="center"/>
              <w:rPr>
                <w:sz w:val="18"/>
                <w:szCs w:val="18"/>
              </w:rPr>
            </w:pPr>
            <w:r>
              <w:rPr>
                <w:sz w:val="18"/>
                <w:szCs w:val="18"/>
                <w:lang w:val="fr"/>
              </w:rPr>
              <w:t>10,1</w:t>
            </w:r>
          </w:p>
        </w:tc>
        <w:tc>
          <w:tcPr>
            <w:tcW w:w="760" w:type="dxa"/>
            <w:tcBorders>
              <w:top w:val="nil"/>
              <w:left w:val="nil"/>
              <w:bottom w:val="single" w:sz="4" w:space="0" w:color="auto"/>
              <w:right w:val="single" w:sz="4" w:space="0" w:color="auto"/>
            </w:tcBorders>
            <w:shd w:val="clear" w:color="auto" w:fill="auto"/>
            <w:noWrap/>
            <w:hideMark/>
          </w:tcPr>
          <w:p w14:paraId="6920CB9C" w14:textId="77777777" w:rsidR="007F4FCC" w:rsidRPr="00687EE7" w:rsidRDefault="007F4FCC" w:rsidP="00540C7D">
            <w:pPr>
              <w:keepNext/>
              <w:jc w:val="center"/>
              <w:rPr>
                <w:sz w:val="18"/>
                <w:szCs w:val="18"/>
              </w:rPr>
            </w:pPr>
            <w:r>
              <w:rPr>
                <w:sz w:val="18"/>
                <w:szCs w:val="18"/>
                <w:lang w:val="fr"/>
              </w:rPr>
              <w:t>13,1</w:t>
            </w:r>
          </w:p>
        </w:tc>
      </w:tr>
      <w:tr w:rsidR="00687EE7" w:rsidRPr="00687EE7" w14:paraId="26658645" w14:textId="77777777" w:rsidTr="00540C7D">
        <w:trPr>
          <w:trHeight w:val="44"/>
        </w:trPr>
        <w:tc>
          <w:tcPr>
            <w:tcW w:w="1096" w:type="dxa"/>
            <w:tcBorders>
              <w:top w:val="nil"/>
              <w:left w:val="single" w:sz="4" w:space="0" w:color="auto"/>
              <w:bottom w:val="single" w:sz="4" w:space="0" w:color="auto"/>
              <w:right w:val="single" w:sz="4" w:space="0" w:color="auto"/>
            </w:tcBorders>
            <w:shd w:val="clear" w:color="auto" w:fill="auto"/>
            <w:noWrap/>
            <w:hideMark/>
          </w:tcPr>
          <w:p w14:paraId="12A86D09" w14:textId="77777777" w:rsidR="007F4FCC" w:rsidRPr="00687EE7" w:rsidRDefault="007F4FCC" w:rsidP="00540C7D">
            <w:pPr>
              <w:keepNext/>
              <w:jc w:val="left"/>
              <w:rPr>
                <w:sz w:val="18"/>
                <w:szCs w:val="18"/>
              </w:rPr>
            </w:pPr>
            <w:r>
              <w:rPr>
                <w:sz w:val="18"/>
                <w:szCs w:val="18"/>
                <w:lang w:val="fr"/>
              </w:rPr>
              <w:t>Banque mondiale</w:t>
            </w:r>
          </w:p>
        </w:tc>
        <w:tc>
          <w:tcPr>
            <w:tcW w:w="759" w:type="dxa"/>
            <w:tcBorders>
              <w:top w:val="nil"/>
              <w:left w:val="nil"/>
              <w:bottom w:val="single" w:sz="4" w:space="0" w:color="auto"/>
              <w:right w:val="single" w:sz="4" w:space="0" w:color="auto"/>
            </w:tcBorders>
            <w:shd w:val="clear" w:color="auto" w:fill="auto"/>
            <w:noWrap/>
            <w:hideMark/>
          </w:tcPr>
          <w:p w14:paraId="626B9DA7" w14:textId="77777777" w:rsidR="007F4FCC" w:rsidRPr="00687EE7" w:rsidRDefault="007F4FCC" w:rsidP="00540C7D">
            <w:pPr>
              <w:keepNext/>
              <w:jc w:val="center"/>
              <w:rPr>
                <w:sz w:val="18"/>
                <w:szCs w:val="18"/>
              </w:rPr>
            </w:pPr>
            <w:r>
              <w:rPr>
                <w:sz w:val="18"/>
                <w:szCs w:val="18"/>
                <w:lang w:val="fr"/>
              </w:rPr>
              <w:t>8,6</w:t>
            </w:r>
          </w:p>
        </w:tc>
        <w:tc>
          <w:tcPr>
            <w:tcW w:w="759" w:type="dxa"/>
            <w:tcBorders>
              <w:top w:val="nil"/>
              <w:left w:val="nil"/>
              <w:bottom w:val="single" w:sz="4" w:space="0" w:color="auto"/>
              <w:right w:val="single" w:sz="4" w:space="0" w:color="auto"/>
            </w:tcBorders>
            <w:shd w:val="clear" w:color="auto" w:fill="auto"/>
            <w:noWrap/>
            <w:hideMark/>
          </w:tcPr>
          <w:p w14:paraId="558BF006" w14:textId="77777777" w:rsidR="007F4FCC" w:rsidRPr="00687EE7" w:rsidRDefault="007F4FCC" w:rsidP="00540C7D">
            <w:pPr>
              <w:keepNext/>
              <w:jc w:val="center"/>
              <w:rPr>
                <w:sz w:val="18"/>
                <w:szCs w:val="18"/>
              </w:rPr>
            </w:pPr>
            <w:r>
              <w:rPr>
                <w:sz w:val="18"/>
                <w:szCs w:val="18"/>
                <w:lang w:val="fr"/>
              </w:rPr>
              <w:t>10,0</w:t>
            </w:r>
          </w:p>
        </w:tc>
        <w:tc>
          <w:tcPr>
            <w:tcW w:w="760" w:type="dxa"/>
            <w:tcBorders>
              <w:top w:val="nil"/>
              <w:left w:val="nil"/>
              <w:bottom w:val="single" w:sz="4" w:space="0" w:color="auto"/>
              <w:right w:val="single" w:sz="4" w:space="0" w:color="auto"/>
            </w:tcBorders>
            <w:shd w:val="clear" w:color="auto" w:fill="auto"/>
            <w:noWrap/>
            <w:hideMark/>
          </w:tcPr>
          <w:p w14:paraId="748406A5" w14:textId="77777777" w:rsidR="007F4FCC" w:rsidRPr="00687EE7" w:rsidRDefault="007F4FCC" w:rsidP="00540C7D">
            <w:pPr>
              <w:keepNext/>
              <w:jc w:val="center"/>
              <w:rPr>
                <w:sz w:val="18"/>
                <w:szCs w:val="18"/>
              </w:rPr>
            </w:pPr>
            <w:r>
              <w:rPr>
                <w:sz w:val="18"/>
                <w:szCs w:val="18"/>
                <w:lang w:val="fr"/>
              </w:rPr>
              <w:t>9,9</w:t>
            </w:r>
          </w:p>
        </w:tc>
        <w:tc>
          <w:tcPr>
            <w:tcW w:w="759" w:type="dxa"/>
            <w:tcBorders>
              <w:top w:val="nil"/>
              <w:left w:val="nil"/>
              <w:bottom w:val="single" w:sz="4" w:space="0" w:color="auto"/>
              <w:right w:val="single" w:sz="4" w:space="0" w:color="auto"/>
            </w:tcBorders>
            <w:shd w:val="clear" w:color="auto" w:fill="auto"/>
            <w:noWrap/>
            <w:hideMark/>
          </w:tcPr>
          <w:p w14:paraId="07FFDA70" w14:textId="77777777" w:rsidR="007F4FCC" w:rsidRPr="00687EE7" w:rsidRDefault="007F4FCC" w:rsidP="00540C7D">
            <w:pPr>
              <w:keepNext/>
              <w:jc w:val="center"/>
              <w:rPr>
                <w:sz w:val="18"/>
                <w:szCs w:val="18"/>
              </w:rPr>
            </w:pPr>
            <w:r>
              <w:rPr>
                <w:sz w:val="18"/>
                <w:szCs w:val="18"/>
                <w:lang w:val="fr"/>
              </w:rPr>
              <w:t>10,2</w:t>
            </w:r>
          </w:p>
        </w:tc>
        <w:tc>
          <w:tcPr>
            <w:tcW w:w="760" w:type="dxa"/>
            <w:tcBorders>
              <w:top w:val="nil"/>
              <w:left w:val="nil"/>
              <w:bottom w:val="single" w:sz="4" w:space="0" w:color="auto"/>
              <w:right w:val="single" w:sz="4" w:space="0" w:color="auto"/>
            </w:tcBorders>
            <w:shd w:val="clear" w:color="auto" w:fill="auto"/>
            <w:noWrap/>
            <w:hideMark/>
          </w:tcPr>
          <w:p w14:paraId="7D6B9CC7" w14:textId="77777777" w:rsidR="007F4FCC" w:rsidRPr="00687EE7" w:rsidRDefault="007F4FCC" w:rsidP="00540C7D">
            <w:pPr>
              <w:keepNext/>
              <w:jc w:val="center"/>
              <w:rPr>
                <w:sz w:val="18"/>
                <w:szCs w:val="18"/>
              </w:rPr>
            </w:pPr>
            <w:r>
              <w:rPr>
                <w:sz w:val="18"/>
                <w:szCs w:val="18"/>
                <w:lang w:val="fr"/>
              </w:rPr>
              <w:t>13,4</w:t>
            </w:r>
          </w:p>
        </w:tc>
        <w:tc>
          <w:tcPr>
            <w:tcW w:w="759" w:type="dxa"/>
            <w:tcBorders>
              <w:top w:val="nil"/>
              <w:left w:val="nil"/>
              <w:bottom w:val="single" w:sz="4" w:space="0" w:color="auto"/>
              <w:right w:val="single" w:sz="4" w:space="0" w:color="auto"/>
            </w:tcBorders>
            <w:shd w:val="clear" w:color="auto" w:fill="auto"/>
            <w:noWrap/>
            <w:hideMark/>
          </w:tcPr>
          <w:p w14:paraId="246A70EF" w14:textId="77777777" w:rsidR="007F4FCC" w:rsidRPr="00687EE7" w:rsidRDefault="007F4FCC" w:rsidP="00540C7D">
            <w:pPr>
              <w:keepNext/>
              <w:jc w:val="center"/>
              <w:rPr>
                <w:sz w:val="18"/>
                <w:szCs w:val="18"/>
              </w:rPr>
            </w:pPr>
            <w:r>
              <w:rPr>
                <w:sz w:val="18"/>
                <w:szCs w:val="18"/>
                <w:lang w:val="fr"/>
              </w:rPr>
              <w:t>11,0</w:t>
            </w:r>
          </w:p>
        </w:tc>
        <w:tc>
          <w:tcPr>
            <w:tcW w:w="760" w:type="dxa"/>
            <w:tcBorders>
              <w:top w:val="nil"/>
              <w:left w:val="nil"/>
              <w:bottom w:val="single" w:sz="4" w:space="0" w:color="auto"/>
              <w:right w:val="single" w:sz="4" w:space="0" w:color="auto"/>
            </w:tcBorders>
            <w:shd w:val="clear" w:color="auto" w:fill="auto"/>
            <w:noWrap/>
            <w:hideMark/>
          </w:tcPr>
          <w:p w14:paraId="227B575E" w14:textId="77777777" w:rsidR="007F4FCC" w:rsidRPr="00687EE7" w:rsidRDefault="007F4FCC" w:rsidP="00540C7D">
            <w:pPr>
              <w:keepNext/>
              <w:jc w:val="center"/>
              <w:rPr>
                <w:sz w:val="18"/>
                <w:szCs w:val="18"/>
              </w:rPr>
            </w:pPr>
            <w:r>
              <w:rPr>
                <w:sz w:val="18"/>
                <w:szCs w:val="18"/>
                <w:lang w:val="fr"/>
              </w:rPr>
              <w:t>12,7</w:t>
            </w:r>
          </w:p>
        </w:tc>
        <w:tc>
          <w:tcPr>
            <w:tcW w:w="759" w:type="dxa"/>
            <w:tcBorders>
              <w:top w:val="nil"/>
              <w:left w:val="nil"/>
              <w:bottom w:val="single" w:sz="4" w:space="0" w:color="auto"/>
              <w:right w:val="single" w:sz="4" w:space="0" w:color="auto"/>
            </w:tcBorders>
            <w:shd w:val="clear" w:color="auto" w:fill="auto"/>
            <w:noWrap/>
            <w:hideMark/>
          </w:tcPr>
          <w:p w14:paraId="70D3831E" w14:textId="77777777" w:rsidR="007F4FCC" w:rsidRPr="00687EE7" w:rsidRDefault="007F4FCC" w:rsidP="00540C7D">
            <w:pPr>
              <w:keepNext/>
              <w:jc w:val="center"/>
              <w:rPr>
                <w:sz w:val="18"/>
                <w:szCs w:val="18"/>
              </w:rPr>
            </w:pPr>
            <w:r>
              <w:rPr>
                <w:sz w:val="18"/>
                <w:szCs w:val="18"/>
                <w:lang w:val="fr"/>
              </w:rPr>
              <w:t>20,1</w:t>
            </w:r>
          </w:p>
        </w:tc>
        <w:tc>
          <w:tcPr>
            <w:tcW w:w="760" w:type="dxa"/>
            <w:tcBorders>
              <w:top w:val="nil"/>
              <w:left w:val="nil"/>
              <w:bottom w:val="single" w:sz="4" w:space="0" w:color="auto"/>
              <w:right w:val="single" w:sz="4" w:space="0" w:color="auto"/>
            </w:tcBorders>
            <w:shd w:val="clear" w:color="auto" w:fill="auto"/>
            <w:noWrap/>
            <w:hideMark/>
          </w:tcPr>
          <w:p w14:paraId="7D5A0B28" w14:textId="77777777" w:rsidR="007F4FCC" w:rsidRPr="00687EE7" w:rsidRDefault="007F4FCC" w:rsidP="00540C7D">
            <w:pPr>
              <w:keepNext/>
              <w:jc w:val="center"/>
              <w:rPr>
                <w:sz w:val="18"/>
                <w:szCs w:val="18"/>
              </w:rPr>
            </w:pPr>
            <w:r>
              <w:rPr>
                <w:sz w:val="18"/>
                <w:szCs w:val="18"/>
                <w:lang w:val="fr"/>
              </w:rPr>
              <w:t>17,1</w:t>
            </w:r>
          </w:p>
        </w:tc>
        <w:tc>
          <w:tcPr>
            <w:tcW w:w="759" w:type="dxa"/>
            <w:tcBorders>
              <w:top w:val="nil"/>
              <w:left w:val="nil"/>
              <w:bottom w:val="single" w:sz="4" w:space="0" w:color="auto"/>
              <w:right w:val="single" w:sz="4" w:space="0" w:color="auto"/>
            </w:tcBorders>
            <w:shd w:val="clear" w:color="auto" w:fill="auto"/>
            <w:noWrap/>
            <w:hideMark/>
          </w:tcPr>
          <w:p w14:paraId="026B0814" w14:textId="77777777" w:rsidR="007F4FCC" w:rsidRPr="00687EE7" w:rsidRDefault="007F4FCC" w:rsidP="00540C7D">
            <w:pPr>
              <w:keepNext/>
              <w:jc w:val="center"/>
              <w:rPr>
                <w:sz w:val="18"/>
                <w:szCs w:val="18"/>
              </w:rPr>
            </w:pPr>
            <w:r>
              <w:rPr>
                <w:sz w:val="18"/>
                <w:szCs w:val="18"/>
                <w:lang w:val="fr"/>
              </w:rPr>
              <w:t>12,7</w:t>
            </w:r>
          </w:p>
        </w:tc>
        <w:tc>
          <w:tcPr>
            <w:tcW w:w="760" w:type="dxa"/>
            <w:tcBorders>
              <w:top w:val="nil"/>
              <w:left w:val="nil"/>
              <w:bottom w:val="single" w:sz="4" w:space="0" w:color="auto"/>
              <w:right w:val="single" w:sz="4" w:space="0" w:color="auto"/>
            </w:tcBorders>
            <w:shd w:val="clear" w:color="auto" w:fill="auto"/>
            <w:noWrap/>
            <w:hideMark/>
          </w:tcPr>
          <w:p w14:paraId="5F219532" w14:textId="77777777" w:rsidR="007F4FCC" w:rsidRPr="00687EE7" w:rsidRDefault="007F4FCC" w:rsidP="00540C7D">
            <w:pPr>
              <w:keepNext/>
              <w:jc w:val="center"/>
              <w:rPr>
                <w:sz w:val="18"/>
                <w:szCs w:val="18"/>
              </w:rPr>
            </w:pPr>
            <w:r>
              <w:rPr>
                <w:sz w:val="18"/>
                <w:szCs w:val="18"/>
                <w:lang w:val="fr"/>
              </w:rPr>
              <w:t>10,8</w:t>
            </w:r>
          </w:p>
        </w:tc>
      </w:tr>
      <w:tr w:rsidR="00687EE7" w:rsidRPr="00687EE7" w14:paraId="29D83844" w14:textId="77777777" w:rsidTr="00540C7D">
        <w:trPr>
          <w:trHeight w:val="53"/>
        </w:trPr>
        <w:tc>
          <w:tcPr>
            <w:tcW w:w="1096" w:type="dxa"/>
            <w:tcBorders>
              <w:top w:val="nil"/>
              <w:left w:val="single" w:sz="4" w:space="0" w:color="auto"/>
              <w:bottom w:val="single" w:sz="4" w:space="0" w:color="auto"/>
              <w:right w:val="single" w:sz="4" w:space="0" w:color="auto"/>
            </w:tcBorders>
            <w:shd w:val="clear" w:color="auto" w:fill="auto"/>
            <w:noWrap/>
            <w:hideMark/>
          </w:tcPr>
          <w:p w14:paraId="1FDCCD26" w14:textId="77777777" w:rsidR="007F4FCC" w:rsidRPr="00687EE7" w:rsidRDefault="007F4FCC" w:rsidP="00540C7D">
            <w:pPr>
              <w:keepNext/>
              <w:ind w:right="-197"/>
              <w:jc w:val="left"/>
              <w:rPr>
                <w:sz w:val="18"/>
                <w:szCs w:val="18"/>
              </w:rPr>
            </w:pPr>
            <w:r>
              <w:rPr>
                <w:sz w:val="18"/>
                <w:szCs w:val="18"/>
                <w:lang w:val="fr"/>
              </w:rPr>
              <w:t>Vérification des PGEH</w:t>
            </w:r>
          </w:p>
        </w:tc>
        <w:tc>
          <w:tcPr>
            <w:tcW w:w="759" w:type="dxa"/>
            <w:tcBorders>
              <w:top w:val="nil"/>
              <w:left w:val="nil"/>
              <w:bottom w:val="single" w:sz="4" w:space="0" w:color="auto"/>
              <w:right w:val="single" w:sz="4" w:space="0" w:color="auto"/>
            </w:tcBorders>
            <w:shd w:val="clear" w:color="auto" w:fill="auto"/>
            <w:noWrap/>
            <w:hideMark/>
          </w:tcPr>
          <w:p w14:paraId="74B6FA9A" w14:textId="77777777" w:rsidR="007F4FCC" w:rsidRPr="00687EE7" w:rsidRDefault="007F4FCC" w:rsidP="00540C7D">
            <w:pPr>
              <w:keepNext/>
              <w:jc w:val="center"/>
              <w:rPr>
                <w:sz w:val="18"/>
                <w:szCs w:val="18"/>
              </w:rPr>
            </w:pPr>
          </w:p>
        </w:tc>
        <w:tc>
          <w:tcPr>
            <w:tcW w:w="759" w:type="dxa"/>
            <w:tcBorders>
              <w:top w:val="nil"/>
              <w:left w:val="nil"/>
              <w:bottom w:val="single" w:sz="4" w:space="0" w:color="auto"/>
              <w:right w:val="single" w:sz="4" w:space="0" w:color="auto"/>
            </w:tcBorders>
            <w:shd w:val="clear" w:color="auto" w:fill="auto"/>
            <w:noWrap/>
            <w:hideMark/>
          </w:tcPr>
          <w:p w14:paraId="2AB8D0F2" w14:textId="77777777" w:rsidR="007F4FCC" w:rsidRPr="00687EE7" w:rsidRDefault="007F4FCC" w:rsidP="00540C7D">
            <w:pPr>
              <w:keepNext/>
              <w:jc w:val="center"/>
              <w:rPr>
                <w:sz w:val="18"/>
                <w:szCs w:val="18"/>
              </w:rPr>
            </w:pPr>
          </w:p>
        </w:tc>
        <w:tc>
          <w:tcPr>
            <w:tcW w:w="760" w:type="dxa"/>
            <w:tcBorders>
              <w:top w:val="nil"/>
              <w:left w:val="nil"/>
              <w:bottom w:val="single" w:sz="4" w:space="0" w:color="auto"/>
              <w:right w:val="single" w:sz="4" w:space="0" w:color="auto"/>
            </w:tcBorders>
            <w:shd w:val="clear" w:color="auto" w:fill="auto"/>
            <w:noWrap/>
            <w:hideMark/>
          </w:tcPr>
          <w:p w14:paraId="0F349614" w14:textId="77777777" w:rsidR="007F4FCC" w:rsidRPr="00687EE7" w:rsidRDefault="007F4FCC" w:rsidP="00540C7D">
            <w:pPr>
              <w:keepNext/>
              <w:jc w:val="center"/>
              <w:rPr>
                <w:sz w:val="18"/>
                <w:szCs w:val="18"/>
              </w:rPr>
            </w:pPr>
          </w:p>
        </w:tc>
        <w:tc>
          <w:tcPr>
            <w:tcW w:w="759" w:type="dxa"/>
            <w:tcBorders>
              <w:top w:val="nil"/>
              <w:left w:val="nil"/>
              <w:bottom w:val="single" w:sz="4" w:space="0" w:color="auto"/>
              <w:right w:val="single" w:sz="4" w:space="0" w:color="auto"/>
            </w:tcBorders>
            <w:shd w:val="clear" w:color="auto" w:fill="auto"/>
            <w:noWrap/>
            <w:hideMark/>
          </w:tcPr>
          <w:p w14:paraId="6F6E3FA6" w14:textId="77777777" w:rsidR="007F4FCC" w:rsidRPr="00687EE7" w:rsidRDefault="007F4FCC" w:rsidP="00540C7D">
            <w:pPr>
              <w:keepNext/>
              <w:jc w:val="center"/>
              <w:rPr>
                <w:sz w:val="18"/>
                <w:szCs w:val="18"/>
              </w:rPr>
            </w:pPr>
          </w:p>
        </w:tc>
        <w:tc>
          <w:tcPr>
            <w:tcW w:w="760" w:type="dxa"/>
            <w:tcBorders>
              <w:top w:val="nil"/>
              <w:left w:val="nil"/>
              <w:bottom w:val="single" w:sz="4" w:space="0" w:color="auto"/>
              <w:right w:val="single" w:sz="4" w:space="0" w:color="auto"/>
            </w:tcBorders>
            <w:shd w:val="clear" w:color="auto" w:fill="auto"/>
            <w:noWrap/>
            <w:hideMark/>
          </w:tcPr>
          <w:p w14:paraId="738CC0F5" w14:textId="77777777" w:rsidR="007F4FCC" w:rsidRPr="00687EE7" w:rsidRDefault="007F4FCC" w:rsidP="00540C7D">
            <w:pPr>
              <w:keepNext/>
              <w:jc w:val="center"/>
              <w:rPr>
                <w:sz w:val="18"/>
                <w:szCs w:val="18"/>
              </w:rPr>
            </w:pPr>
          </w:p>
        </w:tc>
        <w:tc>
          <w:tcPr>
            <w:tcW w:w="759" w:type="dxa"/>
            <w:tcBorders>
              <w:top w:val="nil"/>
              <w:left w:val="nil"/>
              <w:bottom w:val="single" w:sz="4" w:space="0" w:color="auto"/>
              <w:right w:val="single" w:sz="4" w:space="0" w:color="auto"/>
            </w:tcBorders>
            <w:shd w:val="clear" w:color="auto" w:fill="auto"/>
            <w:noWrap/>
            <w:hideMark/>
          </w:tcPr>
          <w:p w14:paraId="79D3685E" w14:textId="77777777" w:rsidR="007F4FCC" w:rsidRPr="00687EE7" w:rsidRDefault="007F4FCC" w:rsidP="00540C7D">
            <w:pPr>
              <w:keepNext/>
              <w:jc w:val="center"/>
              <w:rPr>
                <w:sz w:val="18"/>
                <w:szCs w:val="18"/>
              </w:rPr>
            </w:pPr>
          </w:p>
        </w:tc>
        <w:tc>
          <w:tcPr>
            <w:tcW w:w="760" w:type="dxa"/>
            <w:tcBorders>
              <w:top w:val="nil"/>
              <w:left w:val="nil"/>
              <w:bottom w:val="single" w:sz="4" w:space="0" w:color="auto"/>
              <w:right w:val="single" w:sz="4" w:space="0" w:color="auto"/>
            </w:tcBorders>
            <w:shd w:val="clear" w:color="auto" w:fill="auto"/>
            <w:noWrap/>
            <w:hideMark/>
          </w:tcPr>
          <w:p w14:paraId="3E57D79C" w14:textId="77777777" w:rsidR="007F4FCC" w:rsidRPr="00687EE7" w:rsidRDefault="007F4FCC" w:rsidP="00540C7D">
            <w:pPr>
              <w:keepNext/>
              <w:jc w:val="center"/>
              <w:rPr>
                <w:sz w:val="18"/>
                <w:szCs w:val="18"/>
              </w:rPr>
            </w:pPr>
          </w:p>
        </w:tc>
        <w:tc>
          <w:tcPr>
            <w:tcW w:w="759" w:type="dxa"/>
            <w:tcBorders>
              <w:top w:val="nil"/>
              <w:left w:val="nil"/>
              <w:bottom w:val="single" w:sz="4" w:space="0" w:color="auto"/>
              <w:right w:val="single" w:sz="4" w:space="0" w:color="auto"/>
            </w:tcBorders>
            <w:shd w:val="clear" w:color="auto" w:fill="auto"/>
            <w:noWrap/>
            <w:hideMark/>
          </w:tcPr>
          <w:p w14:paraId="4AF74015" w14:textId="77777777" w:rsidR="007F4FCC" w:rsidRPr="00687EE7" w:rsidRDefault="007F4FCC" w:rsidP="00540C7D">
            <w:pPr>
              <w:keepNext/>
              <w:jc w:val="center"/>
              <w:rPr>
                <w:sz w:val="18"/>
                <w:szCs w:val="18"/>
              </w:rPr>
            </w:pPr>
          </w:p>
        </w:tc>
        <w:tc>
          <w:tcPr>
            <w:tcW w:w="760" w:type="dxa"/>
            <w:tcBorders>
              <w:top w:val="nil"/>
              <w:left w:val="nil"/>
              <w:bottom w:val="single" w:sz="4" w:space="0" w:color="auto"/>
              <w:right w:val="single" w:sz="4" w:space="0" w:color="auto"/>
            </w:tcBorders>
            <w:shd w:val="clear" w:color="auto" w:fill="auto"/>
            <w:noWrap/>
            <w:hideMark/>
          </w:tcPr>
          <w:p w14:paraId="0A623941" w14:textId="77777777" w:rsidR="007F4FCC" w:rsidRPr="00687EE7" w:rsidRDefault="007F4FCC" w:rsidP="00540C7D">
            <w:pPr>
              <w:keepNext/>
              <w:jc w:val="center"/>
              <w:rPr>
                <w:sz w:val="18"/>
                <w:szCs w:val="18"/>
              </w:rPr>
            </w:pPr>
          </w:p>
        </w:tc>
        <w:tc>
          <w:tcPr>
            <w:tcW w:w="759" w:type="dxa"/>
            <w:tcBorders>
              <w:top w:val="nil"/>
              <w:left w:val="nil"/>
              <w:bottom w:val="single" w:sz="4" w:space="0" w:color="auto"/>
              <w:right w:val="single" w:sz="4" w:space="0" w:color="auto"/>
            </w:tcBorders>
            <w:shd w:val="clear" w:color="auto" w:fill="auto"/>
            <w:noWrap/>
            <w:hideMark/>
          </w:tcPr>
          <w:p w14:paraId="753B1AFF" w14:textId="77777777" w:rsidR="007F4FCC" w:rsidRPr="00687EE7" w:rsidRDefault="007F4FCC" w:rsidP="00540C7D">
            <w:pPr>
              <w:keepNext/>
              <w:jc w:val="center"/>
              <w:rPr>
                <w:sz w:val="18"/>
                <w:szCs w:val="18"/>
              </w:rPr>
            </w:pPr>
            <w:r>
              <w:rPr>
                <w:sz w:val="18"/>
                <w:szCs w:val="18"/>
                <w:lang w:val="fr"/>
              </w:rPr>
              <w:t>9,0</w:t>
            </w:r>
          </w:p>
        </w:tc>
        <w:tc>
          <w:tcPr>
            <w:tcW w:w="760" w:type="dxa"/>
            <w:tcBorders>
              <w:top w:val="nil"/>
              <w:left w:val="nil"/>
              <w:bottom w:val="single" w:sz="4" w:space="0" w:color="auto"/>
              <w:right w:val="single" w:sz="4" w:space="0" w:color="auto"/>
            </w:tcBorders>
            <w:shd w:val="clear" w:color="auto" w:fill="auto"/>
            <w:noWrap/>
            <w:hideMark/>
          </w:tcPr>
          <w:p w14:paraId="7787A52A" w14:textId="77777777" w:rsidR="007F4FCC" w:rsidRPr="00687EE7" w:rsidRDefault="007F4FCC" w:rsidP="00540C7D">
            <w:pPr>
              <w:keepNext/>
              <w:jc w:val="center"/>
              <w:rPr>
                <w:sz w:val="18"/>
                <w:szCs w:val="18"/>
              </w:rPr>
            </w:pPr>
            <w:r>
              <w:rPr>
                <w:sz w:val="18"/>
                <w:szCs w:val="18"/>
                <w:lang w:val="fr"/>
              </w:rPr>
              <w:t>9,0</w:t>
            </w:r>
          </w:p>
        </w:tc>
      </w:tr>
      <w:tr w:rsidR="00687EE7" w:rsidRPr="00687EE7" w14:paraId="20BC157B" w14:textId="77777777" w:rsidTr="00540C7D">
        <w:trPr>
          <w:trHeight w:val="44"/>
        </w:trPr>
        <w:tc>
          <w:tcPr>
            <w:tcW w:w="1096" w:type="dxa"/>
            <w:tcBorders>
              <w:top w:val="nil"/>
              <w:left w:val="single" w:sz="4" w:space="0" w:color="auto"/>
              <w:bottom w:val="single" w:sz="4" w:space="0" w:color="auto"/>
              <w:right w:val="single" w:sz="4" w:space="0" w:color="auto"/>
            </w:tcBorders>
            <w:shd w:val="clear" w:color="auto" w:fill="auto"/>
            <w:noWrap/>
            <w:hideMark/>
          </w:tcPr>
          <w:p w14:paraId="66F353DB" w14:textId="77777777" w:rsidR="007F4FCC" w:rsidRPr="00687EE7" w:rsidRDefault="007F4FCC" w:rsidP="00540C7D">
            <w:pPr>
              <w:keepNext/>
              <w:jc w:val="left"/>
              <w:rPr>
                <w:b/>
                <w:bCs/>
                <w:sz w:val="18"/>
                <w:szCs w:val="18"/>
              </w:rPr>
            </w:pPr>
            <w:r>
              <w:rPr>
                <w:b/>
                <w:bCs/>
                <w:sz w:val="18"/>
                <w:szCs w:val="18"/>
                <w:lang w:val="fr"/>
              </w:rPr>
              <w:t>Total</w:t>
            </w:r>
          </w:p>
        </w:tc>
        <w:tc>
          <w:tcPr>
            <w:tcW w:w="759" w:type="dxa"/>
            <w:tcBorders>
              <w:top w:val="nil"/>
              <w:left w:val="nil"/>
              <w:bottom w:val="single" w:sz="4" w:space="0" w:color="auto"/>
              <w:right w:val="single" w:sz="4" w:space="0" w:color="auto"/>
            </w:tcBorders>
            <w:shd w:val="clear" w:color="auto" w:fill="auto"/>
            <w:noWrap/>
            <w:hideMark/>
          </w:tcPr>
          <w:p w14:paraId="1FE4D985" w14:textId="77777777" w:rsidR="007F4FCC" w:rsidRPr="00687EE7" w:rsidRDefault="007F4FCC" w:rsidP="00540C7D">
            <w:pPr>
              <w:keepNext/>
              <w:jc w:val="center"/>
              <w:rPr>
                <w:b/>
                <w:bCs/>
                <w:sz w:val="18"/>
                <w:szCs w:val="18"/>
              </w:rPr>
            </w:pPr>
            <w:r>
              <w:rPr>
                <w:b/>
                <w:bCs/>
                <w:sz w:val="18"/>
                <w:szCs w:val="18"/>
                <w:lang w:val="fr"/>
              </w:rPr>
              <w:t>10,7</w:t>
            </w:r>
          </w:p>
        </w:tc>
        <w:tc>
          <w:tcPr>
            <w:tcW w:w="759" w:type="dxa"/>
            <w:tcBorders>
              <w:top w:val="nil"/>
              <w:left w:val="nil"/>
              <w:bottom w:val="single" w:sz="4" w:space="0" w:color="auto"/>
              <w:right w:val="single" w:sz="4" w:space="0" w:color="auto"/>
            </w:tcBorders>
            <w:shd w:val="clear" w:color="auto" w:fill="auto"/>
            <w:noWrap/>
            <w:hideMark/>
          </w:tcPr>
          <w:p w14:paraId="29797871" w14:textId="77777777" w:rsidR="007F4FCC" w:rsidRPr="00687EE7" w:rsidRDefault="007F4FCC" w:rsidP="00540C7D">
            <w:pPr>
              <w:keepNext/>
              <w:jc w:val="center"/>
              <w:rPr>
                <w:b/>
                <w:bCs/>
                <w:sz w:val="18"/>
                <w:szCs w:val="18"/>
              </w:rPr>
            </w:pPr>
            <w:r>
              <w:rPr>
                <w:b/>
                <w:bCs/>
                <w:sz w:val="18"/>
                <w:szCs w:val="18"/>
                <w:lang w:val="fr"/>
              </w:rPr>
              <w:t>11,6</w:t>
            </w:r>
          </w:p>
        </w:tc>
        <w:tc>
          <w:tcPr>
            <w:tcW w:w="760" w:type="dxa"/>
            <w:tcBorders>
              <w:top w:val="nil"/>
              <w:left w:val="nil"/>
              <w:bottom w:val="single" w:sz="4" w:space="0" w:color="auto"/>
              <w:right w:val="single" w:sz="4" w:space="0" w:color="auto"/>
            </w:tcBorders>
            <w:shd w:val="clear" w:color="auto" w:fill="auto"/>
            <w:noWrap/>
            <w:hideMark/>
          </w:tcPr>
          <w:p w14:paraId="340E5893" w14:textId="77777777" w:rsidR="007F4FCC" w:rsidRPr="00687EE7" w:rsidRDefault="007F4FCC" w:rsidP="00540C7D">
            <w:pPr>
              <w:keepNext/>
              <w:jc w:val="center"/>
              <w:rPr>
                <w:b/>
                <w:bCs/>
                <w:sz w:val="18"/>
                <w:szCs w:val="18"/>
              </w:rPr>
            </w:pPr>
            <w:r>
              <w:rPr>
                <w:b/>
                <w:bCs/>
                <w:sz w:val="18"/>
                <w:szCs w:val="18"/>
                <w:lang w:val="fr"/>
              </w:rPr>
              <w:t>10,8</w:t>
            </w:r>
          </w:p>
        </w:tc>
        <w:tc>
          <w:tcPr>
            <w:tcW w:w="759" w:type="dxa"/>
            <w:tcBorders>
              <w:top w:val="nil"/>
              <w:left w:val="nil"/>
              <w:bottom w:val="single" w:sz="4" w:space="0" w:color="auto"/>
              <w:right w:val="single" w:sz="4" w:space="0" w:color="auto"/>
            </w:tcBorders>
            <w:shd w:val="clear" w:color="auto" w:fill="auto"/>
            <w:noWrap/>
            <w:hideMark/>
          </w:tcPr>
          <w:p w14:paraId="2568CADB" w14:textId="77777777" w:rsidR="007F4FCC" w:rsidRPr="00687EE7" w:rsidRDefault="007F4FCC" w:rsidP="00540C7D">
            <w:pPr>
              <w:keepNext/>
              <w:jc w:val="center"/>
              <w:rPr>
                <w:b/>
                <w:bCs/>
                <w:sz w:val="18"/>
                <w:szCs w:val="18"/>
              </w:rPr>
            </w:pPr>
            <w:r>
              <w:rPr>
                <w:b/>
                <w:bCs/>
                <w:sz w:val="18"/>
                <w:szCs w:val="18"/>
                <w:lang w:val="fr"/>
              </w:rPr>
              <w:t>12,1</w:t>
            </w:r>
          </w:p>
        </w:tc>
        <w:tc>
          <w:tcPr>
            <w:tcW w:w="760" w:type="dxa"/>
            <w:tcBorders>
              <w:top w:val="nil"/>
              <w:left w:val="nil"/>
              <w:bottom w:val="single" w:sz="4" w:space="0" w:color="auto"/>
              <w:right w:val="single" w:sz="4" w:space="0" w:color="auto"/>
            </w:tcBorders>
            <w:shd w:val="clear" w:color="auto" w:fill="auto"/>
            <w:noWrap/>
            <w:hideMark/>
          </w:tcPr>
          <w:p w14:paraId="403B0A07" w14:textId="77777777" w:rsidR="007F4FCC" w:rsidRPr="00687EE7" w:rsidRDefault="007F4FCC" w:rsidP="00540C7D">
            <w:pPr>
              <w:keepNext/>
              <w:jc w:val="center"/>
              <w:rPr>
                <w:b/>
                <w:bCs/>
                <w:sz w:val="18"/>
                <w:szCs w:val="18"/>
              </w:rPr>
            </w:pPr>
            <w:r>
              <w:rPr>
                <w:b/>
                <w:bCs/>
                <w:sz w:val="18"/>
                <w:szCs w:val="18"/>
                <w:lang w:val="fr"/>
              </w:rPr>
              <w:t>12,1</w:t>
            </w:r>
          </w:p>
        </w:tc>
        <w:tc>
          <w:tcPr>
            <w:tcW w:w="759" w:type="dxa"/>
            <w:tcBorders>
              <w:top w:val="nil"/>
              <w:left w:val="nil"/>
              <w:bottom w:val="single" w:sz="4" w:space="0" w:color="auto"/>
              <w:right w:val="single" w:sz="4" w:space="0" w:color="auto"/>
            </w:tcBorders>
            <w:shd w:val="clear" w:color="auto" w:fill="auto"/>
            <w:noWrap/>
            <w:hideMark/>
          </w:tcPr>
          <w:p w14:paraId="33FC798C" w14:textId="77777777" w:rsidR="007F4FCC" w:rsidRPr="00687EE7" w:rsidRDefault="007F4FCC" w:rsidP="00540C7D">
            <w:pPr>
              <w:keepNext/>
              <w:jc w:val="center"/>
              <w:rPr>
                <w:b/>
                <w:bCs/>
                <w:sz w:val="18"/>
                <w:szCs w:val="18"/>
              </w:rPr>
            </w:pPr>
            <w:r>
              <w:rPr>
                <w:b/>
                <w:bCs/>
                <w:sz w:val="18"/>
                <w:szCs w:val="18"/>
                <w:lang w:val="fr"/>
              </w:rPr>
              <w:t>12,1</w:t>
            </w:r>
          </w:p>
        </w:tc>
        <w:tc>
          <w:tcPr>
            <w:tcW w:w="760" w:type="dxa"/>
            <w:tcBorders>
              <w:top w:val="nil"/>
              <w:left w:val="nil"/>
              <w:bottom w:val="single" w:sz="4" w:space="0" w:color="auto"/>
              <w:right w:val="single" w:sz="4" w:space="0" w:color="auto"/>
            </w:tcBorders>
            <w:shd w:val="clear" w:color="auto" w:fill="auto"/>
            <w:noWrap/>
            <w:hideMark/>
          </w:tcPr>
          <w:p w14:paraId="77CFC2E0" w14:textId="77777777" w:rsidR="007F4FCC" w:rsidRPr="00687EE7" w:rsidRDefault="007F4FCC" w:rsidP="00540C7D">
            <w:pPr>
              <w:keepNext/>
              <w:jc w:val="center"/>
              <w:rPr>
                <w:b/>
                <w:bCs/>
                <w:sz w:val="18"/>
                <w:szCs w:val="18"/>
              </w:rPr>
            </w:pPr>
            <w:r>
              <w:rPr>
                <w:b/>
                <w:bCs/>
                <w:sz w:val="18"/>
                <w:szCs w:val="18"/>
                <w:lang w:val="fr"/>
              </w:rPr>
              <w:t>12,2</w:t>
            </w:r>
          </w:p>
        </w:tc>
        <w:tc>
          <w:tcPr>
            <w:tcW w:w="759" w:type="dxa"/>
            <w:tcBorders>
              <w:top w:val="nil"/>
              <w:left w:val="nil"/>
              <w:bottom w:val="single" w:sz="4" w:space="0" w:color="auto"/>
              <w:right w:val="single" w:sz="4" w:space="0" w:color="auto"/>
            </w:tcBorders>
            <w:shd w:val="clear" w:color="auto" w:fill="auto"/>
            <w:noWrap/>
            <w:hideMark/>
          </w:tcPr>
          <w:p w14:paraId="78741577" w14:textId="77777777" w:rsidR="007F4FCC" w:rsidRPr="00687EE7" w:rsidRDefault="007F4FCC" w:rsidP="00540C7D">
            <w:pPr>
              <w:keepNext/>
              <w:jc w:val="center"/>
              <w:rPr>
                <w:b/>
                <w:bCs/>
                <w:sz w:val="18"/>
                <w:szCs w:val="18"/>
              </w:rPr>
            </w:pPr>
            <w:r>
              <w:rPr>
                <w:b/>
                <w:bCs/>
                <w:sz w:val="18"/>
                <w:szCs w:val="18"/>
                <w:lang w:val="fr"/>
              </w:rPr>
              <w:t>13,8</w:t>
            </w:r>
          </w:p>
        </w:tc>
        <w:tc>
          <w:tcPr>
            <w:tcW w:w="760" w:type="dxa"/>
            <w:tcBorders>
              <w:top w:val="nil"/>
              <w:left w:val="nil"/>
              <w:bottom w:val="single" w:sz="4" w:space="0" w:color="auto"/>
              <w:right w:val="single" w:sz="4" w:space="0" w:color="auto"/>
            </w:tcBorders>
            <w:shd w:val="clear" w:color="auto" w:fill="auto"/>
            <w:noWrap/>
            <w:hideMark/>
          </w:tcPr>
          <w:p w14:paraId="18686D72" w14:textId="77777777" w:rsidR="007F4FCC" w:rsidRPr="00687EE7" w:rsidRDefault="007F4FCC" w:rsidP="00540C7D">
            <w:pPr>
              <w:keepNext/>
              <w:jc w:val="center"/>
              <w:rPr>
                <w:b/>
                <w:bCs/>
                <w:sz w:val="18"/>
                <w:szCs w:val="18"/>
              </w:rPr>
            </w:pPr>
            <w:r>
              <w:rPr>
                <w:b/>
                <w:bCs/>
                <w:sz w:val="18"/>
                <w:szCs w:val="18"/>
                <w:lang w:val="fr"/>
              </w:rPr>
              <w:t>12,9</w:t>
            </w:r>
          </w:p>
        </w:tc>
        <w:tc>
          <w:tcPr>
            <w:tcW w:w="759" w:type="dxa"/>
            <w:tcBorders>
              <w:top w:val="nil"/>
              <w:left w:val="nil"/>
              <w:bottom w:val="single" w:sz="4" w:space="0" w:color="auto"/>
              <w:right w:val="single" w:sz="4" w:space="0" w:color="auto"/>
            </w:tcBorders>
            <w:shd w:val="clear" w:color="auto" w:fill="auto"/>
            <w:noWrap/>
            <w:hideMark/>
          </w:tcPr>
          <w:p w14:paraId="793B6196" w14:textId="77777777" w:rsidR="007F4FCC" w:rsidRPr="00687EE7" w:rsidRDefault="007F4FCC" w:rsidP="00540C7D">
            <w:pPr>
              <w:keepNext/>
              <w:jc w:val="center"/>
              <w:rPr>
                <w:b/>
                <w:bCs/>
                <w:sz w:val="18"/>
                <w:szCs w:val="18"/>
              </w:rPr>
            </w:pPr>
            <w:r>
              <w:rPr>
                <w:b/>
                <w:bCs/>
                <w:sz w:val="18"/>
                <w:szCs w:val="18"/>
                <w:lang w:val="fr"/>
              </w:rPr>
              <w:t>12,1</w:t>
            </w:r>
          </w:p>
        </w:tc>
        <w:tc>
          <w:tcPr>
            <w:tcW w:w="760" w:type="dxa"/>
            <w:tcBorders>
              <w:top w:val="nil"/>
              <w:left w:val="nil"/>
              <w:bottom w:val="single" w:sz="4" w:space="0" w:color="auto"/>
              <w:right w:val="single" w:sz="4" w:space="0" w:color="auto"/>
            </w:tcBorders>
            <w:shd w:val="clear" w:color="auto" w:fill="auto"/>
            <w:noWrap/>
            <w:hideMark/>
          </w:tcPr>
          <w:p w14:paraId="761BBA04" w14:textId="77777777" w:rsidR="007F4FCC" w:rsidRPr="00687EE7" w:rsidRDefault="007F4FCC" w:rsidP="00540C7D">
            <w:pPr>
              <w:keepNext/>
              <w:jc w:val="center"/>
              <w:rPr>
                <w:b/>
                <w:bCs/>
                <w:sz w:val="18"/>
                <w:szCs w:val="18"/>
              </w:rPr>
            </w:pPr>
            <w:r>
              <w:rPr>
                <w:b/>
                <w:bCs/>
                <w:sz w:val="18"/>
                <w:szCs w:val="18"/>
                <w:lang w:val="fr"/>
              </w:rPr>
              <w:t>11,8</w:t>
            </w:r>
          </w:p>
        </w:tc>
      </w:tr>
    </w:tbl>
    <w:p w14:paraId="6A90C40E" w14:textId="77777777" w:rsidR="007F4FCC" w:rsidRPr="00455EF6" w:rsidRDefault="007F4FCC" w:rsidP="007F4FCC">
      <w:pPr>
        <w:rPr>
          <w:sz w:val="18"/>
          <w:szCs w:val="18"/>
          <w:lang w:val="fr-FR"/>
        </w:rPr>
      </w:pPr>
      <w:r>
        <w:rPr>
          <w:sz w:val="18"/>
          <w:szCs w:val="18"/>
          <w:lang w:val="fr"/>
        </w:rPr>
        <w:t>* Sur la base des approbations effectives de la 87</w:t>
      </w:r>
      <w:r>
        <w:rPr>
          <w:sz w:val="18"/>
          <w:szCs w:val="18"/>
          <w:vertAlign w:val="superscript"/>
          <w:lang w:val="fr"/>
        </w:rPr>
        <w:t>e</w:t>
      </w:r>
      <w:r>
        <w:rPr>
          <w:sz w:val="18"/>
          <w:szCs w:val="18"/>
          <w:lang w:val="fr"/>
        </w:rPr>
        <w:t xml:space="preserve"> à la 92</w:t>
      </w:r>
      <w:r>
        <w:rPr>
          <w:sz w:val="18"/>
          <w:szCs w:val="18"/>
          <w:vertAlign w:val="superscript"/>
          <w:lang w:val="fr"/>
        </w:rPr>
        <w:t>e</w:t>
      </w:r>
      <w:r>
        <w:rPr>
          <w:sz w:val="18"/>
          <w:szCs w:val="18"/>
          <w:lang w:val="fr"/>
        </w:rPr>
        <w:t> réunion et des soumissions à la 93</w:t>
      </w:r>
      <w:r>
        <w:rPr>
          <w:sz w:val="18"/>
          <w:szCs w:val="18"/>
          <w:vertAlign w:val="superscript"/>
          <w:lang w:val="fr"/>
        </w:rPr>
        <w:t>e</w:t>
      </w:r>
      <w:r>
        <w:rPr>
          <w:sz w:val="18"/>
          <w:szCs w:val="18"/>
          <w:lang w:val="fr"/>
        </w:rPr>
        <w:t> réunion.</w:t>
      </w:r>
    </w:p>
    <w:p w14:paraId="4EBE4C04" w14:textId="77777777" w:rsidR="007F4FCC" w:rsidRPr="00455EF6" w:rsidRDefault="007F4FCC" w:rsidP="007F4FCC">
      <w:pPr>
        <w:rPr>
          <w:sz w:val="18"/>
          <w:szCs w:val="18"/>
          <w:lang w:val="fr-FR"/>
        </w:rPr>
      </w:pPr>
      <w:r>
        <w:rPr>
          <w:sz w:val="18"/>
          <w:szCs w:val="18"/>
          <w:lang w:val="fr"/>
        </w:rPr>
        <w:t>** Sur la base du plan d’activités global du Fonds multilatéral pour 2024-2026 (voir paragraphe 4 a) ci-dessus).</w:t>
      </w:r>
    </w:p>
    <w:p w14:paraId="757703C0" w14:textId="77777777" w:rsidR="007F4FCC" w:rsidRPr="00455EF6" w:rsidRDefault="007F4FCC" w:rsidP="007F4FCC">
      <w:pPr>
        <w:rPr>
          <w:caps/>
          <w:lang w:val="fr-FR"/>
        </w:rPr>
      </w:pPr>
    </w:p>
    <w:p w14:paraId="71D7D5D5" w14:textId="77777777" w:rsidR="007F4FCC" w:rsidRPr="00455EF6" w:rsidRDefault="007F4FCC" w:rsidP="00D51323">
      <w:pPr>
        <w:pStyle w:val="Heading1"/>
        <w:rPr>
          <w:lang w:val="fr-FR"/>
        </w:rPr>
      </w:pPr>
      <w:r>
        <w:rPr>
          <w:lang w:val="fr"/>
        </w:rPr>
        <w:t xml:space="preserve">Pour certaines périodes et certaines agences d’exécution, les coûts d’appui ont été supérieurs à 13 % </w:t>
      </w:r>
      <w:bookmarkStart w:id="1" w:name="_Hlk152086551"/>
      <w:r>
        <w:rPr>
          <w:lang w:val="fr"/>
        </w:rPr>
        <w:t>en raison de la diminution des approbations de financement de projets</w:t>
      </w:r>
      <w:bookmarkEnd w:id="1"/>
      <w:r>
        <w:rPr>
          <w:lang w:val="fr"/>
        </w:rPr>
        <w:t>, ce qui a entraîné une augmentation proportionnelle des budgets de base pour ces années</w:t>
      </w:r>
      <w:bookmarkStart w:id="2" w:name="_Hlk152086777"/>
      <w:r>
        <w:rPr>
          <w:lang w:val="fr"/>
        </w:rPr>
        <w:t>. La période triennale 2021-2023 a été une période de reprise post-COVID-19 à l’échelle mondiale.</w:t>
      </w:r>
      <w:bookmarkEnd w:id="2"/>
      <w:r>
        <w:rPr>
          <w:lang w:val="fr"/>
        </w:rPr>
        <w:t xml:space="preserve"> Alors que les agences d’exécution, en étroite collaboration avec leurs homologues nationaux, soutenaient la mise en œuvre des projets par le biais de différents mécanismes (par exemple, activités de formation en ligne, examen des projets en ligne et suivi de la mise en œuvre), le rythme de mise en œuvre des activités et, donc, de l’approbation des futures tranches de projets a été plus lent que prévu ; dans certains cas, les projets d’investissement nécessitant l’installation et la mise en service d’équipements pour la fabrication de produits utilisant des substances de remplacement ont été retardés en raison des restrictions des déplacements et des problèmes d’approvisionnement. Cette situation a entraîné une baisse des coûts d’appui administratif perçus par les agences, bien que le financement des coûts de base ait été disponible aux niveaux applicables.</w:t>
      </w:r>
    </w:p>
    <w:p w14:paraId="00333A9A" w14:textId="77777777" w:rsidR="007F4FCC" w:rsidRPr="00455EF6" w:rsidRDefault="007F4FCC" w:rsidP="007F4FCC">
      <w:pPr>
        <w:keepNext/>
        <w:rPr>
          <w:u w:val="single"/>
          <w:lang w:val="fr-FR"/>
        </w:rPr>
      </w:pPr>
      <w:r>
        <w:rPr>
          <w:u w:val="single"/>
          <w:lang w:val="fr"/>
        </w:rPr>
        <w:t>Analyse du plan d’activités pour la période triennale 2024-2026</w:t>
      </w:r>
    </w:p>
    <w:p w14:paraId="485BE0EA" w14:textId="77777777" w:rsidR="007F4FCC" w:rsidRPr="00455EF6" w:rsidRDefault="007F4FCC" w:rsidP="007F4FCC">
      <w:pPr>
        <w:keepNext/>
        <w:rPr>
          <w:u w:val="single"/>
          <w:lang w:val="fr-FR"/>
        </w:rPr>
      </w:pPr>
    </w:p>
    <w:p w14:paraId="07D048FB" w14:textId="77777777" w:rsidR="007F4FCC" w:rsidRPr="00455EF6" w:rsidRDefault="007F4FCC" w:rsidP="00D51323">
      <w:pPr>
        <w:pStyle w:val="Heading1"/>
        <w:rPr>
          <w:lang w:val="fr-FR"/>
        </w:rPr>
      </w:pPr>
      <w:r>
        <w:rPr>
          <w:lang w:val="fr"/>
        </w:rPr>
        <w:t xml:space="preserve">Le tableau 2 présente les tendances en matière de financement et de coûts d’appui approuvés au cours des deux dernières périodes triennales ainsi que les coûts de financement et d’appui prévus pour la période triennale 2024-2026.  </w:t>
      </w:r>
    </w:p>
    <w:p w14:paraId="5C8C6A1F" w14:textId="77777777" w:rsidR="007F4FCC" w:rsidRPr="00455EF6" w:rsidRDefault="007F4FCC" w:rsidP="007F4FCC">
      <w:pPr>
        <w:keepNext/>
        <w:keepLines/>
        <w:widowControl w:val="0"/>
        <w:rPr>
          <w:b/>
          <w:lang w:val="fr-FR"/>
        </w:rPr>
      </w:pPr>
      <w:r>
        <w:rPr>
          <w:b/>
          <w:bCs/>
          <w:lang w:val="fr"/>
        </w:rPr>
        <w:t>Tableau 2. Coûts administratifs payés par le Fonds pour les périodes triennales 2018-2020 et 2021-2023 et prévus pour la période triennale 2024-2026 ($US)</w:t>
      </w:r>
    </w:p>
    <w:tbl>
      <w:tblPr>
        <w:tblW w:w="9625" w:type="dxa"/>
        <w:tblLayout w:type="fixed"/>
        <w:tblLook w:val="04A0" w:firstRow="1" w:lastRow="0" w:firstColumn="1" w:lastColumn="0" w:noHBand="0" w:noVBand="1"/>
      </w:tblPr>
      <w:tblGrid>
        <w:gridCol w:w="1006"/>
        <w:gridCol w:w="1011"/>
        <w:gridCol w:w="948"/>
        <w:gridCol w:w="810"/>
        <w:gridCol w:w="1080"/>
        <w:gridCol w:w="900"/>
        <w:gridCol w:w="900"/>
        <w:gridCol w:w="1080"/>
        <w:gridCol w:w="990"/>
        <w:gridCol w:w="900"/>
      </w:tblGrid>
      <w:tr w:rsidR="00687EE7" w:rsidRPr="00687EE7" w14:paraId="4268D15B" w14:textId="77777777" w:rsidTr="00540C7D">
        <w:trPr>
          <w:trHeight w:val="177"/>
        </w:trPr>
        <w:tc>
          <w:tcPr>
            <w:tcW w:w="1006" w:type="dxa"/>
            <w:vMerge w:val="restart"/>
            <w:tcBorders>
              <w:top w:val="single" w:sz="4" w:space="0" w:color="auto"/>
              <w:left w:val="single" w:sz="4" w:space="0" w:color="auto"/>
              <w:right w:val="single" w:sz="4" w:space="0" w:color="auto"/>
            </w:tcBorders>
            <w:shd w:val="clear" w:color="auto" w:fill="auto"/>
            <w:noWrap/>
            <w:tcMar>
              <w:left w:w="29" w:type="dxa"/>
              <w:right w:w="29" w:type="dxa"/>
            </w:tcMar>
            <w:vAlign w:val="center"/>
            <w:hideMark/>
          </w:tcPr>
          <w:p w14:paraId="11D01629" w14:textId="77777777" w:rsidR="007F4FCC" w:rsidRPr="00687EE7" w:rsidRDefault="007F4FCC" w:rsidP="00540C7D">
            <w:pPr>
              <w:keepNext/>
              <w:keepLines/>
              <w:rPr>
                <w:b/>
                <w:sz w:val="18"/>
                <w:szCs w:val="18"/>
              </w:rPr>
            </w:pPr>
            <w:r>
              <w:rPr>
                <w:b/>
                <w:bCs/>
                <w:sz w:val="18"/>
                <w:szCs w:val="18"/>
                <w:lang w:val="fr"/>
              </w:rPr>
              <w:t>Agence</w:t>
            </w:r>
          </w:p>
        </w:tc>
        <w:tc>
          <w:tcPr>
            <w:tcW w:w="2769" w:type="dxa"/>
            <w:gridSpan w:val="3"/>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hideMark/>
          </w:tcPr>
          <w:p w14:paraId="76EECFC6" w14:textId="77777777" w:rsidR="007F4FCC" w:rsidRPr="00687EE7" w:rsidRDefault="007F4FCC" w:rsidP="00540C7D">
            <w:pPr>
              <w:keepNext/>
              <w:keepLines/>
              <w:jc w:val="center"/>
              <w:rPr>
                <w:b/>
                <w:sz w:val="18"/>
                <w:szCs w:val="18"/>
              </w:rPr>
            </w:pPr>
            <w:r>
              <w:rPr>
                <w:b/>
                <w:bCs/>
                <w:sz w:val="18"/>
                <w:szCs w:val="18"/>
                <w:lang w:val="fr"/>
              </w:rPr>
              <w:t>2018–2020*</w:t>
            </w:r>
          </w:p>
        </w:tc>
        <w:tc>
          <w:tcPr>
            <w:tcW w:w="2880" w:type="dxa"/>
            <w:gridSpan w:val="3"/>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hideMark/>
          </w:tcPr>
          <w:p w14:paraId="42A5D790" w14:textId="77777777" w:rsidR="007F4FCC" w:rsidRPr="00687EE7" w:rsidRDefault="007F4FCC" w:rsidP="00540C7D">
            <w:pPr>
              <w:keepNext/>
              <w:keepLines/>
              <w:jc w:val="center"/>
              <w:rPr>
                <w:b/>
                <w:sz w:val="18"/>
                <w:szCs w:val="18"/>
              </w:rPr>
            </w:pPr>
            <w:r>
              <w:rPr>
                <w:b/>
                <w:bCs/>
                <w:sz w:val="18"/>
                <w:szCs w:val="18"/>
                <w:lang w:val="fr"/>
              </w:rPr>
              <w:t>2021–2023**</w:t>
            </w:r>
          </w:p>
        </w:tc>
        <w:tc>
          <w:tcPr>
            <w:tcW w:w="2970" w:type="dxa"/>
            <w:gridSpan w:val="3"/>
            <w:tcBorders>
              <w:top w:val="single" w:sz="4" w:space="0" w:color="auto"/>
              <w:left w:val="nil"/>
              <w:bottom w:val="single" w:sz="4" w:space="0" w:color="auto"/>
              <w:right w:val="single" w:sz="4" w:space="0" w:color="auto"/>
            </w:tcBorders>
          </w:tcPr>
          <w:p w14:paraId="6F4B9A3C" w14:textId="77777777" w:rsidR="007F4FCC" w:rsidRPr="00687EE7" w:rsidRDefault="007F4FCC" w:rsidP="00540C7D">
            <w:pPr>
              <w:keepNext/>
              <w:keepLines/>
              <w:jc w:val="center"/>
              <w:rPr>
                <w:b/>
                <w:sz w:val="18"/>
                <w:szCs w:val="18"/>
              </w:rPr>
            </w:pPr>
            <w:r>
              <w:rPr>
                <w:b/>
                <w:bCs/>
                <w:sz w:val="18"/>
                <w:szCs w:val="18"/>
                <w:lang w:val="fr"/>
              </w:rPr>
              <w:t>2024–2026***</w:t>
            </w:r>
          </w:p>
        </w:tc>
      </w:tr>
      <w:tr w:rsidR="00687EE7" w:rsidRPr="00687EE7" w14:paraId="1C809173" w14:textId="77777777" w:rsidTr="00540C7D">
        <w:trPr>
          <w:trHeight w:val="142"/>
        </w:trPr>
        <w:tc>
          <w:tcPr>
            <w:tcW w:w="1006" w:type="dxa"/>
            <w:vMerge/>
            <w:tcBorders>
              <w:left w:val="single" w:sz="4" w:space="0" w:color="auto"/>
              <w:bottom w:val="single" w:sz="4" w:space="0" w:color="auto"/>
              <w:right w:val="single" w:sz="4" w:space="0" w:color="auto"/>
            </w:tcBorders>
            <w:shd w:val="clear" w:color="auto" w:fill="auto"/>
            <w:noWrap/>
            <w:tcMar>
              <w:left w:w="29" w:type="dxa"/>
              <w:right w:w="29" w:type="dxa"/>
            </w:tcMar>
            <w:vAlign w:val="center"/>
            <w:hideMark/>
          </w:tcPr>
          <w:p w14:paraId="4A3456B7" w14:textId="77777777" w:rsidR="007F4FCC" w:rsidRPr="00687EE7" w:rsidRDefault="007F4FCC" w:rsidP="00540C7D">
            <w:pPr>
              <w:keepNext/>
              <w:keepLines/>
              <w:rPr>
                <w:b/>
                <w:sz w:val="18"/>
                <w:szCs w:val="18"/>
              </w:rPr>
            </w:pPr>
          </w:p>
        </w:tc>
        <w:tc>
          <w:tcPr>
            <w:tcW w:w="1011"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54EF8F55" w14:textId="77777777" w:rsidR="007F4FCC" w:rsidRPr="00687EE7" w:rsidRDefault="007F4FCC" w:rsidP="00540C7D">
            <w:pPr>
              <w:keepNext/>
              <w:keepLines/>
              <w:jc w:val="center"/>
              <w:rPr>
                <w:b/>
                <w:sz w:val="18"/>
                <w:szCs w:val="18"/>
              </w:rPr>
            </w:pPr>
            <w:r>
              <w:rPr>
                <w:b/>
                <w:bCs/>
                <w:sz w:val="18"/>
                <w:szCs w:val="18"/>
                <w:lang w:val="fr"/>
              </w:rPr>
              <w:t>Financement</w:t>
            </w:r>
          </w:p>
        </w:tc>
        <w:tc>
          <w:tcPr>
            <w:tcW w:w="948"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055A9C74" w14:textId="77777777" w:rsidR="007F4FCC" w:rsidRPr="00687EE7" w:rsidRDefault="007F4FCC" w:rsidP="00540C7D">
            <w:pPr>
              <w:keepNext/>
              <w:keepLines/>
              <w:jc w:val="center"/>
              <w:rPr>
                <w:b/>
                <w:sz w:val="18"/>
                <w:szCs w:val="18"/>
              </w:rPr>
            </w:pPr>
            <w:r>
              <w:rPr>
                <w:b/>
                <w:bCs/>
                <w:sz w:val="18"/>
                <w:szCs w:val="18"/>
                <w:lang w:val="fr"/>
              </w:rPr>
              <w:t>Coûts d’appui</w:t>
            </w:r>
          </w:p>
        </w:tc>
        <w:tc>
          <w:tcPr>
            <w:tcW w:w="810"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0030C930" w14:textId="77777777" w:rsidR="007F4FCC" w:rsidRPr="00687EE7" w:rsidRDefault="007F4FCC" w:rsidP="00540C7D">
            <w:pPr>
              <w:keepNext/>
              <w:keepLines/>
              <w:jc w:val="center"/>
              <w:rPr>
                <w:b/>
                <w:sz w:val="18"/>
                <w:szCs w:val="18"/>
              </w:rPr>
            </w:pPr>
            <w:r>
              <w:rPr>
                <w:b/>
                <w:bCs/>
                <w:sz w:val="18"/>
                <w:szCs w:val="18"/>
                <w:lang w:val="fr"/>
              </w:rPr>
              <w:t>Coûts d’appui (%)</w:t>
            </w:r>
          </w:p>
        </w:tc>
        <w:tc>
          <w:tcPr>
            <w:tcW w:w="1080"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6AA2EF02" w14:textId="77777777" w:rsidR="007F4FCC" w:rsidRPr="00687EE7" w:rsidRDefault="007F4FCC" w:rsidP="00540C7D">
            <w:pPr>
              <w:keepNext/>
              <w:keepLines/>
              <w:jc w:val="center"/>
              <w:rPr>
                <w:b/>
                <w:sz w:val="18"/>
                <w:szCs w:val="18"/>
              </w:rPr>
            </w:pPr>
            <w:r>
              <w:rPr>
                <w:b/>
                <w:bCs/>
                <w:sz w:val="18"/>
                <w:szCs w:val="18"/>
                <w:lang w:val="fr"/>
              </w:rPr>
              <w:t>Financement</w:t>
            </w:r>
          </w:p>
        </w:tc>
        <w:tc>
          <w:tcPr>
            <w:tcW w:w="900"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07B7FEE4" w14:textId="77777777" w:rsidR="007F4FCC" w:rsidRPr="00687EE7" w:rsidRDefault="007F4FCC" w:rsidP="00540C7D">
            <w:pPr>
              <w:keepNext/>
              <w:keepLines/>
              <w:jc w:val="center"/>
              <w:rPr>
                <w:b/>
                <w:sz w:val="18"/>
                <w:szCs w:val="18"/>
              </w:rPr>
            </w:pPr>
            <w:r>
              <w:rPr>
                <w:b/>
                <w:bCs/>
                <w:sz w:val="18"/>
                <w:szCs w:val="18"/>
                <w:lang w:val="fr"/>
              </w:rPr>
              <w:t>Coûts d’appui</w:t>
            </w:r>
          </w:p>
        </w:tc>
        <w:tc>
          <w:tcPr>
            <w:tcW w:w="900" w:type="dxa"/>
            <w:tcBorders>
              <w:top w:val="nil"/>
              <w:left w:val="nil"/>
              <w:bottom w:val="single" w:sz="4" w:space="0" w:color="auto"/>
              <w:right w:val="single" w:sz="4" w:space="0" w:color="auto"/>
            </w:tcBorders>
            <w:shd w:val="clear" w:color="auto" w:fill="auto"/>
            <w:noWrap/>
            <w:tcMar>
              <w:left w:w="0" w:type="dxa"/>
              <w:right w:w="14" w:type="dxa"/>
            </w:tcMar>
            <w:vAlign w:val="center"/>
            <w:hideMark/>
          </w:tcPr>
          <w:p w14:paraId="38BA268D" w14:textId="77777777" w:rsidR="007F4FCC" w:rsidRPr="00687EE7" w:rsidRDefault="007F4FCC" w:rsidP="00540C7D">
            <w:pPr>
              <w:keepNext/>
              <w:keepLines/>
              <w:jc w:val="center"/>
              <w:rPr>
                <w:b/>
                <w:sz w:val="18"/>
                <w:szCs w:val="18"/>
              </w:rPr>
            </w:pPr>
            <w:r>
              <w:rPr>
                <w:b/>
                <w:bCs/>
                <w:sz w:val="18"/>
                <w:szCs w:val="18"/>
                <w:lang w:val="fr"/>
              </w:rPr>
              <w:t>Coûts d’appui (%)</w:t>
            </w:r>
          </w:p>
        </w:tc>
        <w:tc>
          <w:tcPr>
            <w:tcW w:w="1080" w:type="dxa"/>
            <w:tcBorders>
              <w:top w:val="nil"/>
              <w:left w:val="nil"/>
              <w:bottom w:val="single" w:sz="4" w:space="0" w:color="auto"/>
              <w:right w:val="single" w:sz="4" w:space="0" w:color="auto"/>
            </w:tcBorders>
            <w:shd w:val="clear" w:color="auto" w:fill="auto"/>
            <w:vAlign w:val="center"/>
          </w:tcPr>
          <w:p w14:paraId="5865D220" w14:textId="77777777" w:rsidR="007F4FCC" w:rsidRPr="00687EE7" w:rsidRDefault="007F4FCC" w:rsidP="00540C7D">
            <w:pPr>
              <w:keepNext/>
              <w:keepLines/>
              <w:jc w:val="center"/>
              <w:rPr>
                <w:b/>
                <w:sz w:val="18"/>
                <w:szCs w:val="18"/>
              </w:rPr>
            </w:pPr>
            <w:r>
              <w:rPr>
                <w:b/>
                <w:bCs/>
                <w:sz w:val="18"/>
                <w:szCs w:val="18"/>
                <w:lang w:val="fr"/>
              </w:rPr>
              <w:t>Financement</w:t>
            </w:r>
          </w:p>
        </w:tc>
        <w:tc>
          <w:tcPr>
            <w:tcW w:w="990" w:type="dxa"/>
            <w:tcBorders>
              <w:top w:val="nil"/>
              <w:left w:val="nil"/>
              <w:bottom w:val="single" w:sz="4" w:space="0" w:color="auto"/>
              <w:right w:val="single" w:sz="4" w:space="0" w:color="auto"/>
            </w:tcBorders>
            <w:shd w:val="clear" w:color="auto" w:fill="auto"/>
            <w:vAlign w:val="center"/>
          </w:tcPr>
          <w:p w14:paraId="553B0CD6" w14:textId="77777777" w:rsidR="007F4FCC" w:rsidRPr="00687EE7" w:rsidRDefault="007F4FCC" w:rsidP="00540C7D">
            <w:pPr>
              <w:keepNext/>
              <w:keepLines/>
              <w:jc w:val="center"/>
              <w:rPr>
                <w:b/>
                <w:sz w:val="18"/>
                <w:szCs w:val="18"/>
              </w:rPr>
            </w:pPr>
            <w:r>
              <w:rPr>
                <w:b/>
                <w:bCs/>
                <w:sz w:val="18"/>
                <w:szCs w:val="18"/>
                <w:lang w:val="fr"/>
              </w:rPr>
              <w:t>Coûts d’appui</w:t>
            </w:r>
          </w:p>
        </w:tc>
        <w:tc>
          <w:tcPr>
            <w:tcW w:w="900" w:type="dxa"/>
            <w:tcBorders>
              <w:top w:val="nil"/>
              <w:left w:val="nil"/>
              <w:bottom w:val="single" w:sz="4" w:space="0" w:color="auto"/>
              <w:right w:val="single" w:sz="4" w:space="0" w:color="auto"/>
            </w:tcBorders>
            <w:shd w:val="clear" w:color="auto" w:fill="auto"/>
            <w:vAlign w:val="center"/>
          </w:tcPr>
          <w:p w14:paraId="55684735" w14:textId="77777777" w:rsidR="007F4FCC" w:rsidRPr="00687EE7" w:rsidRDefault="007F4FCC" w:rsidP="00540C7D">
            <w:pPr>
              <w:keepNext/>
              <w:keepLines/>
              <w:jc w:val="center"/>
              <w:rPr>
                <w:b/>
                <w:sz w:val="18"/>
                <w:szCs w:val="18"/>
              </w:rPr>
            </w:pPr>
            <w:r>
              <w:rPr>
                <w:b/>
                <w:bCs/>
                <w:sz w:val="18"/>
                <w:szCs w:val="18"/>
                <w:lang w:val="fr"/>
              </w:rPr>
              <w:t>Coûts d’appui (%)</w:t>
            </w:r>
          </w:p>
        </w:tc>
      </w:tr>
      <w:tr w:rsidR="00687EE7" w:rsidRPr="00687EE7" w14:paraId="0ED99B27" w14:textId="77777777" w:rsidTr="00540C7D">
        <w:trPr>
          <w:trHeight w:val="236"/>
        </w:trPr>
        <w:tc>
          <w:tcPr>
            <w:tcW w:w="1006"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0B58B06A" w14:textId="77777777" w:rsidR="007F4FCC" w:rsidRPr="00687EE7" w:rsidRDefault="007F4FCC" w:rsidP="00540C7D">
            <w:pPr>
              <w:keepNext/>
              <w:keepLines/>
              <w:jc w:val="left"/>
              <w:rPr>
                <w:sz w:val="18"/>
                <w:szCs w:val="18"/>
              </w:rPr>
            </w:pPr>
            <w:r>
              <w:rPr>
                <w:sz w:val="18"/>
                <w:szCs w:val="18"/>
                <w:lang w:val="fr"/>
              </w:rPr>
              <w:t>Agences bilatérales</w:t>
            </w:r>
          </w:p>
        </w:tc>
        <w:tc>
          <w:tcPr>
            <w:tcW w:w="1011"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474787F" w14:textId="77777777" w:rsidR="007F4FCC" w:rsidRPr="00687EE7" w:rsidRDefault="007F4FCC" w:rsidP="00540C7D">
            <w:pPr>
              <w:keepNext/>
              <w:keepLines/>
              <w:jc w:val="right"/>
              <w:rPr>
                <w:sz w:val="18"/>
                <w:szCs w:val="18"/>
              </w:rPr>
            </w:pPr>
            <w:r>
              <w:rPr>
                <w:sz w:val="18"/>
                <w:szCs w:val="18"/>
                <w:lang w:val="fr"/>
              </w:rPr>
              <w:t>12 871 576</w:t>
            </w:r>
          </w:p>
        </w:tc>
        <w:tc>
          <w:tcPr>
            <w:tcW w:w="948" w:type="dxa"/>
            <w:tcBorders>
              <w:top w:val="single" w:sz="4" w:space="0" w:color="auto"/>
              <w:left w:val="nil"/>
              <w:bottom w:val="single" w:sz="4" w:space="0" w:color="auto"/>
              <w:right w:val="single" w:sz="4" w:space="0" w:color="auto"/>
            </w:tcBorders>
            <w:shd w:val="clear" w:color="auto" w:fill="auto"/>
            <w:noWrap/>
            <w:tcMar>
              <w:left w:w="43" w:type="dxa"/>
              <w:right w:w="43" w:type="dxa"/>
            </w:tcMar>
            <w:hideMark/>
          </w:tcPr>
          <w:p w14:paraId="633F7D7F" w14:textId="77777777" w:rsidR="007F4FCC" w:rsidRPr="00687EE7" w:rsidRDefault="007F4FCC" w:rsidP="00540C7D">
            <w:pPr>
              <w:keepNext/>
              <w:keepLines/>
              <w:jc w:val="right"/>
              <w:rPr>
                <w:sz w:val="18"/>
                <w:szCs w:val="18"/>
              </w:rPr>
            </w:pPr>
            <w:r>
              <w:rPr>
                <w:sz w:val="18"/>
                <w:szCs w:val="18"/>
                <w:lang w:val="fr"/>
              </w:rPr>
              <w:t>1 480 854</w:t>
            </w:r>
          </w:p>
        </w:tc>
        <w:tc>
          <w:tcPr>
            <w:tcW w:w="810" w:type="dxa"/>
            <w:tcBorders>
              <w:top w:val="single" w:sz="4" w:space="0" w:color="auto"/>
              <w:left w:val="nil"/>
              <w:bottom w:val="single" w:sz="4" w:space="0" w:color="auto"/>
              <w:right w:val="single" w:sz="4" w:space="0" w:color="auto"/>
            </w:tcBorders>
            <w:shd w:val="clear" w:color="auto" w:fill="auto"/>
            <w:noWrap/>
            <w:tcMar>
              <w:left w:w="43" w:type="dxa"/>
              <w:right w:w="43" w:type="dxa"/>
            </w:tcMar>
            <w:hideMark/>
          </w:tcPr>
          <w:p w14:paraId="15BE576B" w14:textId="77777777" w:rsidR="007F4FCC" w:rsidRPr="00687EE7" w:rsidRDefault="007F4FCC" w:rsidP="00540C7D">
            <w:pPr>
              <w:keepNext/>
              <w:keepLines/>
              <w:jc w:val="right"/>
              <w:rPr>
                <w:sz w:val="18"/>
                <w:szCs w:val="18"/>
              </w:rPr>
            </w:pPr>
            <w:r>
              <w:rPr>
                <w:sz w:val="18"/>
                <w:szCs w:val="18"/>
                <w:lang w:val="fr"/>
              </w:rPr>
              <w:t>11,5</w:t>
            </w:r>
          </w:p>
        </w:tc>
        <w:tc>
          <w:tcPr>
            <w:tcW w:w="1080" w:type="dxa"/>
            <w:tcBorders>
              <w:top w:val="single" w:sz="4" w:space="0" w:color="auto"/>
              <w:left w:val="nil"/>
              <w:bottom w:val="single" w:sz="4" w:space="0" w:color="auto"/>
              <w:right w:val="single" w:sz="4" w:space="0" w:color="auto"/>
            </w:tcBorders>
            <w:shd w:val="clear" w:color="auto" w:fill="auto"/>
            <w:noWrap/>
            <w:tcMar>
              <w:left w:w="43" w:type="dxa"/>
              <w:right w:w="43" w:type="dxa"/>
            </w:tcMar>
            <w:hideMark/>
          </w:tcPr>
          <w:p w14:paraId="422C5506" w14:textId="77777777" w:rsidR="007F4FCC" w:rsidRPr="00687EE7" w:rsidRDefault="007F4FCC" w:rsidP="00540C7D">
            <w:pPr>
              <w:keepNext/>
              <w:keepLines/>
              <w:jc w:val="right"/>
              <w:rPr>
                <w:sz w:val="18"/>
                <w:szCs w:val="18"/>
              </w:rPr>
            </w:pPr>
            <w:r>
              <w:rPr>
                <w:sz w:val="18"/>
                <w:szCs w:val="18"/>
                <w:lang w:val="fr"/>
              </w:rPr>
              <w:t>13 241 490</w:t>
            </w:r>
          </w:p>
        </w:tc>
        <w:tc>
          <w:tcPr>
            <w:tcW w:w="900" w:type="dxa"/>
            <w:tcBorders>
              <w:top w:val="single" w:sz="4" w:space="0" w:color="auto"/>
              <w:left w:val="nil"/>
              <w:bottom w:val="single" w:sz="4" w:space="0" w:color="auto"/>
              <w:right w:val="single" w:sz="4" w:space="0" w:color="auto"/>
            </w:tcBorders>
            <w:shd w:val="clear" w:color="auto" w:fill="auto"/>
            <w:noWrap/>
            <w:tcMar>
              <w:left w:w="43" w:type="dxa"/>
              <w:right w:w="43" w:type="dxa"/>
            </w:tcMar>
            <w:hideMark/>
          </w:tcPr>
          <w:p w14:paraId="39C6A704" w14:textId="77777777" w:rsidR="007F4FCC" w:rsidRPr="00687EE7" w:rsidRDefault="007F4FCC" w:rsidP="00540C7D">
            <w:pPr>
              <w:keepNext/>
              <w:keepLines/>
              <w:jc w:val="right"/>
              <w:rPr>
                <w:sz w:val="18"/>
                <w:szCs w:val="18"/>
              </w:rPr>
            </w:pPr>
            <w:r>
              <w:rPr>
                <w:sz w:val="18"/>
                <w:szCs w:val="18"/>
                <w:lang w:val="fr"/>
              </w:rPr>
              <w:t>1 566 928</w:t>
            </w:r>
          </w:p>
        </w:tc>
        <w:tc>
          <w:tcPr>
            <w:tcW w:w="900" w:type="dxa"/>
            <w:tcBorders>
              <w:top w:val="single" w:sz="4" w:space="0" w:color="auto"/>
              <w:left w:val="nil"/>
              <w:bottom w:val="single" w:sz="4" w:space="0" w:color="auto"/>
              <w:right w:val="single" w:sz="4" w:space="0" w:color="auto"/>
            </w:tcBorders>
            <w:shd w:val="clear" w:color="auto" w:fill="auto"/>
            <w:noWrap/>
            <w:tcMar>
              <w:left w:w="43" w:type="dxa"/>
              <w:right w:w="43" w:type="dxa"/>
            </w:tcMar>
            <w:hideMark/>
          </w:tcPr>
          <w:p w14:paraId="15020425" w14:textId="77777777" w:rsidR="007F4FCC" w:rsidRPr="00687EE7" w:rsidRDefault="007F4FCC" w:rsidP="00540C7D">
            <w:pPr>
              <w:keepNext/>
              <w:keepLines/>
              <w:jc w:val="right"/>
              <w:rPr>
                <w:sz w:val="18"/>
                <w:szCs w:val="18"/>
              </w:rPr>
            </w:pPr>
            <w:r>
              <w:rPr>
                <w:sz w:val="18"/>
                <w:szCs w:val="18"/>
                <w:lang w:val="fr"/>
              </w:rPr>
              <w:t>11,8</w:t>
            </w:r>
          </w:p>
        </w:tc>
        <w:tc>
          <w:tcPr>
            <w:tcW w:w="108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0965C20E" w14:textId="77777777" w:rsidR="007F4FCC" w:rsidRPr="00687EE7" w:rsidRDefault="007F4FCC" w:rsidP="00540C7D">
            <w:pPr>
              <w:keepNext/>
              <w:keepLines/>
              <w:jc w:val="right"/>
              <w:rPr>
                <w:sz w:val="18"/>
                <w:szCs w:val="18"/>
              </w:rPr>
            </w:pPr>
            <w:r>
              <w:rPr>
                <w:sz w:val="18"/>
                <w:szCs w:val="18"/>
                <w:lang w:val="fr"/>
              </w:rPr>
              <w:t>13 101 364</w:t>
            </w:r>
          </w:p>
        </w:tc>
        <w:tc>
          <w:tcPr>
            <w:tcW w:w="99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1FD258EC" w14:textId="77777777" w:rsidR="007F4FCC" w:rsidRPr="00687EE7" w:rsidRDefault="007F4FCC" w:rsidP="00540C7D">
            <w:pPr>
              <w:keepNext/>
              <w:keepLines/>
              <w:jc w:val="right"/>
              <w:rPr>
                <w:sz w:val="18"/>
                <w:szCs w:val="18"/>
              </w:rPr>
            </w:pPr>
            <w:r>
              <w:rPr>
                <w:sz w:val="18"/>
                <w:szCs w:val="18"/>
                <w:lang w:val="fr"/>
              </w:rPr>
              <w:t>1 496 409</w:t>
            </w:r>
          </w:p>
        </w:tc>
        <w:tc>
          <w:tcPr>
            <w:tcW w:w="900" w:type="dxa"/>
            <w:tcBorders>
              <w:top w:val="single" w:sz="4" w:space="0" w:color="auto"/>
              <w:left w:val="nil"/>
              <w:bottom w:val="single" w:sz="4" w:space="0" w:color="auto"/>
              <w:right w:val="single" w:sz="4" w:space="0" w:color="auto"/>
            </w:tcBorders>
            <w:shd w:val="clear" w:color="auto" w:fill="auto"/>
            <w:tcMar>
              <w:left w:w="43" w:type="dxa"/>
              <w:right w:w="43" w:type="dxa"/>
            </w:tcMar>
          </w:tcPr>
          <w:p w14:paraId="63AA144C" w14:textId="77777777" w:rsidR="007F4FCC" w:rsidRPr="00687EE7" w:rsidRDefault="007F4FCC" w:rsidP="00540C7D">
            <w:pPr>
              <w:keepNext/>
              <w:keepLines/>
              <w:jc w:val="right"/>
              <w:rPr>
                <w:sz w:val="18"/>
                <w:szCs w:val="18"/>
              </w:rPr>
            </w:pPr>
            <w:r>
              <w:rPr>
                <w:sz w:val="18"/>
                <w:szCs w:val="18"/>
                <w:lang w:val="fr"/>
              </w:rPr>
              <w:t>11,4</w:t>
            </w:r>
          </w:p>
        </w:tc>
      </w:tr>
      <w:tr w:rsidR="00687EE7" w:rsidRPr="00687EE7" w14:paraId="724295CB" w14:textId="77777777" w:rsidTr="00540C7D">
        <w:trPr>
          <w:trHeight w:val="236"/>
        </w:trPr>
        <w:tc>
          <w:tcPr>
            <w:tcW w:w="1006"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4D21DE17" w14:textId="77777777" w:rsidR="007F4FCC" w:rsidRPr="00687EE7" w:rsidRDefault="007F4FCC" w:rsidP="00540C7D">
            <w:pPr>
              <w:keepNext/>
              <w:keepLines/>
              <w:jc w:val="left"/>
              <w:rPr>
                <w:sz w:val="18"/>
                <w:szCs w:val="18"/>
              </w:rPr>
            </w:pPr>
            <w:r>
              <w:rPr>
                <w:sz w:val="18"/>
                <w:szCs w:val="18"/>
                <w:lang w:val="fr"/>
              </w:rPr>
              <w:t>PNUD</w:t>
            </w:r>
          </w:p>
        </w:tc>
        <w:tc>
          <w:tcPr>
            <w:tcW w:w="101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751F7AB" w14:textId="77777777" w:rsidR="007F4FCC" w:rsidRPr="00687EE7" w:rsidRDefault="007F4FCC" w:rsidP="00540C7D">
            <w:pPr>
              <w:keepNext/>
              <w:keepLines/>
              <w:jc w:val="right"/>
              <w:rPr>
                <w:sz w:val="18"/>
                <w:szCs w:val="18"/>
              </w:rPr>
            </w:pPr>
            <w:r>
              <w:rPr>
                <w:sz w:val="18"/>
                <w:szCs w:val="18"/>
                <w:lang w:val="fr"/>
              </w:rPr>
              <w:t>81 607 270</w:t>
            </w:r>
          </w:p>
        </w:tc>
        <w:tc>
          <w:tcPr>
            <w:tcW w:w="948" w:type="dxa"/>
            <w:tcBorders>
              <w:top w:val="nil"/>
              <w:left w:val="nil"/>
              <w:bottom w:val="single" w:sz="4" w:space="0" w:color="auto"/>
              <w:right w:val="single" w:sz="4" w:space="0" w:color="auto"/>
            </w:tcBorders>
            <w:shd w:val="clear" w:color="auto" w:fill="auto"/>
            <w:noWrap/>
            <w:tcMar>
              <w:left w:w="43" w:type="dxa"/>
              <w:right w:w="43" w:type="dxa"/>
            </w:tcMar>
            <w:hideMark/>
          </w:tcPr>
          <w:p w14:paraId="0E971066" w14:textId="77777777" w:rsidR="007F4FCC" w:rsidRPr="00687EE7" w:rsidRDefault="007F4FCC" w:rsidP="00540C7D">
            <w:pPr>
              <w:keepNext/>
              <w:keepLines/>
              <w:jc w:val="right"/>
              <w:rPr>
                <w:sz w:val="18"/>
                <w:szCs w:val="18"/>
              </w:rPr>
            </w:pPr>
            <w:r>
              <w:rPr>
                <w:sz w:val="18"/>
                <w:szCs w:val="18"/>
                <w:lang w:val="fr"/>
              </w:rPr>
              <w:t>11 995 572</w:t>
            </w:r>
          </w:p>
        </w:tc>
        <w:tc>
          <w:tcPr>
            <w:tcW w:w="810" w:type="dxa"/>
            <w:tcBorders>
              <w:top w:val="nil"/>
              <w:left w:val="nil"/>
              <w:bottom w:val="single" w:sz="4" w:space="0" w:color="auto"/>
              <w:right w:val="single" w:sz="4" w:space="0" w:color="auto"/>
            </w:tcBorders>
            <w:shd w:val="clear" w:color="auto" w:fill="auto"/>
            <w:noWrap/>
            <w:tcMar>
              <w:left w:w="43" w:type="dxa"/>
              <w:right w:w="43" w:type="dxa"/>
            </w:tcMar>
            <w:hideMark/>
          </w:tcPr>
          <w:p w14:paraId="545CD226" w14:textId="77777777" w:rsidR="007F4FCC" w:rsidRPr="00687EE7" w:rsidRDefault="007F4FCC" w:rsidP="00540C7D">
            <w:pPr>
              <w:keepNext/>
              <w:keepLines/>
              <w:jc w:val="right"/>
              <w:rPr>
                <w:sz w:val="18"/>
                <w:szCs w:val="18"/>
              </w:rPr>
            </w:pPr>
            <w:r>
              <w:rPr>
                <w:sz w:val="18"/>
                <w:szCs w:val="18"/>
                <w:lang w:val="fr"/>
              </w:rPr>
              <w:t>14,7</w:t>
            </w:r>
          </w:p>
        </w:tc>
        <w:tc>
          <w:tcPr>
            <w:tcW w:w="1080" w:type="dxa"/>
            <w:tcBorders>
              <w:top w:val="nil"/>
              <w:left w:val="nil"/>
              <w:bottom w:val="single" w:sz="4" w:space="0" w:color="auto"/>
              <w:right w:val="single" w:sz="4" w:space="0" w:color="auto"/>
            </w:tcBorders>
            <w:shd w:val="clear" w:color="auto" w:fill="auto"/>
            <w:noWrap/>
            <w:tcMar>
              <w:left w:w="43" w:type="dxa"/>
              <w:right w:w="43" w:type="dxa"/>
            </w:tcMar>
          </w:tcPr>
          <w:p w14:paraId="07F6E562" w14:textId="77777777" w:rsidR="007F4FCC" w:rsidRPr="00687EE7" w:rsidRDefault="007F4FCC" w:rsidP="00540C7D">
            <w:pPr>
              <w:keepNext/>
              <w:keepLines/>
              <w:jc w:val="right"/>
              <w:rPr>
                <w:sz w:val="18"/>
                <w:szCs w:val="18"/>
              </w:rPr>
            </w:pPr>
            <w:r>
              <w:rPr>
                <w:sz w:val="18"/>
                <w:szCs w:val="18"/>
                <w:lang w:val="fr"/>
              </w:rPr>
              <w:t>78 773 213</w:t>
            </w:r>
          </w:p>
        </w:tc>
        <w:tc>
          <w:tcPr>
            <w:tcW w:w="900" w:type="dxa"/>
            <w:tcBorders>
              <w:top w:val="nil"/>
              <w:left w:val="nil"/>
              <w:bottom w:val="single" w:sz="4" w:space="0" w:color="auto"/>
              <w:right w:val="single" w:sz="4" w:space="0" w:color="auto"/>
            </w:tcBorders>
            <w:shd w:val="clear" w:color="auto" w:fill="auto"/>
            <w:noWrap/>
            <w:tcMar>
              <w:left w:w="43" w:type="dxa"/>
              <w:right w:w="43" w:type="dxa"/>
            </w:tcMar>
          </w:tcPr>
          <w:p w14:paraId="25CA9175" w14:textId="77777777" w:rsidR="007F4FCC" w:rsidRPr="00687EE7" w:rsidRDefault="007F4FCC" w:rsidP="00540C7D">
            <w:pPr>
              <w:keepNext/>
              <w:keepLines/>
              <w:jc w:val="right"/>
              <w:rPr>
                <w:sz w:val="18"/>
                <w:szCs w:val="18"/>
              </w:rPr>
            </w:pPr>
            <w:r>
              <w:rPr>
                <w:sz w:val="18"/>
                <w:szCs w:val="18"/>
                <w:lang w:val="fr"/>
              </w:rPr>
              <w:t>11 958 184</w:t>
            </w:r>
          </w:p>
        </w:tc>
        <w:tc>
          <w:tcPr>
            <w:tcW w:w="900" w:type="dxa"/>
            <w:tcBorders>
              <w:top w:val="nil"/>
              <w:left w:val="nil"/>
              <w:bottom w:val="single" w:sz="4" w:space="0" w:color="auto"/>
              <w:right w:val="single" w:sz="4" w:space="0" w:color="auto"/>
            </w:tcBorders>
            <w:shd w:val="clear" w:color="auto" w:fill="auto"/>
            <w:noWrap/>
            <w:tcMar>
              <w:left w:w="43" w:type="dxa"/>
              <w:right w:w="43" w:type="dxa"/>
            </w:tcMar>
          </w:tcPr>
          <w:p w14:paraId="673AF976" w14:textId="77777777" w:rsidR="007F4FCC" w:rsidRPr="00687EE7" w:rsidRDefault="007F4FCC" w:rsidP="00540C7D">
            <w:pPr>
              <w:keepNext/>
              <w:keepLines/>
              <w:jc w:val="right"/>
              <w:rPr>
                <w:sz w:val="18"/>
                <w:szCs w:val="18"/>
              </w:rPr>
            </w:pPr>
            <w:r>
              <w:rPr>
                <w:sz w:val="18"/>
                <w:szCs w:val="18"/>
                <w:lang w:val="fr"/>
              </w:rPr>
              <w:t>15,2</w:t>
            </w:r>
          </w:p>
        </w:tc>
        <w:tc>
          <w:tcPr>
            <w:tcW w:w="1080" w:type="dxa"/>
            <w:tcBorders>
              <w:top w:val="nil"/>
              <w:left w:val="nil"/>
              <w:bottom w:val="single" w:sz="4" w:space="0" w:color="auto"/>
              <w:right w:val="single" w:sz="4" w:space="0" w:color="auto"/>
            </w:tcBorders>
            <w:shd w:val="clear" w:color="auto" w:fill="auto"/>
            <w:tcMar>
              <w:left w:w="43" w:type="dxa"/>
              <w:right w:w="43" w:type="dxa"/>
            </w:tcMar>
          </w:tcPr>
          <w:p w14:paraId="5C811A67" w14:textId="77777777" w:rsidR="007F4FCC" w:rsidRPr="00687EE7" w:rsidRDefault="007F4FCC" w:rsidP="00540C7D">
            <w:pPr>
              <w:keepNext/>
              <w:keepLines/>
              <w:jc w:val="right"/>
              <w:rPr>
                <w:sz w:val="18"/>
                <w:szCs w:val="18"/>
              </w:rPr>
            </w:pPr>
            <w:r>
              <w:rPr>
                <w:sz w:val="18"/>
                <w:szCs w:val="18"/>
                <w:lang w:val="fr"/>
              </w:rPr>
              <w:t>107 868 106</w:t>
            </w:r>
          </w:p>
        </w:tc>
        <w:tc>
          <w:tcPr>
            <w:tcW w:w="990" w:type="dxa"/>
            <w:tcBorders>
              <w:top w:val="nil"/>
              <w:left w:val="nil"/>
              <w:bottom w:val="single" w:sz="4" w:space="0" w:color="auto"/>
              <w:right w:val="single" w:sz="4" w:space="0" w:color="auto"/>
            </w:tcBorders>
            <w:shd w:val="clear" w:color="auto" w:fill="auto"/>
            <w:tcMar>
              <w:left w:w="43" w:type="dxa"/>
              <w:right w:w="43" w:type="dxa"/>
            </w:tcMar>
          </w:tcPr>
          <w:p w14:paraId="5FDEC8E4" w14:textId="77777777" w:rsidR="007F4FCC" w:rsidRPr="00687EE7" w:rsidRDefault="007F4FCC" w:rsidP="00540C7D">
            <w:pPr>
              <w:keepNext/>
              <w:keepLines/>
              <w:jc w:val="right"/>
              <w:rPr>
                <w:sz w:val="18"/>
                <w:szCs w:val="18"/>
              </w:rPr>
            </w:pPr>
            <w:r>
              <w:rPr>
                <w:sz w:val="18"/>
                <w:szCs w:val="18"/>
                <w:lang w:val="fr"/>
              </w:rPr>
              <w:t>14 175 832</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00CDCD1E" w14:textId="77777777" w:rsidR="007F4FCC" w:rsidRPr="00687EE7" w:rsidRDefault="007F4FCC" w:rsidP="00540C7D">
            <w:pPr>
              <w:keepNext/>
              <w:keepLines/>
              <w:jc w:val="right"/>
              <w:rPr>
                <w:sz w:val="18"/>
                <w:szCs w:val="18"/>
              </w:rPr>
            </w:pPr>
            <w:r>
              <w:rPr>
                <w:sz w:val="18"/>
                <w:szCs w:val="18"/>
                <w:lang w:val="fr"/>
              </w:rPr>
              <w:t>13,1</w:t>
            </w:r>
          </w:p>
        </w:tc>
      </w:tr>
      <w:tr w:rsidR="00687EE7" w:rsidRPr="00687EE7" w14:paraId="3DA170A8" w14:textId="77777777" w:rsidTr="00540C7D">
        <w:trPr>
          <w:trHeight w:val="236"/>
        </w:trPr>
        <w:tc>
          <w:tcPr>
            <w:tcW w:w="1006"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F7978CA" w14:textId="77777777" w:rsidR="007F4FCC" w:rsidRPr="00687EE7" w:rsidRDefault="007F4FCC" w:rsidP="00540C7D">
            <w:pPr>
              <w:keepNext/>
              <w:keepLines/>
              <w:jc w:val="left"/>
              <w:rPr>
                <w:sz w:val="18"/>
                <w:szCs w:val="18"/>
              </w:rPr>
            </w:pPr>
            <w:r>
              <w:rPr>
                <w:sz w:val="18"/>
                <w:szCs w:val="18"/>
                <w:lang w:val="fr"/>
              </w:rPr>
              <w:t>PNUE</w:t>
            </w:r>
          </w:p>
        </w:tc>
        <w:tc>
          <w:tcPr>
            <w:tcW w:w="101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21BE646" w14:textId="77777777" w:rsidR="007F4FCC" w:rsidRPr="00687EE7" w:rsidRDefault="007F4FCC" w:rsidP="00540C7D">
            <w:pPr>
              <w:keepNext/>
              <w:keepLines/>
              <w:jc w:val="right"/>
              <w:rPr>
                <w:sz w:val="18"/>
                <w:szCs w:val="18"/>
              </w:rPr>
            </w:pPr>
            <w:r>
              <w:rPr>
                <w:sz w:val="18"/>
                <w:szCs w:val="18"/>
                <w:lang w:val="fr"/>
              </w:rPr>
              <w:t>55 861 709</w:t>
            </w:r>
          </w:p>
        </w:tc>
        <w:tc>
          <w:tcPr>
            <w:tcW w:w="948" w:type="dxa"/>
            <w:tcBorders>
              <w:top w:val="nil"/>
              <w:left w:val="nil"/>
              <w:bottom w:val="single" w:sz="4" w:space="0" w:color="auto"/>
              <w:right w:val="single" w:sz="4" w:space="0" w:color="auto"/>
            </w:tcBorders>
            <w:shd w:val="clear" w:color="auto" w:fill="auto"/>
            <w:noWrap/>
            <w:tcMar>
              <w:left w:w="43" w:type="dxa"/>
              <w:right w:w="43" w:type="dxa"/>
            </w:tcMar>
            <w:hideMark/>
          </w:tcPr>
          <w:p w14:paraId="335E063D" w14:textId="77777777" w:rsidR="007F4FCC" w:rsidRPr="00687EE7" w:rsidRDefault="007F4FCC" w:rsidP="00540C7D">
            <w:pPr>
              <w:keepNext/>
              <w:keepLines/>
              <w:jc w:val="right"/>
              <w:rPr>
                <w:sz w:val="18"/>
                <w:szCs w:val="18"/>
              </w:rPr>
            </w:pPr>
            <w:r>
              <w:rPr>
                <w:sz w:val="18"/>
                <w:szCs w:val="18"/>
                <w:lang w:val="fr"/>
              </w:rPr>
              <w:t>4 259 457</w:t>
            </w:r>
          </w:p>
        </w:tc>
        <w:tc>
          <w:tcPr>
            <w:tcW w:w="810" w:type="dxa"/>
            <w:tcBorders>
              <w:top w:val="nil"/>
              <w:left w:val="nil"/>
              <w:bottom w:val="single" w:sz="4" w:space="0" w:color="auto"/>
              <w:right w:val="single" w:sz="4" w:space="0" w:color="auto"/>
            </w:tcBorders>
            <w:shd w:val="clear" w:color="auto" w:fill="auto"/>
            <w:noWrap/>
            <w:tcMar>
              <w:left w:w="43" w:type="dxa"/>
              <w:right w:w="43" w:type="dxa"/>
            </w:tcMar>
            <w:hideMark/>
          </w:tcPr>
          <w:p w14:paraId="392220E9" w14:textId="77777777" w:rsidR="007F4FCC" w:rsidRPr="00687EE7" w:rsidRDefault="007F4FCC" w:rsidP="00540C7D">
            <w:pPr>
              <w:keepNext/>
              <w:keepLines/>
              <w:jc w:val="right"/>
              <w:rPr>
                <w:sz w:val="18"/>
                <w:szCs w:val="18"/>
              </w:rPr>
            </w:pPr>
            <w:r>
              <w:rPr>
                <w:sz w:val="18"/>
                <w:szCs w:val="18"/>
                <w:lang w:val="fr"/>
              </w:rPr>
              <w:t>7,6</w:t>
            </w:r>
          </w:p>
        </w:tc>
        <w:tc>
          <w:tcPr>
            <w:tcW w:w="1080" w:type="dxa"/>
            <w:tcBorders>
              <w:top w:val="nil"/>
              <w:left w:val="nil"/>
              <w:bottom w:val="single" w:sz="4" w:space="0" w:color="auto"/>
              <w:right w:val="single" w:sz="4" w:space="0" w:color="auto"/>
            </w:tcBorders>
            <w:shd w:val="clear" w:color="auto" w:fill="auto"/>
            <w:noWrap/>
            <w:tcMar>
              <w:left w:w="43" w:type="dxa"/>
              <w:right w:w="43" w:type="dxa"/>
            </w:tcMar>
          </w:tcPr>
          <w:p w14:paraId="6D5560CF" w14:textId="77777777" w:rsidR="007F4FCC" w:rsidRPr="00687EE7" w:rsidRDefault="007F4FCC" w:rsidP="00540C7D">
            <w:pPr>
              <w:keepNext/>
              <w:keepLines/>
              <w:jc w:val="right"/>
              <w:rPr>
                <w:sz w:val="18"/>
                <w:szCs w:val="18"/>
              </w:rPr>
            </w:pPr>
            <w:r>
              <w:rPr>
                <w:sz w:val="18"/>
                <w:szCs w:val="18"/>
                <w:lang w:val="fr"/>
              </w:rPr>
              <w:t>75 669 166</w:t>
            </w:r>
          </w:p>
        </w:tc>
        <w:tc>
          <w:tcPr>
            <w:tcW w:w="900" w:type="dxa"/>
            <w:tcBorders>
              <w:top w:val="nil"/>
              <w:left w:val="nil"/>
              <w:bottom w:val="single" w:sz="4" w:space="0" w:color="auto"/>
              <w:right w:val="single" w:sz="4" w:space="0" w:color="auto"/>
            </w:tcBorders>
            <w:shd w:val="clear" w:color="auto" w:fill="auto"/>
            <w:noWrap/>
            <w:tcMar>
              <w:left w:w="43" w:type="dxa"/>
              <w:right w:w="43" w:type="dxa"/>
            </w:tcMar>
          </w:tcPr>
          <w:p w14:paraId="7F6FE10D" w14:textId="77777777" w:rsidR="007F4FCC" w:rsidRPr="00687EE7" w:rsidRDefault="007F4FCC" w:rsidP="00540C7D">
            <w:pPr>
              <w:keepNext/>
              <w:keepLines/>
              <w:jc w:val="right"/>
              <w:rPr>
                <w:sz w:val="18"/>
                <w:szCs w:val="18"/>
              </w:rPr>
            </w:pPr>
            <w:r>
              <w:rPr>
                <w:sz w:val="18"/>
                <w:szCs w:val="18"/>
                <w:lang w:val="fr"/>
              </w:rPr>
              <w:t>5 667 962</w:t>
            </w:r>
          </w:p>
        </w:tc>
        <w:tc>
          <w:tcPr>
            <w:tcW w:w="900" w:type="dxa"/>
            <w:tcBorders>
              <w:top w:val="nil"/>
              <w:left w:val="nil"/>
              <w:bottom w:val="single" w:sz="4" w:space="0" w:color="auto"/>
              <w:right w:val="single" w:sz="4" w:space="0" w:color="auto"/>
            </w:tcBorders>
            <w:shd w:val="clear" w:color="auto" w:fill="auto"/>
            <w:noWrap/>
            <w:tcMar>
              <w:left w:w="43" w:type="dxa"/>
              <w:right w:w="43" w:type="dxa"/>
            </w:tcMar>
          </w:tcPr>
          <w:p w14:paraId="0219B9AB" w14:textId="77777777" w:rsidR="007F4FCC" w:rsidRPr="00687EE7" w:rsidRDefault="007F4FCC" w:rsidP="00540C7D">
            <w:pPr>
              <w:keepNext/>
              <w:keepLines/>
              <w:jc w:val="right"/>
              <w:rPr>
                <w:sz w:val="18"/>
                <w:szCs w:val="18"/>
              </w:rPr>
            </w:pPr>
            <w:r>
              <w:rPr>
                <w:sz w:val="18"/>
                <w:szCs w:val="18"/>
                <w:lang w:val="fr"/>
              </w:rPr>
              <w:t>7,5</w:t>
            </w:r>
          </w:p>
        </w:tc>
        <w:tc>
          <w:tcPr>
            <w:tcW w:w="1080" w:type="dxa"/>
            <w:tcBorders>
              <w:top w:val="nil"/>
              <w:left w:val="nil"/>
              <w:bottom w:val="single" w:sz="4" w:space="0" w:color="auto"/>
              <w:right w:val="single" w:sz="4" w:space="0" w:color="auto"/>
            </w:tcBorders>
            <w:shd w:val="clear" w:color="auto" w:fill="auto"/>
            <w:tcMar>
              <w:left w:w="43" w:type="dxa"/>
              <w:right w:w="43" w:type="dxa"/>
            </w:tcMar>
          </w:tcPr>
          <w:p w14:paraId="2FF49809" w14:textId="77777777" w:rsidR="007F4FCC" w:rsidRPr="00687EE7" w:rsidRDefault="007F4FCC" w:rsidP="00540C7D">
            <w:pPr>
              <w:keepNext/>
              <w:keepLines/>
              <w:jc w:val="right"/>
              <w:rPr>
                <w:sz w:val="18"/>
                <w:szCs w:val="18"/>
              </w:rPr>
            </w:pPr>
            <w:r>
              <w:rPr>
                <w:sz w:val="18"/>
                <w:szCs w:val="18"/>
                <w:lang w:val="fr"/>
              </w:rPr>
              <w:t>103 012 835</w:t>
            </w:r>
          </w:p>
        </w:tc>
        <w:tc>
          <w:tcPr>
            <w:tcW w:w="990" w:type="dxa"/>
            <w:tcBorders>
              <w:top w:val="nil"/>
              <w:left w:val="nil"/>
              <w:bottom w:val="single" w:sz="4" w:space="0" w:color="auto"/>
              <w:right w:val="single" w:sz="4" w:space="0" w:color="auto"/>
            </w:tcBorders>
            <w:shd w:val="clear" w:color="auto" w:fill="auto"/>
            <w:tcMar>
              <w:left w:w="43" w:type="dxa"/>
              <w:right w:w="43" w:type="dxa"/>
            </w:tcMar>
          </w:tcPr>
          <w:p w14:paraId="55794C9D" w14:textId="77777777" w:rsidR="007F4FCC" w:rsidRPr="00687EE7" w:rsidRDefault="007F4FCC" w:rsidP="00540C7D">
            <w:pPr>
              <w:keepNext/>
              <w:keepLines/>
              <w:jc w:val="right"/>
              <w:rPr>
                <w:sz w:val="18"/>
                <w:szCs w:val="18"/>
              </w:rPr>
            </w:pPr>
            <w:r>
              <w:rPr>
                <w:sz w:val="18"/>
                <w:szCs w:val="18"/>
                <w:lang w:val="fr"/>
              </w:rPr>
              <w:t>8 238 143</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297D0E7C" w14:textId="77777777" w:rsidR="007F4FCC" w:rsidRPr="00687EE7" w:rsidRDefault="007F4FCC" w:rsidP="00540C7D">
            <w:pPr>
              <w:keepNext/>
              <w:keepLines/>
              <w:jc w:val="right"/>
              <w:rPr>
                <w:sz w:val="18"/>
                <w:szCs w:val="18"/>
              </w:rPr>
            </w:pPr>
            <w:r>
              <w:rPr>
                <w:sz w:val="18"/>
                <w:szCs w:val="18"/>
                <w:lang w:val="fr"/>
              </w:rPr>
              <w:t>8,0</w:t>
            </w:r>
          </w:p>
        </w:tc>
      </w:tr>
      <w:tr w:rsidR="00687EE7" w:rsidRPr="00687EE7" w14:paraId="4AE5534B" w14:textId="77777777" w:rsidTr="00540C7D">
        <w:trPr>
          <w:trHeight w:val="236"/>
        </w:trPr>
        <w:tc>
          <w:tcPr>
            <w:tcW w:w="1006"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756BAD0D" w14:textId="77777777" w:rsidR="007F4FCC" w:rsidRPr="00687EE7" w:rsidRDefault="007F4FCC" w:rsidP="00540C7D">
            <w:pPr>
              <w:jc w:val="left"/>
              <w:rPr>
                <w:sz w:val="18"/>
                <w:szCs w:val="18"/>
              </w:rPr>
            </w:pPr>
            <w:r>
              <w:rPr>
                <w:sz w:val="18"/>
                <w:szCs w:val="18"/>
                <w:lang w:val="fr"/>
              </w:rPr>
              <w:t>ONUDI</w:t>
            </w:r>
          </w:p>
        </w:tc>
        <w:tc>
          <w:tcPr>
            <w:tcW w:w="101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EDACBA0" w14:textId="77777777" w:rsidR="007F4FCC" w:rsidRPr="00687EE7" w:rsidRDefault="007F4FCC" w:rsidP="00540C7D">
            <w:pPr>
              <w:jc w:val="right"/>
              <w:rPr>
                <w:sz w:val="18"/>
                <w:szCs w:val="18"/>
              </w:rPr>
            </w:pPr>
            <w:r>
              <w:rPr>
                <w:sz w:val="18"/>
                <w:szCs w:val="18"/>
                <w:lang w:val="fr"/>
              </w:rPr>
              <w:t>67 120 281</w:t>
            </w:r>
          </w:p>
        </w:tc>
        <w:tc>
          <w:tcPr>
            <w:tcW w:w="948" w:type="dxa"/>
            <w:tcBorders>
              <w:top w:val="nil"/>
              <w:left w:val="nil"/>
              <w:bottom w:val="single" w:sz="4" w:space="0" w:color="auto"/>
              <w:right w:val="single" w:sz="4" w:space="0" w:color="auto"/>
            </w:tcBorders>
            <w:shd w:val="clear" w:color="auto" w:fill="auto"/>
            <w:noWrap/>
            <w:tcMar>
              <w:left w:w="43" w:type="dxa"/>
              <w:right w:w="43" w:type="dxa"/>
            </w:tcMar>
            <w:hideMark/>
          </w:tcPr>
          <w:p w14:paraId="6AC2955C" w14:textId="77777777" w:rsidR="007F4FCC" w:rsidRPr="00687EE7" w:rsidRDefault="007F4FCC" w:rsidP="00540C7D">
            <w:pPr>
              <w:jc w:val="right"/>
              <w:rPr>
                <w:sz w:val="18"/>
                <w:szCs w:val="18"/>
              </w:rPr>
            </w:pPr>
            <w:r>
              <w:rPr>
                <w:sz w:val="18"/>
                <w:szCs w:val="18"/>
                <w:lang w:val="fr"/>
              </w:rPr>
              <w:t>10 220 280</w:t>
            </w:r>
          </w:p>
        </w:tc>
        <w:tc>
          <w:tcPr>
            <w:tcW w:w="810" w:type="dxa"/>
            <w:tcBorders>
              <w:top w:val="nil"/>
              <w:left w:val="nil"/>
              <w:bottom w:val="single" w:sz="4" w:space="0" w:color="auto"/>
              <w:right w:val="single" w:sz="4" w:space="0" w:color="auto"/>
            </w:tcBorders>
            <w:shd w:val="clear" w:color="auto" w:fill="auto"/>
            <w:noWrap/>
            <w:tcMar>
              <w:left w:w="43" w:type="dxa"/>
              <w:right w:w="43" w:type="dxa"/>
            </w:tcMar>
            <w:hideMark/>
          </w:tcPr>
          <w:p w14:paraId="45E8DB44" w14:textId="77777777" w:rsidR="007F4FCC" w:rsidRPr="00687EE7" w:rsidRDefault="007F4FCC" w:rsidP="00540C7D">
            <w:pPr>
              <w:jc w:val="right"/>
              <w:rPr>
                <w:sz w:val="18"/>
                <w:szCs w:val="18"/>
              </w:rPr>
            </w:pPr>
            <w:r>
              <w:rPr>
                <w:sz w:val="18"/>
                <w:szCs w:val="18"/>
                <w:lang w:val="fr"/>
              </w:rPr>
              <w:t>15,2</w:t>
            </w:r>
          </w:p>
        </w:tc>
        <w:tc>
          <w:tcPr>
            <w:tcW w:w="1080" w:type="dxa"/>
            <w:tcBorders>
              <w:top w:val="nil"/>
              <w:left w:val="nil"/>
              <w:bottom w:val="single" w:sz="4" w:space="0" w:color="auto"/>
              <w:right w:val="single" w:sz="4" w:space="0" w:color="auto"/>
            </w:tcBorders>
            <w:shd w:val="clear" w:color="auto" w:fill="auto"/>
            <w:noWrap/>
            <w:tcMar>
              <w:left w:w="43" w:type="dxa"/>
              <w:right w:w="43" w:type="dxa"/>
            </w:tcMar>
          </w:tcPr>
          <w:p w14:paraId="11308850" w14:textId="77777777" w:rsidR="007F4FCC" w:rsidRPr="00687EE7" w:rsidRDefault="007F4FCC" w:rsidP="00540C7D">
            <w:pPr>
              <w:jc w:val="right"/>
              <w:rPr>
                <w:sz w:val="18"/>
                <w:szCs w:val="18"/>
              </w:rPr>
            </w:pPr>
            <w:r>
              <w:rPr>
                <w:sz w:val="18"/>
                <w:szCs w:val="18"/>
                <w:lang w:val="fr"/>
              </w:rPr>
              <w:t>91 911 807</w:t>
            </w:r>
          </w:p>
        </w:tc>
        <w:tc>
          <w:tcPr>
            <w:tcW w:w="900" w:type="dxa"/>
            <w:tcBorders>
              <w:top w:val="nil"/>
              <w:left w:val="nil"/>
              <w:bottom w:val="single" w:sz="4" w:space="0" w:color="auto"/>
              <w:right w:val="single" w:sz="4" w:space="0" w:color="auto"/>
            </w:tcBorders>
            <w:shd w:val="clear" w:color="auto" w:fill="auto"/>
            <w:noWrap/>
            <w:tcMar>
              <w:left w:w="43" w:type="dxa"/>
              <w:right w:w="43" w:type="dxa"/>
            </w:tcMar>
          </w:tcPr>
          <w:p w14:paraId="0DEA18EB" w14:textId="77777777" w:rsidR="007F4FCC" w:rsidRPr="00687EE7" w:rsidRDefault="007F4FCC" w:rsidP="00540C7D">
            <w:pPr>
              <w:jc w:val="right"/>
              <w:rPr>
                <w:sz w:val="18"/>
                <w:szCs w:val="18"/>
              </w:rPr>
            </w:pPr>
            <w:r>
              <w:rPr>
                <w:sz w:val="18"/>
                <w:szCs w:val="18"/>
                <w:lang w:val="fr"/>
              </w:rPr>
              <w:t>12 351 350</w:t>
            </w:r>
          </w:p>
        </w:tc>
        <w:tc>
          <w:tcPr>
            <w:tcW w:w="900" w:type="dxa"/>
            <w:tcBorders>
              <w:top w:val="nil"/>
              <w:left w:val="nil"/>
              <w:bottom w:val="single" w:sz="4" w:space="0" w:color="auto"/>
              <w:right w:val="single" w:sz="4" w:space="0" w:color="auto"/>
            </w:tcBorders>
            <w:shd w:val="clear" w:color="auto" w:fill="auto"/>
            <w:noWrap/>
            <w:tcMar>
              <w:left w:w="43" w:type="dxa"/>
              <w:right w:w="43" w:type="dxa"/>
            </w:tcMar>
          </w:tcPr>
          <w:p w14:paraId="68CA9728" w14:textId="77777777" w:rsidR="007F4FCC" w:rsidRPr="00687EE7" w:rsidRDefault="007F4FCC" w:rsidP="00540C7D">
            <w:pPr>
              <w:jc w:val="right"/>
              <w:rPr>
                <w:sz w:val="18"/>
                <w:szCs w:val="18"/>
              </w:rPr>
            </w:pPr>
            <w:r>
              <w:rPr>
                <w:sz w:val="18"/>
                <w:szCs w:val="18"/>
                <w:lang w:val="fr"/>
              </w:rPr>
              <w:t>13,4</w:t>
            </w:r>
          </w:p>
        </w:tc>
        <w:tc>
          <w:tcPr>
            <w:tcW w:w="1080" w:type="dxa"/>
            <w:tcBorders>
              <w:top w:val="nil"/>
              <w:left w:val="nil"/>
              <w:bottom w:val="single" w:sz="4" w:space="0" w:color="auto"/>
              <w:right w:val="single" w:sz="4" w:space="0" w:color="auto"/>
            </w:tcBorders>
            <w:shd w:val="clear" w:color="auto" w:fill="auto"/>
            <w:tcMar>
              <w:left w:w="43" w:type="dxa"/>
              <w:right w:w="43" w:type="dxa"/>
            </w:tcMar>
          </w:tcPr>
          <w:p w14:paraId="3F15C4AE" w14:textId="77777777" w:rsidR="007F4FCC" w:rsidRPr="00687EE7" w:rsidRDefault="007F4FCC" w:rsidP="00540C7D">
            <w:pPr>
              <w:jc w:val="right"/>
              <w:rPr>
                <w:sz w:val="18"/>
                <w:szCs w:val="18"/>
              </w:rPr>
            </w:pPr>
            <w:r>
              <w:rPr>
                <w:sz w:val="18"/>
                <w:szCs w:val="18"/>
                <w:lang w:val="fr"/>
              </w:rPr>
              <w:t>101 900 867</w:t>
            </w:r>
          </w:p>
        </w:tc>
        <w:tc>
          <w:tcPr>
            <w:tcW w:w="990" w:type="dxa"/>
            <w:tcBorders>
              <w:top w:val="nil"/>
              <w:left w:val="nil"/>
              <w:bottom w:val="single" w:sz="4" w:space="0" w:color="auto"/>
              <w:right w:val="single" w:sz="4" w:space="0" w:color="auto"/>
            </w:tcBorders>
            <w:shd w:val="clear" w:color="auto" w:fill="auto"/>
            <w:tcMar>
              <w:left w:w="43" w:type="dxa"/>
              <w:right w:w="43" w:type="dxa"/>
            </w:tcMar>
          </w:tcPr>
          <w:p w14:paraId="4127174F" w14:textId="77777777" w:rsidR="007F4FCC" w:rsidRPr="00687EE7" w:rsidRDefault="007F4FCC" w:rsidP="00540C7D">
            <w:pPr>
              <w:jc w:val="right"/>
              <w:rPr>
                <w:sz w:val="18"/>
                <w:szCs w:val="18"/>
              </w:rPr>
            </w:pPr>
            <w:r>
              <w:rPr>
                <w:sz w:val="18"/>
                <w:szCs w:val="18"/>
                <w:lang w:val="fr"/>
              </w:rPr>
              <w:t>13 519 288</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13B61236" w14:textId="77777777" w:rsidR="007F4FCC" w:rsidRPr="00687EE7" w:rsidRDefault="007F4FCC" w:rsidP="00540C7D">
            <w:pPr>
              <w:jc w:val="right"/>
              <w:rPr>
                <w:sz w:val="18"/>
                <w:szCs w:val="18"/>
              </w:rPr>
            </w:pPr>
            <w:r>
              <w:rPr>
                <w:sz w:val="18"/>
                <w:szCs w:val="18"/>
                <w:lang w:val="fr"/>
              </w:rPr>
              <w:t>13,3</w:t>
            </w:r>
          </w:p>
        </w:tc>
      </w:tr>
      <w:tr w:rsidR="00687EE7" w:rsidRPr="00687EE7" w14:paraId="0889C835" w14:textId="77777777" w:rsidTr="00540C7D">
        <w:trPr>
          <w:trHeight w:val="236"/>
        </w:trPr>
        <w:tc>
          <w:tcPr>
            <w:tcW w:w="1006"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5AB94E7E" w14:textId="77777777" w:rsidR="007F4FCC" w:rsidRPr="00687EE7" w:rsidRDefault="007F4FCC" w:rsidP="00540C7D">
            <w:pPr>
              <w:jc w:val="left"/>
              <w:rPr>
                <w:sz w:val="18"/>
                <w:szCs w:val="18"/>
              </w:rPr>
            </w:pPr>
            <w:r>
              <w:rPr>
                <w:sz w:val="18"/>
                <w:szCs w:val="18"/>
                <w:lang w:val="fr"/>
              </w:rPr>
              <w:lastRenderedPageBreak/>
              <w:t>Banque mondiale</w:t>
            </w:r>
          </w:p>
        </w:tc>
        <w:tc>
          <w:tcPr>
            <w:tcW w:w="101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2052758" w14:textId="77777777" w:rsidR="007F4FCC" w:rsidRPr="00687EE7" w:rsidRDefault="007F4FCC" w:rsidP="00540C7D">
            <w:pPr>
              <w:jc w:val="right"/>
              <w:rPr>
                <w:sz w:val="18"/>
                <w:szCs w:val="18"/>
              </w:rPr>
            </w:pPr>
            <w:r>
              <w:rPr>
                <w:sz w:val="18"/>
                <w:szCs w:val="18"/>
                <w:lang w:val="fr"/>
              </w:rPr>
              <w:t>31 485 241</w:t>
            </w:r>
          </w:p>
        </w:tc>
        <w:tc>
          <w:tcPr>
            <w:tcW w:w="948" w:type="dxa"/>
            <w:tcBorders>
              <w:top w:val="nil"/>
              <w:left w:val="nil"/>
              <w:bottom w:val="single" w:sz="4" w:space="0" w:color="auto"/>
              <w:right w:val="single" w:sz="4" w:space="0" w:color="auto"/>
            </w:tcBorders>
            <w:shd w:val="clear" w:color="auto" w:fill="auto"/>
            <w:noWrap/>
            <w:tcMar>
              <w:left w:w="43" w:type="dxa"/>
              <w:right w:w="43" w:type="dxa"/>
            </w:tcMar>
            <w:hideMark/>
          </w:tcPr>
          <w:p w14:paraId="6AC32033" w14:textId="77777777" w:rsidR="007F4FCC" w:rsidRPr="00687EE7" w:rsidRDefault="007F4FCC" w:rsidP="00540C7D">
            <w:pPr>
              <w:jc w:val="right"/>
              <w:rPr>
                <w:sz w:val="18"/>
                <w:szCs w:val="18"/>
              </w:rPr>
            </w:pPr>
            <w:r>
              <w:rPr>
                <w:sz w:val="18"/>
                <w:szCs w:val="18"/>
                <w:lang w:val="fr"/>
              </w:rPr>
              <w:t>6 343 384</w:t>
            </w:r>
          </w:p>
        </w:tc>
        <w:tc>
          <w:tcPr>
            <w:tcW w:w="810" w:type="dxa"/>
            <w:tcBorders>
              <w:top w:val="nil"/>
              <w:left w:val="nil"/>
              <w:bottom w:val="single" w:sz="4" w:space="0" w:color="auto"/>
              <w:right w:val="single" w:sz="4" w:space="0" w:color="auto"/>
            </w:tcBorders>
            <w:shd w:val="clear" w:color="auto" w:fill="auto"/>
            <w:noWrap/>
            <w:tcMar>
              <w:left w:w="43" w:type="dxa"/>
              <w:right w:w="43" w:type="dxa"/>
            </w:tcMar>
            <w:hideMark/>
          </w:tcPr>
          <w:p w14:paraId="5AB73E6F" w14:textId="77777777" w:rsidR="007F4FCC" w:rsidRPr="00687EE7" w:rsidRDefault="007F4FCC" w:rsidP="00540C7D">
            <w:pPr>
              <w:jc w:val="right"/>
              <w:rPr>
                <w:sz w:val="18"/>
                <w:szCs w:val="18"/>
              </w:rPr>
            </w:pPr>
            <w:r>
              <w:rPr>
                <w:sz w:val="18"/>
                <w:szCs w:val="18"/>
                <w:lang w:val="fr"/>
              </w:rPr>
              <w:t>20,1</w:t>
            </w:r>
          </w:p>
        </w:tc>
        <w:tc>
          <w:tcPr>
            <w:tcW w:w="1080" w:type="dxa"/>
            <w:tcBorders>
              <w:top w:val="nil"/>
              <w:left w:val="nil"/>
              <w:bottom w:val="single" w:sz="4" w:space="0" w:color="auto"/>
              <w:right w:val="single" w:sz="4" w:space="0" w:color="auto"/>
            </w:tcBorders>
            <w:shd w:val="clear" w:color="auto" w:fill="auto"/>
            <w:noWrap/>
            <w:tcMar>
              <w:left w:w="43" w:type="dxa"/>
              <w:right w:w="43" w:type="dxa"/>
            </w:tcMar>
            <w:hideMark/>
          </w:tcPr>
          <w:p w14:paraId="42E31678" w14:textId="77777777" w:rsidR="007F4FCC" w:rsidRPr="00687EE7" w:rsidRDefault="007F4FCC" w:rsidP="00540C7D">
            <w:pPr>
              <w:jc w:val="right"/>
              <w:rPr>
                <w:sz w:val="18"/>
                <w:szCs w:val="18"/>
              </w:rPr>
            </w:pPr>
            <w:r>
              <w:rPr>
                <w:sz w:val="18"/>
                <w:szCs w:val="18"/>
                <w:lang w:val="fr"/>
              </w:rPr>
              <w:t>48 475 987</w:t>
            </w:r>
          </w:p>
        </w:tc>
        <w:tc>
          <w:tcPr>
            <w:tcW w:w="900" w:type="dxa"/>
            <w:tcBorders>
              <w:top w:val="nil"/>
              <w:left w:val="nil"/>
              <w:bottom w:val="single" w:sz="4" w:space="0" w:color="auto"/>
              <w:right w:val="single" w:sz="4" w:space="0" w:color="auto"/>
            </w:tcBorders>
            <w:shd w:val="clear" w:color="auto" w:fill="auto"/>
            <w:noWrap/>
            <w:tcMar>
              <w:left w:w="43" w:type="dxa"/>
              <w:right w:w="43" w:type="dxa"/>
            </w:tcMar>
            <w:hideMark/>
          </w:tcPr>
          <w:p w14:paraId="1CE1D3E3" w14:textId="77777777" w:rsidR="007F4FCC" w:rsidRPr="00687EE7" w:rsidRDefault="007F4FCC" w:rsidP="00540C7D">
            <w:pPr>
              <w:jc w:val="right"/>
              <w:rPr>
                <w:sz w:val="18"/>
                <w:szCs w:val="18"/>
              </w:rPr>
            </w:pPr>
            <w:r>
              <w:rPr>
                <w:sz w:val="18"/>
                <w:szCs w:val="18"/>
                <w:lang w:val="fr"/>
              </w:rPr>
              <w:t>8 302 659</w:t>
            </w:r>
          </w:p>
        </w:tc>
        <w:tc>
          <w:tcPr>
            <w:tcW w:w="900" w:type="dxa"/>
            <w:tcBorders>
              <w:top w:val="nil"/>
              <w:left w:val="nil"/>
              <w:bottom w:val="single" w:sz="4" w:space="0" w:color="auto"/>
              <w:right w:val="single" w:sz="4" w:space="0" w:color="auto"/>
            </w:tcBorders>
            <w:shd w:val="clear" w:color="auto" w:fill="auto"/>
            <w:noWrap/>
            <w:tcMar>
              <w:left w:w="43" w:type="dxa"/>
              <w:right w:w="43" w:type="dxa"/>
            </w:tcMar>
            <w:hideMark/>
          </w:tcPr>
          <w:p w14:paraId="1E8A5A39" w14:textId="77777777" w:rsidR="007F4FCC" w:rsidRPr="00687EE7" w:rsidRDefault="007F4FCC" w:rsidP="00540C7D">
            <w:pPr>
              <w:jc w:val="right"/>
              <w:rPr>
                <w:sz w:val="18"/>
                <w:szCs w:val="18"/>
              </w:rPr>
            </w:pPr>
            <w:r>
              <w:rPr>
                <w:sz w:val="18"/>
                <w:szCs w:val="18"/>
                <w:lang w:val="fr"/>
              </w:rPr>
              <w:t>17,1</w:t>
            </w:r>
          </w:p>
        </w:tc>
        <w:tc>
          <w:tcPr>
            <w:tcW w:w="1080" w:type="dxa"/>
            <w:tcBorders>
              <w:top w:val="nil"/>
              <w:left w:val="nil"/>
              <w:bottom w:val="single" w:sz="4" w:space="0" w:color="auto"/>
              <w:right w:val="single" w:sz="4" w:space="0" w:color="auto"/>
            </w:tcBorders>
            <w:shd w:val="clear" w:color="auto" w:fill="auto"/>
            <w:tcMar>
              <w:left w:w="43" w:type="dxa"/>
              <w:right w:w="43" w:type="dxa"/>
            </w:tcMar>
          </w:tcPr>
          <w:p w14:paraId="3CB3FD5F" w14:textId="77777777" w:rsidR="007F4FCC" w:rsidRPr="00687EE7" w:rsidRDefault="007F4FCC" w:rsidP="00540C7D">
            <w:pPr>
              <w:jc w:val="right"/>
              <w:rPr>
                <w:sz w:val="18"/>
                <w:szCs w:val="18"/>
              </w:rPr>
            </w:pPr>
            <w:r>
              <w:rPr>
                <w:sz w:val="18"/>
                <w:szCs w:val="18"/>
                <w:lang w:val="fr"/>
              </w:rPr>
              <w:t>65 447 883</w:t>
            </w:r>
          </w:p>
        </w:tc>
        <w:tc>
          <w:tcPr>
            <w:tcW w:w="990" w:type="dxa"/>
            <w:tcBorders>
              <w:top w:val="nil"/>
              <w:left w:val="nil"/>
              <w:bottom w:val="single" w:sz="4" w:space="0" w:color="auto"/>
              <w:right w:val="single" w:sz="4" w:space="0" w:color="auto"/>
            </w:tcBorders>
            <w:shd w:val="clear" w:color="auto" w:fill="auto"/>
            <w:tcMar>
              <w:left w:w="43" w:type="dxa"/>
              <w:right w:w="43" w:type="dxa"/>
            </w:tcMar>
          </w:tcPr>
          <w:p w14:paraId="600BF5FC" w14:textId="77777777" w:rsidR="007F4FCC" w:rsidRPr="00687EE7" w:rsidRDefault="007F4FCC" w:rsidP="00540C7D">
            <w:pPr>
              <w:jc w:val="right"/>
              <w:rPr>
                <w:sz w:val="18"/>
                <w:szCs w:val="18"/>
              </w:rPr>
            </w:pPr>
            <w:r>
              <w:rPr>
                <w:sz w:val="18"/>
                <w:szCs w:val="18"/>
                <w:lang w:val="fr"/>
              </w:rPr>
              <w:t>9 904 363</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45E8A188" w14:textId="77777777" w:rsidR="007F4FCC" w:rsidRPr="00687EE7" w:rsidRDefault="007F4FCC" w:rsidP="00540C7D">
            <w:pPr>
              <w:jc w:val="right"/>
              <w:rPr>
                <w:sz w:val="18"/>
                <w:szCs w:val="18"/>
              </w:rPr>
            </w:pPr>
            <w:r>
              <w:rPr>
                <w:sz w:val="18"/>
                <w:szCs w:val="18"/>
                <w:lang w:val="fr"/>
              </w:rPr>
              <w:t>15,1</w:t>
            </w:r>
          </w:p>
        </w:tc>
      </w:tr>
      <w:tr w:rsidR="00687EE7" w:rsidRPr="00687EE7" w14:paraId="52B5F9E7" w14:textId="77777777" w:rsidTr="00540C7D">
        <w:trPr>
          <w:trHeight w:val="236"/>
        </w:trPr>
        <w:tc>
          <w:tcPr>
            <w:tcW w:w="1006"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14:paraId="28D25F04" w14:textId="77777777" w:rsidR="007F4FCC" w:rsidRPr="00687EE7" w:rsidRDefault="007F4FCC" w:rsidP="00540C7D">
            <w:pPr>
              <w:jc w:val="left"/>
              <w:rPr>
                <w:b/>
                <w:bCs/>
                <w:sz w:val="18"/>
                <w:szCs w:val="18"/>
              </w:rPr>
            </w:pPr>
            <w:r>
              <w:rPr>
                <w:b/>
                <w:bCs/>
                <w:sz w:val="18"/>
                <w:szCs w:val="18"/>
                <w:lang w:val="fr"/>
              </w:rPr>
              <w:t>Total</w:t>
            </w:r>
          </w:p>
        </w:tc>
        <w:tc>
          <w:tcPr>
            <w:tcW w:w="1011" w:type="dxa"/>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993D40D" w14:textId="77777777" w:rsidR="007F4FCC" w:rsidRPr="00687EE7" w:rsidRDefault="007F4FCC" w:rsidP="00540C7D">
            <w:pPr>
              <w:jc w:val="right"/>
              <w:rPr>
                <w:b/>
                <w:bCs/>
                <w:sz w:val="18"/>
                <w:szCs w:val="18"/>
              </w:rPr>
            </w:pPr>
            <w:r>
              <w:rPr>
                <w:b/>
                <w:bCs/>
                <w:sz w:val="18"/>
                <w:szCs w:val="18"/>
                <w:lang w:val="fr"/>
              </w:rPr>
              <w:t>248 946 077</w:t>
            </w:r>
          </w:p>
        </w:tc>
        <w:tc>
          <w:tcPr>
            <w:tcW w:w="948" w:type="dxa"/>
            <w:tcBorders>
              <w:top w:val="nil"/>
              <w:left w:val="nil"/>
              <w:bottom w:val="single" w:sz="4" w:space="0" w:color="auto"/>
              <w:right w:val="single" w:sz="4" w:space="0" w:color="auto"/>
            </w:tcBorders>
            <w:shd w:val="clear" w:color="auto" w:fill="auto"/>
            <w:noWrap/>
            <w:tcMar>
              <w:left w:w="43" w:type="dxa"/>
              <w:right w:w="43" w:type="dxa"/>
            </w:tcMar>
            <w:hideMark/>
          </w:tcPr>
          <w:p w14:paraId="273AC806" w14:textId="77777777" w:rsidR="007F4FCC" w:rsidRPr="00687EE7" w:rsidRDefault="007F4FCC" w:rsidP="00540C7D">
            <w:pPr>
              <w:jc w:val="right"/>
              <w:rPr>
                <w:b/>
                <w:bCs/>
                <w:sz w:val="18"/>
                <w:szCs w:val="18"/>
              </w:rPr>
            </w:pPr>
            <w:r>
              <w:rPr>
                <w:b/>
                <w:bCs/>
                <w:sz w:val="18"/>
                <w:szCs w:val="18"/>
                <w:lang w:val="fr"/>
              </w:rPr>
              <w:t>34 299 548</w:t>
            </w:r>
          </w:p>
        </w:tc>
        <w:tc>
          <w:tcPr>
            <w:tcW w:w="810" w:type="dxa"/>
            <w:tcBorders>
              <w:top w:val="nil"/>
              <w:left w:val="nil"/>
              <w:bottom w:val="single" w:sz="4" w:space="0" w:color="auto"/>
              <w:right w:val="single" w:sz="4" w:space="0" w:color="auto"/>
            </w:tcBorders>
            <w:shd w:val="clear" w:color="auto" w:fill="auto"/>
            <w:noWrap/>
            <w:tcMar>
              <w:left w:w="43" w:type="dxa"/>
              <w:right w:w="43" w:type="dxa"/>
            </w:tcMar>
            <w:hideMark/>
          </w:tcPr>
          <w:p w14:paraId="151844BB" w14:textId="77777777" w:rsidR="007F4FCC" w:rsidRPr="00687EE7" w:rsidRDefault="007F4FCC" w:rsidP="00540C7D">
            <w:pPr>
              <w:jc w:val="right"/>
              <w:rPr>
                <w:b/>
                <w:bCs/>
                <w:sz w:val="18"/>
                <w:szCs w:val="18"/>
              </w:rPr>
            </w:pPr>
            <w:r>
              <w:rPr>
                <w:b/>
                <w:bCs/>
                <w:sz w:val="18"/>
                <w:szCs w:val="18"/>
                <w:lang w:val="fr"/>
              </w:rPr>
              <w:t>13,8</w:t>
            </w:r>
          </w:p>
        </w:tc>
        <w:tc>
          <w:tcPr>
            <w:tcW w:w="1080" w:type="dxa"/>
            <w:tcBorders>
              <w:top w:val="nil"/>
              <w:left w:val="nil"/>
              <w:bottom w:val="single" w:sz="4" w:space="0" w:color="auto"/>
              <w:right w:val="single" w:sz="4" w:space="0" w:color="auto"/>
            </w:tcBorders>
            <w:shd w:val="clear" w:color="auto" w:fill="auto"/>
            <w:noWrap/>
            <w:tcMar>
              <w:left w:w="43" w:type="dxa"/>
              <w:right w:w="43" w:type="dxa"/>
            </w:tcMar>
            <w:hideMark/>
          </w:tcPr>
          <w:p w14:paraId="5F117666" w14:textId="77777777" w:rsidR="007F4FCC" w:rsidRPr="00687EE7" w:rsidRDefault="007F4FCC" w:rsidP="00540C7D">
            <w:pPr>
              <w:jc w:val="right"/>
              <w:rPr>
                <w:b/>
                <w:bCs/>
                <w:sz w:val="18"/>
                <w:szCs w:val="18"/>
              </w:rPr>
            </w:pPr>
            <w:r>
              <w:rPr>
                <w:b/>
                <w:bCs/>
                <w:sz w:val="18"/>
                <w:szCs w:val="18"/>
                <w:lang w:val="fr"/>
              </w:rPr>
              <w:t>308 071 663</w:t>
            </w:r>
          </w:p>
        </w:tc>
        <w:tc>
          <w:tcPr>
            <w:tcW w:w="900" w:type="dxa"/>
            <w:tcBorders>
              <w:top w:val="nil"/>
              <w:left w:val="nil"/>
              <w:bottom w:val="single" w:sz="4" w:space="0" w:color="auto"/>
              <w:right w:val="single" w:sz="4" w:space="0" w:color="auto"/>
            </w:tcBorders>
            <w:shd w:val="clear" w:color="auto" w:fill="auto"/>
            <w:noWrap/>
            <w:tcMar>
              <w:left w:w="43" w:type="dxa"/>
              <w:right w:w="43" w:type="dxa"/>
            </w:tcMar>
            <w:hideMark/>
          </w:tcPr>
          <w:p w14:paraId="3BF8174C" w14:textId="77777777" w:rsidR="007F4FCC" w:rsidRPr="00687EE7" w:rsidRDefault="007F4FCC" w:rsidP="00540C7D">
            <w:pPr>
              <w:jc w:val="right"/>
              <w:rPr>
                <w:b/>
                <w:bCs/>
                <w:sz w:val="18"/>
                <w:szCs w:val="18"/>
              </w:rPr>
            </w:pPr>
            <w:r>
              <w:rPr>
                <w:b/>
                <w:bCs/>
                <w:sz w:val="18"/>
                <w:szCs w:val="18"/>
                <w:lang w:val="fr"/>
              </w:rPr>
              <w:t>39 847 083</w:t>
            </w:r>
          </w:p>
        </w:tc>
        <w:tc>
          <w:tcPr>
            <w:tcW w:w="900" w:type="dxa"/>
            <w:tcBorders>
              <w:top w:val="nil"/>
              <w:left w:val="nil"/>
              <w:bottom w:val="single" w:sz="4" w:space="0" w:color="auto"/>
              <w:right w:val="single" w:sz="4" w:space="0" w:color="auto"/>
            </w:tcBorders>
            <w:shd w:val="clear" w:color="auto" w:fill="auto"/>
            <w:noWrap/>
            <w:tcMar>
              <w:left w:w="43" w:type="dxa"/>
              <w:right w:w="43" w:type="dxa"/>
            </w:tcMar>
            <w:hideMark/>
          </w:tcPr>
          <w:p w14:paraId="37A29C32" w14:textId="77777777" w:rsidR="007F4FCC" w:rsidRPr="00687EE7" w:rsidRDefault="007F4FCC" w:rsidP="00540C7D">
            <w:pPr>
              <w:jc w:val="right"/>
              <w:rPr>
                <w:b/>
                <w:bCs/>
                <w:sz w:val="18"/>
                <w:szCs w:val="18"/>
              </w:rPr>
            </w:pPr>
            <w:r>
              <w:rPr>
                <w:b/>
                <w:bCs/>
                <w:sz w:val="18"/>
                <w:szCs w:val="18"/>
                <w:lang w:val="fr"/>
              </w:rPr>
              <w:t>12,9</w:t>
            </w:r>
          </w:p>
        </w:tc>
        <w:tc>
          <w:tcPr>
            <w:tcW w:w="1080" w:type="dxa"/>
            <w:tcBorders>
              <w:top w:val="nil"/>
              <w:left w:val="nil"/>
              <w:bottom w:val="single" w:sz="4" w:space="0" w:color="auto"/>
              <w:right w:val="single" w:sz="4" w:space="0" w:color="auto"/>
            </w:tcBorders>
            <w:shd w:val="clear" w:color="auto" w:fill="auto"/>
            <w:tcMar>
              <w:left w:w="43" w:type="dxa"/>
              <w:right w:w="43" w:type="dxa"/>
            </w:tcMar>
          </w:tcPr>
          <w:p w14:paraId="744EFEFB" w14:textId="77777777" w:rsidR="007F4FCC" w:rsidRPr="00687EE7" w:rsidRDefault="007F4FCC" w:rsidP="00540C7D">
            <w:pPr>
              <w:jc w:val="right"/>
              <w:rPr>
                <w:b/>
                <w:bCs/>
                <w:sz w:val="18"/>
                <w:szCs w:val="18"/>
              </w:rPr>
            </w:pPr>
            <w:r>
              <w:rPr>
                <w:b/>
                <w:bCs/>
                <w:sz w:val="18"/>
                <w:szCs w:val="18"/>
                <w:lang w:val="fr"/>
              </w:rPr>
              <w:t>391 331 056</w:t>
            </w:r>
          </w:p>
        </w:tc>
        <w:tc>
          <w:tcPr>
            <w:tcW w:w="990" w:type="dxa"/>
            <w:tcBorders>
              <w:top w:val="nil"/>
              <w:left w:val="nil"/>
              <w:bottom w:val="single" w:sz="4" w:space="0" w:color="auto"/>
              <w:right w:val="single" w:sz="4" w:space="0" w:color="auto"/>
            </w:tcBorders>
            <w:shd w:val="clear" w:color="auto" w:fill="auto"/>
            <w:tcMar>
              <w:left w:w="43" w:type="dxa"/>
              <w:right w:w="43" w:type="dxa"/>
            </w:tcMar>
          </w:tcPr>
          <w:p w14:paraId="1598D4B4" w14:textId="77777777" w:rsidR="007F4FCC" w:rsidRPr="00687EE7" w:rsidRDefault="007F4FCC" w:rsidP="00540C7D">
            <w:pPr>
              <w:jc w:val="right"/>
              <w:rPr>
                <w:b/>
                <w:bCs/>
                <w:sz w:val="18"/>
                <w:szCs w:val="18"/>
              </w:rPr>
            </w:pPr>
            <w:r>
              <w:rPr>
                <w:b/>
                <w:bCs/>
                <w:sz w:val="18"/>
                <w:szCs w:val="18"/>
                <w:lang w:val="fr"/>
              </w:rPr>
              <w:t>47 334 035</w:t>
            </w:r>
          </w:p>
        </w:tc>
        <w:tc>
          <w:tcPr>
            <w:tcW w:w="900" w:type="dxa"/>
            <w:tcBorders>
              <w:top w:val="nil"/>
              <w:left w:val="nil"/>
              <w:bottom w:val="single" w:sz="4" w:space="0" w:color="auto"/>
              <w:right w:val="single" w:sz="4" w:space="0" w:color="auto"/>
            </w:tcBorders>
            <w:shd w:val="clear" w:color="auto" w:fill="auto"/>
            <w:tcMar>
              <w:left w:w="43" w:type="dxa"/>
              <w:right w:w="43" w:type="dxa"/>
            </w:tcMar>
          </w:tcPr>
          <w:p w14:paraId="2324B810" w14:textId="77777777" w:rsidR="007F4FCC" w:rsidRPr="00687EE7" w:rsidRDefault="007F4FCC" w:rsidP="00540C7D">
            <w:pPr>
              <w:jc w:val="right"/>
              <w:rPr>
                <w:b/>
                <w:bCs/>
                <w:sz w:val="18"/>
                <w:szCs w:val="18"/>
              </w:rPr>
            </w:pPr>
            <w:r>
              <w:rPr>
                <w:b/>
                <w:bCs/>
                <w:sz w:val="18"/>
                <w:szCs w:val="18"/>
                <w:lang w:val="fr"/>
              </w:rPr>
              <w:t>12,1</w:t>
            </w:r>
          </w:p>
        </w:tc>
      </w:tr>
    </w:tbl>
    <w:p w14:paraId="2A4106AF" w14:textId="77777777" w:rsidR="007F4FCC" w:rsidRPr="00687EE7" w:rsidRDefault="007F4FCC" w:rsidP="007F4FCC">
      <w:pPr>
        <w:rPr>
          <w:sz w:val="18"/>
          <w:szCs w:val="18"/>
        </w:rPr>
      </w:pPr>
      <w:r>
        <w:rPr>
          <w:sz w:val="18"/>
          <w:szCs w:val="18"/>
          <w:lang w:val="fr"/>
        </w:rPr>
        <w:t>* Financement effectif</w:t>
      </w:r>
    </w:p>
    <w:p w14:paraId="1BAA3367" w14:textId="77777777" w:rsidR="007F4FCC" w:rsidRPr="00455EF6" w:rsidRDefault="007F4FCC" w:rsidP="007F4FCC">
      <w:pPr>
        <w:rPr>
          <w:sz w:val="18"/>
          <w:szCs w:val="18"/>
          <w:lang w:val="fr-FR"/>
        </w:rPr>
      </w:pPr>
      <w:r>
        <w:rPr>
          <w:sz w:val="18"/>
          <w:szCs w:val="18"/>
          <w:lang w:val="fr"/>
        </w:rPr>
        <w:t>** Financement effectif pour 2021 et 2022, et estimé pour 2023</w:t>
      </w:r>
    </w:p>
    <w:p w14:paraId="6B82C95C" w14:textId="77777777" w:rsidR="007F4FCC" w:rsidRPr="00687EE7" w:rsidRDefault="007F4FCC" w:rsidP="007F4FCC">
      <w:pPr>
        <w:rPr>
          <w:sz w:val="18"/>
          <w:szCs w:val="18"/>
        </w:rPr>
      </w:pPr>
      <w:r>
        <w:rPr>
          <w:sz w:val="18"/>
          <w:szCs w:val="18"/>
          <w:lang w:val="fr"/>
        </w:rPr>
        <w:t>*** Voir paragraphe 4 a) ci-dessus</w:t>
      </w:r>
    </w:p>
    <w:p w14:paraId="1373D18D" w14:textId="77777777" w:rsidR="007F4FCC" w:rsidRPr="00687EE7" w:rsidRDefault="007F4FCC" w:rsidP="007F4FCC"/>
    <w:p w14:paraId="5D3ABCE7" w14:textId="77777777" w:rsidR="007F4FCC" w:rsidRPr="00455EF6" w:rsidRDefault="007F4FCC" w:rsidP="00D51323">
      <w:pPr>
        <w:pStyle w:val="Heading1"/>
        <w:rPr>
          <w:lang w:val="fr-FR"/>
        </w:rPr>
      </w:pPr>
      <w:r>
        <w:rPr>
          <w:lang w:val="fr"/>
        </w:rPr>
        <w:t xml:space="preserve">Le financement des projets a diminué au cours de la période triennale 2018-2020 par rapport à la période triennale précédente. À partir de 2020, les contraintes imposées par la pandémie de COVID-19 ont entraîné des retards dans la mise en œuvre des projets, et donc dans la soumission des demandes de tranches de financement pour les PGEH. La période triennale 2021-2023 a été une période de lente reprise </w:t>
      </w:r>
      <w:proofErr w:type="spellStart"/>
      <w:r>
        <w:rPr>
          <w:lang w:val="fr"/>
        </w:rPr>
        <w:t>post-pandémique</w:t>
      </w:r>
      <w:proofErr w:type="spellEnd"/>
      <w:r>
        <w:rPr>
          <w:lang w:val="fr"/>
        </w:rPr>
        <w:t xml:space="preserve"> à l’échelle mondiale. </w:t>
      </w:r>
    </w:p>
    <w:p w14:paraId="316DC9FA" w14:textId="77777777" w:rsidR="007F4FCC" w:rsidRPr="00455EF6" w:rsidRDefault="007F4FCC" w:rsidP="00D51323">
      <w:pPr>
        <w:pStyle w:val="Heading1"/>
        <w:rPr>
          <w:lang w:val="fr-FR"/>
        </w:rPr>
      </w:pPr>
      <w:r>
        <w:rPr>
          <w:lang w:val="fr"/>
        </w:rPr>
        <w:t>Pour la période triennale 2024-2026, sur la base du plan d’activités révisé pour les années 2024-2026</w:t>
      </w:r>
      <w:r>
        <w:rPr>
          <w:rStyle w:val="FootnoteReference"/>
          <w:lang w:val="fr"/>
        </w:rPr>
        <w:footnoteReference w:id="8"/>
      </w:r>
      <w:r>
        <w:rPr>
          <w:lang w:val="fr"/>
        </w:rPr>
        <w:t>, le financement global des projets et activités et les coûts d’appui associés sont estimés à 391,33 millions $US et 47,33 millions $US, respectivement</w:t>
      </w:r>
      <w:r>
        <w:rPr>
          <w:rStyle w:val="FootnoteReference"/>
          <w:lang w:val="fr"/>
        </w:rPr>
        <w:footnoteReference w:id="9"/>
      </w:r>
      <w:r>
        <w:rPr>
          <w:lang w:val="fr"/>
        </w:rPr>
        <w:t xml:space="preserve">. Ces valeurs devraient être plus élevées en raison de l’augmentation anticipée du nombre de soumissions attendues compte tenu du niveau record de reconstitution des ressources de 965 millions $US pour la période triennale, d’un accord sur des directives sur le financement des coûts en vue de la réduction progressive des HFC pour le secteur hors entretien et de nouveaux domaines d’action à l’étude, tels que l’efficacité énergétique, et du fait que certains pays ont récemment ratifié l’Amendement de Kigali et que d’autres pays ayant une plus grande consommation de HFC n’ont pas encore inclus leurs projets KIP dans le plan d’activités pour les années 2024-2026, mais qu’ils seront bientôt prêts à le faire. </w:t>
      </w:r>
    </w:p>
    <w:p w14:paraId="5BEA506A" w14:textId="77777777" w:rsidR="007F4FCC" w:rsidRPr="00455EF6" w:rsidRDefault="007F4FCC" w:rsidP="00D51323">
      <w:pPr>
        <w:pStyle w:val="Heading1"/>
        <w:rPr>
          <w:lang w:val="fr-FR"/>
        </w:rPr>
      </w:pPr>
      <w:r>
        <w:rPr>
          <w:lang w:val="fr"/>
        </w:rPr>
        <w:t>L’augmentation attendue du financement de nouvelles activités de projets devrait entraîner celle des coûts d’appui d’agence approuvés. Le Secrétariat a analysé un scénario qui donnerait lieu à une augmentation de 50 % du financement des nouvelles activités par rapport à celui présenté dans le plan d’activités révisé ; cette augmentation entraînerait celle des coûts d’appui de 6,03 millions $US par rapport à ceux du plan d’activités révisé pour les années 2024-2026.  Il convient de noter que ces sommes ne seront perçues que si les niveaux de soumission et d’approbation des projets augmentent.</w:t>
      </w:r>
    </w:p>
    <w:p w14:paraId="471BCF1E" w14:textId="77777777" w:rsidR="007F4FCC" w:rsidRPr="00455EF6" w:rsidRDefault="007F4FCC" w:rsidP="007F4FCC">
      <w:pPr>
        <w:rPr>
          <w:b/>
          <w:bCs/>
          <w:sz w:val="24"/>
          <w:szCs w:val="24"/>
          <w:lang w:val="fr-FR"/>
        </w:rPr>
      </w:pPr>
      <w:r>
        <w:rPr>
          <w:b/>
          <w:bCs/>
          <w:sz w:val="24"/>
          <w:szCs w:val="24"/>
          <w:lang w:val="fr"/>
        </w:rPr>
        <w:t>Analyse relative à la capacité des institutions du Fonds multilatéral à faire face à la réduction progressive des HFC</w:t>
      </w:r>
    </w:p>
    <w:p w14:paraId="10E59F39" w14:textId="77777777" w:rsidR="007F4FCC" w:rsidRPr="00455EF6" w:rsidRDefault="007F4FCC" w:rsidP="007F4FCC">
      <w:pPr>
        <w:rPr>
          <w:u w:val="single"/>
          <w:lang w:val="fr-FR"/>
        </w:rPr>
      </w:pPr>
    </w:p>
    <w:p w14:paraId="541A01B5" w14:textId="77777777" w:rsidR="007F4FCC" w:rsidRPr="00455EF6" w:rsidRDefault="007F4FCC" w:rsidP="007F4FCC">
      <w:pPr>
        <w:rPr>
          <w:u w:val="single"/>
          <w:lang w:val="fr-FR"/>
        </w:rPr>
      </w:pPr>
      <w:r>
        <w:rPr>
          <w:u w:val="single"/>
          <w:lang w:val="fr"/>
        </w:rPr>
        <w:t>Analyse présentée à la 91</w:t>
      </w:r>
      <w:r>
        <w:rPr>
          <w:u w:val="single"/>
          <w:vertAlign w:val="superscript"/>
          <w:lang w:val="fr"/>
        </w:rPr>
        <w:t>e</w:t>
      </w:r>
      <w:r>
        <w:rPr>
          <w:u w:val="single"/>
          <w:lang w:val="fr"/>
        </w:rPr>
        <w:t xml:space="preserve"> réunion </w:t>
      </w:r>
    </w:p>
    <w:p w14:paraId="04C058D8" w14:textId="77777777" w:rsidR="007F4FCC" w:rsidRPr="00455EF6" w:rsidRDefault="007F4FCC" w:rsidP="007F4FCC">
      <w:pPr>
        <w:rPr>
          <w:u w:val="single"/>
          <w:lang w:val="fr-FR"/>
        </w:rPr>
      </w:pPr>
    </w:p>
    <w:p w14:paraId="621D1302" w14:textId="77777777" w:rsidR="007F4FCC" w:rsidRPr="00455EF6" w:rsidRDefault="007F4FCC" w:rsidP="00D51323">
      <w:pPr>
        <w:pStyle w:val="Heading1"/>
        <w:rPr>
          <w:lang w:val="fr-FR"/>
        </w:rPr>
      </w:pPr>
      <w:r>
        <w:rPr>
          <w:lang w:val="fr"/>
        </w:rPr>
        <w:t>À sa 91</w:t>
      </w:r>
      <w:r>
        <w:rPr>
          <w:vertAlign w:val="superscript"/>
          <w:lang w:val="fr"/>
        </w:rPr>
        <w:t>e</w:t>
      </w:r>
      <w:r>
        <w:rPr>
          <w:lang w:val="fr"/>
        </w:rPr>
        <w:t> réunion, le Comité exécutif a examiné le document UNEP/</w:t>
      </w:r>
      <w:proofErr w:type="spellStart"/>
      <w:r>
        <w:rPr>
          <w:lang w:val="fr"/>
        </w:rPr>
        <w:t>OzL.Pro</w:t>
      </w:r>
      <w:proofErr w:type="spellEnd"/>
      <w:r>
        <w:rPr>
          <w:lang w:val="fr"/>
        </w:rPr>
        <w:t>/</w:t>
      </w:r>
      <w:proofErr w:type="spellStart"/>
      <w:r>
        <w:rPr>
          <w:lang w:val="fr"/>
        </w:rPr>
        <w:t>ExCom</w:t>
      </w:r>
      <w:proofErr w:type="spellEnd"/>
      <w:r>
        <w:rPr>
          <w:lang w:val="fr"/>
        </w:rPr>
        <w:t xml:space="preserve">/91/67 sur l’analyse relative à la capacité des institutions du Fonds multilatéral à faire face à la réduction progressive des HFC.  </w:t>
      </w:r>
    </w:p>
    <w:p w14:paraId="106F2AF1" w14:textId="77777777" w:rsidR="007F4FCC" w:rsidRPr="00455EF6" w:rsidRDefault="007F4FCC" w:rsidP="00D51323">
      <w:pPr>
        <w:pStyle w:val="Heading1"/>
        <w:rPr>
          <w:lang w:val="fr-FR"/>
        </w:rPr>
      </w:pPr>
      <w:r>
        <w:rPr>
          <w:lang w:val="fr"/>
        </w:rPr>
        <w:t>Les points suivants ont été soulignés dans le document dans le contexte de la capacité des institutions du Fonds multilatéral :</w:t>
      </w:r>
    </w:p>
    <w:p w14:paraId="13CF12A8" w14:textId="77777777" w:rsidR="007F4FCC" w:rsidRPr="00455EF6" w:rsidRDefault="007F4FCC" w:rsidP="00D51323">
      <w:pPr>
        <w:pStyle w:val="Heading2"/>
        <w:rPr>
          <w:lang w:val="fr-FR"/>
        </w:rPr>
      </w:pPr>
      <w:r>
        <w:rPr>
          <w:lang w:val="fr"/>
        </w:rPr>
        <w:t xml:space="preserve">Le besoin en renforcement des capacités internes et en soutien spécialisé dans les nombreux domaines liés à la réduction progressive des HFC et d’autres domaines (à savoir, les codes douaniers, la communication des données, les bonnes pratiques d’entretien pour la manipulation des frigorigènes inflammables, les systèmes de suivi adaptés pour intégrer les HFC, les aspects d’efficacité énergétique, l’élimination des substances réglementées non utilisées). Parallèlement, l’élaboration de solutions aux nouvelles difficultés nécessiterait également des délibérations et des consultations importantes avec les parties </w:t>
      </w:r>
      <w:r>
        <w:rPr>
          <w:lang w:val="fr"/>
        </w:rPr>
        <w:lastRenderedPageBreak/>
        <w:t>prenantes, ce qui demandera plus de temps au personnel ;</w:t>
      </w:r>
    </w:p>
    <w:p w14:paraId="0A0B65DD" w14:textId="77777777" w:rsidR="007F4FCC" w:rsidRPr="00455EF6" w:rsidRDefault="007F4FCC" w:rsidP="00D51323">
      <w:pPr>
        <w:pStyle w:val="Heading2"/>
        <w:rPr>
          <w:lang w:val="fr-FR"/>
        </w:rPr>
      </w:pPr>
      <w:r>
        <w:rPr>
          <w:lang w:val="fr"/>
        </w:rPr>
        <w:t>Le besoin de lier de plus en plus le travail des unités du Protocole de Montréal des agences d’exécution au programme d’action pour le climat entraînant le besoin d’une coordination plus étroite du travail de leurs unités du Protocole de Montréal avec celles traitant des sujets liés au climat et aux Accords de Paris, et d’établir des synergies et de travailler conjointement avec les domaines concernés au sein de leur organisation, c’est-à-dire sur le refroidissement durable, le transport, l’agriculture, la pêche, l’énergie, le climat, etc. ; et</w:t>
      </w:r>
    </w:p>
    <w:p w14:paraId="724F96EA" w14:textId="77777777" w:rsidR="007F4FCC" w:rsidRPr="00455EF6" w:rsidRDefault="007F4FCC" w:rsidP="00D51323">
      <w:pPr>
        <w:pStyle w:val="Heading2"/>
        <w:rPr>
          <w:lang w:val="fr-FR"/>
        </w:rPr>
      </w:pPr>
      <w:r>
        <w:rPr>
          <w:lang w:val="fr"/>
        </w:rPr>
        <w:t>L’appui technique pour aider les PFC à mettre en œuvre des activités visant à atteindre les objectifs d’élimination des HCFC, à lancer des KIP et à mettre en œuvre d’autres activités (par exemple, des projets liés à l’efficacité énergétique dans le cadre de la décision 89/6, la préparation de l’inventaire des banques de substances réglementées usagées ou indésirables). Il conviendra de trouver, en particulier au cours des six ou sept prochaines années, des moyens de renforcer l’appui apporté par les agences pour faciliter la mise en œuvre des projets dans ces pays. De nombreuses agences restent également confrontées aux coûts de transaction élevés</w:t>
      </w:r>
      <w:r>
        <w:rPr>
          <w:rStyle w:val="FootnoteReference"/>
          <w:lang w:val="fr"/>
        </w:rPr>
        <w:footnoteReference w:id="10"/>
      </w:r>
      <w:r>
        <w:rPr>
          <w:lang w:val="fr"/>
        </w:rPr>
        <w:t xml:space="preserve"> associés au financement des PFC. </w:t>
      </w:r>
    </w:p>
    <w:p w14:paraId="725D81B8" w14:textId="77777777" w:rsidR="007F4FCC" w:rsidRPr="00455EF6" w:rsidRDefault="007F4FCC" w:rsidP="00D51323">
      <w:pPr>
        <w:pStyle w:val="Heading1"/>
        <w:rPr>
          <w:lang w:val="fr-FR"/>
        </w:rPr>
      </w:pPr>
      <w:r>
        <w:rPr>
          <w:lang w:val="fr"/>
        </w:rPr>
        <w:t>Lors des consultations sur les activités entreprises pour renforcer leurs capacités, les agences ont indiqué qu’elles comblaient certaines de ces lacunes par les moyens suivants :</w:t>
      </w:r>
    </w:p>
    <w:p w14:paraId="084673A5" w14:textId="77777777" w:rsidR="007F4FCC" w:rsidRPr="00455EF6" w:rsidRDefault="007F4FCC" w:rsidP="00D51323">
      <w:pPr>
        <w:pStyle w:val="Heading2"/>
        <w:rPr>
          <w:lang w:val="fr-FR"/>
        </w:rPr>
      </w:pPr>
      <w:r>
        <w:rPr>
          <w:i/>
          <w:iCs/>
          <w:lang w:val="fr"/>
        </w:rPr>
        <w:t>Changement de mécanismes de livraison et de mise en œuvre.</w:t>
      </w:r>
      <w:r>
        <w:rPr>
          <w:lang w:val="fr"/>
        </w:rPr>
        <w:t xml:space="preserve"> Les agences d’exécution s’emploient à améliorer l’efficacité de leurs processus, procédures et mécanismes de mise en œuvre afin d’améliorer le rapport coût-efficacité, de réduire les obstacles bureaucratiques, de simplifier les processus et procédures, par exemple en rassemblant dans un accord-cadre plusieurs transferts de fonds plutôt que de signer plusieurs accords. Les agences d’exécution améliorent également les processus d’achat et de livraison d’équipements en développant des cahiers des charges harmonisés et en passant des accords à long terme avec des fournisseurs, réduisant ainsi le nombre de demandes d’approvisionnement tout en assurant une livraison plus rapide des équipements et le respect des délais des activités de reconversion et de formation. </w:t>
      </w:r>
    </w:p>
    <w:p w14:paraId="11CF47E7" w14:textId="77777777" w:rsidR="007F4FCC" w:rsidRPr="00455EF6" w:rsidRDefault="007F4FCC" w:rsidP="00D51323">
      <w:pPr>
        <w:pStyle w:val="Heading2"/>
        <w:rPr>
          <w:lang w:val="fr-FR"/>
        </w:rPr>
      </w:pPr>
      <w:r>
        <w:rPr>
          <w:i/>
          <w:iCs/>
          <w:lang w:val="fr"/>
        </w:rPr>
        <w:t>Collaboration avec des experts techniques dans des domaines spécialisés liés aux projets du Protocole de Montréal.</w:t>
      </w:r>
      <w:r>
        <w:rPr>
          <w:lang w:val="fr"/>
        </w:rPr>
        <w:t xml:space="preserve"> Les équipes de base des agences d’exécution sont renforcées en collaborant avec des experts au sein d’autres institutions à travers la coopération et des synergies avec d’autres unités au sein de leur organisation. Bien que temporaire, cette solution a aidé les agences d’exécution à répondre à leurs besoins actuels de compétences et de capacités. Il est également prévu que la participation à des séminaires/réunions techniques et la coordination avec leurs unités organisationnelles chargées d’autres nouveaux domaines (par exemple, l’efficacité énergétique) renforcent, au fil du temps, les capacités du personnel et la collaboration avec d’autres équipes au sein des agences.  </w:t>
      </w:r>
    </w:p>
    <w:p w14:paraId="58061CEB" w14:textId="77777777" w:rsidR="007F4FCC" w:rsidRPr="00455EF6" w:rsidRDefault="007F4FCC" w:rsidP="007F4FCC">
      <w:pPr>
        <w:keepNext/>
        <w:rPr>
          <w:b/>
          <w:bCs/>
          <w:sz w:val="24"/>
          <w:szCs w:val="24"/>
          <w:lang w:val="fr-FR"/>
        </w:rPr>
      </w:pPr>
      <w:r>
        <w:rPr>
          <w:b/>
          <w:bCs/>
          <w:sz w:val="24"/>
          <w:szCs w:val="24"/>
          <w:lang w:val="fr"/>
        </w:rPr>
        <w:t xml:space="preserve">Observations du Secrétariat sur le soutien nécessaire aux agences d’exécution </w:t>
      </w:r>
    </w:p>
    <w:p w14:paraId="7D903F74" w14:textId="77777777" w:rsidR="007F4FCC" w:rsidRPr="00455EF6" w:rsidRDefault="007F4FCC" w:rsidP="007F4FCC">
      <w:pPr>
        <w:keepNext/>
        <w:rPr>
          <w:b/>
          <w:bCs/>
          <w:lang w:val="fr-FR"/>
        </w:rPr>
      </w:pPr>
    </w:p>
    <w:p w14:paraId="21DF4E69" w14:textId="77777777" w:rsidR="007F4FCC" w:rsidRPr="00455EF6" w:rsidRDefault="007F4FCC" w:rsidP="007F4FCC">
      <w:pPr>
        <w:pStyle w:val="Heading1"/>
        <w:numPr>
          <w:ilvl w:val="0"/>
          <w:numId w:val="0"/>
        </w:numPr>
        <w:rPr>
          <w:b/>
          <w:bCs/>
          <w:lang w:val="fr-FR"/>
        </w:rPr>
      </w:pPr>
      <w:r>
        <w:rPr>
          <w:b/>
          <w:bCs/>
          <w:lang w:val="fr"/>
        </w:rPr>
        <w:t xml:space="preserve">Besoins pour la prochaine période triennale </w:t>
      </w:r>
    </w:p>
    <w:p w14:paraId="0ECFE2FF" w14:textId="77777777" w:rsidR="007F4FCC" w:rsidRPr="00455EF6" w:rsidRDefault="007F4FCC" w:rsidP="00D51323">
      <w:pPr>
        <w:pStyle w:val="Heading1"/>
        <w:rPr>
          <w:lang w:val="fr-FR"/>
        </w:rPr>
      </w:pPr>
      <w:r>
        <w:rPr>
          <w:lang w:val="fr"/>
        </w:rPr>
        <w:t xml:space="preserve">Au cours de la prochaine période triennale, les activités de projet relatives aux PGEH, aux KIP, aux guichets de financement pour les projets pilotes sur l’efficacité énergétique et sur l’élimination devront </w:t>
      </w:r>
      <w:r>
        <w:rPr>
          <w:lang w:val="fr"/>
        </w:rPr>
        <w:lastRenderedPageBreak/>
        <w:t xml:space="preserve">être planifiées, préparées et mises en œuvre dans les pays. La capacité des pays à mettre en œuvre les projets au niveau des bureaux nationaux de l’ozone doit être soigneusement évaluée et les processus de gestion pertinents doivent être rendus opérationnels pour permettre une mise en œuvre intégrée et efficace sur le plan des coûts. Cela aura à son tour un impact sur les besoins de renforcement des capacités des agences pour fournir un appui aux pays en vue de la mise en œuvre des projets au cours de la prochaine période triennale.  </w:t>
      </w:r>
    </w:p>
    <w:p w14:paraId="584403BD" w14:textId="77777777" w:rsidR="007F4FCC" w:rsidRPr="00455EF6" w:rsidRDefault="007F4FCC" w:rsidP="00D51323">
      <w:pPr>
        <w:pStyle w:val="Heading1"/>
        <w:rPr>
          <w:lang w:val="fr-FR"/>
        </w:rPr>
      </w:pPr>
      <w:r>
        <w:rPr>
          <w:lang w:val="fr"/>
        </w:rPr>
        <w:t>Les agences ont aussi généralement indiqué que les PFC sont confrontés à des problèmes et qu’ils ont besoin d’une attention particulière pour assurer une mise en œuvre systématique et harmonieuse des différentes activités liées au Protocole de Montréal. Si les économies d’échelle réalisées dans le cadre de la mise en œuvre des grands projets peuvent également permettre aux agences de disposer de certaines ressources pour soutenir les PFC (par exemple, lors de la mise en œuvre de PGEH), il convient d’apporter un appui plus spécifique à ces pays. Lors des consultations avec les agences, il a été souligné que, malgré l’appui apporté par le biais du PAC et d’autres agences, les PFC disposent de ressources humaines et institutionnelles limitées, sont de petite taille, sont souvent géographiquement éloignés et sont des « preneurs de technologie » qui recourent souvent au secteur des services. L’importance de fournir des ressources aux agences en vue de l’administration et de la gestion des projets, et de la dispense de conseils techniques et stratégiques, a été soulignée.</w:t>
      </w:r>
    </w:p>
    <w:p w14:paraId="44503EDB" w14:textId="77777777" w:rsidR="007F4FCC" w:rsidRPr="00455EF6" w:rsidRDefault="007F4FCC" w:rsidP="00D51323">
      <w:pPr>
        <w:pStyle w:val="Heading1"/>
        <w:rPr>
          <w:lang w:val="fr-FR"/>
        </w:rPr>
      </w:pPr>
      <w:r>
        <w:rPr>
          <w:lang w:val="fr"/>
        </w:rPr>
        <w:t>Les agences devraient allouer des ressources pour planifier des projets et répondre aux besoins des pays dans le contexte de la décision de reconstitution des ressources</w:t>
      </w:r>
      <w:r>
        <w:rPr>
          <w:rStyle w:val="FootnoteReference"/>
          <w:lang w:val="fr"/>
        </w:rPr>
        <w:footnoteReference w:id="11"/>
      </w:r>
      <w:r>
        <w:rPr>
          <w:lang w:val="fr"/>
        </w:rPr>
        <w:t xml:space="preserve"> et gérer l’augmentation des activités au cours de la prochaine période triennale. Ces ressources pourraient comprendre du personnel supplémentaire (personnel de gestion de projet, experts spécialisés, etc.) pour soutenir l’élaboration et la mise en œuvre des projets et renforcer les capacités du personnel des agences sur différents aspects techniques, stratégiques et de mise en œuvre liés aux projets. D’autre part, l’augmentation du financement des projets approuvée pour différentes activités permettrait de fournir des ressources supplémentaires pour les projets (assistance technique à la mise en œuvre, consultants techniques pour des activités de projet spécifiques, gestion globale du projet, etc.) et des coûts d’appui administratif supplémentaires qui sont liés au niveau de financement approuvé.</w:t>
      </w:r>
    </w:p>
    <w:p w14:paraId="55881F30" w14:textId="77777777" w:rsidR="007F4FCC" w:rsidRPr="00455EF6" w:rsidRDefault="007F4FCC" w:rsidP="00D51323">
      <w:pPr>
        <w:pStyle w:val="Heading1"/>
        <w:rPr>
          <w:lang w:val="fr-FR"/>
        </w:rPr>
      </w:pPr>
      <w:r>
        <w:rPr>
          <w:lang w:val="fr"/>
        </w:rPr>
        <w:t xml:space="preserve">Sur la base des consultations menées avec les agences et de l’analyse des facteurs susmentionnés, les agences d’exécution auraient besoin d’un soutien accru dans deux domaines : a) le renforcement de leur capacité technique pour tous les pays ; et b) le renforcement de l’appui technique et administratif pour les projets visant les PFC. </w:t>
      </w:r>
    </w:p>
    <w:p w14:paraId="62216727" w14:textId="77777777" w:rsidR="007F4FCC" w:rsidRPr="00455EF6" w:rsidRDefault="007F4FCC" w:rsidP="007F4FCC">
      <w:pPr>
        <w:rPr>
          <w:b/>
          <w:bCs/>
          <w:lang w:val="fr-FR"/>
        </w:rPr>
      </w:pPr>
      <w:r>
        <w:rPr>
          <w:b/>
          <w:bCs/>
          <w:lang w:val="fr"/>
        </w:rPr>
        <w:t>Renforcement de la capacité technique des agences</w:t>
      </w:r>
    </w:p>
    <w:p w14:paraId="367F2088" w14:textId="77777777" w:rsidR="007F4FCC" w:rsidRPr="00455EF6" w:rsidRDefault="007F4FCC" w:rsidP="007F4FCC">
      <w:pPr>
        <w:rPr>
          <w:u w:val="single"/>
          <w:lang w:val="fr-FR"/>
        </w:rPr>
      </w:pPr>
    </w:p>
    <w:p w14:paraId="460FC152" w14:textId="77777777" w:rsidR="007F4FCC" w:rsidRPr="00687EE7" w:rsidRDefault="007F4FCC" w:rsidP="007F4FCC">
      <w:pPr>
        <w:rPr>
          <w:u w:val="single"/>
        </w:rPr>
      </w:pPr>
      <w:r>
        <w:rPr>
          <w:u w:val="single"/>
          <w:lang w:val="fr"/>
        </w:rPr>
        <w:t>Coûts de base</w:t>
      </w:r>
    </w:p>
    <w:p w14:paraId="65783E4E" w14:textId="77777777" w:rsidR="007F4FCC" w:rsidRPr="00687EE7" w:rsidRDefault="007F4FCC" w:rsidP="007F4FCC">
      <w:pPr>
        <w:rPr>
          <w:u w:val="single"/>
        </w:rPr>
      </w:pPr>
    </w:p>
    <w:p w14:paraId="50FB162B" w14:textId="77777777" w:rsidR="007F4FCC" w:rsidRPr="00455EF6" w:rsidRDefault="007F4FCC" w:rsidP="00D51323">
      <w:pPr>
        <w:pStyle w:val="Heading1"/>
        <w:rPr>
          <w:lang w:val="fr-FR"/>
        </w:rPr>
      </w:pPr>
      <w:r>
        <w:rPr>
          <w:lang w:val="fr"/>
        </w:rPr>
        <w:t>Comme indiqué au paragraphe 17, des ressources humaines supplémentaires sont nécessaires pour renforcer les capacités des agences afin de soutenir l’élaboration et la mise en œuvre des projets au cours de la prochaine période triennale. Pour ce faire, il est proposé d’inclure dans les coûts de base, à partir de 2024 et pour la période triennale 2024-2026, un financement supplémentaire d’un montant de 200 000 $US par agence et par an</w:t>
      </w:r>
      <w:r>
        <w:rPr>
          <w:rStyle w:val="FootnoteReference"/>
          <w:lang w:val="fr"/>
        </w:rPr>
        <w:footnoteReference w:id="12"/>
      </w:r>
      <w:r>
        <w:rPr>
          <w:lang w:val="fr"/>
        </w:rPr>
        <w:t xml:space="preserve">, afin de renforcer la capacité du PNUD, de l’ONUDI et de la Banque mondiale à faire face à l’augmentation de leur charge de travail et de leur permettre d’apporter un appui aux pays visés à l’article 5 tout au long du cycle des projets, à commencer par la phase d’élaboration. Ce financement supplémentaire se traduirait par des coûts additionnels d’environ 1,8 million $US pour les coûts de base au cours de la période triennale 2024-2026. </w:t>
      </w:r>
    </w:p>
    <w:p w14:paraId="38B9E38D" w14:textId="77777777" w:rsidR="00C76617" w:rsidRDefault="00C76617" w:rsidP="007F4FCC">
      <w:pPr>
        <w:rPr>
          <w:u w:val="single"/>
          <w:lang w:val="fr"/>
        </w:rPr>
      </w:pPr>
    </w:p>
    <w:p w14:paraId="4B8E55AC" w14:textId="57497928" w:rsidR="007F4FCC" w:rsidRPr="00455EF6" w:rsidRDefault="007F4FCC" w:rsidP="007F4FCC">
      <w:pPr>
        <w:rPr>
          <w:u w:val="single"/>
          <w:lang w:val="fr-FR"/>
        </w:rPr>
      </w:pPr>
      <w:r>
        <w:rPr>
          <w:u w:val="single"/>
          <w:lang w:val="fr"/>
        </w:rPr>
        <w:lastRenderedPageBreak/>
        <w:t>Coûts d’appui aux programmes pour les pays à faible consommation</w:t>
      </w:r>
    </w:p>
    <w:p w14:paraId="2E799076" w14:textId="77777777" w:rsidR="007F4FCC" w:rsidRPr="00455EF6" w:rsidRDefault="007F4FCC" w:rsidP="007F4FCC">
      <w:pPr>
        <w:rPr>
          <w:lang w:val="fr-FR"/>
        </w:rPr>
      </w:pPr>
    </w:p>
    <w:p w14:paraId="08A7C4B4" w14:textId="77777777" w:rsidR="007F4FCC" w:rsidRPr="00687EE7" w:rsidRDefault="007F4FCC" w:rsidP="00D51323">
      <w:pPr>
        <w:pStyle w:val="Heading1"/>
      </w:pPr>
      <w:bookmarkStart w:id="3" w:name="_Hlk151573304"/>
      <w:r>
        <w:rPr>
          <w:lang w:val="fr"/>
        </w:rPr>
        <w:t>En ce qui concerne les coûts d’appui, lors des discussions avec les agences, le faible niveau de ces coûts a été évoqué comme un obstacle à la fourniture d’assistance aux PFC. Compte tenu de cela, le Secrétariat a analysé un scénario prévoyant l’augmentation des coûts d’appui pour les KIP des PFC au cours de la période triennale 2024-2026. Les coûts d’appui du PNUD et de l’ONUDI passeraient ainsi de 7 ou 9 %</w:t>
      </w:r>
      <w:r>
        <w:rPr>
          <w:rStyle w:val="FootnoteReference"/>
          <w:lang w:val="fr"/>
        </w:rPr>
        <w:footnoteReference w:id="13"/>
      </w:r>
      <w:r>
        <w:rPr>
          <w:lang w:val="fr"/>
        </w:rPr>
        <w:t xml:space="preserve"> à 13 %</w:t>
      </w:r>
      <w:r>
        <w:rPr>
          <w:rStyle w:val="FootnoteReference"/>
          <w:lang w:val="fr"/>
        </w:rPr>
        <w:footnoteReference w:id="14"/>
      </w:r>
      <w:r>
        <w:rPr>
          <w:lang w:val="fr"/>
        </w:rPr>
        <w:t>. Le tableau 3 résume cette analyse.</w:t>
      </w:r>
    </w:p>
    <w:p w14:paraId="2731EBF5" w14:textId="77777777" w:rsidR="007F4FCC" w:rsidRPr="00455EF6" w:rsidRDefault="007F4FCC" w:rsidP="007F4FCC">
      <w:pPr>
        <w:keepNext/>
        <w:rPr>
          <w:b/>
          <w:bCs/>
          <w:lang w:val="fr-FR"/>
        </w:rPr>
      </w:pPr>
      <w:r>
        <w:rPr>
          <w:b/>
          <w:bCs/>
          <w:lang w:val="fr"/>
        </w:rPr>
        <w:t>Tableau 3. Analyse de l’augmentation des coûts d’appui à 13 % pour les KIP des PFC ($US)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615"/>
        <w:gridCol w:w="1770"/>
        <w:gridCol w:w="1770"/>
        <w:gridCol w:w="1770"/>
        <w:gridCol w:w="2520"/>
      </w:tblGrid>
      <w:tr w:rsidR="00687EE7" w:rsidRPr="002676CE" w14:paraId="69BB74C8" w14:textId="77777777" w:rsidTr="00540C7D">
        <w:trPr>
          <w:trHeight w:val="638"/>
        </w:trPr>
        <w:tc>
          <w:tcPr>
            <w:tcW w:w="1615" w:type="dxa"/>
            <w:tcMar>
              <w:top w:w="0" w:type="dxa"/>
              <w:left w:w="108" w:type="dxa"/>
              <w:bottom w:w="0" w:type="dxa"/>
              <w:right w:w="108" w:type="dxa"/>
            </w:tcMar>
            <w:vAlign w:val="center"/>
            <w:hideMark/>
          </w:tcPr>
          <w:p w14:paraId="4135E32E" w14:textId="77777777" w:rsidR="007F4FCC" w:rsidRPr="00687EE7" w:rsidRDefault="007F4FCC" w:rsidP="00540C7D">
            <w:pPr>
              <w:keepNext/>
              <w:jc w:val="center"/>
              <w:rPr>
                <w:b/>
                <w:bCs/>
                <w:sz w:val="20"/>
                <w:szCs w:val="20"/>
              </w:rPr>
            </w:pPr>
            <w:r>
              <w:rPr>
                <w:b/>
                <w:bCs/>
                <w:sz w:val="20"/>
                <w:szCs w:val="20"/>
                <w:lang w:val="fr"/>
              </w:rPr>
              <w:t>Détails</w:t>
            </w:r>
            <w:r>
              <w:rPr>
                <w:sz w:val="20"/>
                <w:szCs w:val="20"/>
                <w:lang w:val="fr"/>
              </w:rPr>
              <w:t> </w:t>
            </w:r>
          </w:p>
        </w:tc>
        <w:tc>
          <w:tcPr>
            <w:tcW w:w="1770" w:type="dxa"/>
            <w:noWrap/>
            <w:tcMar>
              <w:top w:w="0" w:type="dxa"/>
              <w:left w:w="108" w:type="dxa"/>
              <w:bottom w:w="0" w:type="dxa"/>
              <w:right w:w="108" w:type="dxa"/>
            </w:tcMar>
            <w:vAlign w:val="center"/>
            <w:hideMark/>
          </w:tcPr>
          <w:p w14:paraId="4B5938FF" w14:textId="77777777" w:rsidR="007F4FCC" w:rsidRPr="00687EE7" w:rsidRDefault="007F4FCC" w:rsidP="00540C7D">
            <w:pPr>
              <w:keepNext/>
              <w:jc w:val="center"/>
              <w:rPr>
                <w:b/>
                <w:bCs/>
                <w:sz w:val="20"/>
                <w:szCs w:val="20"/>
              </w:rPr>
            </w:pPr>
            <w:r>
              <w:rPr>
                <w:b/>
                <w:bCs/>
                <w:sz w:val="20"/>
                <w:szCs w:val="20"/>
                <w:lang w:val="fr"/>
              </w:rPr>
              <w:t xml:space="preserve">Coûts des projets </w:t>
            </w:r>
          </w:p>
        </w:tc>
        <w:tc>
          <w:tcPr>
            <w:tcW w:w="1770" w:type="dxa"/>
            <w:vAlign w:val="center"/>
          </w:tcPr>
          <w:p w14:paraId="38EC6DF2" w14:textId="77777777" w:rsidR="007F4FCC" w:rsidRPr="00455EF6" w:rsidRDefault="007F4FCC" w:rsidP="00540C7D">
            <w:pPr>
              <w:keepNext/>
              <w:jc w:val="center"/>
              <w:rPr>
                <w:b/>
                <w:bCs/>
                <w:sz w:val="20"/>
                <w:szCs w:val="20"/>
                <w:lang w:val="fr-FR"/>
              </w:rPr>
            </w:pPr>
            <w:r>
              <w:rPr>
                <w:b/>
                <w:bCs/>
                <w:sz w:val="20"/>
                <w:szCs w:val="20"/>
                <w:lang w:val="fr"/>
              </w:rPr>
              <w:t>Coûts d’appui dans le plan d’activités révisé pour 2024-2026</w:t>
            </w:r>
          </w:p>
        </w:tc>
        <w:tc>
          <w:tcPr>
            <w:tcW w:w="1770" w:type="dxa"/>
            <w:vAlign w:val="center"/>
          </w:tcPr>
          <w:p w14:paraId="6142B88D" w14:textId="77777777" w:rsidR="007F4FCC" w:rsidRPr="00687EE7" w:rsidRDefault="007F4FCC" w:rsidP="00540C7D">
            <w:pPr>
              <w:keepNext/>
              <w:jc w:val="center"/>
              <w:rPr>
                <w:b/>
                <w:bCs/>
                <w:sz w:val="20"/>
                <w:szCs w:val="20"/>
              </w:rPr>
            </w:pPr>
            <w:r>
              <w:rPr>
                <w:b/>
                <w:bCs/>
                <w:sz w:val="20"/>
                <w:szCs w:val="20"/>
                <w:lang w:val="fr"/>
              </w:rPr>
              <w:t>Coûts d’appui (13 %)</w:t>
            </w:r>
          </w:p>
        </w:tc>
        <w:tc>
          <w:tcPr>
            <w:tcW w:w="2520" w:type="dxa"/>
            <w:vAlign w:val="center"/>
          </w:tcPr>
          <w:p w14:paraId="57AED8AE" w14:textId="77777777" w:rsidR="007F4FCC" w:rsidRPr="00455EF6" w:rsidRDefault="007F4FCC" w:rsidP="00540C7D">
            <w:pPr>
              <w:keepNext/>
              <w:jc w:val="center"/>
              <w:rPr>
                <w:b/>
                <w:bCs/>
                <w:sz w:val="20"/>
                <w:szCs w:val="20"/>
                <w:lang w:val="fr-FR"/>
              </w:rPr>
            </w:pPr>
            <w:r>
              <w:rPr>
                <w:b/>
                <w:bCs/>
                <w:sz w:val="20"/>
                <w:szCs w:val="20"/>
                <w:lang w:val="fr"/>
              </w:rPr>
              <w:t>Différence par rapport au plan d’activités révisé pour 2024-2026</w:t>
            </w:r>
          </w:p>
        </w:tc>
      </w:tr>
      <w:tr w:rsidR="00687EE7" w:rsidRPr="00687EE7" w14:paraId="140116F4" w14:textId="77777777" w:rsidTr="00540C7D">
        <w:trPr>
          <w:trHeight w:val="258"/>
        </w:trPr>
        <w:tc>
          <w:tcPr>
            <w:tcW w:w="1615" w:type="dxa"/>
            <w:noWrap/>
            <w:tcMar>
              <w:top w:w="0" w:type="dxa"/>
              <w:left w:w="108" w:type="dxa"/>
              <w:bottom w:w="0" w:type="dxa"/>
              <w:right w:w="108" w:type="dxa"/>
            </w:tcMar>
            <w:vAlign w:val="bottom"/>
            <w:hideMark/>
          </w:tcPr>
          <w:p w14:paraId="577C1A3C" w14:textId="77777777" w:rsidR="007F4FCC" w:rsidRPr="00687EE7" w:rsidRDefault="007F4FCC" w:rsidP="00540C7D">
            <w:pPr>
              <w:keepNext/>
              <w:rPr>
                <w:sz w:val="20"/>
                <w:szCs w:val="20"/>
              </w:rPr>
            </w:pPr>
            <w:r>
              <w:rPr>
                <w:sz w:val="20"/>
                <w:szCs w:val="20"/>
                <w:lang w:val="fr"/>
              </w:rPr>
              <w:t>PNUD</w:t>
            </w:r>
          </w:p>
        </w:tc>
        <w:tc>
          <w:tcPr>
            <w:tcW w:w="1770" w:type="dxa"/>
            <w:tcBorders>
              <w:top w:val="single" w:sz="4" w:space="0" w:color="auto"/>
              <w:left w:val="nil"/>
              <w:bottom w:val="single" w:sz="4" w:space="0" w:color="auto"/>
              <w:right w:val="single" w:sz="4" w:space="0" w:color="auto"/>
            </w:tcBorders>
            <w:shd w:val="clear" w:color="auto" w:fill="auto"/>
            <w:noWrap/>
            <w:tcMar>
              <w:top w:w="0" w:type="dxa"/>
              <w:left w:w="115" w:type="dxa"/>
              <w:bottom w:w="0" w:type="dxa"/>
              <w:right w:w="115" w:type="dxa"/>
            </w:tcMar>
          </w:tcPr>
          <w:p w14:paraId="4F075A1F" w14:textId="77777777" w:rsidR="007F4FCC" w:rsidRPr="00687EE7" w:rsidRDefault="007F4FCC" w:rsidP="00540C7D">
            <w:pPr>
              <w:keepNext/>
              <w:jc w:val="right"/>
              <w:rPr>
                <w:sz w:val="20"/>
                <w:szCs w:val="20"/>
              </w:rPr>
            </w:pPr>
            <w:r>
              <w:rPr>
                <w:sz w:val="20"/>
                <w:szCs w:val="20"/>
                <w:lang w:val="fr"/>
              </w:rPr>
              <w:t>1 679 201</w:t>
            </w:r>
          </w:p>
        </w:tc>
        <w:tc>
          <w:tcPr>
            <w:tcW w:w="1770"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15" w:type="dxa"/>
            </w:tcMar>
            <w:vAlign w:val="bottom"/>
          </w:tcPr>
          <w:p w14:paraId="6819276F" w14:textId="77777777" w:rsidR="007F4FCC" w:rsidRPr="00687EE7" w:rsidRDefault="007F4FCC" w:rsidP="00540C7D">
            <w:pPr>
              <w:keepNext/>
              <w:jc w:val="right"/>
              <w:rPr>
                <w:sz w:val="20"/>
                <w:szCs w:val="20"/>
              </w:rPr>
            </w:pPr>
            <w:r>
              <w:rPr>
                <w:sz w:val="20"/>
                <w:szCs w:val="20"/>
                <w:lang w:val="fr"/>
              </w:rPr>
              <w:t>130 623</w:t>
            </w:r>
          </w:p>
        </w:tc>
        <w:tc>
          <w:tcPr>
            <w:tcW w:w="1770" w:type="dxa"/>
            <w:tcBorders>
              <w:top w:val="single" w:sz="4" w:space="0" w:color="auto"/>
              <w:left w:val="single" w:sz="4" w:space="0" w:color="auto"/>
              <w:bottom w:val="single" w:sz="4" w:space="0" w:color="auto"/>
              <w:right w:val="single" w:sz="4" w:space="0" w:color="auto"/>
            </w:tcBorders>
            <w:tcMar>
              <w:left w:w="115" w:type="dxa"/>
              <w:right w:w="115" w:type="dxa"/>
            </w:tcMar>
          </w:tcPr>
          <w:p w14:paraId="280AB4CD" w14:textId="77777777" w:rsidR="007F4FCC" w:rsidRPr="00687EE7" w:rsidRDefault="007F4FCC" w:rsidP="00540C7D">
            <w:pPr>
              <w:keepNext/>
              <w:jc w:val="right"/>
              <w:rPr>
                <w:sz w:val="20"/>
                <w:szCs w:val="20"/>
              </w:rPr>
            </w:pPr>
            <w:r>
              <w:rPr>
                <w:sz w:val="20"/>
                <w:szCs w:val="20"/>
                <w:lang w:val="fr"/>
              </w:rPr>
              <w:t>218 296</w:t>
            </w:r>
          </w:p>
        </w:tc>
        <w:tc>
          <w:tcPr>
            <w:tcW w:w="2520" w:type="dxa"/>
            <w:tcBorders>
              <w:top w:val="single" w:sz="4" w:space="0" w:color="auto"/>
              <w:left w:val="single" w:sz="4" w:space="0" w:color="auto"/>
              <w:bottom w:val="single" w:sz="4" w:space="0" w:color="auto"/>
              <w:right w:val="single" w:sz="4" w:space="0" w:color="auto"/>
            </w:tcBorders>
            <w:shd w:val="clear" w:color="auto" w:fill="auto"/>
            <w:tcMar>
              <w:left w:w="115" w:type="dxa"/>
              <w:right w:w="115" w:type="dxa"/>
            </w:tcMar>
            <w:vAlign w:val="bottom"/>
          </w:tcPr>
          <w:p w14:paraId="3DC6F065" w14:textId="77777777" w:rsidR="007F4FCC" w:rsidRPr="00687EE7" w:rsidRDefault="007F4FCC" w:rsidP="00540C7D">
            <w:pPr>
              <w:keepNext/>
              <w:jc w:val="right"/>
              <w:rPr>
                <w:sz w:val="20"/>
                <w:szCs w:val="20"/>
              </w:rPr>
            </w:pPr>
            <w:r>
              <w:rPr>
                <w:sz w:val="20"/>
                <w:szCs w:val="20"/>
                <w:lang w:val="fr"/>
              </w:rPr>
              <w:t>87 673</w:t>
            </w:r>
          </w:p>
        </w:tc>
      </w:tr>
      <w:tr w:rsidR="00687EE7" w:rsidRPr="00687EE7" w14:paraId="1F6ECC0C" w14:textId="77777777" w:rsidTr="00540C7D">
        <w:trPr>
          <w:trHeight w:val="258"/>
        </w:trPr>
        <w:tc>
          <w:tcPr>
            <w:tcW w:w="1615" w:type="dxa"/>
            <w:noWrap/>
            <w:tcMar>
              <w:top w:w="0" w:type="dxa"/>
              <w:left w:w="108" w:type="dxa"/>
              <w:bottom w:w="0" w:type="dxa"/>
              <w:right w:w="108" w:type="dxa"/>
            </w:tcMar>
            <w:vAlign w:val="bottom"/>
            <w:hideMark/>
          </w:tcPr>
          <w:p w14:paraId="08DA5454" w14:textId="77777777" w:rsidR="007F4FCC" w:rsidRPr="00687EE7" w:rsidRDefault="007F4FCC" w:rsidP="00540C7D">
            <w:pPr>
              <w:keepNext/>
              <w:rPr>
                <w:sz w:val="20"/>
                <w:szCs w:val="20"/>
              </w:rPr>
            </w:pPr>
            <w:r>
              <w:rPr>
                <w:sz w:val="20"/>
                <w:szCs w:val="20"/>
                <w:lang w:val="fr"/>
              </w:rPr>
              <w:t>ONUDI</w:t>
            </w:r>
          </w:p>
        </w:tc>
        <w:tc>
          <w:tcPr>
            <w:tcW w:w="1770" w:type="dxa"/>
            <w:tcBorders>
              <w:top w:val="single" w:sz="4" w:space="0" w:color="auto"/>
              <w:left w:val="nil"/>
              <w:bottom w:val="single" w:sz="4" w:space="0" w:color="auto"/>
              <w:right w:val="single" w:sz="4" w:space="0" w:color="auto"/>
            </w:tcBorders>
            <w:shd w:val="clear" w:color="auto" w:fill="auto"/>
            <w:noWrap/>
            <w:tcMar>
              <w:top w:w="0" w:type="dxa"/>
              <w:left w:w="115" w:type="dxa"/>
              <w:bottom w:w="0" w:type="dxa"/>
              <w:right w:w="115" w:type="dxa"/>
            </w:tcMar>
          </w:tcPr>
          <w:p w14:paraId="3AE1CB25" w14:textId="77777777" w:rsidR="007F4FCC" w:rsidRPr="00687EE7" w:rsidRDefault="007F4FCC" w:rsidP="00540C7D">
            <w:pPr>
              <w:keepNext/>
              <w:jc w:val="right"/>
              <w:rPr>
                <w:sz w:val="20"/>
                <w:szCs w:val="20"/>
              </w:rPr>
            </w:pPr>
            <w:r>
              <w:rPr>
                <w:sz w:val="20"/>
                <w:szCs w:val="20"/>
                <w:lang w:val="fr"/>
              </w:rPr>
              <w:t>5 140 016</w:t>
            </w:r>
          </w:p>
        </w:tc>
        <w:tc>
          <w:tcPr>
            <w:tcW w:w="1770"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15" w:type="dxa"/>
            </w:tcMar>
            <w:vAlign w:val="bottom"/>
          </w:tcPr>
          <w:p w14:paraId="033B1FDD" w14:textId="77777777" w:rsidR="007F4FCC" w:rsidRPr="00687EE7" w:rsidRDefault="007F4FCC" w:rsidP="00540C7D">
            <w:pPr>
              <w:keepNext/>
              <w:jc w:val="right"/>
              <w:rPr>
                <w:sz w:val="20"/>
                <w:szCs w:val="20"/>
              </w:rPr>
            </w:pPr>
            <w:r>
              <w:rPr>
                <w:sz w:val="20"/>
                <w:szCs w:val="20"/>
                <w:lang w:val="fr"/>
              </w:rPr>
              <w:t>384 051</w:t>
            </w:r>
          </w:p>
        </w:tc>
        <w:tc>
          <w:tcPr>
            <w:tcW w:w="1770" w:type="dxa"/>
            <w:tcBorders>
              <w:top w:val="single" w:sz="4" w:space="0" w:color="auto"/>
              <w:left w:val="single" w:sz="4" w:space="0" w:color="auto"/>
              <w:bottom w:val="single" w:sz="4" w:space="0" w:color="auto"/>
              <w:right w:val="single" w:sz="4" w:space="0" w:color="auto"/>
            </w:tcBorders>
            <w:tcMar>
              <w:left w:w="115" w:type="dxa"/>
              <w:right w:w="115" w:type="dxa"/>
            </w:tcMar>
          </w:tcPr>
          <w:p w14:paraId="0E421776" w14:textId="77777777" w:rsidR="007F4FCC" w:rsidRPr="00687EE7" w:rsidRDefault="007F4FCC" w:rsidP="00540C7D">
            <w:pPr>
              <w:keepNext/>
              <w:jc w:val="right"/>
              <w:rPr>
                <w:sz w:val="20"/>
                <w:szCs w:val="20"/>
              </w:rPr>
            </w:pPr>
            <w:r>
              <w:rPr>
                <w:sz w:val="20"/>
                <w:szCs w:val="20"/>
                <w:lang w:val="fr"/>
              </w:rPr>
              <w:t>668 202</w:t>
            </w:r>
          </w:p>
        </w:tc>
        <w:tc>
          <w:tcPr>
            <w:tcW w:w="2520" w:type="dxa"/>
            <w:tcBorders>
              <w:top w:val="single" w:sz="4" w:space="0" w:color="auto"/>
              <w:left w:val="single" w:sz="4" w:space="0" w:color="auto"/>
              <w:bottom w:val="single" w:sz="4" w:space="0" w:color="auto"/>
              <w:right w:val="single" w:sz="4" w:space="0" w:color="auto"/>
            </w:tcBorders>
            <w:shd w:val="clear" w:color="auto" w:fill="auto"/>
            <w:tcMar>
              <w:left w:w="115" w:type="dxa"/>
              <w:right w:w="115" w:type="dxa"/>
            </w:tcMar>
            <w:vAlign w:val="bottom"/>
          </w:tcPr>
          <w:p w14:paraId="188AC9DC" w14:textId="77777777" w:rsidR="007F4FCC" w:rsidRPr="00687EE7" w:rsidRDefault="007F4FCC" w:rsidP="00540C7D">
            <w:pPr>
              <w:keepNext/>
              <w:jc w:val="right"/>
              <w:rPr>
                <w:sz w:val="20"/>
                <w:szCs w:val="20"/>
              </w:rPr>
            </w:pPr>
            <w:r>
              <w:rPr>
                <w:sz w:val="20"/>
                <w:szCs w:val="20"/>
                <w:lang w:val="fr"/>
              </w:rPr>
              <w:t>284 151</w:t>
            </w:r>
          </w:p>
        </w:tc>
      </w:tr>
      <w:tr w:rsidR="00687EE7" w:rsidRPr="00687EE7" w14:paraId="0974BB9C" w14:textId="77777777" w:rsidTr="00540C7D">
        <w:trPr>
          <w:trHeight w:val="258"/>
        </w:trPr>
        <w:tc>
          <w:tcPr>
            <w:tcW w:w="1615" w:type="dxa"/>
            <w:noWrap/>
            <w:tcMar>
              <w:top w:w="0" w:type="dxa"/>
              <w:left w:w="108" w:type="dxa"/>
              <w:bottom w:w="0" w:type="dxa"/>
              <w:right w:w="108" w:type="dxa"/>
            </w:tcMar>
            <w:vAlign w:val="bottom"/>
            <w:hideMark/>
          </w:tcPr>
          <w:p w14:paraId="7896BB01" w14:textId="77777777" w:rsidR="007F4FCC" w:rsidRPr="00687EE7" w:rsidRDefault="007F4FCC" w:rsidP="00540C7D">
            <w:pPr>
              <w:keepNext/>
              <w:rPr>
                <w:b/>
                <w:bCs/>
                <w:sz w:val="20"/>
                <w:szCs w:val="20"/>
              </w:rPr>
            </w:pPr>
            <w:r>
              <w:rPr>
                <w:b/>
                <w:bCs/>
                <w:sz w:val="20"/>
                <w:szCs w:val="20"/>
                <w:lang w:val="fr"/>
              </w:rPr>
              <w:t>Total</w:t>
            </w:r>
          </w:p>
        </w:tc>
        <w:tc>
          <w:tcPr>
            <w:tcW w:w="1770" w:type="dxa"/>
            <w:tcBorders>
              <w:top w:val="single" w:sz="4" w:space="0" w:color="auto"/>
              <w:left w:val="nil"/>
              <w:bottom w:val="single" w:sz="4" w:space="0" w:color="auto"/>
              <w:right w:val="single" w:sz="4" w:space="0" w:color="auto"/>
            </w:tcBorders>
            <w:shd w:val="clear" w:color="auto" w:fill="auto"/>
            <w:noWrap/>
            <w:tcMar>
              <w:top w:w="0" w:type="dxa"/>
              <w:left w:w="115" w:type="dxa"/>
              <w:bottom w:w="0" w:type="dxa"/>
              <w:right w:w="115" w:type="dxa"/>
            </w:tcMar>
            <w:vAlign w:val="bottom"/>
          </w:tcPr>
          <w:p w14:paraId="4990FC9D" w14:textId="77777777" w:rsidR="007F4FCC" w:rsidRPr="00687EE7" w:rsidRDefault="007F4FCC" w:rsidP="00540C7D">
            <w:pPr>
              <w:keepNext/>
              <w:jc w:val="right"/>
              <w:rPr>
                <w:b/>
                <w:bCs/>
                <w:sz w:val="20"/>
                <w:szCs w:val="20"/>
              </w:rPr>
            </w:pPr>
            <w:r>
              <w:rPr>
                <w:b/>
                <w:bCs/>
                <w:sz w:val="20"/>
                <w:szCs w:val="20"/>
                <w:lang w:val="fr"/>
              </w:rPr>
              <w:t>6 819 217</w:t>
            </w:r>
          </w:p>
        </w:tc>
        <w:tc>
          <w:tcPr>
            <w:tcW w:w="1770" w:type="dxa"/>
            <w:tcBorders>
              <w:top w:val="single" w:sz="4" w:space="0" w:color="auto"/>
              <w:left w:val="single" w:sz="4" w:space="0" w:color="auto"/>
              <w:bottom w:val="single" w:sz="4" w:space="0" w:color="auto"/>
              <w:right w:val="single" w:sz="4" w:space="0" w:color="auto"/>
            </w:tcBorders>
            <w:shd w:val="clear" w:color="auto" w:fill="auto"/>
            <w:noWrap/>
            <w:tcMar>
              <w:top w:w="0" w:type="dxa"/>
              <w:left w:w="115" w:type="dxa"/>
              <w:bottom w:w="0" w:type="dxa"/>
              <w:right w:w="115" w:type="dxa"/>
            </w:tcMar>
            <w:vAlign w:val="bottom"/>
          </w:tcPr>
          <w:p w14:paraId="5A37F890" w14:textId="77777777" w:rsidR="007F4FCC" w:rsidRPr="00687EE7" w:rsidRDefault="007F4FCC" w:rsidP="00540C7D">
            <w:pPr>
              <w:keepNext/>
              <w:jc w:val="right"/>
              <w:rPr>
                <w:b/>
                <w:bCs/>
                <w:sz w:val="20"/>
                <w:szCs w:val="20"/>
              </w:rPr>
            </w:pPr>
            <w:r>
              <w:rPr>
                <w:b/>
                <w:bCs/>
                <w:sz w:val="20"/>
                <w:szCs w:val="20"/>
                <w:lang w:val="fr"/>
              </w:rPr>
              <w:t>514 674</w:t>
            </w:r>
          </w:p>
        </w:tc>
        <w:tc>
          <w:tcPr>
            <w:tcW w:w="1770" w:type="dxa"/>
            <w:tcBorders>
              <w:top w:val="single" w:sz="4" w:space="0" w:color="auto"/>
              <w:left w:val="single" w:sz="4" w:space="0" w:color="auto"/>
              <w:bottom w:val="single" w:sz="4" w:space="0" w:color="auto"/>
              <w:right w:val="single" w:sz="4" w:space="0" w:color="auto"/>
            </w:tcBorders>
            <w:tcMar>
              <w:left w:w="115" w:type="dxa"/>
              <w:right w:w="115" w:type="dxa"/>
            </w:tcMar>
            <w:vAlign w:val="bottom"/>
          </w:tcPr>
          <w:p w14:paraId="30478AE0" w14:textId="77777777" w:rsidR="007F4FCC" w:rsidRPr="00687EE7" w:rsidRDefault="007F4FCC" w:rsidP="00540C7D">
            <w:pPr>
              <w:keepNext/>
              <w:jc w:val="right"/>
              <w:rPr>
                <w:b/>
                <w:bCs/>
                <w:sz w:val="20"/>
                <w:szCs w:val="20"/>
              </w:rPr>
            </w:pPr>
            <w:r>
              <w:rPr>
                <w:b/>
                <w:bCs/>
                <w:sz w:val="20"/>
                <w:szCs w:val="20"/>
                <w:lang w:val="fr"/>
              </w:rPr>
              <w:t>886 498</w:t>
            </w:r>
          </w:p>
        </w:tc>
        <w:tc>
          <w:tcPr>
            <w:tcW w:w="2520" w:type="dxa"/>
            <w:tcBorders>
              <w:top w:val="single" w:sz="4" w:space="0" w:color="auto"/>
              <w:left w:val="single" w:sz="4" w:space="0" w:color="auto"/>
              <w:bottom w:val="single" w:sz="4" w:space="0" w:color="auto"/>
              <w:right w:val="single" w:sz="4" w:space="0" w:color="auto"/>
            </w:tcBorders>
            <w:shd w:val="clear" w:color="auto" w:fill="auto"/>
            <w:tcMar>
              <w:left w:w="115" w:type="dxa"/>
              <w:right w:w="115" w:type="dxa"/>
            </w:tcMar>
            <w:vAlign w:val="bottom"/>
          </w:tcPr>
          <w:p w14:paraId="43A76FB1" w14:textId="77777777" w:rsidR="007F4FCC" w:rsidRPr="00687EE7" w:rsidRDefault="007F4FCC" w:rsidP="00540C7D">
            <w:pPr>
              <w:keepNext/>
              <w:jc w:val="right"/>
              <w:rPr>
                <w:b/>
                <w:bCs/>
                <w:sz w:val="20"/>
                <w:szCs w:val="20"/>
              </w:rPr>
            </w:pPr>
            <w:r>
              <w:rPr>
                <w:b/>
                <w:bCs/>
                <w:sz w:val="20"/>
                <w:szCs w:val="20"/>
                <w:lang w:val="fr"/>
              </w:rPr>
              <w:t>371 824</w:t>
            </w:r>
          </w:p>
        </w:tc>
      </w:tr>
    </w:tbl>
    <w:p w14:paraId="5E4E0F22" w14:textId="77777777" w:rsidR="007F4FCC" w:rsidRPr="00687EE7" w:rsidRDefault="007F4FCC" w:rsidP="007F4FCC"/>
    <w:p w14:paraId="73A785C8" w14:textId="77777777" w:rsidR="007F4FCC" w:rsidRPr="00455EF6" w:rsidRDefault="007F4FCC" w:rsidP="00D51323">
      <w:pPr>
        <w:pStyle w:val="Heading1"/>
        <w:rPr>
          <w:lang w:val="fr-FR"/>
        </w:rPr>
      </w:pPr>
      <w:r>
        <w:rPr>
          <w:lang w:val="fr"/>
        </w:rPr>
        <w:t>Le tableau ci-dessus indique que :</w:t>
      </w:r>
    </w:p>
    <w:p w14:paraId="7CC44236" w14:textId="77777777" w:rsidR="007F4FCC" w:rsidRPr="00455EF6" w:rsidRDefault="007F4FCC" w:rsidP="00D51323">
      <w:pPr>
        <w:pStyle w:val="Heading2"/>
        <w:rPr>
          <w:lang w:val="fr-FR"/>
        </w:rPr>
      </w:pPr>
      <w:r>
        <w:rPr>
          <w:lang w:val="fr"/>
        </w:rPr>
        <w:t>L’augmentation des coûts d’appui à 13 % pour le PNUD et l’ONUDI se traduirait par une hausse de 87 673 $US pour le PNUD et de 284 151 $US pour l’ONUDI pour la période triennale 2024-2026 ;</w:t>
      </w:r>
    </w:p>
    <w:p w14:paraId="102D1BDD" w14:textId="77777777" w:rsidR="007F4FCC" w:rsidRPr="00455EF6" w:rsidRDefault="007F4FCC" w:rsidP="00D51323">
      <w:pPr>
        <w:pStyle w:val="Heading2"/>
        <w:rPr>
          <w:lang w:val="fr-FR"/>
        </w:rPr>
      </w:pPr>
      <w:r>
        <w:rPr>
          <w:lang w:val="fr"/>
        </w:rPr>
        <w:t>Avec cette augmentation, les coûts d’appui représenteraient 12,2 % des coûts des projets de la période triennale.</w:t>
      </w:r>
    </w:p>
    <w:bookmarkEnd w:id="3"/>
    <w:p w14:paraId="2D92A5B5" w14:textId="77777777" w:rsidR="007F4FCC" w:rsidRPr="00455EF6" w:rsidRDefault="007F4FCC" w:rsidP="00D51323">
      <w:pPr>
        <w:pStyle w:val="Heading1"/>
        <w:rPr>
          <w:lang w:val="fr-FR"/>
        </w:rPr>
      </w:pPr>
      <w:r>
        <w:rPr>
          <w:lang w:val="fr"/>
        </w:rPr>
        <w:t>Si le Comité exécutif approuve cette approche, il est proposé d’ajuster en conséquence les coûts d’appui de la phase I des KIP des PFC soumis à la présente réunion.</w:t>
      </w:r>
    </w:p>
    <w:p w14:paraId="6DEBE1F9" w14:textId="77777777" w:rsidR="007F4FCC" w:rsidRPr="00455EF6" w:rsidRDefault="007F4FCC" w:rsidP="007F4FCC">
      <w:pPr>
        <w:pStyle w:val="Heading1"/>
        <w:numPr>
          <w:ilvl w:val="0"/>
          <w:numId w:val="0"/>
        </w:numPr>
        <w:rPr>
          <w:u w:val="single"/>
          <w:lang w:val="fr-FR"/>
        </w:rPr>
      </w:pPr>
      <w:r>
        <w:rPr>
          <w:u w:val="single"/>
          <w:lang w:val="fr"/>
        </w:rPr>
        <w:t xml:space="preserve">Impact de l’appui sur le coût administratif global des agences </w:t>
      </w:r>
    </w:p>
    <w:p w14:paraId="0D4909C4" w14:textId="77777777" w:rsidR="007F4FCC" w:rsidRPr="00455EF6" w:rsidRDefault="007F4FCC" w:rsidP="00D51323">
      <w:pPr>
        <w:pStyle w:val="Heading1"/>
        <w:rPr>
          <w:lang w:val="fr-FR"/>
        </w:rPr>
      </w:pPr>
      <w:r>
        <w:rPr>
          <w:lang w:val="fr"/>
        </w:rPr>
        <w:t xml:space="preserve">L’augmentation du financement des coûts de base pour le PNUD, l’ONUDI et la Banque mondiale de 200 000 $US par an, associée à la hausse à 13 % des coûts d’appui d’agence pour les KIP des PFC, se traduirait par des coûts d’appui globaux représentant 12,6 % des coûts des projets pour la période triennale, sur la base des plans d’activités révisés pour la période triennale 2024-2026. Cette augmentation proposée serait examinée à la fin de la période triennale 2024-2026 et une analyse serait présentée à la dernière réunion de 2026 sur la question de savoir si le régime des coûts administratifs du Fonds multilatéral pour la période triennale 2024-2026 devrait être maintenu pour la période triennale 2027-2029. </w:t>
      </w:r>
    </w:p>
    <w:p w14:paraId="460864DE" w14:textId="77777777" w:rsidR="007F4FCC" w:rsidRPr="00455EF6" w:rsidRDefault="007F4FCC" w:rsidP="007F4FCC">
      <w:pPr>
        <w:keepNext/>
        <w:rPr>
          <w:b/>
          <w:bCs/>
          <w:lang w:val="fr-FR"/>
        </w:rPr>
      </w:pPr>
      <w:r>
        <w:rPr>
          <w:b/>
          <w:bCs/>
          <w:lang w:val="fr"/>
        </w:rPr>
        <w:t>Appui aux pays à faible consommation (régime des coûts non administratifs)</w:t>
      </w:r>
    </w:p>
    <w:p w14:paraId="4B12691F" w14:textId="77777777" w:rsidR="007F4FCC" w:rsidRPr="00455EF6" w:rsidRDefault="007F4FCC" w:rsidP="007F4FCC">
      <w:pPr>
        <w:keepNext/>
        <w:rPr>
          <w:lang w:val="fr-FR"/>
        </w:rPr>
      </w:pPr>
    </w:p>
    <w:p w14:paraId="1C57A740" w14:textId="77777777" w:rsidR="007F4FCC" w:rsidRPr="00455EF6" w:rsidRDefault="007F4FCC" w:rsidP="00D51323">
      <w:pPr>
        <w:pStyle w:val="Heading1"/>
        <w:rPr>
          <w:lang w:val="fr-FR"/>
        </w:rPr>
      </w:pPr>
      <w:r>
        <w:rPr>
          <w:lang w:val="fr"/>
        </w:rPr>
        <w:t xml:space="preserve">Le Secrétariat note que l’augmentation du financement des coûts de base et/ou des coûts d’appui entraînerait la hausse des coûts d’appui par rapport au total des approbations de projets, ce qui pourrait entraîner des coûts d’appui supérieurs à 13 %. Pour permettre l’augmentation des ressources des agences destinées à l’appui technique et stratégique aux PFC au cours de la prochaine période triennale, comme indiqué au paragraphe 16, tout en maintenant les coûts d’appui en deçà du seuil de 13 %, le Secrétariat propose ce qui suit.    </w:t>
      </w:r>
    </w:p>
    <w:p w14:paraId="69B805AF" w14:textId="77777777" w:rsidR="007F4FCC" w:rsidRPr="00455EF6" w:rsidRDefault="007F4FCC" w:rsidP="00D51323">
      <w:pPr>
        <w:pStyle w:val="Heading1"/>
        <w:rPr>
          <w:lang w:val="fr-FR"/>
        </w:rPr>
      </w:pPr>
      <w:r>
        <w:rPr>
          <w:lang w:val="fr"/>
        </w:rPr>
        <w:t>Le Fonds multilatéral apporte actuellement un appui à 88 PFC</w:t>
      </w:r>
      <w:r>
        <w:rPr>
          <w:rStyle w:val="FootnoteReference"/>
          <w:lang w:val="fr"/>
        </w:rPr>
        <w:footnoteReference w:id="15"/>
      </w:r>
      <w:r>
        <w:rPr>
          <w:lang w:val="fr"/>
        </w:rPr>
        <w:t xml:space="preserve">. Pour répondre aux besoins d’appui technique et stratégique de ces pays au cours de la période triennale 2024-2026, un financement ponctuel </w:t>
      </w:r>
      <w:r>
        <w:rPr>
          <w:lang w:val="fr"/>
        </w:rPr>
        <w:lastRenderedPageBreak/>
        <w:t xml:space="preserve">de 7 500 $US pourrait être accordé à chaque agence bilatérale et agence d’exécution, en tant qu’agence chef de file ou coopérante, pour aider chaque PFC à mettre en œuvre son KIP. Les demandes de financement devraient suivre les pratiques établies, y compris la planification des activités, et être soumises dans le cadre de la coopération bilatérale, des programmes de travail des agences ou de leurs modifications. Les activités découlant de ces financements devraient être achevées au plus tard 24 mois après la date d’approbation. Lorsque les agences soumettront leurs rapports d’activité pour examen en 2026, elles devront fournir des informations sur les activités d’appui mises en œuvre et leur impact. Tout appui futur aux PFC pourrait être identifié sur la base de l’analyse de l’efficacité de ce soutien financier. </w:t>
      </w:r>
    </w:p>
    <w:p w14:paraId="53BEF6B2" w14:textId="77777777" w:rsidR="007F4FCC" w:rsidRPr="00687EE7" w:rsidRDefault="007F4FCC" w:rsidP="007F4FCC">
      <w:pPr>
        <w:keepNext/>
        <w:rPr>
          <w:b/>
          <w:sz w:val="24"/>
          <w:szCs w:val="24"/>
        </w:rPr>
      </w:pPr>
      <w:r>
        <w:rPr>
          <w:b/>
          <w:bCs/>
          <w:sz w:val="24"/>
          <w:szCs w:val="24"/>
          <w:lang w:val="fr"/>
        </w:rPr>
        <w:t>Recommandation</w:t>
      </w:r>
    </w:p>
    <w:p w14:paraId="600AE89F" w14:textId="77777777" w:rsidR="007F4FCC" w:rsidRPr="00687EE7" w:rsidRDefault="007F4FCC" w:rsidP="007F4FCC">
      <w:pPr>
        <w:keepNext/>
      </w:pPr>
    </w:p>
    <w:p w14:paraId="1D027131" w14:textId="77777777" w:rsidR="00F41B64" w:rsidRPr="00455EF6" w:rsidRDefault="00F41B64" w:rsidP="00F41B64">
      <w:pPr>
        <w:pStyle w:val="Heading1"/>
        <w:rPr>
          <w:lang w:val="fr-FR"/>
        </w:rPr>
      </w:pPr>
      <w:r>
        <w:rPr>
          <w:lang w:val="fr"/>
        </w:rPr>
        <w:t>Le Comité exécutif est invité à :</w:t>
      </w:r>
    </w:p>
    <w:p w14:paraId="01BD392D" w14:textId="77777777" w:rsidR="00F41B64" w:rsidRPr="00455EF6" w:rsidRDefault="00F41B64" w:rsidP="00F41B64">
      <w:pPr>
        <w:pStyle w:val="Heading2"/>
        <w:rPr>
          <w:lang w:val="fr-FR"/>
        </w:rPr>
      </w:pPr>
      <w:r>
        <w:rPr>
          <w:lang w:val="fr"/>
        </w:rPr>
        <w:t>Prendre note de l’examen du régime des coûts administratifs du Fonds multilatéral (décisions 88/74 c) et 91/67 b)) présenté dans le document UNEP/</w:t>
      </w:r>
      <w:proofErr w:type="spellStart"/>
      <w:r>
        <w:rPr>
          <w:lang w:val="fr"/>
        </w:rPr>
        <w:t>OzL.Pro</w:t>
      </w:r>
      <w:proofErr w:type="spellEnd"/>
      <w:r>
        <w:rPr>
          <w:lang w:val="fr"/>
        </w:rPr>
        <w:t>/</w:t>
      </w:r>
      <w:proofErr w:type="spellStart"/>
      <w:r>
        <w:rPr>
          <w:lang w:val="fr"/>
        </w:rPr>
        <w:t>ExCom</w:t>
      </w:r>
      <w:proofErr w:type="spellEnd"/>
      <w:r>
        <w:rPr>
          <w:lang w:val="fr"/>
        </w:rPr>
        <w:t>/93/101 ;</w:t>
      </w:r>
    </w:p>
    <w:p w14:paraId="534714B1" w14:textId="77777777" w:rsidR="00F41B64" w:rsidRPr="00687EE7" w:rsidRDefault="00F41B64" w:rsidP="00F41B64">
      <w:pPr>
        <w:pStyle w:val="Heading2"/>
      </w:pPr>
      <w:r>
        <w:rPr>
          <w:lang w:val="fr"/>
        </w:rPr>
        <w:t>Envisager :</w:t>
      </w:r>
    </w:p>
    <w:p w14:paraId="68F19D9F" w14:textId="77777777" w:rsidR="00F41B64" w:rsidRPr="00455EF6" w:rsidRDefault="00F41B64" w:rsidP="00F41B64">
      <w:pPr>
        <w:pStyle w:val="Heading3"/>
        <w:rPr>
          <w:lang w:val="fr-FR"/>
        </w:rPr>
      </w:pPr>
      <w:r>
        <w:rPr>
          <w:lang w:val="fr"/>
        </w:rPr>
        <w:t xml:space="preserve">D’augmenter le financement des coûts de base du PNUD, de l’ONUDI et de la Banque mondiale, de 200 000 $US chacun, pour chaque année de la période triennale 2024-2026, afin de renforcer leur capacité à fournir un appui technique et stratégique aux pays visés à l’article 5 ; </w:t>
      </w:r>
    </w:p>
    <w:p w14:paraId="1838CD02" w14:textId="223045E1" w:rsidR="00F41B64" w:rsidRPr="00455EF6" w:rsidRDefault="00F41B64" w:rsidP="00F41B64">
      <w:pPr>
        <w:pStyle w:val="Heading3"/>
        <w:rPr>
          <w:lang w:val="fr-FR"/>
        </w:rPr>
      </w:pPr>
      <w:r>
        <w:rPr>
          <w:lang w:val="fr"/>
        </w:rPr>
        <w:t>Le régime des coûts administratifs du Fonds multilatéral pour la période triennale 2021-2023 sera maintenu pour la période triennale 2024-2026, à l’exception des coûts d’agence pour la phase I des plans de mise en œuvre de l’Amendement de Kigali pour les HFC (KIP) dans les pays à faible consommation (PFC), qui seront appliqués à partir de la 93</w:t>
      </w:r>
      <w:r>
        <w:rPr>
          <w:vertAlign w:val="superscript"/>
          <w:lang w:val="fr"/>
        </w:rPr>
        <w:t>e</w:t>
      </w:r>
      <w:r>
        <w:rPr>
          <w:lang w:val="fr"/>
        </w:rPr>
        <w:t> réunion comme suit :</w:t>
      </w:r>
    </w:p>
    <w:p w14:paraId="561D7CF3" w14:textId="77777777" w:rsidR="00F41B64" w:rsidRPr="00455EF6" w:rsidRDefault="00F41B64" w:rsidP="00540C7D">
      <w:pPr>
        <w:pStyle w:val="Header4"/>
        <w:rPr>
          <w:lang w:val="fr-FR"/>
        </w:rPr>
      </w:pPr>
      <w:r>
        <w:rPr>
          <w:lang w:val="fr"/>
        </w:rPr>
        <w:t>13 % pour les projets d’une valeur maximale de 500 000 $US ;</w:t>
      </w:r>
    </w:p>
    <w:p w14:paraId="444F4B19" w14:textId="77777777" w:rsidR="00F41B64" w:rsidRPr="00455EF6" w:rsidRDefault="00F41B64" w:rsidP="00540C7D">
      <w:pPr>
        <w:pStyle w:val="Header4"/>
        <w:rPr>
          <w:lang w:val="fr-FR"/>
        </w:rPr>
      </w:pPr>
      <w:r>
        <w:rPr>
          <w:lang w:val="fr"/>
        </w:rPr>
        <w:t>13 % pour les premiers 500 000 $US et 11 % pour le solde, pour les projets d’une valeur supérieure à 500 000 $US ;</w:t>
      </w:r>
    </w:p>
    <w:p w14:paraId="3100C93D" w14:textId="4CBFB154" w:rsidR="00F41B64" w:rsidRPr="00455EF6" w:rsidRDefault="00F41B64" w:rsidP="00F41B64">
      <w:pPr>
        <w:pStyle w:val="Heading3"/>
        <w:rPr>
          <w:lang w:val="fr-FR"/>
        </w:rPr>
      </w:pPr>
      <w:r>
        <w:rPr>
          <w:lang w:val="fr"/>
        </w:rPr>
        <w:t>Indépendamment du régime des coûts administratifs du Fonds multilatéral pour la période triennale 2024-2026, fournir un financement ponctuel de 7 500 $US à chaque agence bilatérale et agence d’exécution, en tant qu’agence chef de file ou coopérante, pour l’appui technique et stratégique apporté à chaque PFC pour les aider à mettre en œuvre leur KIP, étant entendu que :</w:t>
      </w:r>
    </w:p>
    <w:p w14:paraId="0634E3C2" w14:textId="77777777" w:rsidR="00F41B64" w:rsidRPr="00455EF6" w:rsidRDefault="00F41B64" w:rsidP="00F41B64">
      <w:pPr>
        <w:pStyle w:val="Header4"/>
        <w:numPr>
          <w:ilvl w:val="0"/>
          <w:numId w:val="21"/>
        </w:numPr>
        <w:tabs>
          <w:tab w:val="clear" w:pos="3600"/>
          <w:tab w:val="num" w:pos="2880"/>
        </w:tabs>
        <w:ind w:left="2880" w:hanging="720"/>
        <w:rPr>
          <w:lang w:val="fr-FR"/>
        </w:rPr>
      </w:pPr>
      <w:r>
        <w:rPr>
          <w:lang w:val="fr"/>
        </w:rPr>
        <w:t xml:space="preserve">Les demandes de financement devraient suivre les pratiques établies, y compris la planification des activités, et être incluses dans le cadre de la coopération bilatérale, des programmes de travail des agences ou de leurs modifications, et les activités qui en découlent devraient être achevées au plus tard 24 mois après la date d’approbation ; </w:t>
      </w:r>
    </w:p>
    <w:p w14:paraId="36123E9A" w14:textId="77777777" w:rsidR="00F41B64" w:rsidRPr="00455EF6" w:rsidRDefault="00F41B64" w:rsidP="00540C7D">
      <w:pPr>
        <w:pStyle w:val="Header4"/>
        <w:rPr>
          <w:lang w:val="fr-FR"/>
        </w:rPr>
      </w:pPr>
      <w:r>
        <w:rPr>
          <w:lang w:val="fr"/>
        </w:rPr>
        <w:t>Les agences bilatérales et d’exécution rendront compte des activités d’assistance technique et stratégiques fournies à tous les pays et de leur impact dans leurs rapports d’activité et financiers annuels ; et</w:t>
      </w:r>
    </w:p>
    <w:p w14:paraId="74F86B77" w14:textId="0A8D286B" w:rsidR="00F41B64" w:rsidRPr="00455EF6" w:rsidRDefault="00F41B64" w:rsidP="00F8502E">
      <w:pPr>
        <w:pStyle w:val="Heading2"/>
        <w:keepNext/>
        <w:keepLines/>
        <w:rPr>
          <w:lang w:val="fr-FR"/>
        </w:rPr>
      </w:pPr>
      <w:r>
        <w:rPr>
          <w:lang w:val="fr"/>
        </w:rPr>
        <w:lastRenderedPageBreak/>
        <w:t xml:space="preserve">Examiner le régime des coûts administratifs et son budget de financement de base lors de la dernière réunion de 2026, c’est-à-dire la dernière réunion de la période triennale 2024-2026, y compris l’examen de la mise en œuvre de l’alinéa b).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87EE7" w:rsidRPr="002676CE" w14:paraId="4A124A4A" w14:textId="77777777" w:rsidTr="007F4FCC">
        <w:tc>
          <w:tcPr>
            <w:tcW w:w="1871" w:type="dxa"/>
          </w:tcPr>
          <w:p w14:paraId="3DAC513A" w14:textId="77777777" w:rsidR="00E85409" w:rsidRPr="00455EF6" w:rsidRDefault="00E85409" w:rsidP="00FB077C">
            <w:pPr>
              <w:rPr>
                <w:lang w:val="fr-FR"/>
              </w:rPr>
            </w:pPr>
          </w:p>
        </w:tc>
        <w:tc>
          <w:tcPr>
            <w:tcW w:w="1872" w:type="dxa"/>
          </w:tcPr>
          <w:p w14:paraId="16B4F7FD" w14:textId="77777777" w:rsidR="00E85409" w:rsidRPr="00455EF6" w:rsidRDefault="00E85409" w:rsidP="00FB077C">
            <w:pPr>
              <w:rPr>
                <w:lang w:val="fr-FR"/>
              </w:rPr>
            </w:pPr>
          </w:p>
        </w:tc>
        <w:tc>
          <w:tcPr>
            <w:tcW w:w="1872" w:type="dxa"/>
            <w:tcBorders>
              <w:bottom w:val="single" w:sz="4" w:space="0" w:color="auto"/>
            </w:tcBorders>
          </w:tcPr>
          <w:p w14:paraId="379A5730" w14:textId="77777777" w:rsidR="00E85409" w:rsidRPr="00455EF6" w:rsidRDefault="00E85409" w:rsidP="00FB077C">
            <w:pPr>
              <w:rPr>
                <w:lang w:val="fr-FR"/>
              </w:rPr>
            </w:pPr>
          </w:p>
        </w:tc>
        <w:tc>
          <w:tcPr>
            <w:tcW w:w="1872" w:type="dxa"/>
          </w:tcPr>
          <w:p w14:paraId="370FA1B5" w14:textId="77777777" w:rsidR="00E85409" w:rsidRPr="00455EF6" w:rsidRDefault="00E85409" w:rsidP="00FB077C">
            <w:pPr>
              <w:rPr>
                <w:lang w:val="fr-FR"/>
              </w:rPr>
            </w:pPr>
          </w:p>
        </w:tc>
        <w:tc>
          <w:tcPr>
            <w:tcW w:w="1873" w:type="dxa"/>
          </w:tcPr>
          <w:p w14:paraId="6DBB6B5A" w14:textId="77777777" w:rsidR="00E85409" w:rsidRPr="00455EF6" w:rsidRDefault="00E85409" w:rsidP="00FB077C">
            <w:pPr>
              <w:rPr>
                <w:lang w:val="fr-FR"/>
              </w:rPr>
            </w:pPr>
          </w:p>
        </w:tc>
      </w:tr>
    </w:tbl>
    <w:p w14:paraId="3AB8D69E" w14:textId="77777777" w:rsidR="00E85409" w:rsidRPr="00455EF6" w:rsidRDefault="00E85409" w:rsidP="004E7F9C">
      <w:pPr>
        <w:rPr>
          <w:lang w:val="fr-FR"/>
        </w:rPr>
      </w:pPr>
    </w:p>
    <w:sectPr w:rsidR="00E85409" w:rsidRPr="00455EF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D2102" w14:textId="77777777" w:rsidR="000106B0" w:rsidRDefault="000106B0" w:rsidP="004A504B">
      <w:r>
        <w:separator/>
      </w:r>
    </w:p>
  </w:endnote>
  <w:endnote w:type="continuationSeparator" w:id="0">
    <w:p w14:paraId="4EE82B62" w14:textId="77777777" w:rsidR="000106B0" w:rsidRDefault="000106B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49851" w14:textId="77777777" w:rsidR="00DC6A10" w:rsidRPr="0033525D" w:rsidRDefault="00BC2495">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A7B8C" w14:textId="77777777" w:rsidR="00DC6A10" w:rsidRPr="0033525D" w:rsidRDefault="00BC2495">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0008E" w14:textId="77777777" w:rsidR="004E7F9C" w:rsidRPr="00455EF6"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14:paraId="282238A8" w14:textId="77777777" w:rsidR="004E7F9C" w:rsidRPr="00455EF6"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A1066" w14:textId="77777777" w:rsidR="000106B0" w:rsidRDefault="000106B0" w:rsidP="004A504B">
      <w:r>
        <w:separator/>
      </w:r>
    </w:p>
  </w:footnote>
  <w:footnote w:type="continuationSeparator" w:id="0">
    <w:p w14:paraId="4F5D3867" w14:textId="77777777" w:rsidR="000106B0" w:rsidRDefault="000106B0" w:rsidP="004A504B">
      <w:r>
        <w:continuationSeparator/>
      </w:r>
    </w:p>
  </w:footnote>
  <w:footnote w:id="1">
    <w:p w14:paraId="5E7B937A" w14:textId="77777777" w:rsidR="0079781A" w:rsidRDefault="0079781A" w:rsidP="0079781A">
      <w:pPr>
        <w:pStyle w:val="FootnoteText"/>
        <w:rPr>
          <w:lang w:val="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/93/1</w:t>
      </w:r>
    </w:p>
    <w:p w14:paraId="1E8EC7E5" w14:textId="77777777" w:rsidR="002676CE" w:rsidRPr="00455EF6" w:rsidRDefault="002676CE" w:rsidP="0079781A">
      <w:pPr>
        <w:pStyle w:val="FootnoteText"/>
        <w:rPr>
          <w:lang w:val="fr-FR"/>
        </w:rPr>
      </w:pPr>
    </w:p>
  </w:footnote>
  <w:footnote w:id="2">
    <w:p w14:paraId="7F5CD28C" w14:textId="77777777" w:rsidR="007F4FCC" w:rsidRPr="00455EF6" w:rsidRDefault="007F4FCC" w:rsidP="007F4FCC">
      <w:pPr>
        <w:pStyle w:val="FootnoteText"/>
        <w:rPr>
          <w:lang w:val="fr-FR"/>
        </w:rPr>
      </w:pPr>
      <w:r>
        <w:rPr>
          <w:rStyle w:val="FootnoteReference"/>
          <w:lang w:val="fr"/>
        </w:rPr>
        <w:footnoteRef/>
      </w:r>
      <w:r>
        <w:rPr>
          <w:lang w:val="fr"/>
        </w:rPr>
        <w:t xml:space="preserve"> Nairobi, 23-27 octobre 2023.</w:t>
      </w:r>
    </w:p>
  </w:footnote>
  <w:footnote w:id="3">
    <w:p w14:paraId="27063B79" w14:textId="77777777" w:rsidR="007F4FCC" w:rsidRPr="00455EF6" w:rsidRDefault="007F4FCC" w:rsidP="007F4FCC">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/93/25</w:t>
      </w:r>
    </w:p>
  </w:footnote>
  <w:footnote w:id="4">
    <w:p w14:paraId="3524591D" w14:textId="77777777" w:rsidR="007F4FCC" w:rsidRPr="00455EF6" w:rsidRDefault="007F4FCC" w:rsidP="007F4FCC">
      <w:pPr>
        <w:pStyle w:val="FootnoteText"/>
        <w:rPr>
          <w:lang w:val="fr-FR"/>
        </w:rPr>
      </w:pPr>
      <w:r>
        <w:rPr>
          <w:rStyle w:val="FootnoteReference"/>
          <w:lang w:val="fr"/>
        </w:rPr>
        <w:footnoteRef/>
      </w:r>
      <w:r>
        <w:rPr>
          <w:lang w:val="fr"/>
        </w:rPr>
        <w:t xml:space="preserve"> Le budget du Programme d’aide à la conformité pour 2024 (UNEP/</w:t>
      </w:r>
      <w:proofErr w:type="spellStart"/>
      <w:r>
        <w:rPr>
          <w:lang w:val="fr"/>
        </w:rPr>
        <w:t>OzL.Pro</w:t>
      </w:r>
      <w:proofErr w:type="spellEnd"/>
      <w:r>
        <w:rPr>
          <w:lang w:val="fr"/>
        </w:rPr>
        <w:t>/</w:t>
      </w:r>
      <w:proofErr w:type="spellStart"/>
      <w:r>
        <w:rPr>
          <w:lang w:val="fr"/>
        </w:rPr>
        <w:t>ExCom</w:t>
      </w:r>
      <w:proofErr w:type="spellEnd"/>
      <w:r>
        <w:rPr>
          <w:lang w:val="fr"/>
        </w:rPr>
        <w:t>/93/94) et les coûts de base du PNUD, de l’ONUDI et de la Banque mondiale pour 2024 (UNEP/</w:t>
      </w:r>
      <w:proofErr w:type="spellStart"/>
      <w:r>
        <w:rPr>
          <w:lang w:val="fr"/>
        </w:rPr>
        <w:t>OzL.Pro</w:t>
      </w:r>
      <w:proofErr w:type="spellEnd"/>
      <w:r>
        <w:rPr>
          <w:lang w:val="fr"/>
        </w:rPr>
        <w:t>/</w:t>
      </w:r>
      <w:proofErr w:type="spellStart"/>
      <w:r>
        <w:rPr>
          <w:lang w:val="fr"/>
        </w:rPr>
        <w:t>ExCom</w:t>
      </w:r>
      <w:proofErr w:type="spellEnd"/>
      <w:r>
        <w:rPr>
          <w:lang w:val="fr"/>
        </w:rPr>
        <w:t>/93/95) seront examinés pendant la 93</w:t>
      </w:r>
      <w:r>
        <w:rPr>
          <w:vertAlign w:val="superscript"/>
          <w:lang w:val="fr"/>
        </w:rPr>
        <w:t>e</w:t>
      </w:r>
      <w:r>
        <w:rPr>
          <w:lang w:val="fr"/>
        </w:rPr>
        <w:t> réunion.</w:t>
      </w:r>
    </w:p>
  </w:footnote>
  <w:footnote w:id="5">
    <w:p w14:paraId="4E7B844D" w14:textId="77777777" w:rsidR="007F4FCC" w:rsidRPr="00455EF6" w:rsidRDefault="007F4FCC" w:rsidP="007F4FCC">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 xml:space="preserve">/91/67 </w:t>
      </w:r>
    </w:p>
  </w:footnote>
  <w:footnote w:id="6">
    <w:p w14:paraId="738F64D9" w14:textId="77777777" w:rsidR="007F4FCC" w:rsidRPr="00455EF6" w:rsidRDefault="007F4FCC" w:rsidP="007F4FCC">
      <w:pPr>
        <w:pStyle w:val="FootnoteText"/>
        <w:rPr>
          <w:lang w:val="fr-FR"/>
        </w:rPr>
      </w:pPr>
      <w:r>
        <w:rPr>
          <w:rStyle w:val="FootnoteReference"/>
          <w:lang w:val="fr"/>
        </w:rPr>
        <w:footnoteRef/>
      </w:r>
      <w:r>
        <w:rPr>
          <w:lang w:val="fr"/>
        </w:rPr>
        <w:t xml:space="preserve"> La décision VIII/4 de la huitième Réunion des Parties (décembre 1996) demandait, entre autres, que le Comité exécutif s’efforce, au cours des trois prochaines années, d’atteindre l’objectif d’une réduction des dépenses d’appui aux organismes d’exécution du niveau actuel de 13 % à une moyenne de moins de 10 %, afin de dégager davantage de fonds pour d’autres activités. À sa 25</w:t>
      </w:r>
      <w:r>
        <w:rPr>
          <w:vertAlign w:val="superscript"/>
          <w:lang w:val="fr"/>
        </w:rPr>
        <w:t>e</w:t>
      </w:r>
      <w:r>
        <w:rPr>
          <w:lang w:val="fr"/>
        </w:rPr>
        <w:t> réunion, le Comité exécutif a décidé : a) de reporter l’examen de la question (coûts administratifs des agences d’exécution) à sa 26</w:t>
      </w:r>
      <w:r>
        <w:rPr>
          <w:vertAlign w:val="superscript"/>
          <w:lang w:val="fr"/>
        </w:rPr>
        <w:t>e</w:t>
      </w:r>
      <w:r>
        <w:rPr>
          <w:lang w:val="fr"/>
        </w:rPr>
        <w:t> réunion ; b) de demander aux agences d’exécution de tenir compte des suggestions et des points de vue exprimés pendant les délibérations lorsqu’elles prépareront leurs plans d’activités pour 1999, de manière à réduire leurs coûts d’appui du niveau actuel de 13 % à un niveau moyen de 10 %, afin de libérer des fonds pour d’autres activités (décision 25/54). À sa 29</w:t>
      </w:r>
      <w:r>
        <w:rPr>
          <w:vertAlign w:val="superscript"/>
          <w:lang w:val="fr"/>
        </w:rPr>
        <w:t>e</w:t>
      </w:r>
      <w:r>
        <w:rPr>
          <w:lang w:val="fr"/>
        </w:rPr>
        <w:t xml:space="preserve"> réunion, le Comité exécutif a décidé que les coûts d’appui administratif pour les projets rétroactifs seraient fixés à 6 % (décision 29/72).  </w:t>
      </w:r>
    </w:p>
  </w:footnote>
  <w:footnote w:id="7">
    <w:p w14:paraId="5F1CC1BB" w14:textId="77777777" w:rsidR="007F4FCC" w:rsidRPr="00455EF6" w:rsidRDefault="007F4FCC" w:rsidP="007F4FCC">
      <w:pPr>
        <w:pStyle w:val="FootnoteText"/>
        <w:rPr>
          <w:lang w:val="fr-FR"/>
        </w:rPr>
      </w:pPr>
      <w:r>
        <w:rPr>
          <w:rStyle w:val="FootnoteReference"/>
          <w:lang w:val="fr"/>
        </w:rPr>
        <w:footnoteRef/>
      </w:r>
      <w:r>
        <w:rPr>
          <w:lang w:val="fr"/>
        </w:rPr>
        <w:t xml:space="preserve"> Une analyse semblable a été présentée dans le document sur l’examen du régime des coûts administratifs pour la période triennale 2015</w:t>
      </w:r>
      <w:r>
        <w:rPr>
          <w:lang w:val="fr"/>
        </w:rPr>
        <w:noBreakHyphen/>
        <w:t>2017 (UNEP/</w:t>
      </w:r>
      <w:proofErr w:type="spellStart"/>
      <w:r>
        <w:rPr>
          <w:lang w:val="fr"/>
        </w:rPr>
        <w:t>OzL.Pro</w:t>
      </w:r>
      <w:proofErr w:type="spellEnd"/>
      <w:r>
        <w:rPr>
          <w:lang w:val="fr"/>
        </w:rPr>
        <w:t>/</w:t>
      </w:r>
      <w:proofErr w:type="spellStart"/>
      <w:r>
        <w:rPr>
          <w:lang w:val="fr"/>
        </w:rPr>
        <w:t>ExCom</w:t>
      </w:r>
      <w:proofErr w:type="spellEnd"/>
      <w:r>
        <w:rPr>
          <w:lang w:val="fr"/>
        </w:rPr>
        <w:t>/73/51). Les légères différences avec certains chiffres du tableau 1 sont liées à la clôture de projets et à la restitution des soldes pertinents au Fonds, ou au transfert de projets à d’autres agences.</w:t>
      </w:r>
    </w:p>
  </w:footnote>
  <w:footnote w:id="8">
    <w:p w14:paraId="6D410829" w14:textId="77777777" w:rsidR="007F4FCC" w:rsidRPr="00455EF6" w:rsidRDefault="007F4FCC" w:rsidP="007F4FCC">
      <w:pPr>
        <w:pStyle w:val="FootnoteText"/>
        <w:rPr>
          <w:lang w:val="fr-FR"/>
        </w:rPr>
      </w:pPr>
      <w:r>
        <w:rPr>
          <w:rStyle w:val="FootnoteReference"/>
          <w:lang w:val="fr"/>
        </w:rPr>
        <w:footnoteRef/>
      </w:r>
      <w:r>
        <w:rPr>
          <w:lang w:val="fr"/>
        </w:rPr>
        <w:t xml:space="preserve"> Dans le contexte du plan d’activités global du Fonds multilatéral pour 2024–2026 (UNEP/</w:t>
      </w:r>
      <w:proofErr w:type="spellStart"/>
      <w:r>
        <w:rPr>
          <w:lang w:val="fr"/>
        </w:rPr>
        <w:t>OzL.Pro</w:t>
      </w:r>
      <w:proofErr w:type="spellEnd"/>
      <w:r>
        <w:rPr>
          <w:lang w:val="fr"/>
        </w:rPr>
        <w:t>/</w:t>
      </w:r>
      <w:proofErr w:type="spellStart"/>
      <w:r>
        <w:rPr>
          <w:lang w:val="fr"/>
        </w:rPr>
        <w:t>ExCom</w:t>
      </w:r>
      <w:proofErr w:type="spellEnd"/>
      <w:r>
        <w:rPr>
          <w:lang w:val="fr"/>
        </w:rPr>
        <w:t>/93/25).</w:t>
      </w:r>
    </w:p>
  </w:footnote>
  <w:footnote w:id="9">
    <w:p w14:paraId="72E2F5F1" w14:textId="77777777" w:rsidR="007F4FCC" w:rsidRPr="00455EF6" w:rsidRDefault="007F4FCC" w:rsidP="007F4FCC">
      <w:pPr>
        <w:pStyle w:val="FootnoteText"/>
        <w:rPr>
          <w:lang w:val="fr-FR"/>
        </w:rPr>
      </w:pPr>
      <w:r>
        <w:rPr>
          <w:rStyle w:val="FootnoteReference"/>
          <w:lang w:val="fr"/>
        </w:rPr>
        <w:footnoteRef/>
      </w:r>
      <w:r>
        <w:rPr>
          <w:lang w:val="fr"/>
        </w:rPr>
        <w:t xml:space="preserve"> UNEP/</w:t>
      </w:r>
      <w:proofErr w:type="spellStart"/>
      <w:r>
        <w:rPr>
          <w:lang w:val="fr"/>
        </w:rPr>
        <w:t>OzL.Pro</w:t>
      </w:r>
      <w:proofErr w:type="spellEnd"/>
      <w:r>
        <w:rPr>
          <w:lang w:val="fr"/>
        </w:rPr>
        <w:t>/</w:t>
      </w:r>
      <w:proofErr w:type="spellStart"/>
      <w:r>
        <w:rPr>
          <w:lang w:val="fr"/>
        </w:rPr>
        <w:t>ExCom</w:t>
      </w:r>
      <w:proofErr w:type="spellEnd"/>
      <w:r>
        <w:rPr>
          <w:lang w:val="fr"/>
        </w:rPr>
        <w:t>/93/25</w:t>
      </w:r>
    </w:p>
  </w:footnote>
  <w:footnote w:id="10">
    <w:p w14:paraId="080211DF" w14:textId="77777777" w:rsidR="007F4FCC" w:rsidRPr="00455EF6" w:rsidRDefault="007F4FCC" w:rsidP="007F4FCC">
      <w:pPr>
        <w:pStyle w:val="FootnoteText"/>
        <w:rPr>
          <w:lang w:val="fr-FR"/>
        </w:rPr>
      </w:pPr>
      <w:r>
        <w:rPr>
          <w:rStyle w:val="FootnoteReference"/>
          <w:lang w:val="fr"/>
        </w:rPr>
        <w:footnoteRef/>
      </w:r>
      <w:r>
        <w:rPr>
          <w:lang w:val="fr"/>
        </w:rPr>
        <w:t xml:space="preserve"> Les examens antérieurs des régimes des coûts administratifs ont montré que les coûts administratifs des projets de grande ampleur sont généralement moins élevés en raison des économies d’échelle possibles. À l’inverse, certains projets, tels que ceux n’impliquant pas d’investissement, dont des projets de faible ampleur, principalement dans les PFC, souffrent de coûts administratifs et transactionnels supérieurs. Il était donc important d’en tenir compte lors de l’ajustement des coûts d’appui, de manière à s’assurer qu’il n’y ait pas d’incidence négative sur ces petits projets/pays.</w:t>
      </w:r>
    </w:p>
  </w:footnote>
  <w:footnote w:id="11">
    <w:p w14:paraId="52743A1A" w14:textId="77777777" w:rsidR="007F4FCC" w:rsidRPr="00455EF6" w:rsidRDefault="007F4FCC" w:rsidP="007F4FCC">
      <w:pPr>
        <w:pStyle w:val="FootnoteText"/>
        <w:rPr>
          <w:lang w:val="fr-FR"/>
        </w:rPr>
      </w:pPr>
      <w:r>
        <w:rPr>
          <w:rStyle w:val="FootnoteReference"/>
          <w:lang w:val="fr"/>
        </w:rPr>
        <w:footnoteRef/>
      </w:r>
      <w:r>
        <w:rPr>
          <w:lang w:val="fr"/>
        </w:rPr>
        <w:t xml:space="preserve"> Décision XXXV/1</w:t>
      </w:r>
    </w:p>
  </w:footnote>
  <w:footnote w:id="12">
    <w:p w14:paraId="4FE5EA16" w14:textId="00686A33" w:rsidR="007F4FCC" w:rsidRPr="00455EF6" w:rsidRDefault="007F4FCC" w:rsidP="007F4FCC">
      <w:pPr>
        <w:pStyle w:val="FootnoteText"/>
        <w:rPr>
          <w:lang w:val="fr-FR"/>
        </w:rPr>
      </w:pPr>
      <w:r>
        <w:rPr>
          <w:rStyle w:val="FootnoteReference"/>
          <w:lang w:val="fr"/>
        </w:rPr>
        <w:footnoteRef/>
      </w:r>
      <w:r>
        <w:rPr>
          <w:lang w:val="fr"/>
        </w:rPr>
        <w:t xml:space="preserve"> Estimation basée sur le coût d’un cadre professionnel de niveau intermédiaire.</w:t>
      </w:r>
    </w:p>
  </w:footnote>
  <w:footnote w:id="13">
    <w:p w14:paraId="42522462" w14:textId="77777777" w:rsidR="007F4FCC" w:rsidRPr="00455EF6" w:rsidRDefault="007F4FCC" w:rsidP="007F4FCC">
      <w:pPr>
        <w:pStyle w:val="FootnoteText"/>
        <w:rPr>
          <w:lang w:val="fr-FR"/>
        </w:rPr>
      </w:pPr>
      <w:r>
        <w:rPr>
          <w:rStyle w:val="FootnoteReference"/>
          <w:lang w:val="fr"/>
        </w:rPr>
        <w:footnoteRef/>
      </w:r>
      <w:r>
        <w:rPr>
          <w:lang w:val="fr"/>
        </w:rPr>
        <w:t xml:space="preserve"> Des coûts d’appui de 7 ou 9 % sont actuellement appliqués en fonction de la valeur du projet.</w:t>
      </w:r>
    </w:p>
  </w:footnote>
  <w:footnote w:id="14">
    <w:p w14:paraId="644AADFF" w14:textId="77777777" w:rsidR="007F4FCC" w:rsidRPr="00455EF6" w:rsidRDefault="007F4FCC" w:rsidP="007F4FCC">
      <w:pPr>
        <w:pStyle w:val="FootnoteText"/>
        <w:rPr>
          <w:lang w:val="fr-FR"/>
        </w:rPr>
      </w:pPr>
      <w:r>
        <w:rPr>
          <w:rStyle w:val="FootnoteReference"/>
          <w:lang w:val="fr"/>
        </w:rPr>
        <w:footnoteRef/>
      </w:r>
      <w:r>
        <w:rPr>
          <w:lang w:val="fr"/>
        </w:rPr>
        <w:t xml:space="preserve"> En supposant que la valeur totale du projet ne dépasse pas 500 000 $US</w:t>
      </w:r>
    </w:p>
  </w:footnote>
  <w:footnote w:id="15">
    <w:p w14:paraId="20020D25" w14:textId="77777777" w:rsidR="007F4FCC" w:rsidRPr="00455EF6" w:rsidRDefault="007F4FCC" w:rsidP="007F4FCC">
      <w:pPr>
        <w:pStyle w:val="FootnoteText"/>
        <w:rPr>
          <w:lang w:val="fr-FR"/>
        </w:rPr>
      </w:pPr>
      <w:r>
        <w:rPr>
          <w:rStyle w:val="FootnoteReference"/>
          <w:lang w:val="fr"/>
        </w:rPr>
        <w:footnoteRef/>
      </w:r>
      <w:r>
        <w:rPr>
          <w:lang w:val="fr"/>
        </w:rPr>
        <w:t xml:space="preserve"> Ce chiffre est basé sur la consommation de référence de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F6920" w14:textId="5210F69C" w:rsidR="00DC6A10" w:rsidRPr="0033525D" w:rsidRDefault="00A8039C">
    <w:r>
      <w:rPr>
        <w:lang w:val="fr"/>
      </w:rPr>
      <w:fldChar w:fldCharType="begin"/>
    </w:r>
    <w:r>
      <w:rPr>
        <w:lang w:val="fr"/>
      </w:rPr>
      <w:instrText xml:space="preserve"> DOCPROPERTY "Document number"  \* MERGEFORMAT </w:instrText>
    </w:r>
    <w:r>
      <w:rPr>
        <w:lang w:val="fr"/>
      </w:rPr>
      <w:fldChar w:fldCharType="separate"/>
    </w:r>
    <w:r>
      <w:rPr>
        <w:lang w:val="fr"/>
      </w:rPr>
      <w:t>UNEP/</w:t>
    </w:r>
    <w:proofErr w:type="spellStart"/>
    <w:r>
      <w:rPr>
        <w:lang w:val="fr"/>
      </w:rPr>
      <w:t>OzL.Pro</w:t>
    </w:r>
    <w:proofErr w:type="spellEnd"/>
    <w:r>
      <w:rPr>
        <w:lang w:val="fr"/>
      </w:rPr>
      <w:t>/</w:t>
    </w:r>
    <w:proofErr w:type="spellStart"/>
    <w:r>
      <w:rPr>
        <w:lang w:val="fr"/>
      </w:rPr>
      <w:t>ExCom</w:t>
    </w:r>
    <w:proofErr w:type="spellEnd"/>
    <w:r>
      <w:rPr>
        <w:lang w:val="fr"/>
      </w:rPr>
      <w:t>/93/101</w:t>
    </w:r>
    <w:r>
      <w:rPr>
        <w:lang w:val="fr"/>
      </w:rPr>
      <w:fldChar w:fldCharType="end"/>
    </w:r>
  </w:p>
  <w:p w14:paraId="4340C85E" w14:textId="77777777" w:rsidR="00DC6A10" w:rsidRPr="0033525D" w:rsidRDefault="00DC6A10"/>
  <w:p w14:paraId="27538C86"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A623F" w14:textId="01A86C12" w:rsidR="00DC6A10" w:rsidRPr="0033525D" w:rsidRDefault="00A8039C">
    <w:pPr>
      <w:jc w:val="right"/>
    </w:pPr>
    <w:r>
      <w:rPr>
        <w:lang w:val="fr"/>
      </w:rPr>
      <w:fldChar w:fldCharType="begin"/>
    </w:r>
    <w:r>
      <w:rPr>
        <w:lang w:val="fr"/>
      </w:rPr>
      <w:instrText xml:space="preserve"> DOCPROPERTY "Document number"  \* MERGEFORMAT </w:instrText>
    </w:r>
    <w:r>
      <w:rPr>
        <w:lang w:val="fr"/>
      </w:rPr>
      <w:fldChar w:fldCharType="separate"/>
    </w:r>
    <w:r>
      <w:rPr>
        <w:lang w:val="fr"/>
      </w:rPr>
      <w:t>UNEP/</w:t>
    </w:r>
    <w:proofErr w:type="spellStart"/>
    <w:r>
      <w:rPr>
        <w:lang w:val="fr"/>
      </w:rPr>
      <w:t>OzL.Pro</w:t>
    </w:r>
    <w:proofErr w:type="spellEnd"/>
    <w:r>
      <w:rPr>
        <w:lang w:val="fr"/>
      </w:rPr>
      <w:t>/</w:t>
    </w:r>
    <w:proofErr w:type="spellStart"/>
    <w:r>
      <w:rPr>
        <w:lang w:val="fr"/>
      </w:rPr>
      <w:t>ExCom</w:t>
    </w:r>
    <w:proofErr w:type="spellEnd"/>
    <w:r>
      <w:rPr>
        <w:lang w:val="fr"/>
      </w:rPr>
      <w:t>/93/101</w:t>
    </w:r>
    <w:r>
      <w:rPr>
        <w:lang w:val="fr"/>
      </w:rPr>
      <w:fldChar w:fldCharType="end"/>
    </w:r>
  </w:p>
  <w:p w14:paraId="1277EC85" w14:textId="77777777" w:rsidR="00DC6A10" w:rsidRPr="0033525D" w:rsidRDefault="00DC6A10"/>
  <w:p w14:paraId="1DB977C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 w:numId="21" w16cid:durableId="36248670">
    <w:abstractNumId w:val="15"/>
    <w:lvlOverride w:ilvl="0">
      <w:startOverride w:val="1"/>
    </w:lvlOverride>
  </w:num>
  <w:num w:numId="22" w16cid:durableId="140079779">
    <w:abstractNumId w:val="15"/>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F4FCC"/>
    <w:rsid w:val="00000FED"/>
    <w:rsid w:val="0000434E"/>
    <w:rsid w:val="000106B0"/>
    <w:rsid w:val="000211A9"/>
    <w:rsid w:val="00021238"/>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97211"/>
    <w:rsid w:val="001A2215"/>
    <w:rsid w:val="001A3342"/>
    <w:rsid w:val="001A3E3D"/>
    <w:rsid w:val="001A7049"/>
    <w:rsid w:val="001B1E40"/>
    <w:rsid w:val="001C764E"/>
    <w:rsid w:val="001E1052"/>
    <w:rsid w:val="001E21B1"/>
    <w:rsid w:val="001E2F93"/>
    <w:rsid w:val="001E4554"/>
    <w:rsid w:val="001E560C"/>
    <w:rsid w:val="001E61E5"/>
    <w:rsid w:val="001F2159"/>
    <w:rsid w:val="001F53FD"/>
    <w:rsid w:val="00210B8B"/>
    <w:rsid w:val="00214863"/>
    <w:rsid w:val="002156B4"/>
    <w:rsid w:val="00224FCD"/>
    <w:rsid w:val="0023370C"/>
    <w:rsid w:val="00252B6D"/>
    <w:rsid w:val="00253222"/>
    <w:rsid w:val="00261C13"/>
    <w:rsid w:val="00262847"/>
    <w:rsid w:val="002676CE"/>
    <w:rsid w:val="00281BB2"/>
    <w:rsid w:val="002A03C3"/>
    <w:rsid w:val="002B254E"/>
    <w:rsid w:val="002B4CE8"/>
    <w:rsid w:val="002B72E9"/>
    <w:rsid w:val="002C7998"/>
    <w:rsid w:val="002D707E"/>
    <w:rsid w:val="002F1E53"/>
    <w:rsid w:val="002F2CAA"/>
    <w:rsid w:val="0030052C"/>
    <w:rsid w:val="003232A4"/>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1F50"/>
    <w:rsid w:val="00455EF6"/>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87EE7"/>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1FB2"/>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4FCC"/>
    <w:rsid w:val="0080345C"/>
    <w:rsid w:val="0082522F"/>
    <w:rsid w:val="00831979"/>
    <w:rsid w:val="00851352"/>
    <w:rsid w:val="0085183E"/>
    <w:rsid w:val="008565FC"/>
    <w:rsid w:val="00857077"/>
    <w:rsid w:val="00863230"/>
    <w:rsid w:val="00865BD0"/>
    <w:rsid w:val="008717D8"/>
    <w:rsid w:val="0087215C"/>
    <w:rsid w:val="00875D25"/>
    <w:rsid w:val="00880E35"/>
    <w:rsid w:val="008875FE"/>
    <w:rsid w:val="00887CE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8039C"/>
    <w:rsid w:val="00A823F6"/>
    <w:rsid w:val="00A8719E"/>
    <w:rsid w:val="00AA0A89"/>
    <w:rsid w:val="00AA5368"/>
    <w:rsid w:val="00AA6429"/>
    <w:rsid w:val="00AC01AA"/>
    <w:rsid w:val="00AC4F72"/>
    <w:rsid w:val="00AE482E"/>
    <w:rsid w:val="00AF741A"/>
    <w:rsid w:val="00B01ADB"/>
    <w:rsid w:val="00B04161"/>
    <w:rsid w:val="00B056F9"/>
    <w:rsid w:val="00B11E3D"/>
    <w:rsid w:val="00B14D2C"/>
    <w:rsid w:val="00B17E82"/>
    <w:rsid w:val="00B4575A"/>
    <w:rsid w:val="00B54EBF"/>
    <w:rsid w:val="00B575BA"/>
    <w:rsid w:val="00B71608"/>
    <w:rsid w:val="00B76429"/>
    <w:rsid w:val="00B86471"/>
    <w:rsid w:val="00B956D4"/>
    <w:rsid w:val="00B97446"/>
    <w:rsid w:val="00BA7432"/>
    <w:rsid w:val="00BB2764"/>
    <w:rsid w:val="00BB31D3"/>
    <w:rsid w:val="00BC1AA0"/>
    <w:rsid w:val="00BC2495"/>
    <w:rsid w:val="00BC2F8F"/>
    <w:rsid w:val="00BC314A"/>
    <w:rsid w:val="00BC7EB9"/>
    <w:rsid w:val="00BD2643"/>
    <w:rsid w:val="00BD4100"/>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617"/>
    <w:rsid w:val="00C76BA4"/>
    <w:rsid w:val="00C83A48"/>
    <w:rsid w:val="00C85865"/>
    <w:rsid w:val="00C85E85"/>
    <w:rsid w:val="00CA2EAE"/>
    <w:rsid w:val="00CA4AC1"/>
    <w:rsid w:val="00CA59FB"/>
    <w:rsid w:val="00CB0316"/>
    <w:rsid w:val="00CB0B11"/>
    <w:rsid w:val="00CB426A"/>
    <w:rsid w:val="00CB5354"/>
    <w:rsid w:val="00CC1B9C"/>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1323"/>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444C"/>
    <w:rsid w:val="00E15C77"/>
    <w:rsid w:val="00E250F1"/>
    <w:rsid w:val="00E3550D"/>
    <w:rsid w:val="00E45FBF"/>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07604"/>
    <w:rsid w:val="00F21088"/>
    <w:rsid w:val="00F327E7"/>
    <w:rsid w:val="00F35746"/>
    <w:rsid w:val="00F41B64"/>
    <w:rsid w:val="00F447C7"/>
    <w:rsid w:val="00F459B4"/>
    <w:rsid w:val="00F5211B"/>
    <w:rsid w:val="00F554A9"/>
    <w:rsid w:val="00F656DC"/>
    <w:rsid w:val="00F716FD"/>
    <w:rsid w:val="00F80355"/>
    <w:rsid w:val="00F8502E"/>
    <w:rsid w:val="00F87C43"/>
    <w:rsid w:val="00FA5722"/>
    <w:rsid w:val="00FB0C81"/>
    <w:rsid w:val="00FC2200"/>
    <w:rsid w:val="00FC2540"/>
    <w:rsid w:val="00FC7C4E"/>
    <w:rsid w:val="00FE1AE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8CEAD"/>
  <w15:docId w15:val="{2501842F-18C4-49D0-9A8A-5134E556E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UNEP/OzL.Pro/ExCom/93/101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930C1CDFFCED8499ED6091F7CDA0E29" ma:contentTypeVersion="5" ma:contentTypeDescription="Create a new document." ma:contentTypeScope="" ma:versionID="ade5365e79bfce7afbec32d4372a8be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68A8C5C3-614F-4A04-8AB6-BB01EAC40CB4}"/>
</file>

<file path=docProps/app.xml><?xml version="1.0" encoding="utf-8"?>
<Properties xmlns="http://schemas.openxmlformats.org/officeDocument/2006/extended-properties" xmlns:vt="http://schemas.openxmlformats.org/officeDocument/2006/docPropsVTypes">
  <Template>Eec93G</Template>
  <TotalTime>36</TotalTime>
  <Pages>9</Pages>
  <Words>3815</Words>
  <Characters>21751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Review of the administrative cost regime of the Multilateral Fund (decisions 88/74(c) and 91/67(b))</vt:lpstr>
    </vt:vector>
  </TitlesOfParts>
  <Company/>
  <LinksUpToDate>false</LinksUpToDate>
  <CharactersWithSpaces>25515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du régime des coûts administratifs du Fonds multilatéral (décisions 88/74 c) et 91/67 b))</dc:title>
  <dc:creator>Muriel Aguiar</dc:creator>
  <cp:keywords>93rd Excom</cp:keywords>
  <cp:lastModifiedBy>HBE</cp:lastModifiedBy>
  <cp:revision>40</cp:revision>
  <cp:lastPrinted>2001-05-26T16:40:00Z</cp:lastPrinted>
  <dcterms:created xsi:type="dcterms:W3CDTF">2023-11-30T20:03:00Z</dcterms:created>
  <dcterms:modified xsi:type="dcterms:W3CDTF">2023-12-06T12:40:00Z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UNEP/OzL.Pro/ExCom/93/101</vt:lpwstr>
  </property>
  <property fmtid="{D5CDD505-2E9C-101B-9397-08002B2CF9AE}" pid="3" name="Revision date">
    <vt:lpwstr>11/30/2023</vt:lpwstr>
  </property>
  <property fmtid="{D5CDD505-2E9C-101B-9397-08002B2CF9AE}" pid="4" name="ContentTypeId">
    <vt:lpwstr>0x010100E930C1CDFFCED8499ED6091F7CDA0E29</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