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4509DF" w:rsidRPr="004509DF" w14:paraId="0923C118" w14:textId="77777777" w:rsidTr="00280D7D">
        <w:trPr>
          <w:trHeight w:val="720"/>
        </w:trPr>
        <w:tc>
          <w:tcPr>
            <w:tcW w:w="6494" w:type="dxa"/>
            <w:gridSpan w:val="2"/>
            <w:tcBorders>
              <w:bottom w:val="single" w:sz="18" w:space="0" w:color="auto"/>
            </w:tcBorders>
            <w:vAlign w:val="center"/>
          </w:tcPr>
          <w:p w14:paraId="016C70E2" w14:textId="77777777" w:rsidR="004509DF" w:rsidRPr="004509DF" w:rsidRDefault="004509DF" w:rsidP="00280D7D">
            <w:pPr>
              <w:rPr>
                <w:rFonts w:ascii="Univers" w:hAnsi="Univers"/>
                <w:b/>
                <w:sz w:val="28"/>
                <w:szCs w:val="28"/>
              </w:rPr>
            </w:pPr>
            <w:r w:rsidRPr="004509DF">
              <w:rPr>
                <w:rFonts w:ascii="Univers" w:hAnsi="Univers"/>
                <w:b/>
                <w:sz w:val="28"/>
                <w:szCs w:val="28"/>
              </w:rPr>
              <w:t>NACIONES</w:t>
            </w:r>
          </w:p>
          <w:p w14:paraId="38334600" w14:textId="77777777" w:rsidR="004509DF" w:rsidRPr="004509DF" w:rsidRDefault="004509DF" w:rsidP="00280D7D">
            <w:pPr>
              <w:rPr>
                <w:rFonts w:ascii="Univers" w:hAnsi="Univers"/>
                <w:b/>
                <w:sz w:val="28"/>
                <w:szCs w:val="28"/>
              </w:rPr>
            </w:pPr>
            <w:r w:rsidRPr="004509DF">
              <w:rPr>
                <w:rFonts w:ascii="Univers" w:hAnsi="Univers"/>
                <w:b/>
                <w:sz w:val="28"/>
                <w:szCs w:val="28"/>
              </w:rPr>
              <w:t>UNIDAS</w:t>
            </w:r>
          </w:p>
        </w:tc>
        <w:tc>
          <w:tcPr>
            <w:tcW w:w="3586" w:type="dxa"/>
            <w:tcBorders>
              <w:bottom w:val="single" w:sz="18" w:space="0" w:color="auto"/>
            </w:tcBorders>
          </w:tcPr>
          <w:p w14:paraId="221134D0" w14:textId="77777777" w:rsidR="004509DF" w:rsidRPr="004509DF" w:rsidRDefault="004509DF" w:rsidP="00280D7D">
            <w:pPr>
              <w:jc w:val="right"/>
              <w:rPr>
                <w:rFonts w:ascii="Univers" w:hAnsi="Univers" w:cstheme="minorBidi"/>
                <w:sz w:val="52"/>
                <w:szCs w:val="52"/>
              </w:rPr>
            </w:pPr>
            <w:r w:rsidRPr="004509DF">
              <w:rPr>
                <w:rFonts w:ascii="Univers" w:hAnsi="Univers" w:cstheme="minorBidi"/>
                <w:b/>
                <w:sz w:val="72"/>
              </w:rPr>
              <w:t>EP</w:t>
            </w:r>
          </w:p>
        </w:tc>
      </w:tr>
      <w:tr w:rsidR="004509DF" w:rsidRPr="004509DF" w14:paraId="5F690253" w14:textId="77777777" w:rsidTr="00280D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BB36BAB" w14:textId="77777777" w:rsidR="004509DF" w:rsidRPr="004509DF" w:rsidRDefault="004509DF" w:rsidP="00280D7D">
            <w:pPr>
              <w:spacing w:before="120"/>
            </w:pPr>
            <w:r w:rsidRPr="004509DF">
              <w:rPr>
                <w:noProof/>
                <w:lang w:eastAsia="en-CA"/>
              </w:rPr>
              <w:drawing>
                <wp:anchor distT="0" distB="0" distL="114300" distR="114300" simplePos="0" relativeHeight="251659264" behindDoc="0" locked="0" layoutInCell="1" allowOverlap="1" wp14:anchorId="5A8B26AF" wp14:editId="2757DD12">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4509DF">
              <w:rPr>
                <w:noProof/>
                <w:lang w:eastAsia="en-CA"/>
              </w:rPr>
              <w:drawing>
                <wp:anchor distT="0" distB="0" distL="114300" distR="114300" simplePos="0" relativeHeight="251660288" behindDoc="1" locked="0" layoutInCell="0" allowOverlap="1" wp14:anchorId="70C8B8AE" wp14:editId="5F61CD71">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D365091" w14:textId="77777777" w:rsidR="004509DF" w:rsidRPr="004509DF" w:rsidRDefault="004509DF" w:rsidP="00280D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7BDB586" w14:textId="77777777" w:rsidR="004509DF" w:rsidRPr="004509DF" w:rsidRDefault="004509DF" w:rsidP="00280D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509DF">
              <w:rPr>
                <w:rFonts w:ascii="Univers" w:hAnsi="Univers"/>
                <w:b/>
                <w:sz w:val="32"/>
              </w:rPr>
              <w:t>Programa de las</w:t>
            </w:r>
          </w:p>
          <w:p w14:paraId="23E9B06B" w14:textId="77777777" w:rsidR="004509DF" w:rsidRPr="004509DF" w:rsidRDefault="004509DF" w:rsidP="00280D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509DF">
              <w:rPr>
                <w:rFonts w:ascii="Univers" w:hAnsi="Univers"/>
                <w:b/>
                <w:sz w:val="32"/>
              </w:rPr>
              <w:t>Naciones Unidas</w:t>
            </w:r>
          </w:p>
          <w:p w14:paraId="5721D16F" w14:textId="77777777" w:rsidR="004509DF" w:rsidRPr="004509DF" w:rsidRDefault="004509DF" w:rsidP="00280D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4509DF">
              <w:rPr>
                <w:rFonts w:ascii="Univers" w:hAnsi="Univers"/>
                <w:b/>
                <w:sz w:val="32"/>
              </w:rPr>
              <w:t>para el Medio Ambiente</w:t>
            </w:r>
          </w:p>
          <w:p w14:paraId="476C83FD" w14:textId="77777777" w:rsidR="004509DF" w:rsidRPr="004509DF" w:rsidRDefault="004509DF" w:rsidP="00280D7D">
            <w:pPr>
              <w:spacing w:before="720"/>
            </w:pPr>
          </w:p>
        </w:tc>
        <w:tc>
          <w:tcPr>
            <w:tcW w:w="3586" w:type="dxa"/>
            <w:tcBorders>
              <w:top w:val="nil"/>
              <w:left w:val="nil"/>
              <w:bottom w:val="single" w:sz="36" w:space="0" w:color="auto"/>
              <w:right w:val="nil"/>
            </w:tcBorders>
          </w:tcPr>
          <w:p w14:paraId="291053A2" w14:textId="77777777" w:rsidR="004509DF" w:rsidRPr="004509DF" w:rsidRDefault="004509DF" w:rsidP="00280D7D"/>
          <w:p w14:paraId="726535B4" w14:textId="77777777" w:rsidR="004509DF" w:rsidRPr="004509DF" w:rsidRDefault="004509DF" w:rsidP="00280D7D">
            <w:r w:rsidRPr="004509DF">
              <w:t>Distr.</w:t>
            </w:r>
          </w:p>
          <w:p w14:paraId="2FCA4203" w14:textId="77777777" w:rsidR="004509DF" w:rsidRPr="004509DF" w:rsidRDefault="004509DF" w:rsidP="00280D7D">
            <w:r w:rsidRPr="004509DF">
              <w:t>GENERAL</w:t>
            </w:r>
          </w:p>
          <w:p w14:paraId="7D533E3C" w14:textId="77777777" w:rsidR="004509DF" w:rsidRPr="004509DF" w:rsidRDefault="004509DF" w:rsidP="00280D7D"/>
          <w:p w14:paraId="7D877922" w14:textId="711BF8F3" w:rsidR="004509DF" w:rsidRPr="004509DF" w:rsidRDefault="001A7854" w:rsidP="00280D7D">
            <w:fldSimple w:instr=" DOCPROPERTY &quot;Document number&quot;  \* MERGEFORMAT ">
              <w:r>
                <w:t>UNEP/OzL.Pro/ExCom/98/45</w:t>
              </w:r>
            </w:fldSimple>
          </w:p>
          <w:p w14:paraId="513EF893" w14:textId="6B2F1DB0" w:rsidR="004509DF" w:rsidRPr="004509DF" w:rsidRDefault="004509DF" w:rsidP="00280D7D">
            <w:r w:rsidRPr="004509DF">
              <w:fldChar w:fldCharType="begin"/>
            </w:r>
            <w:r w:rsidRPr="004509DF">
              <w:instrText xml:space="preserve"> DOCPROPERTY "Revision date" \@ "d MMMM YYYY"  \* MERGEFORMAT </w:instrText>
            </w:r>
            <w:r w:rsidRPr="004509DF">
              <w:fldChar w:fldCharType="separate"/>
            </w:r>
            <w:r w:rsidR="00A66810">
              <w:t>2</w:t>
            </w:r>
            <w:r w:rsidRPr="004509DF">
              <w:t xml:space="preserve">7 de </w:t>
            </w:r>
            <w:r w:rsidR="00A66810">
              <w:t>mayo</w:t>
            </w:r>
            <w:r w:rsidRPr="004509DF">
              <w:t xml:space="preserve"> de 2026</w:t>
            </w:r>
            <w:r w:rsidRPr="004509DF">
              <w:fldChar w:fldCharType="end"/>
            </w:r>
          </w:p>
          <w:p w14:paraId="77D2F68A" w14:textId="77777777" w:rsidR="004509DF" w:rsidRPr="004509DF" w:rsidRDefault="004509DF" w:rsidP="00280D7D">
            <w:pPr>
              <w:rPr>
                <w:caps/>
              </w:rPr>
            </w:pPr>
          </w:p>
          <w:p w14:paraId="734915D9" w14:textId="77777777" w:rsidR="004509DF" w:rsidRPr="004509DF" w:rsidRDefault="004509DF" w:rsidP="00280D7D">
            <w:r w:rsidRPr="004509DF">
              <w:t xml:space="preserve">ESPAÑOL </w:t>
            </w:r>
          </w:p>
          <w:p w14:paraId="55D820A3" w14:textId="77777777" w:rsidR="004509DF" w:rsidRPr="004509DF" w:rsidRDefault="004509DF" w:rsidP="00280D7D">
            <w:r w:rsidRPr="004509DF">
              <w:t>ORIGINAL: INGLÉS</w:t>
            </w:r>
          </w:p>
        </w:tc>
      </w:tr>
    </w:tbl>
    <w:p w14:paraId="7DC8F2F0" w14:textId="77777777" w:rsidR="00F72392" w:rsidRPr="004509DF" w:rsidRDefault="00F72392" w:rsidP="001C647F">
      <w:pPr>
        <w:spacing w:before="60"/>
        <w:jc w:val="left"/>
      </w:pPr>
      <w:r w:rsidRPr="004509DF">
        <w:t>COMITÉ EJECUTIVO DEL FONDO MULTILATERAL</w:t>
      </w:r>
      <w:r w:rsidRPr="004509DF">
        <w:br/>
        <w:t xml:space="preserve"> PARA LA APLICACIÓN DEL</w:t>
      </w:r>
      <w:r w:rsidRPr="004509DF">
        <w:br/>
        <w:t xml:space="preserve"> PROTOCOLO DE MONTREAL</w:t>
      </w:r>
      <w:r w:rsidRPr="004509DF">
        <w:br/>
        <w:t>Nonagésima octava reunión</w:t>
      </w:r>
    </w:p>
    <w:p w14:paraId="211CC9F1" w14:textId="77777777" w:rsidR="00F72392" w:rsidRPr="004509DF" w:rsidRDefault="00F72392" w:rsidP="001C647F">
      <w:pPr>
        <w:jc w:val="left"/>
      </w:pPr>
      <w:r w:rsidRPr="004509DF">
        <w:t>Montreal, 22-26 de junio de 2026</w:t>
      </w:r>
    </w:p>
    <w:p w14:paraId="687BD3A0" w14:textId="77777777" w:rsidR="00F72392" w:rsidRPr="004509DF" w:rsidRDefault="00F72392" w:rsidP="001C647F">
      <w:pPr>
        <w:jc w:val="left"/>
      </w:pPr>
      <w:r w:rsidRPr="004509DF">
        <w:t>Punto 8 c) del orden del día provisional</w:t>
      </w:r>
      <w:r w:rsidRPr="004509DF">
        <w:rPr>
          <w:rStyle w:val="FootnoteReference"/>
        </w:rPr>
        <w:footnoteReference w:id="1"/>
      </w:r>
    </w:p>
    <w:p w14:paraId="7172A05A" w14:textId="77777777" w:rsidR="00F72392" w:rsidRPr="004509DF" w:rsidRDefault="00F72392" w:rsidP="001C647F"/>
    <w:p w14:paraId="557E86DE" w14:textId="77777777" w:rsidR="00F72392" w:rsidRPr="004509DF" w:rsidRDefault="00F72392" w:rsidP="001C647F"/>
    <w:p w14:paraId="7208DB52" w14:textId="77777777" w:rsidR="00F72392" w:rsidRPr="004509DF" w:rsidRDefault="00F72392" w:rsidP="001C647F"/>
    <w:p w14:paraId="58D2CF79" w14:textId="77777777" w:rsidR="00F72392" w:rsidRPr="004509DF" w:rsidRDefault="00F72392" w:rsidP="001C647F"/>
    <w:p w14:paraId="2A6E4A5F" w14:textId="77777777" w:rsidR="00F72392" w:rsidRPr="004509DF" w:rsidRDefault="00F72392" w:rsidP="001C647F"/>
    <w:p w14:paraId="6427EA30" w14:textId="77777777" w:rsidR="00DF1ABA" w:rsidRPr="004509DF" w:rsidRDefault="00F72392" w:rsidP="00DF1ABA">
      <w:pPr>
        <w:jc w:val="center"/>
        <w:rPr>
          <w:b/>
        </w:rPr>
      </w:pPr>
      <w:r w:rsidRPr="004509DF">
        <w:rPr>
          <w:b/>
        </w:rPr>
        <w:t>PROPUESTA DE PROYECTO: PANAMÁ</w:t>
      </w:r>
    </w:p>
    <w:p w14:paraId="6A501ECF" w14:textId="77777777" w:rsidR="00F72392" w:rsidRPr="004509DF" w:rsidRDefault="00F72392" w:rsidP="001C647F">
      <w:pPr>
        <w:jc w:val="center"/>
        <w:rPr>
          <w:b/>
        </w:rPr>
      </w:pPr>
    </w:p>
    <w:p w14:paraId="1EBAD034" w14:textId="77777777" w:rsidR="00F72392" w:rsidRPr="004509DF" w:rsidRDefault="00F72392" w:rsidP="001C647F"/>
    <w:p w14:paraId="7FD22F08" w14:textId="77777777" w:rsidR="00F72392" w:rsidRPr="004509DF" w:rsidRDefault="00F72392" w:rsidP="001C647F"/>
    <w:p w14:paraId="3D63456F" w14:textId="77777777" w:rsidR="00F72392" w:rsidRPr="004509DF" w:rsidRDefault="00F72392" w:rsidP="001C647F">
      <w:pPr>
        <w:spacing w:after="240"/>
        <w:ind w:firstLine="720"/>
      </w:pPr>
      <w:r w:rsidRPr="004509DF">
        <w:t>Este documento consiste en las observaciones y la recomendación de la Secretaría sobre la siguiente propuesta de proyecto:</w:t>
      </w:r>
    </w:p>
    <w:p w14:paraId="246B9329" w14:textId="77777777" w:rsidR="00F72392" w:rsidRPr="004509DF" w:rsidRDefault="00F72392" w:rsidP="001C647F">
      <w:pPr>
        <w:spacing w:after="240"/>
        <w:rPr>
          <w:u w:val="single"/>
        </w:rPr>
      </w:pPr>
      <w:r w:rsidRPr="004509DF">
        <w:rPr>
          <w:u w:val="single"/>
        </w:rPr>
        <w:t>Eliminación</w:t>
      </w:r>
    </w:p>
    <w:tbl>
      <w:tblPr>
        <w:tblW w:w="9498" w:type="dxa"/>
        <w:tblLook w:val="04A0" w:firstRow="1" w:lastRow="0" w:firstColumn="1" w:lastColumn="0" w:noHBand="0" w:noVBand="1"/>
      </w:tblPr>
      <w:tblGrid>
        <w:gridCol w:w="5103"/>
        <w:gridCol w:w="1843"/>
        <w:gridCol w:w="2552"/>
      </w:tblGrid>
      <w:tr w:rsidR="00F72392" w:rsidRPr="004509DF" w14:paraId="5E71C181" w14:textId="77777777" w:rsidTr="00FE5720">
        <w:tc>
          <w:tcPr>
            <w:tcW w:w="5103" w:type="dxa"/>
          </w:tcPr>
          <w:p w14:paraId="4DF94B95" w14:textId="77777777" w:rsidR="00F72392" w:rsidRPr="004509DF" w:rsidRDefault="009F419E" w:rsidP="00FE5720">
            <w:pPr>
              <w:numPr>
                <w:ilvl w:val="0"/>
                <w:numId w:val="6"/>
              </w:numPr>
              <w:ind w:left="599" w:hanging="709"/>
              <w:contextualSpacing/>
              <w:jc w:val="left"/>
            </w:pPr>
            <w:r w:rsidRPr="004509DF">
              <w:tab/>
              <w:t>Plan de gestión de la eliminación de los HCFC (etapa III, tercer tramo)</w:t>
            </w:r>
          </w:p>
        </w:tc>
        <w:tc>
          <w:tcPr>
            <w:tcW w:w="1843" w:type="dxa"/>
          </w:tcPr>
          <w:p w14:paraId="6FD57C1A" w14:textId="77777777" w:rsidR="00F72392" w:rsidRPr="004509DF" w:rsidRDefault="00DF1ABA" w:rsidP="00FE5720">
            <w:pPr>
              <w:ind w:left="-248" w:right="-394"/>
              <w:jc w:val="center"/>
            </w:pPr>
            <w:r w:rsidRPr="004509DF">
              <w:t>PNUD</w:t>
            </w:r>
          </w:p>
        </w:tc>
        <w:tc>
          <w:tcPr>
            <w:tcW w:w="2552" w:type="dxa"/>
          </w:tcPr>
          <w:p w14:paraId="6C06DDA4" w14:textId="77777777" w:rsidR="00F72392" w:rsidRPr="004509DF" w:rsidRDefault="00F72392" w:rsidP="00FE5720">
            <w:pPr>
              <w:jc w:val="right"/>
            </w:pPr>
            <w:r w:rsidRPr="004509DF">
              <w:t xml:space="preserve">Aprobación general </w:t>
            </w:r>
          </w:p>
        </w:tc>
      </w:tr>
    </w:tbl>
    <w:p w14:paraId="4D19657A" w14:textId="77777777" w:rsidR="00F72392" w:rsidRPr="004509DF" w:rsidRDefault="00F72392" w:rsidP="001C647F"/>
    <w:p w14:paraId="6256DD93" w14:textId="77777777" w:rsidR="00F72392" w:rsidRPr="004509DF" w:rsidRDefault="00F72392" w:rsidP="001C647F"/>
    <w:p w14:paraId="397F2B97" w14:textId="77777777" w:rsidR="00F72392" w:rsidRPr="004509DF" w:rsidRDefault="00F72392" w:rsidP="001C647F"/>
    <w:p w14:paraId="5EB81BDE" w14:textId="77777777" w:rsidR="00F72392" w:rsidRPr="004509DF" w:rsidRDefault="00F72392" w:rsidP="001C647F"/>
    <w:p w14:paraId="5811EF96" w14:textId="77777777" w:rsidR="00F72392" w:rsidRPr="004509DF" w:rsidRDefault="00F72392" w:rsidP="001C647F">
      <w:r w:rsidRPr="004509DF">
        <w:br w:type="page"/>
      </w:r>
    </w:p>
    <w:p w14:paraId="43212276" w14:textId="77777777" w:rsidR="00F72392" w:rsidRPr="004509DF" w:rsidRDefault="00F72392" w:rsidP="001C647F">
      <w:pPr>
        <w:spacing w:after="120"/>
        <w:jc w:val="center"/>
        <w:rPr>
          <w:b/>
        </w:rPr>
      </w:pPr>
      <w:r w:rsidRPr="004509DF">
        <w:rPr>
          <w:b/>
        </w:rPr>
        <w:lastRenderedPageBreak/>
        <w:t>HOJA DE EVALUACIÓN DE PROYECTOS – PROYECTOS PLURIANUALES</w:t>
      </w:r>
    </w:p>
    <w:p w14:paraId="6933E1F4" w14:textId="77777777" w:rsidR="00DF1ABA" w:rsidRPr="004509DF" w:rsidRDefault="00DF1ABA" w:rsidP="00DF1ABA">
      <w:pPr>
        <w:spacing w:after="120"/>
        <w:jc w:val="center"/>
        <w:rPr>
          <w:b/>
        </w:rPr>
      </w:pPr>
      <w:r w:rsidRPr="004509DF">
        <w:rPr>
          <w:b/>
        </w:rPr>
        <w:t>Panamá</w:t>
      </w:r>
    </w:p>
    <w:tbl>
      <w:tblPr>
        <w:tblW w:w="5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2310"/>
        <w:gridCol w:w="2520"/>
        <w:gridCol w:w="2760"/>
      </w:tblGrid>
      <w:tr w:rsidR="00F72392" w:rsidRPr="004509DF" w14:paraId="14E92582" w14:textId="77777777" w:rsidTr="003F5CAE">
        <w:trPr>
          <w:trHeight w:val="240"/>
          <w:jc w:val="center"/>
        </w:trPr>
        <w:tc>
          <w:tcPr>
            <w:tcW w:w="3715" w:type="dxa"/>
            <w:vAlign w:val="center"/>
            <w:hideMark/>
          </w:tcPr>
          <w:p w14:paraId="06704CB9" w14:textId="77777777" w:rsidR="00F72392" w:rsidRPr="004509DF" w:rsidRDefault="00F72392" w:rsidP="00FE5720">
            <w:pPr>
              <w:spacing w:before="20" w:after="20"/>
              <w:jc w:val="center"/>
              <w:rPr>
                <w:b/>
                <w:sz w:val="18"/>
                <w:szCs w:val="18"/>
              </w:rPr>
            </w:pPr>
            <w:r w:rsidRPr="004509DF">
              <w:rPr>
                <w:b/>
                <w:sz w:val="18"/>
              </w:rPr>
              <w:t>TÍTULO DEL PROYECTO</w:t>
            </w:r>
          </w:p>
        </w:tc>
        <w:tc>
          <w:tcPr>
            <w:tcW w:w="2310" w:type="dxa"/>
            <w:vAlign w:val="center"/>
            <w:hideMark/>
          </w:tcPr>
          <w:p w14:paraId="1D3C0B15" w14:textId="77777777" w:rsidR="00F72392" w:rsidRPr="004509DF" w:rsidRDefault="00F72392" w:rsidP="00FE5720">
            <w:pPr>
              <w:spacing w:before="20" w:after="20"/>
              <w:jc w:val="center"/>
              <w:rPr>
                <w:b/>
                <w:sz w:val="18"/>
                <w:szCs w:val="18"/>
              </w:rPr>
            </w:pPr>
            <w:r w:rsidRPr="004509DF">
              <w:rPr>
                <w:b/>
                <w:sz w:val="18"/>
              </w:rPr>
              <w:t>ORGANISMO</w:t>
            </w:r>
          </w:p>
        </w:tc>
        <w:tc>
          <w:tcPr>
            <w:tcW w:w="2520" w:type="dxa"/>
            <w:vAlign w:val="center"/>
            <w:hideMark/>
          </w:tcPr>
          <w:p w14:paraId="2381EF1C" w14:textId="77777777" w:rsidR="00F72392" w:rsidRPr="004509DF" w:rsidRDefault="00F72392" w:rsidP="00FE5720">
            <w:pPr>
              <w:spacing w:before="20" w:after="20"/>
              <w:jc w:val="center"/>
              <w:rPr>
                <w:b/>
                <w:sz w:val="18"/>
                <w:szCs w:val="18"/>
              </w:rPr>
            </w:pPr>
            <w:r w:rsidRPr="004509DF">
              <w:rPr>
                <w:b/>
                <w:sz w:val="18"/>
              </w:rPr>
              <w:t>REUNIÓN QUE APROBÓ</w:t>
            </w:r>
          </w:p>
        </w:tc>
        <w:tc>
          <w:tcPr>
            <w:tcW w:w="2760" w:type="dxa"/>
            <w:vAlign w:val="center"/>
            <w:hideMark/>
          </w:tcPr>
          <w:p w14:paraId="4ABECDC7" w14:textId="77777777" w:rsidR="00F72392" w:rsidRPr="004509DF" w:rsidRDefault="00F72392" w:rsidP="00FE5720">
            <w:pPr>
              <w:spacing w:before="20" w:after="20"/>
              <w:jc w:val="center"/>
              <w:rPr>
                <w:b/>
                <w:sz w:val="18"/>
                <w:szCs w:val="18"/>
              </w:rPr>
            </w:pPr>
            <w:r w:rsidRPr="004509DF">
              <w:rPr>
                <w:b/>
                <w:sz w:val="18"/>
              </w:rPr>
              <w:t>MEDIDA DE CONTROL</w:t>
            </w:r>
          </w:p>
        </w:tc>
      </w:tr>
      <w:tr w:rsidR="00F72392" w:rsidRPr="004509DF" w14:paraId="39939C04" w14:textId="77777777" w:rsidTr="003F5CAE">
        <w:trPr>
          <w:trHeight w:val="240"/>
          <w:jc w:val="center"/>
        </w:trPr>
        <w:tc>
          <w:tcPr>
            <w:tcW w:w="3715" w:type="dxa"/>
            <w:vAlign w:val="center"/>
            <w:hideMark/>
          </w:tcPr>
          <w:p w14:paraId="4F50BA60" w14:textId="77777777" w:rsidR="00F72392" w:rsidRPr="004509DF" w:rsidRDefault="00F72392" w:rsidP="00FE5720">
            <w:pPr>
              <w:spacing w:before="20" w:after="20"/>
              <w:ind w:right="37"/>
              <w:jc w:val="center"/>
              <w:rPr>
                <w:sz w:val="18"/>
                <w:szCs w:val="18"/>
              </w:rPr>
            </w:pPr>
            <w:r w:rsidRPr="004509DF">
              <w:rPr>
                <w:sz w:val="18"/>
              </w:rPr>
              <w:t>Plan de eliminación de los HCFC (etapa III)</w:t>
            </w:r>
          </w:p>
        </w:tc>
        <w:tc>
          <w:tcPr>
            <w:tcW w:w="2310" w:type="dxa"/>
            <w:vAlign w:val="center"/>
          </w:tcPr>
          <w:p w14:paraId="670AE005" w14:textId="77777777" w:rsidR="00F72392" w:rsidRPr="004509DF" w:rsidRDefault="00DF1ABA" w:rsidP="00FE5720">
            <w:pPr>
              <w:tabs>
                <w:tab w:val="left" w:pos="1729"/>
              </w:tabs>
              <w:spacing w:before="20" w:after="20"/>
              <w:jc w:val="center"/>
              <w:rPr>
                <w:sz w:val="18"/>
                <w:szCs w:val="18"/>
              </w:rPr>
            </w:pPr>
            <w:r w:rsidRPr="004509DF">
              <w:rPr>
                <w:color w:val="000000"/>
                <w:sz w:val="18"/>
              </w:rPr>
              <w:t>PNUD</w:t>
            </w:r>
          </w:p>
        </w:tc>
        <w:tc>
          <w:tcPr>
            <w:tcW w:w="2520" w:type="dxa"/>
            <w:vAlign w:val="center"/>
          </w:tcPr>
          <w:p w14:paraId="27411648" w14:textId="77777777" w:rsidR="00F72392" w:rsidRPr="004509DF" w:rsidRDefault="00805310" w:rsidP="00FE5720">
            <w:pPr>
              <w:spacing w:before="20" w:after="20"/>
              <w:ind w:left="30" w:right="31"/>
              <w:jc w:val="center"/>
              <w:rPr>
                <w:sz w:val="18"/>
                <w:szCs w:val="18"/>
              </w:rPr>
            </w:pPr>
            <w:r w:rsidRPr="004509DF">
              <w:rPr>
                <w:sz w:val="18"/>
              </w:rPr>
              <w:t>86</w:t>
            </w:r>
            <w:r w:rsidRPr="004509DF">
              <w:rPr>
                <w:sz w:val="18"/>
                <w:vertAlign w:val="superscript"/>
              </w:rPr>
              <w:t>a</w:t>
            </w:r>
          </w:p>
        </w:tc>
        <w:tc>
          <w:tcPr>
            <w:tcW w:w="2760" w:type="dxa"/>
            <w:vAlign w:val="center"/>
          </w:tcPr>
          <w:p w14:paraId="0700824E" w14:textId="77777777" w:rsidR="00F72392" w:rsidRPr="004509DF" w:rsidRDefault="00DF1ABA" w:rsidP="00FE5720">
            <w:pPr>
              <w:spacing w:before="20" w:after="20"/>
              <w:jc w:val="center"/>
              <w:rPr>
                <w:sz w:val="18"/>
                <w:szCs w:val="18"/>
              </w:rPr>
            </w:pPr>
            <w:r w:rsidRPr="004509DF">
              <w:rPr>
                <w:sz w:val="18"/>
              </w:rPr>
              <w:t>Eliminación del 100 % para 2030</w:t>
            </w:r>
          </w:p>
        </w:tc>
      </w:tr>
    </w:tbl>
    <w:p w14:paraId="6ED50956" w14:textId="77777777" w:rsidR="00F72392" w:rsidRPr="004509DF" w:rsidRDefault="00F72392" w:rsidP="001C647F">
      <w:pPr>
        <w:spacing w:before="20" w:after="20"/>
        <w:jc w:val="center"/>
        <w:rPr>
          <w:sz w:val="18"/>
          <w:szCs w:val="18"/>
        </w:rPr>
      </w:pPr>
    </w:p>
    <w:tbl>
      <w:tblPr>
        <w:tblW w:w="5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34"/>
        <w:gridCol w:w="2486"/>
        <w:gridCol w:w="2487"/>
      </w:tblGrid>
      <w:tr w:rsidR="00F72392" w:rsidRPr="004509DF" w14:paraId="4AFCD293" w14:textId="77777777" w:rsidTr="003F5CAE">
        <w:trPr>
          <w:trHeight w:val="43"/>
          <w:jc w:val="center"/>
        </w:trPr>
        <w:tc>
          <w:tcPr>
            <w:tcW w:w="6334" w:type="dxa"/>
            <w:vAlign w:val="center"/>
            <w:hideMark/>
          </w:tcPr>
          <w:p w14:paraId="7DD417CF" w14:textId="77777777" w:rsidR="00F72392" w:rsidRPr="004509DF" w:rsidRDefault="00F72392" w:rsidP="00FE5720">
            <w:pPr>
              <w:spacing w:before="20" w:after="20"/>
              <w:jc w:val="left"/>
              <w:rPr>
                <w:b/>
                <w:sz w:val="18"/>
                <w:szCs w:val="18"/>
              </w:rPr>
            </w:pPr>
            <w:r w:rsidRPr="004509DF">
              <w:rPr>
                <w:b/>
                <w:sz w:val="18"/>
              </w:rPr>
              <w:t>DATOS DEL ARTÍCULO 7 (Anexo C, Grupo l)</w:t>
            </w:r>
          </w:p>
        </w:tc>
        <w:tc>
          <w:tcPr>
            <w:tcW w:w="2486" w:type="dxa"/>
            <w:vAlign w:val="center"/>
            <w:hideMark/>
          </w:tcPr>
          <w:p w14:paraId="4CA24BDF" w14:textId="77777777" w:rsidR="00F72392" w:rsidRPr="004509DF" w:rsidRDefault="00F72392" w:rsidP="00FE5720">
            <w:pPr>
              <w:spacing w:before="20" w:after="20"/>
              <w:jc w:val="center"/>
              <w:rPr>
                <w:b/>
                <w:bCs/>
                <w:sz w:val="18"/>
                <w:szCs w:val="18"/>
              </w:rPr>
            </w:pPr>
            <w:r w:rsidRPr="004509DF">
              <w:rPr>
                <w:b/>
                <w:sz w:val="18"/>
              </w:rPr>
              <w:t>Año: 2025</w:t>
            </w:r>
          </w:p>
        </w:tc>
        <w:tc>
          <w:tcPr>
            <w:tcW w:w="2487" w:type="dxa"/>
            <w:vAlign w:val="center"/>
            <w:hideMark/>
          </w:tcPr>
          <w:p w14:paraId="0945849B" w14:textId="77777777" w:rsidR="00F72392" w:rsidRPr="004509DF" w:rsidRDefault="00F8043B" w:rsidP="00FE5720">
            <w:pPr>
              <w:spacing w:before="20" w:after="20"/>
              <w:jc w:val="right"/>
              <w:rPr>
                <w:sz w:val="18"/>
                <w:szCs w:val="18"/>
              </w:rPr>
            </w:pPr>
            <w:r w:rsidRPr="004509DF">
              <w:rPr>
                <w:sz w:val="18"/>
              </w:rPr>
              <w:t>5,62 toneladas PAO</w:t>
            </w:r>
          </w:p>
        </w:tc>
      </w:tr>
    </w:tbl>
    <w:p w14:paraId="602727F1" w14:textId="77777777" w:rsidR="00F72392" w:rsidRPr="004509DF" w:rsidRDefault="00F72392" w:rsidP="001C647F">
      <w:pPr>
        <w:spacing w:before="20" w:after="20"/>
        <w:jc w:val="center"/>
        <w:rPr>
          <w:sz w:val="18"/>
          <w:szCs w:val="18"/>
        </w:rPr>
      </w:pPr>
    </w:p>
    <w:tbl>
      <w:tblPr>
        <w:tblW w:w="5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259"/>
        <w:gridCol w:w="1170"/>
        <w:gridCol w:w="1441"/>
        <w:gridCol w:w="1529"/>
        <w:gridCol w:w="1529"/>
        <w:gridCol w:w="1218"/>
        <w:gridCol w:w="881"/>
        <w:gridCol w:w="653"/>
      </w:tblGrid>
      <w:tr w:rsidR="00F72392" w:rsidRPr="004509DF" w14:paraId="15CF8A15" w14:textId="77777777" w:rsidTr="003F5CAE">
        <w:trPr>
          <w:trHeight w:val="50"/>
          <w:jc w:val="center"/>
        </w:trPr>
        <w:tc>
          <w:tcPr>
            <w:tcW w:w="4321" w:type="pct"/>
            <w:gridSpan w:val="7"/>
            <w:tcBorders>
              <w:right w:val="single" w:sz="4" w:space="0" w:color="auto"/>
            </w:tcBorders>
            <w:hideMark/>
          </w:tcPr>
          <w:p w14:paraId="593440E2" w14:textId="77777777" w:rsidR="00F72392" w:rsidRPr="004509DF" w:rsidRDefault="00F72392" w:rsidP="00FE5720">
            <w:pPr>
              <w:spacing w:before="20" w:after="20"/>
              <w:jc w:val="left"/>
              <w:rPr>
                <w:b/>
                <w:sz w:val="18"/>
                <w:szCs w:val="18"/>
              </w:rPr>
            </w:pPr>
            <w:r w:rsidRPr="004509DF">
              <w:rPr>
                <w:b/>
                <w:sz w:val="18"/>
              </w:rPr>
              <w:t>DATOS SECTORIALES DEL PROGRAMA DE PAÍS (toneladas PAO)</w:t>
            </w:r>
          </w:p>
        </w:tc>
        <w:tc>
          <w:tcPr>
            <w:tcW w:w="390" w:type="pct"/>
            <w:tcBorders>
              <w:top w:val="single" w:sz="4" w:space="0" w:color="auto"/>
              <w:left w:val="single" w:sz="4" w:space="0" w:color="auto"/>
              <w:bottom w:val="single" w:sz="4" w:space="0" w:color="auto"/>
              <w:right w:val="nil"/>
            </w:tcBorders>
          </w:tcPr>
          <w:p w14:paraId="44AA135D" w14:textId="77777777" w:rsidR="00F72392" w:rsidRPr="004509DF" w:rsidRDefault="00F72392" w:rsidP="00FE5720">
            <w:pPr>
              <w:spacing w:before="20" w:after="20"/>
              <w:jc w:val="left"/>
              <w:rPr>
                <w:b/>
                <w:sz w:val="18"/>
                <w:szCs w:val="18"/>
              </w:rPr>
            </w:pPr>
            <w:r w:rsidRPr="004509DF">
              <w:rPr>
                <w:b/>
                <w:sz w:val="18"/>
              </w:rPr>
              <w:t>Año:</w:t>
            </w:r>
          </w:p>
        </w:tc>
        <w:tc>
          <w:tcPr>
            <w:tcW w:w="289" w:type="pct"/>
            <w:tcBorders>
              <w:top w:val="single" w:sz="4" w:space="0" w:color="auto"/>
              <w:left w:val="nil"/>
              <w:bottom w:val="single" w:sz="4" w:space="0" w:color="auto"/>
              <w:right w:val="single" w:sz="4" w:space="0" w:color="auto"/>
            </w:tcBorders>
          </w:tcPr>
          <w:p w14:paraId="4BB5BAE4" w14:textId="77777777" w:rsidR="00F72392" w:rsidRPr="004509DF" w:rsidRDefault="00F72392" w:rsidP="00FE5720">
            <w:pPr>
              <w:spacing w:before="20" w:after="20"/>
              <w:jc w:val="right"/>
              <w:rPr>
                <w:b/>
                <w:sz w:val="18"/>
                <w:szCs w:val="18"/>
              </w:rPr>
            </w:pPr>
            <w:r w:rsidRPr="004509DF">
              <w:rPr>
                <w:b/>
                <w:sz w:val="18"/>
              </w:rPr>
              <w:t>2025</w:t>
            </w:r>
          </w:p>
        </w:tc>
      </w:tr>
      <w:tr w:rsidR="00F72392" w:rsidRPr="004509DF" w14:paraId="69815022" w14:textId="77777777" w:rsidTr="003F5CAE">
        <w:trPr>
          <w:trHeight w:val="77"/>
          <w:jc w:val="center"/>
        </w:trPr>
        <w:tc>
          <w:tcPr>
            <w:tcW w:w="715" w:type="pct"/>
            <w:vMerge w:val="restart"/>
            <w:vAlign w:val="center"/>
            <w:hideMark/>
          </w:tcPr>
          <w:p w14:paraId="55F10585" w14:textId="77777777" w:rsidR="00F72392" w:rsidRPr="004509DF" w:rsidRDefault="00F72392" w:rsidP="00FE5720">
            <w:pPr>
              <w:spacing w:before="20" w:after="20"/>
              <w:jc w:val="center"/>
              <w:rPr>
                <w:sz w:val="18"/>
                <w:szCs w:val="18"/>
              </w:rPr>
            </w:pPr>
            <w:r w:rsidRPr="004509DF">
              <w:rPr>
                <w:sz w:val="18"/>
              </w:rPr>
              <w:t>Sustancia</w:t>
            </w:r>
          </w:p>
        </w:tc>
        <w:tc>
          <w:tcPr>
            <w:tcW w:w="557" w:type="pct"/>
            <w:vMerge w:val="restart"/>
            <w:vAlign w:val="center"/>
            <w:hideMark/>
          </w:tcPr>
          <w:p w14:paraId="1A6D9A82" w14:textId="77777777" w:rsidR="00F72392" w:rsidRPr="004509DF" w:rsidRDefault="00F72392" w:rsidP="00FE5720">
            <w:pPr>
              <w:spacing w:before="20" w:after="20"/>
              <w:jc w:val="center"/>
              <w:rPr>
                <w:sz w:val="18"/>
                <w:szCs w:val="18"/>
              </w:rPr>
            </w:pPr>
            <w:r w:rsidRPr="004509DF">
              <w:rPr>
                <w:sz w:val="18"/>
              </w:rPr>
              <w:t>Aerosoles</w:t>
            </w:r>
          </w:p>
        </w:tc>
        <w:tc>
          <w:tcPr>
            <w:tcW w:w="518" w:type="pct"/>
            <w:vMerge w:val="restart"/>
            <w:vAlign w:val="center"/>
            <w:hideMark/>
          </w:tcPr>
          <w:p w14:paraId="79CD22DF" w14:textId="77777777" w:rsidR="00F72392" w:rsidRPr="004509DF" w:rsidRDefault="00F72392" w:rsidP="00FE5720">
            <w:pPr>
              <w:spacing w:before="20" w:after="20"/>
              <w:jc w:val="center"/>
              <w:rPr>
                <w:sz w:val="18"/>
                <w:szCs w:val="18"/>
              </w:rPr>
            </w:pPr>
            <w:r w:rsidRPr="004509DF">
              <w:rPr>
                <w:sz w:val="18"/>
              </w:rPr>
              <w:t>Espumas</w:t>
            </w:r>
          </w:p>
        </w:tc>
        <w:tc>
          <w:tcPr>
            <w:tcW w:w="638" w:type="pct"/>
            <w:vMerge w:val="restart"/>
            <w:vAlign w:val="center"/>
            <w:hideMark/>
          </w:tcPr>
          <w:p w14:paraId="4DBFC750" w14:textId="77777777" w:rsidR="00F72392" w:rsidRPr="004509DF" w:rsidRDefault="00F72392" w:rsidP="00FE5720">
            <w:pPr>
              <w:spacing w:before="20" w:after="20"/>
              <w:jc w:val="center"/>
              <w:rPr>
                <w:sz w:val="18"/>
                <w:szCs w:val="18"/>
              </w:rPr>
            </w:pPr>
            <w:r w:rsidRPr="004509DF">
              <w:rPr>
                <w:sz w:val="18"/>
              </w:rPr>
              <w:t>Extinción de incendios</w:t>
            </w:r>
          </w:p>
        </w:tc>
        <w:tc>
          <w:tcPr>
            <w:tcW w:w="1354" w:type="pct"/>
            <w:gridSpan w:val="2"/>
            <w:vAlign w:val="center"/>
            <w:hideMark/>
          </w:tcPr>
          <w:p w14:paraId="514E1D1B" w14:textId="77777777" w:rsidR="00F72392" w:rsidRPr="004509DF" w:rsidRDefault="00F72392" w:rsidP="00FE5720">
            <w:pPr>
              <w:spacing w:before="20" w:after="20"/>
              <w:jc w:val="center"/>
              <w:rPr>
                <w:sz w:val="18"/>
                <w:szCs w:val="18"/>
              </w:rPr>
            </w:pPr>
            <w:r w:rsidRPr="004509DF">
              <w:rPr>
                <w:sz w:val="18"/>
              </w:rPr>
              <w:t>Refrigeración</w:t>
            </w:r>
          </w:p>
        </w:tc>
        <w:tc>
          <w:tcPr>
            <w:tcW w:w="539" w:type="pct"/>
            <w:vMerge w:val="restart"/>
            <w:vAlign w:val="center"/>
            <w:hideMark/>
          </w:tcPr>
          <w:p w14:paraId="3CBF74DE" w14:textId="77777777" w:rsidR="00F72392" w:rsidRPr="004509DF" w:rsidRDefault="00F72392" w:rsidP="00FE5720">
            <w:pPr>
              <w:spacing w:before="20" w:after="20"/>
              <w:jc w:val="center"/>
              <w:rPr>
                <w:sz w:val="18"/>
                <w:szCs w:val="18"/>
              </w:rPr>
            </w:pPr>
            <w:r w:rsidRPr="004509DF">
              <w:rPr>
                <w:sz w:val="18"/>
              </w:rPr>
              <w:t>Disolventes</w:t>
            </w:r>
          </w:p>
        </w:tc>
        <w:tc>
          <w:tcPr>
            <w:tcW w:w="679" w:type="pct"/>
            <w:gridSpan w:val="2"/>
            <w:vMerge w:val="restart"/>
            <w:tcBorders>
              <w:top w:val="single" w:sz="4" w:space="0" w:color="auto"/>
            </w:tcBorders>
            <w:vAlign w:val="center"/>
            <w:hideMark/>
          </w:tcPr>
          <w:p w14:paraId="17F33D3F" w14:textId="77777777" w:rsidR="00F72392" w:rsidRPr="004509DF" w:rsidRDefault="00F72392" w:rsidP="00FE5720">
            <w:pPr>
              <w:spacing w:before="20" w:after="20"/>
              <w:jc w:val="center"/>
              <w:rPr>
                <w:sz w:val="18"/>
                <w:szCs w:val="18"/>
              </w:rPr>
            </w:pPr>
            <w:r w:rsidRPr="004509DF">
              <w:rPr>
                <w:sz w:val="18"/>
              </w:rPr>
              <w:t>Consumo total del sector</w:t>
            </w:r>
          </w:p>
        </w:tc>
      </w:tr>
      <w:tr w:rsidR="00F72392" w:rsidRPr="004509DF" w14:paraId="34B3E0AD" w14:textId="77777777" w:rsidTr="003F5CAE">
        <w:trPr>
          <w:trHeight w:val="77"/>
          <w:jc w:val="center"/>
        </w:trPr>
        <w:tc>
          <w:tcPr>
            <w:tcW w:w="715" w:type="pct"/>
            <w:vMerge/>
            <w:tcBorders>
              <w:bottom w:val="single" w:sz="4" w:space="0" w:color="auto"/>
            </w:tcBorders>
            <w:hideMark/>
          </w:tcPr>
          <w:p w14:paraId="20EC15AD" w14:textId="77777777" w:rsidR="00F72392" w:rsidRPr="004509DF" w:rsidRDefault="00F72392" w:rsidP="00FE5720">
            <w:pPr>
              <w:spacing w:before="20" w:after="20"/>
              <w:jc w:val="center"/>
              <w:rPr>
                <w:sz w:val="18"/>
                <w:szCs w:val="18"/>
              </w:rPr>
            </w:pPr>
          </w:p>
        </w:tc>
        <w:tc>
          <w:tcPr>
            <w:tcW w:w="557" w:type="pct"/>
            <w:vMerge/>
            <w:tcBorders>
              <w:bottom w:val="single" w:sz="4" w:space="0" w:color="auto"/>
            </w:tcBorders>
          </w:tcPr>
          <w:p w14:paraId="1C0841DA" w14:textId="77777777" w:rsidR="00F72392" w:rsidRPr="004509DF" w:rsidRDefault="00F72392" w:rsidP="00FE5720">
            <w:pPr>
              <w:spacing w:before="20" w:after="20"/>
              <w:jc w:val="center"/>
              <w:rPr>
                <w:sz w:val="18"/>
                <w:szCs w:val="18"/>
              </w:rPr>
            </w:pPr>
          </w:p>
        </w:tc>
        <w:tc>
          <w:tcPr>
            <w:tcW w:w="518" w:type="pct"/>
            <w:vMerge/>
            <w:tcBorders>
              <w:bottom w:val="single" w:sz="4" w:space="0" w:color="auto"/>
            </w:tcBorders>
          </w:tcPr>
          <w:p w14:paraId="03D2FDEC" w14:textId="77777777" w:rsidR="00F72392" w:rsidRPr="004509DF" w:rsidRDefault="00F72392" w:rsidP="00FE5720">
            <w:pPr>
              <w:spacing w:before="20" w:after="20"/>
              <w:jc w:val="center"/>
              <w:rPr>
                <w:sz w:val="18"/>
                <w:szCs w:val="18"/>
              </w:rPr>
            </w:pPr>
          </w:p>
        </w:tc>
        <w:tc>
          <w:tcPr>
            <w:tcW w:w="638" w:type="pct"/>
            <w:vMerge/>
            <w:tcBorders>
              <w:bottom w:val="single" w:sz="4" w:space="0" w:color="auto"/>
            </w:tcBorders>
          </w:tcPr>
          <w:p w14:paraId="50640347" w14:textId="77777777" w:rsidR="00F72392" w:rsidRPr="004509DF" w:rsidRDefault="00F72392" w:rsidP="00FE5720">
            <w:pPr>
              <w:spacing w:before="20" w:after="20"/>
              <w:jc w:val="center"/>
              <w:rPr>
                <w:sz w:val="18"/>
                <w:szCs w:val="18"/>
              </w:rPr>
            </w:pPr>
          </w:p>
        </w:tc>
        <w:tc>
          <w:tcPr>
            <w:tcW w:w="677" w:type="pct"/>
            <w:hideMark/>
          </w:tcPr>
          <w:p w14:paraId="27DE8BA4" w14:textId="77777777" w:rsidR="00F72392" w:rsidRPr="004509DF" w:rsidRDefault="00F72392" w:rsidP="00FE5720">
            <w:pPr>
              <w:spacing w:before="20" w:after="20"/>
              <w:ind w:left="-250" w:right="-179"/>
              <w:jc w:val="center"/>
              <w:rPr>
                <w:sz w:val="18"/>
                <w:szCs w:val="18"/>
              </w:rPr>
            </w:pPr>
            <w:r w:rsidRPr="004509DF">
              <w:rPr>
                <w:sz w:val="18"/>
              </w:rPr>
              <w:t>Fabricación</w:t>
            </w:r>
          </w:p>
        </w:tc>
        <w:tc>
          <w:tcPr>
            <w:tcW w:w="677" w:type="pct"/>
            <w:hideMark/>
          </w:tcPr>
          <w:p w14:paraId="1F9FEC0B" w14:textId="77777777" w:rsidR="00F72392" w:rsidRPr="004509DF" w:rsidRDefault="00F72392" w:rsidP="00FE5720">
            <w:pPr>
              <w:spacing w:before="20" w:after="20"/>
              <w:jc w:val="center"/>
              <w:rPr>
                <w:sz w:val="18"/>
                <w:szCs w:val="18"/>
              </w:rPr>
            </w:pPr>
            <w:r w:rsidRPr="004509DF">
              <w:rPr>
                <w:sz w:val="18"/>
              </w:rPr>
              <w:t>Servicio y mantenimiento</w:t>
            </w:r>
          </w:p>
        </w:tc>
        <w:tc>
          <w:tcPr>
            <w:tcW w:w="539" w:type="pct"/>
            <w:vMerge/>
            <w:tcBorders>
              <w:bottom w:val="single" w:sz="4" w:space="0" w:color="auto"/>
            </w:tcBorders>
          </w:tcPr>
          <w:p w14:paraId="552F3730" w14:textId="77777777" w:rsidR="00F72392" w:rsidRPr="004509DF" w:rsidRDefault="00F72392" w:rsidP="00FE5720">
            <w:pPr>
              <w:spacing w:before="20" w:after="20"/>
              <w:jc w:val="right"/>
              <w:rPr>
                <w:sz w:val="18"/>
                <w:szCs w:val="18"/>
              </w:rPr>
            </w:pPr>
          </w:p>
        </w:tc>
        <w:tc>
          <w:tcPr>
            <w:tcW w:w="679" w:type="pct"/>
            <w:gridSpan w:val="2"/>
            <w:vMerge/>
            <w:tcBorders>
              <w:bottom w:val="single" w:sz="4" w:space="0" w:color="auto"/>
            </w:tcBorders>
          </w:tcPr>
          <w:p w14:paraId="0F651A6F" w14:textId="77777777" w:rsidR="00F72392" w:rsidRPr="004509DF" w:rsidRDefault="00F72392" w:rsidP="00FE5720">
            <w:pPr>
              <w:spacing w:before="20" w:after="20"/>
              <w:jc w:val="right"/>
              <w:rPr>
                <w:sz w:val="18"/>
                <w:szCs w:val="18"/>
              </w:rPr>
            </w:pPr>
          </w:p>
        </w:tc>
      </w:tr>
      <w:tr w:rsidR="00F72392" w:rsidRPr="004509DF" w14:paraId="393989C4" w14:textId="77777777" w:rsidTr="003F5CAE">
        <w:trPr>
          <w:trHeight w:val="249"/>
          <w:jc w:val="center"/>
        </w:trPr>
        <w:tc>
          <w:tcPr>
            <w:tcW w:w="715" w:type="pct"/>
            <w:tcBorders>
              <w:top w:val="single" w:sz="4" w:space="0" w:color="auto"/>
            </w:tcBorders>
            <w:hideMark/>
          </w:tcPr>
          <w:p w14:paraId="73BF2A35" w14:textId="77777777" w:rsidR="00F72392" w:rsidRPr="004509DF" w:rsidRDefault="00F72392" w:rsidP="00FE5720">
            <w:pPr>
              <w:spacing w:before="20" w:after="20"/>
              <w:ind w:left="32"/>
              <w:jc w:val="left"/>
              <w:rPr>
                <w:sz w:val="18"/>
                <w:szCs w:val="18"/>
              </w:rPr>
            </w:pPr>
            <w:r w:rsidRPr="004509DF">
              <w:rPr>
                <w:sz w:val="18"/>
              </w:rPr>
              <w:t>HCFC-22</w:t>
            </w:r>
          </w:p>
        </w:tc>
        <w:tc>
          <w:tcPr>
            <w:tcW w:w="557" w:type="pct"/>
            <w:tcBorders>
              <w:top w:val="single" w:sz="4" w:space="0" w:color="auto"/>
            </w:tcBorders>
          </w:tcPr>
          <w:p w14:paraId="07C31989" w14:textId="77777777" w:rsidR="00F72392" w:rsidRPr="004509DF" w:rsidRDefault="00F72392" w:rsidP="00FE5720">
            <w:pPr>
              <w:spacing w:before="20" w:after="20"/>
              <w:jc w:val="right"/>
              <w:rPr>
                <w:sz w:val="18"/>
                <w:szCs w:val="18"/>
              </w:rPr>
            </w:pPr>
          </w:p>
        </w:tc>
        <w:tc>
          <w:tcPr>
            <w:tcW w:w="518" w:type="pct"/>
            <w:tcBorders>
              <w:top w:val="single" w:sz="4" w:space="0" w:color="auto"/>
            </w:tcBorders>
          </w:tcPr>
          <w:p w14:paraId="62B74DFF" w14:textId="77777777" w:rsidR="00F72392" w:rsidRPr="004509DF" w:rsidRDefault="00F72392" w:rsidP="00FE5720">
            <w:pPr>
              <w:spacing w:before="20" w:after="20"/>
              <w:jc w:val="right"/>
              <w:rPr>
                <w:sz w:val="18"/>
                <w:szCs w:val="18"/>
              </w:rPr>
            </w:pPr>
          </w:p>
        </w:tc>
        <w:tc>
          <w:tcPr>
            <w:tcW w:w="638" w:type="pct"/>
            <w:tcBorders>
              <w:top w:val="single" w:sz="4" w:space="0" w:color="auto"/>
            </w:tcBorders>
          </w:tcPr>
          <w:p w14:paraId="2D381671" w14:textId="77777777" w:rsidR="00F72392" w:rsidRPr="004509DF" w:rsidRDefault="00F72392" w:rsidP="00FE5720">
            <w:pPr>
              <w:spacing w:before="20" w:after="20"/>
              <w:jc w:val="right"/>
              <w:rPr>
                <w:sz w:val="18"/>
                <w:szCs w:val="18"/>
              </w:rPr>
            </w:pPr>
          </w:p>
        </w:tc>
        <w:tc>
          <w:tcPr>
            <w:tcW w:w="677" w:type="pct"/>
          </w:tcPr>
          <w:p w14:paraId="5BC1A89E" w14:textId="77777777" w:rsidR="00F72392" w:rsidRPr="004509DF" w:rsidRDefault="00F72392" w:rsidP="00FE5720">
            <w:pPr>
              <w:spacing w:before="20" w:after="20"/>
              <w:jc w:val="right"/>
              <w:rPr>
                <w:sz w:val="18"/>
                <w:szCs w:val="18"/>
              </w:rPr>
            </w:pPr>
          </w:p>
        </w:tc>
        <w:tc>
          <w:tcPr>
            <w:tcW w:w="677" w:type="pct"/>
          </w:tcPr>
          <w:p w14:paraId="2F6E9EC0" w14:textId="77777777" w:rsidR="00F72392" w:rsidRPr="004509DF" w:rsidRDefault="0066267E" w:rsidP="00FE5720">
            <w:pPr>
              <w:spacing w:before="20" w:after="20"/>
              <w:jc w:val="right"/>
              <w:rPr>
                <w:sz w:val="18"/>
                <w:szCs w:val="18"/>
              </w:rPr>
            </w:pPr>
            <w:r w:rsidRPr="004509DF">
              <w:rPr>
                <w:color w:val="000000"/>
                <w:sz w:val="18"/>
              </w:rPr>
              <w:t>5,62</w:t>
            </w:r>
          </w:p>
        </w:tc>
        <w:tc>
          <w:tcPr>
            <w:tcW w:w="539" w:type="pct"/>
          </w:tcPr>
          <w:p w14:paraId="41CCEE10" w14:textId="77777777" w:rsidR="00F72392" w:rsidRPr="004509DF" w:rsidRDefault="00F72392" w:rsidP="00FE5720">
            <w:pPr>
              <w:spacing w:before="20" w:after="20"/>
              <w:jc w:val="right"/>
              <w:rPr>
                <w:sz w:val="18"/>
                <w:szCs w:val="18"/>
              </w:rPr>
            </w:pPr>
          </w:p>
        </w:tc>
        <w:tc>
          <w:tcPr>
            <w:tcW w:w="679" w:type="pct"/>
            <w:gridSpan w:val="2"/>
          </w:tcPr>
          <w:p w14:paraId="6DD5AC22" w14:textId="77777777" w:rsidR="00F72392" w:rsidRPr="004509DF" w:rsidRDefault="0066267E" w:rsidP="00FE5720">
            <w:pPr>
              <w:spacing w:before="20" w:after="20"/>
              <w:jc w:val="right"/>
              <w:rPr>
                <w:sz w:val="18"/>
                <w:szCs w:val="18"/>
              </w:rPr>
            </w:pPr>
            <w:r w:rsidRPr="004509DF">
              <w:rPr>
                <w:sz w:val="18"/>
              </w:rPr>
              <w:t>5,62</w:t>
            </w:r>
          </w:p>
        </w:tc>
      </w:tr>
    </w:tbl>
    <w:p w14:paraId="6F66EFF4" w14:textId="77777777" w:rsidR="00F72392" w:rsidRPr="004509DF" w:rsidRDefault="00F72392" w:rsidP="001C647F">
      <w:pPr>
        <w:spacing w:before="20" w:after="20"/>
        <w:jc w:val="center"/>
        <w:rPr>
          <w:sz w:val="18"/>
          <w:szCs w:val="18"/>
        </w:rPr>
      </w:pPr>
    </w:p>
    <w:tbl>
      <w:tblPr>
        <w:tblW w:w="5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88"/>
        <w:gridCol w:w="2012"/>
        <w:gridCol w:w="4310"/>
        <w:gridCol w:w="1359"/>
      </w:tblGrid>
      <w:tr w:rsidR="00F72392" w:rsidRPr="004509DF" w14:paraId="1CBF5F38" w14:textId="77777777" w:rsidTr="003F5CAE">
        <w:trPr>
          <w:trHeight w:val="79"/>
          <w:jc w:val="center"/>
        </w:trPr>
        <w:tc>
          <w:tcPr>
            <w:tcW w:w="11269" w:type="dxa"/>
            <w:gridSpan w:val="4"/>
            <w:vAlign w:val="center"/>
            <w:hideMark/>
          </w:tcPr>
          <w:p w14:paraId="5B1055FB" w14:textId="77777777" w:rsidR="00F72392" w:rsidRPr="004509DF" w:rsidRDefault="00F72392" w:rsidP="00FE5720">
            <w:pPr>
              <w:spacing w:before="20" w:after="20"/>
              <w:jc w:val="left"/>
              <w:rPr>
                <w:b/>
                <w:sz w:val="18"/>
                <w:szCs w:val="18"/>
              </w:rPr>
            </w:pPr>
            <w:r w:rsidRPr="004509DF">
              <w:rPr>
                <w:b/>
                <w:sz w:val="18"/>
              </w:rPr>
              <w:t>DATOS SOBRE EL CONSUMO (toneladas PAO)</w:t>
            </w:r>
          </w:p>
        </w:tc>
      </w:tr>
      <w:tr w:rsidR="00F72392" w:rsidRPr="004509DF" w14:paraId="6DD85B77" w14:textId="77777777" w:rsidTr="003F5CAE">
        <w:trPr>
          <w:trHeight w:val="140"/>
          <w:jc w:val="center"/>
        </w:trPr>
        <w:tc>
          <w:tcPr>
            <w:tcW w:w="3588" w:type="dxa"/>
            <w:vAlign w:val="center"/>
            <w:hideMark/>
          </w:tcPr>
          <w:p w14:paraId="74B4A36F" w14:textId="77777777" w:rsidR="00F72392" w:rsidRPr="004509DF" w:rsidRDefault="00F72392" w:rsidP="00FE5720">
            <w:pPr>
              <w:spacing w:before="20" w:after="20"/>
              <w:jc w:val="center"/>
              <w:rPr>
                <w:sz w:val="18"/>
                <w:szCs w:val="18"/>
              </w:rPr>
            </w:pPr>
            <w:r w:rsidRPr="004509DF">
              <w:rPr>
                <w:sz w:val="18"/>
              </w:rPr>
              <w:t>Nivel básico en 2009-2010:</w:t>
            </w:r>
          </w:p>
        </w:tc>
        <w:tc>
          <w:tcPr>
            <w:tcW w:w="2012" w:type="dxa"/>
            <w:vAlign w:val="center"/>
            <w:hideMark/>
          </w:tcPr>
          <w:p w14:paraId="50EECD16" w14:textId="77777777" w:rsidR="00F72392" w:rsidRPr="004509DF" w:rsidRDefault="00DF1ABA" w:rsidP="00FE5720">
            <w:pPr>
              <w:spacing w:before="20" w:after="20"/>
              <w:jc w:val="right"/>
              <w:rPr>
                <w:sz w:val="18"/>
                <w:szCs w:val="18"/>
              </w:rPr>
            </w:pPr>
            <w:r w:rsidRPr="004509DF">
              <w:rPr>
                <w:color w:val="000000"/>
                <w:sz w:val="18"/>
              </w:rPr>
              <w:t>24,78</w:t>
            </w:r>
          </w:p>
        </w:tc>
        <w:tc>
          <w:tcPr>
            <w:tcW w:w="4310" w:type="dxa"/>
            <w:vAlign w:val="center"/>
            <w:hideMark/>
          </w:tcPr>
          <w:p w14:paraId="743EB741" w14:textId="77777777" w:rsidR="00F72392" w:rsidRPr="004509DF" w:rsidRDefault="00F72392" w:rsidP="00FE5720">
            <w:pPr>
              <w:spacing w:before="20" w:after="20"/>
              <w:jc w:val="center"/>
              <w:rPr>
                <w:sz w:val="18"/>
                <w:szCs w:val="18"/>
              </w:rPr>
            </w:pPr>
            <w:r w:rsidRPr="004509DF">
              <w:rPr>
                <w:sz w:val="18"/>
              </w:rPr>
              <w:t>Punto de partida para reducciones acumuladas sostenidas:</w:t>
            </w:r>
          </w:p>
        </w:tc>
        <w:tc>
          <w:tcPr>
            <w:tcW w:w="1359" w:type="dxa"/>
            <w:vAlign w:val="center"/>
            <w:hideMark/>
          </w:tcPr>
          <w:p w14:paraId="250938E4" w14:textId="77777777" w:rsidR="00F72392" w:rsidRPr="004509DF" w:rsidRDefault="00DF1ABA" w:rsidP="00FE5720">
            <w:pPr>
              <w:spacing w:before="20" w:after="20"/>
              <w:jc w:val="right"/>
              <w:rPr>
                <w:sz w:val="18"/>
                <w:szCs w:val="18"/>
              </w:rPr>
            </w:pPr>
            <w:r w:rsidRPr="004509DF">
              <w:rPr>
                <w:sz w:val="18"/>
              </w:rPr>
              <w:t>27,28</w:t>
            </w:r>
          </w:p>
        </w:tc>
      </w:tr>
      <w:tr w:rsidR="00F72392" w:rsidRPr="004509DF" w14:paraId="674DF008" w14:textId="77777777" w:rsidTr="003F5CAE">
        <w:trPr>
          <w:trHeight w:val="215"/>
          <w:jc w:val="center"/>
        </w:trPr>
        <w:tc>
          <w:tcPr>
            <w:tcW w:w="11269" w:type="dxa"/>
            <w:gridSpan w:val="4"/>
            <w:vAlign w:val="center"/>
            <w:hideMark/>
          </w:tcPr>
          <w:p w14:paraId="2039DFDD" w14:textId="77777777" w:rsidR="00F72392" w:rsidRPr="004509DF" w:rsidRDefault="00F72392" w:rsidP="00FE5720">
            <w:pPr>
              <w:spacing w:before="20" w:after="20"/>
              <w:jc w:val="left"/>
              <w:rPr>
                <w:b/>
                <w:sz w:val="18"/>
                <w:szCs w:val="18"/>
              </w:rPr>
            </w:pPr>
            <w:r w:rsidRPr="004509DF">
              <w:rPr>
                <w:b/>
                <w:sz w:val="18"/>
              </w:rPr>
              <w:t>CONSUMO ADMISIBLE PARA FINANCIAMIENTO</w:t>
            </w:r>
          </w:p>
        </w:tc>
      </w:tr>
      <w:tr w:rsidR="00F72392" w:rsidRPr="004509DF" w14:paraId="399A437A" w14:textId="77777777" w:rsidTr="003F5CAE">
        <w:trPr>
          <w:trHeight w:val="50"/>
          <w:jc w:val="center"/>
        </w:trPr>
        <w:tc>
          <w:tcPr>
            <w:tcW w:w="3588" w:type="dxa"/>
            <w:vAlign w:val="center"/>
            <w:hideMark/>
          </w:tcPr>
          <w:p w14:paraId="33FE5F70" w14:textId="77777777" w:rsidR="00F72392" w:rsidRPr="004509DF" w:rsidRDefault="00F72392" w:rsidP="00FE5720">
            <w:pPr>
              <w:spacing w:before="20" w:after="20"/>
              <w:jc w:val="center"/>
              <w:rPr>
                <w:sz w:val="18"/>
                <w:szCs w:val="18"/>
              </w:rPr>
            </w:pPr>
            <w:r w:rsidRPr="004509DF">
              <w:rPr>
                <w:sz w:val="18"/>
              </w:rPr>
              <w:t>Ya aprobado:</w:t>
            </w:r>
          </w:p>
        </w:tc>
        <w:tc>
          <w:tcPr>
            <w:tcW w:w="2012" w:type="dxa"/>
            <w:vAlign w:val="center"/>
            <w:hideMark/>
          </w:tcPr>
          <w:p w14:paraId="40A0212E" w14:textId="77777777" w:rsidR="00F72392" w:rsidRPr="004509DF" w:rsidRDefault="00DF1ABA" w:rsidP="00FE5720">
            <w:pPr>
              <w:spacing w:before="20" w:after="20"/>
              <w:jc w:val="right"/>
              <w:rPr>
                <w:sz w:val="18"/>
                <w:szCs w:val="18"/>
              </w:rPr>
            </w:pPr>
            <w:r w:rsidRPr="004509DF">
              <w:rPr>
                <w:color w:val="000000"/>
                <w:sz w:val="18"/>
              </w:rPr>
              <w:t>13,89</w:t>
            </w:r>
          </w:p>
        </w:tc>
        <w:tc>
          <w:tcPr>
            <w:tcW w:w="4310" w:type="dxa"/>
            <w:vAlign w:val="center"/>
            <w:hideMark/>
          </w:tcPr>
          <w:p w14:paraId="5A25C537" w14:textId="77777777" w:rsidR="00F72392" w:rsidRPr="004509DF" w:rsidRDefault="00F72392" w:rsidP="00FE5720">
            <w:pPr>
              <w:spacing w:before="20" w:after="20"/>
              <w:jc w:val="center"/>
              <w:rPr>
                <w:i/>
                <w:sz w:val="18"/>
                <w:szCs w:val="18"/>
              </w:rPr>
            </w:pPr>
            <w:r w:rsidRPr="004509DF">
              <w:rPr>
                <w:sz w:val="18"/>
              </w:rPr>
              <w:t>Restante:</w:t>
            </w:r>
          </w:p>
        </w:tc>
        <w:tc>
          <w:tcPr>
            <w:tcW w:w="1359" w:type="dxa"/>
            <w:vAlign w:val="center"/>
            <w:hideMark/>
          </w:tcPr>
          <w:p w14:paraId="760BB135" w14:textId="77777777" w:rsidR="00F72392" w:rsidRPr="004509DF" w:rsidRDefault="00A50D97" w:rsidP="00FE5720">
            <w:pPr>
              <w:spacing w:before="20" w:after="20"/>
              <w:jc w:val="right"/>
              <w:rPr>
                <w:sz w:val="18"/>
                <w:szCs w:val="18"/>
              </w:rPr>
            </w:pPr>
            <w:r w:rsidRPr="004509DF">
              <w:rPr>
                <w:color w:val="000000"/>
                <w:sz w:val="18"/>
              </w:rPr>
              <w:t>0,00</w:t>
            </w:r>
          </w:p>
        </w:tc>
      </w:tr>
    </w:tbl>
    <w:p w14:paraId="6E1B77A9" w14:textId="77777777" w:rsidR="00F72392" w:rsidRPr="004509DF" w:rsidRDefault="00F72392" w:rsidP="001C647F">
      <w:pPr>
        <w:spacing w:before="20" w:after="20"/>
        <w:jc w:val="center"/>
        <w:rPr>
          <w:sz w:val="18"/>
          <w:szCs w:val="18"/>
        </w:rPr>
      </w:pPr>
    </w:p>
    <w:tbl>
      <w:tblPr>
        <w:tblW w:w="59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4283"/>
        <w:gridCol w:w="1417"/>
        <w:gridCol w:w="1417"/>
        <w:gridCol w:w="1417"/>
        <w:gridCol w:w="1417"/>
      </w:tblGrid>
      <w:tr w:rsidR="00F72392" w:rsidRPr="004509DF" w14:paraId="4CE5B8D8" w14:textId="77777777" w:rsidTr="003F5CAE">
        <w:trPr>
          <w:trHeight w:val="50"/>
          <w:jc w:val="center"/>
        </w:trPr>
        <w:tc>
          <w:tcPr>
            <w:tcW w:w="2491" w:type="pct"/>
            <w:gridSpan w:val="2"/>
            <w:vAlign w:val="center"/>
            <w:hideMark/>
          </w:tcPr>
          <w:p w14:paraId="2ECA6E27" w14:textId="77777777" w:rsidR="00F72392" w:rsidRPr="004509DF" w:rsidRDefault="00F72392" w:rsidP="00FE5720">
            <w:pPr>
              <w:spacing w:before="20" w:after="20"/>
              <w:jc w:val="left"/>
              <w:rPr>
                <w:b/>
                <w:sz w:val="18"/>
                <w:szCs w:val="18"/>
              </w:rPr>
            </w:pPr>
            <w:r w:rsidRPr="004509DF">
              <w:rPr>
                <w:b/>
                <w:sz w:val="18"/>
              </w:rPr>
              <w:t>PLAN ADMINISTRATIVO RESPALDADO</w:t>
            </w:r>
          </w:p>
        </w:tc>
        <w:tc>
          <w:tcPr>
            <w:tcW w:w="627" w:type="pct"/>
            <w:vAlign w:val="center"/>
            <w:hideMark/>
          </w:tcPr>
          <w:p w14:paraId="26F0AD67" w14:textId="77777777" w:rsidR="00F72392" w:rsidRPr="004509DF" w:rsidRDefault="00F72392" w:rsidP="00FE5720">
            <w:pPr>
              <w:spacing w:before="20" w:after="20"/>
              <w:jc w:val="center"/>
              <w:rPr>
                <w:b/>
                <w:sz w:val="18"/>
                <w:szCs w:val="18"/>
              </w:rPr>
            </w:pPr>
            <w:r w:rsidRPr="004509DF">
              <w:rPr>
                <w:b/>
                <w:sz w:val="18"/>
              </w:rPr>
              <w:t>2026</w:t>
            </w:r>
          </w:p>
        </w:tc>
        <w:tc>
          <w:tcPr>
            <w:tcW w:w="627" w:type="pct"/>
            <w:vAlign w:val="center"/>
            <w:hideMark/>
          </w:tcPr>
          <w:p w14:paraId="7A391D15" w14:textId="77777777" w:rsidR="00F72392" w:rsidRPr="004509DF" w:rsidRDefault="00F72392" w:rsidP="00FE5720">
            <w:pPr>
              <w:spacing w:before="20" w:after="20"/>
              <w:jc w:val="center"/>
              <w:rPr>
                <w:b/>
                <w:sz w:val="18"/>
                <w:szCs w:val="18"/>
              </w:rPr>
            </w:pPr>
            <w:r w:rsidRPr="004509DF">
              <w:rPr>
                <w:b/>
                <w:sz w:val="18"/>
              </w:rPr>
              <w:t>2027</w:t>
            </w:r>
          </w:p>
        </w:tc>
        <w:tc>
          <w:tcPr>
            <w:tcW w:w="627" w:type="pct"/>
            <w:vAlign w:val="center"/>
            <w:hideMark/>
          </w:tcPr>
          <w:p w14:paraId="7C1DB892" w14:textId="77777777" w:rsidR="00F72392" w:rsidRPr="004509DF" w:rsidRDefault="00F72392" w:rsidP="00FE5720">
            <w:pPr>
              <w:spacing w:before="20" w:after="20"/>
              <w:jc w:val="center"/>
              <w:rPr>
                <w:b/>
                <w:sz w:val="18"/>
                <w:szCs w:val="18"/>
              </w:rPr>
            </w:pPr>
            <w:r w:rsidRPr="004509DF">
              <w:rPr>
                <w:b/>
                <w:sz w:val="18"/>
              </w:rPr>
              <w:t>2028</w:t>
            </w:r>
          </w:p>
        </w:tc>
        <w:tc>
          <w:tcPr>
            <w:tcW w:w="627" w:type="pct"/>
            <w:vAlign w:val="center"/>
            <w:hideMark/>
          </w:tcPr>
          <w:p w14:paraId="1B3EA251" w14:textId="77777777" w:rsidR="00F72392" w:rsidRPr="004509DF" w:rsidRDefault="00F72392" w:rsidP="00FE5720">
            <w:pPr>
              <w:spacing w:before="20" w:after="20"/>
              <w:jc w:val="center"/>
              <w:rPr>
                <w:b/>
                <w:sz w:val="18"/>
                <w:szCs w:val="18"/>
              </w:rPr>
            </w:pPr>
            <w:r w:rsidRPr="004509DF">
              <w:rPr>
                <w:b/>
                <w:sz w:val="18"/>
              </w:rPr>
              <w:t>Total</w:t>
            </w:r>
          </w:p>
        </w:tc>
      </w:tr>
      <w:tr w:rsidR="009E30F4" w:rsidRPr="004509DF" w14:paraId="17F5339D" w14:textId="77777777" w:rsidTr="003F5CAE">
        <w:trPr>
          <w:trHeight w:val="187"/>
          <w:jc w:val="center"/>
        </w:trPr>
        <w:tc>
          <w:tcPr>
            <w:tcW w:w="595" w:type="pct"/>
            <w:vMerge w:val="restart"/>
            <w:vAlign w:val="center"/>
            <w:hideMark/>
          </w:tcPr>
          <w:p w14:paraId="23F111E2" w14:textId="77777777" w:rsidR="009E30F4" w:rsidRPr="004509DF" w:rsidRDefault="009E30F4" w:rsidP="00FE5720">
            <w:pPr>
              <w:spacing w:before="20" w:after="20"/>
              <w:jc w:val="center"/>
              <w:rPr>
                <w:sz w:val="18"/>
                <w:szCs w:val="18"/>
              </w:rPr>
            </w:pPr>
            <w:r w:rsidRPr="004509DF">
              <w:rPr>
                <w:sz w:val="18"/>
              </w:rPr>
              <w:t>PNUD</w:t>
            </w:r>
          </w:p>
        </w:tc>
        <w:tc>
          <w:tcPr>
            <w:tcW w:w="1896" w:type="pct"/>
            <w:vAlign w:val="center"/>
            <w:hideMark/>
          </w:tcPr>
          <w:p w14:paraId="7247D5A7" w14:textId="77777777" w:rsidR="009E30F4" w:rsidRPr="004509DF" w:rsidRDefault="009E30F4" w:rsidP="00FE5720">
            <w:pPr>
              <w:spacing w:before="20" w:after="20"/>
              <w:jc w:val="left"/>
              <w:rPr>
                <w:sz w:val="18"/>
                <w:szCs w:val="18"/>
              </w:rPr>
            </w:pPr>
            <w:r w:rsidRPr="004509DF">
              <w:rPr>
                <w:sz w:val="18"/>
              </w:rPr>
              <w:t>Eliminación de SAO (toneladas PAO)</w:t>
            </w:r>
          </w:p>
        </w:tc>
        <w:tc>
          <w:tcPr>
            <w:tcW w:w="627" w:type="pct"/>
            <w:vAlign w:val="bottom"/>
          </w:tcPr>
          <w:p w14:paraId="48DC5D9B" w14:textId="77777777" w:rsidR="009E30F4" w:rsidRPr="004509DF" w:rsidRDefault="009E30F4" w:rsidP="00FE5720">
            <w:pPr>
              <w:spacing w:before="20" w:after="20"/>
              <w:jc w:val="right"/>
              <w:rPr>
                <w:sz w:val="18"/>
                <w:szCs w:val="18"/>
              </w:rPr>
            </w:pPr>
            <w:r w:rsidRPr="004509DF">
              <w:rPr>
                <w:sz w:val="18"/>
              </w:rPr>
              <w:t>4,75</w:t>
            </w:r>
          </w:p>
        </w:tc>
        <w:tc>
          <w:tcPr>
            <w:tcW w:w="627" w:type="pct"/>
            <w:vAlign w:val="center"/>
          </w:tcPr>
          <w:p w14:paraId="48FFD98D" w14:textId="77777777" w:rsidR="009E30F4" w:rsidRPr="004509DF" w:rsidRDefault="009E30F4" w:rsidP="00FE5720">
            <w:pPr>
              <w:spacing w:before="20" w:after="20"/>
              <w:jc w:val="right"/>
              <w:rPr>
                <w:sz w:val="18"/>
                <w:szCs w:val="18"/>
              </w:rPr>
            </w:pPr>
            <w:r w:rsidRPr="004509DF">
              <w:rPr>
                <w:color w:val="000000"/>
                <w:sz w:val="18"/>
              </w:rPr>
              <w:t>0,00</w:t>
            </w:r>
          </w:p>
        </w:tc>
        <w:tc>
          <w:tcPr>
            <w:tcW w:w="627" w:type="pct"/>
            <w:vAlign w:val="center"/>
          </w:tcPr>
          <w:p w14:paraId="1A49D2B0" w14:textId="77777777" w:rsidR="009E30F4" w:rsidRPr="004509DF" w:rsidRDefault="009E30F4" w:rsidP="00FE5720">
            <w:pPr>
              <w:spacing w:before="20" w:after="20"/>
              <w:jc w:val="right"/>
              <w:rPr>
                <w:sz w:val="18"/>
                <w:szCs w:val="18"/>
              </w:rPr>
            </w:pPr>
            <w:r w:rsidRPr="004509DF">
              <w:rPr>
                <w:color w:val="000000"/>
                <w:sz w:val="18"/>
              </w:rPr>
              <w:t>0,00</w:t>
            </w:r>
          </w:p>
        </w:tc>
        <w:tc>
          <w:tcPr>
            <w:tcW w:w="627" w:type="pct"/>
            <w:vAlign w:val="bottom"/>
          </w:tcPr>
          <w:p w14:paraId="1D2462F6" w14:textId="77777777" w:rsidR="009E30F4" w:rsidRPr="004509DF" w:rsidRDefault="005A618E" w:rsidP="00FE5720">
            <w:pPr>
              <w:spacing w:before="20" w:after="20"/>
              <w:jc w:val="right"/>
              <w:rPr>
                <w:sz w:val="18"/>
                <w:szCs w:val="18"/>
              </w:rPr>
            </w:pPr>
            <w:r w:rsidRPr="004509DF">
              <w:rPr>
                <w:sz w:val="18"/>
              </w:rPr>
              <w:t>4,75</w:t>
            </w:r>
          </w:p>
        </w:tc>
      </w:tr>
      <w:tr w:rsidR="00F72392" w:rsidRPr="004509DF" w14:paraId="4B6F6121" w14:textId="77777777" w:rsidTr="003F5CAE">
        <w:trPr>
          <w:trHeight w:val="55"/>
          <w:jc w:val="center"/>
        </w:trPr>
        <w:tc>
          <w:tcPr>
            <w:tcW w:w="595" w:type="pct"/>
            <w:vMerge/>
            <w:vAlign w:val="center"/>
            <w:hideMark/>
          </w:tcPr>
          <w:p w14:paraId="34C9C303" w14:textId="77777777" w:rsidR="00F72392" w:rsidRPr="004509DF" w:rsidRDefault="00F72392" w:rsidP="00FE5720">
            <w:pPr>
              <w:spacing w:before="20" w:after="20"/>
              <w:jc w:val="center"/>
              <w:rPr>
                <w:sz w:val="18"/>
                <w:szCs w:val="18"/>
              </w:rPr>
            </w:pPr>
          </w:p>
        </w:tc>
        <w:tc>
          <w:tcPr>
            <w:tcW w:w="1896" w:type="pct"/>
            <w:vAlign w:val="center"/>
            <w:hideMark/>
          </w:tcPr>
          <w:p w14:paraId="3B4B0DAD" w14:textId="77777777" w:rsidR="00F72392" w:rsidRPr="004509DF" w:rsidRDefault="00F72392" w:rsidP="00FE5720">
            <w:pPr>
              <w:spacing w:before="20" w:after="20"/>
              <w:jc w:val="left"/>
              <w:rPr>
                <w:sz w:val="18"/>
                <w:szCs w:val="18"/>
              </w:rPr>
            </w:pPr>
            <w:r w:rsidRPr="004509DF">
              <w:rPr>
                <w:sz w:val="18"/>
              </w:rPr>
              <w:t>Financiación (USD)</w:t>
            </w:r>
          </w:p>
        </w:tc>
        <w:tc>
          <w:tcPr>
            <w:tcW w:w="627" w:type="pct"/>
            <w:vAlign w:val="center"/>
          </w:tcPr>
          <w:p w14:paraId="4958798B" w14:textId="77777777" w:rsidR="00F72392" w:rsidRPr="004509DF" w:rsidRDefault="005A618E" w:rsidP="00FE5720">
            <w:pPr>
              <w:jc w:val="right"/>
              <w:rPr>
                <w:sz w:val="18"/>
                <w:szCs w:val="18"/>
              </w:rPr>
            </w:pPr>
            <w:r w:rsidRPr="004509DF">
              <w:rPr>
                <w:sz w:val="18"/>
              </w:rPr>
              <w:t>490.957</w:t>
            </w:r>
          </w:p>
        </w:tc>
        <w:tc>
          <w:tcPr>
            <w:tcW w:w="627" w:type="pct"/>
            <w:vAlign w:val="center"/>
          </w:tcPr>
          <w:p w14:paraId="623B9F36" w14:textId="77777777" w:rsidR="00F72392" w:rsidRPr="004509DF" w:rsidRDefault="00B822C8" w:rsidP="00FE5720">
            <w:pPr>
              <w:spacing w:before="20" w:after="20"/>
              <w:jc w:val="right"/>
              <w:rPr>
                <w:sz w:val="18"/>
                <w:szCs w:val="18"/>
              </w:rPr>
            </w:pPr>
            <w:r w:rsidRPr="004509DF">
              <w:rPr>
                <w:sz w:val="18"/>
              </w:rPr>
              <w:t>0</w:t>
            </w:r>
          </w:p>
        </w:tc>
        <w:tc>
          <w:tcPr>
            <w:tcW w:w="627" w:type="pct"/>
            <w:vAlign w:val="center"/>
          </w:tcPr>
          <w:p w14:paraId="2457D307" w14:textId="77777777" w:rsidR="00F72392" w:rsidRPr="004509DF" w:rsidRDefault="00B822C8" w:rsidP="00FE5720">
            <w:pPr>
              <w:spacing w:before="20" w:after="20"/>
              <w:jc w:val="right"/>
              <w:rPr>
                <w:sz w:val="18"/>
                <w:szCs w:val="18"/>
              </w:rPr>
            </w:pPr>
            <w:r w:rsidRPr="004509DF">
              <w:rPr>
                <w:sz w:val="18"/>
              </w:rPr>
              <w:t>0</w:t>
            </w:r>
          </w:p>
        </w:tc>
        <w:tc>
          <w:tcPr>
            <w:tcW w:w="627" w:type="pct"/>
            <w:vAlign w:val="center"/>
          </w:tcPr>
          <w:p w14:paraId="58478969" w14:textId="77777777" w:rsidR="00F72392" w:rsidRPr="004509DF" w:rsidRDefault="005A618E" w:rsidP="00FE5720">
            <w:pPr>
              <w:jc w:val="right"/>
              <w:rPr>
                <w:sz w:val="18"/>
                <w:szCs w:val="18"/>
              </w:rPr>
            </w:pPr>
            <w:r w:rsidRPr="004509DF">
              <w:rPr>
                <w:sz w:val="18"/>
              </w:rPr>
              <w:t>490.957</w:t>
            </w:r>
          </w:p>
        </w:tc>
      </w:tr>
    </w:tbl>
    <w:p w14:paraId="0AEDFC9E" w14:textId="77777777" w:rsidR="00F72392" w:rsidRPr="004509DF" w:rsidRDefault="00F72392" w:rsidP="001C647F">
      <w:pPr>
        <w:spacing w:before="20" w:after="20"/>
        <w:jc w:val="center"/>
        <w:rPr>
          <w:sz w:val="18"/>
          <w:szCs w:val="18"/>
        </w:rPr>
      </w:pPr>
    </w:p>
    <w:tbl>
      <w:tblPr>
        <w:tblW w:w="5972"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798"/>
        <w:gridCol w:w="720"/>
        <w:gridCol w:w="1651"/>
        <w:gridCol w:w="819"/>
        <w:gridCol w:w="636"/>
        <w:gridCol w:w="781"/>
        <w:gridCol w:w="598"/>
        <w:gridCol w:w="781"/>
        <w:gridCol w:w="598"/>
        <w:gridCol w:w="535"/>
        <w:gridCol w:w="781"/>
        <w:gridCol w:w="535"/>
        <w:gridCol w:w="1047"/>
      </w:tblGrid>
      <w:tr w:rsidR="006C37A8" w:rsidRPr="004509DF" w14:paraId="33D8A912" w14:textId="77777777" w:rsidTr="003F5CAE">
        <w:trPr>
          <w:trHeight w:val="82"/>
          <w:jc w:val="center"/>
        </w:trPr>
        <w:tc>
          <w:tcPr>
            <w:tcW w:w="1848" w:type="pct"/>
            <w:gridSpan w:val="3"/>
            <w:tcBorders>
              <w:top w:val="single" w:sz="2" w:space="0" w:color="auto"/>
              <w:left w:val="single" w:sz="2" w:space="0" w:color="auto"/>
              <w:bottom w:val="single" w:sz="2" w:space="0" w:color="auto"/>
              <w:right w:val="single" w:sz="2" w:space="0" w:color="auto"/>
            </w:tcBorders>
            <w:hideMark/>
          </w:tcPr>
          <w:p w14:paraId="6700F3C4" w14:textId="77777777" w:rsidR="006C37A8" w:rsidRPr="004509DF" w:rsidRDefault="006C37A8" w:rsidP="00FE5720">
            <w:pPr>
              <w:spacing w:before="20" w:after="20"/>
              <w:ind w:left="38"/>
              <w:jc w:val="left"/>
              <w:rPr>
                <w:b/>
                <w:sz w:val="18"/>
                <w:szCs w:val="18"/>
              </w:rPr>
            </w:pPr>
            <w:r w:rsidRPr="004509DF">
              <w:rPr>
                <w:b/>
                <w:sz w:val="18"/>
              </w:rPr>
              <w:t>DATOS DEL PROYECTO</w:t>
            </w:r>
          </w:p>
        </w:tc>
        <w:tc>
          <w:tcPr>
            <w:tcW w:w="363" w:type="pct"/>
            <w:tcBorders>
              <w:top w:val="single" w:sz="2" w:space="0" w:color="auto"/>
              <w:left w:val="single" w:sz="2" w:space="0" w:color="auto"/>
              <w:bottom w:val="single" w:sz="2" w:space="0" w:color="auto"/>
              <w:right w:val="single" w:sz="2" w:space="0" w:color="auto"/>
            </w:tcBorders>
          </w:tcPr>
          <w:p w14:paraId="2A949327" w14:textId="77777777" w:rsidR="006C37A8" w:rsidRPr="004509DF" w:rsidRDefault="006C37A8" w:rsidP="00FE5720">
            <w:pPr>
              <w:spacing w:before="20" w:after="20"/>
              <w:ind w:left="38"/>
              <w:jc w:val="center"/>
              <w:rPr>
                <w:b/>
                <w:sz w:val="18"/>
                <w:szCs w:val="18"/>
              </w:rPr>
            </w:pPr>
            <w:r w:rsidRPr="004509DF">
              <w:rPr>
                <w:b/>
                <w:sz w:val="18"/>
              </w:rPr>
              <w:t>2020</w:t>
            </w:r>
          </w:p>
        </w:tc>
        <w:tc>
          <w:tcPr>
            <w:tcW w:w="282" w:type="pct"/>
            <w:tcBorders>
              <w:top w:val="single" w:sz="2" w:space="0" w:color="auto"/>
              <w:left w:val="single" w:sz="2" w:space="0" w:color="auto"/>
              <w:bottom w:val="single" w:sz="2" w:space="0" w:color="auto"/>
              <w:right w:val="single" w:sz="2" w:space="0" w:color="auto"/>
            </w:tcBorders>
            <w:hideMark/>
          </w:tcPr>
          <w:p w14:paraId="20DDF6B1" w14:textId="77777777" w:rsidR="006C37A8" w:rsidRPr="004509DF" w:rsidRDefault="006C37A8" w:rsidP="00FE5720">
            <w:pPr>
              <w:spacing w:before="20" w:after="20"/>
              <w:ind w:left="38"/>
              <w:jc w:val="center"/>
              <w:rPr>
                <w:b/>
                <w:sz w:val="18"/>
                <w:szCs w:val="18"/>
              </w:rPr>
            </w:pPr>
            <w:r w:rsidRPr="004509DF">
              <w:rPr>
                <w:b/>
                <w:sz w:val="18"/>
              </w:rPr>
              <w:t>2021-2022</w:t>
            </w:r>
          </w:p>
        </w:tc>
        <w:tc>
          <w:tcPr>
            <w:tcW w:w="346" w:type="pct"/>
            <w:tcBorders>
              <w:top w:val="single" w:sz="2" w:space="0" w:color="auto"/>
              <w:left w:val="single" w:sz="2" w:space="0" w:color="auto"/>
              <w:bottom w:val="single" w:sz="2" w:space="0" w:color="auto"/>
              <w:right w:val="single" w:sz="2" w:space="0" w:color="auto"/>
            </w:tcBorders>
            <w:hideMark/>
          </w:tcPr>
          <w:p w14:paraId="7E4DAEA0" w14:textId="77777777" w:rsidR="006C37A8" w:rsidRPr="004509DF" w:rsidRDefault="006C37A8" w:rsidP="00FE5720">
            <w:pPr>
              <w:spacing w:before="20" w:after="20"/>
              <w:jc w:val="center"/>
              <w:rPr>
                <w:b/>
                <w:sz w:val="18"/>
                <w:szCs w:val="18"/>
              </w:rPr>
            </w:pPr>
            <w:r w:rsidRPr="004509DF">
              <w:rPr>
                <w:b/>
                <w:sz w:val="18"/>
              </w:rPr>
              <w:t>2023</w:t>
            </w:r>
          </w:p>
        </w:tc>
        <w:tc>
          <w:tcPr>
            <w:tcW w:w="265" w:type="pct"/>
            <w:tcBorders>
              <w:top w:val="single" w:sz="2" w:space="0" w:color="auto"/>
              <w:left w:val="single" w:sz="2" w:space="0" w:color="auto"/>
              <w:bottom w:val="single" w:sz="2" w:space="0" w:color="auto"/>
              <w:right w:val="single" w:sz="2" w:space="0" w:color="auto"/>
            </w:tcBorders>
            <w:hideMark/>
          </w:tcPr>
          <w:p w14:paraId="05313786" w14:textId="77777777" w:rsidR="006C37A8" w:rsidRPr="004509DF" w:rsidRDefault="006C37A8" w:rsidP="00FE5720">
            <w:pPr>
              <w:spacing w:before="20" w:after="20"/>
              <w:jc w:val="center"/>
              <w:rPr>
                <w:b/>
                <w:sz w:val="18"/>
                <w:szCs w:val="18"/>
              </w:rPr>
            </w:pPr>
            <w:r w:rsidRPr="004509DF">
              <w:rPr>
                <w:b/>
                <w:sz w:val="18"/>
              </w:rPr>
              <w:t>2024-2025</w:t>
            </w:r>
          </w:p>
        </w:tc>
        <w:tc>
          <w:tcPr>
            <w:tcW w:w="346" w:type="pct"/>
            <w:tcBorders>
              <w:top w:val="single" w:sz="2" w:space="0" w:color="auto"/>
              <w:left w:val="single" w:sz="2" w:space="0" w:color="auto"/>
              <w:bottom w:val="single" w:sz="2" w:space="0" w:color="auto"/>
              <w:right w:val="single" w:sz="2" w:space="0" w:color="auto"/>
            </w:tcBorders>
            <w:hideMark/>
          </w:tcPr>
          <w:p w14:paraId="4C2BCBD9" w14:textId="77777777" w:rsidR="006C37A8" w:rsidRPr="004509DF" w:rsidRDefault="006C37A8" w:rsidP="00FE5720">
            <w:pPr>
              <w:spacing w:before="20" w:after="20"/>
              <w:jc w:val="center"/>
              <w:rPr>
                <w:b/>
                <w:sz w:val="18"/>
                <w:szCs w:val="18"/>
              </w:rPr>
            </w:pPr>
            <w:r w:rsidRPr="004509DF">
              <w:rPr>
                <w:b/>
                <w:sz w:val="18"/>
              </w:rPr>
              <w:t>2026</w:t>
            </w:r>
          </w:p>
        </w:tc>
        <w:tc>
          <w:tcPr>
            <w:tcW w:w="265" w:type="pct"/>
            <w:tcBorders>
              <w:top w:val="single" w:sz="2" w:space="0" w:color="auto"/>
              <w:left w:val="single" w:sz="2" w:space="0" w:color="auto"/>
              <w:bottom w:val="single" w:sz="2" w:space="0" w:color="auto"/>
              <w:right w:val="single" w:sz="2" w:space="0" w:color="auto"/>
            </w:tcBorders>
            <w:hideMark/>
          </w:tcPr>
          <w:p w14:paraId="47381834" w14:textId="77777777" w:rsidR="006C37A8" w:rsidRPr="004509DF" w:rsidRDefault="006C37A8" w:rsidP="00FE5720">
            <w:pPr>
              <w:spacing w:before="20" w:after="20"/>
              <w:jc w:val="center"/>
              <w:rPr>
                <w:b/>
                <w:sz w:val="18"/>
                <w:szCs w:val="18"/>
              </w:rPr>
            </w:pPr>
            <w:r w:rsidRPr="004509DF">
              <w:rPr>
                <w:b/>
                <w:sz w:val="18"/>
              </w:rPr>
              <w:t>2027</w:t>
            </w:r>
          </w:p>
        </w:tc>
        <w:tc>
          <w:tcPr>
            <w:tcW w:w="237" w:type="pct"/>
            <w:tcBorders>
              <w:top w:val="single" w:sz="2" w:space="0" w:color="auto"/>
              <w:left w:val="single" w:sz="2" w:space="0" w:color="auto"/>
              <w:bottom w:val="single" w:sz="2" w:space="0" w:color="auto"/>
              <w:right w:val="single" w:sz="2" w:space="0" w:color="auto"/>
            </w:tcBorders>
          </w:tcPr>
          <w:p w14:paraId="4E054A99" w14:textId="77777777" w:rsidR="006C37A8" w:rsidRPr="004509DF" w:rsidRDefault="006C37A8" w:rsidP="00FE5720">
            <w:pPr>
              <w:spacing w:before="20" w:after="20"/>
              <w:jc w:val="center"/>
              <w:rPr>
                <w:b/>
                <w:sz w:val="18"/>
                <w:szCs w:val="18"/>
              </w:rPr>
            </w:pPr>
            <w:r w:rsidRPr="004509DF">
              <w:rPr>
                <w:b/>
                <w:sz w:val="18"/>
              </w:rPr>
              <w:t>2028</w:t>
            </w:r>
          </w:p>
        </w:tc>
        <w:tc>
          <w:tcPr>
            <w:tcW w:w="346" w:type="pct"/>
            <w:tcBorders>
              <w:top w:val="single" w:sz="2" w:space="0" w:color="auto"/>
              <w:left w:val="single" w:sz="2" w:space="0" w:color="auto"/>
              <w:bottom w:val="single" w:sz="2" w:space="0" w:color="auto"/>
              <w:right w:val="single" w:sz="2" w:space="0" w:color="auto"/>
            </w:tcBorders>
          </w:tcPr>
          <w:p w14:paraId="3C0BA2E7" w14:textId="77777777" w:rsidR="006C37A8" w:rsidRPr="004509DF" w:rsidRDefault="006C37A8" w:rsidP="00FE5720">
            <w:pPr>
              <w:spacing w:before="20" w:after="20"/>
              <w:jc w:val="center"/>
              <w:rPr>
                <w:b/>
                <w:sz w:val="18"/>
                <w:szCs w:val="18"/>
              </w:rPr>
            </w:pPr>
            <w:r w:rsidRPr="004509DF">
              <w:rPr>
                <w:b/>
                <w:sz w:val="18"/>
              </w:rPr>
              <w:t>2029</w:t>
            </w:r>
          </w:p>
        </w:tc>
        <w:tc>
          <w:tcPr>
            <w:tcW w:w="237" w:type="pct"/>
            <w:tcBorders>
              <w:top w:val="single" w:sz="2" w:space="0" w:color="auto"/>
              <w:left w:val="single" w:sz="2" w:space="0" w:color="auto"/>
              <w:bottom w:val="single" w:sz="2" w:space="0" w:color="auto"/>
              <w:right w:val="single" w:sz="2" w:space="0" w:color="auto"/>
            </w:tcBorders>
          </w:tcPr>
          <w:p w14:paraId="25755129" w14:textId="77777777" w:rsidR="006C37A8" w:rsidRPr="004509DF" w:rsidRDefault="006C37A8" w:rsidP="00FE5720">
            <w:pPr>
              <w:spacing w:before="20" w:after="20"/>
              <w:jc w:val="center"/>
              <w:rPr>
                <w:b/>
                <w:sz w:val="18"/>
                <w:szCs w:val="18"/>
              </w:rPr>
            </w:pPr>
            <w:r w:rsidRPr="004509DF">
              <w:rPr>
                <w:b/>
                <w:sz w:val="18"/>
              </w:rPr>
              <w:t>2030</w:t>
            </w:r>
          </w:p>
        </w:tc>
        <w:tc>
          <w:tcPr>
            <w:tcW w:w="464" w:type="pct"/>
            <w:tcBorders>
              <w:top w:val="single" w:sz="2" w:space="0" w:color="auto"/>
              <w:left w:val="single" w:sz="2" w:space="0" w:color="auto"/>
              <w:bottom w:val="single" w:sz="2" w:space="0" w:color="auto"/>
              <w:right w:val="single" w:sz="2" w:space="0" w:color="auto"/>
            </w:tcBorders>
            <w:hideMark/>
          </w:tcPr>
          <w:p w14:paraId="20B7522F" w14:textId="77777777" w:rsidR="006C37A8" w:rsidRPr="004509DF" w:rsidRDefault="006C37A8" w:rsidP="00FE5720">
            <w:pPr>
              <w:spacing w:before="20" w:after="20"/>
              <w:jc w:val="center"/>
              <w:rPr>
                <w:b/>
                <w:sz w:val="18"/>
                <w:szCs w:val="18"/>
              </w:rPr>
            </w:pPr>
            <w:r w:rsidRPr="004509DF">
              <w:rPr>
                <w:b/>
                <w:sz w:val="18"/>
              </w:rPr>
              <w:t>Total</w:t>
            </w:r>
          </w:p>
        </w:tc>
      </w:tr>
      <w:tr w:rsidR="006C37A8" w:rsidRPr="004509DF" w14:paraId="61F64589" w14:textId="77777777" w:rsidTr="003F5CAE">
        <w:trPr>
          <w:trHeight w:val="72"/>
          <w:jc w:val="center"/>
        </w:trPr>
        <w:tc>
          <w:tcPr>
            <w:tcW w:w="797" w:type="pct"/>
            <w:vMerge w:val="restart"/>
            <w:tcBorders>
              <w:top w:val="single" w:sz="2" w:space="0" w:color="auto"/>
              <w:left w:val="single" w:sz="2" w:space="0" w:color="auto"/>
              <w:right w:val="single" w:sz="2" w:space="0" w:color="auto"/>
            </w:tcBorders>
            <w:hideMark/>
          </w:tcPr>
          <w:p w14:paraId="19DAE2C5" w14:textId="77777777" w:rsidR="006C37A8" w:rsidRPr="004509DF" w:rsidRDefault="006C37A8" w:rsidP="00FE5720">
            <w:pPr>
              <w:spacing w:before="20" w:after="20"/>
              <w:ind w:left="38"/>
              <w:jc w:val="left"/>
              <w:rPr>
                <w:sz w:val="18"/>
                <w:szCs w:val="18"/>
              </w:rPr>
            </w:pPr>
            <w:r w:rsidRPr="004509DF">
              <w:rPr>
                <w:sz w:val="18"/>
              </w:rPr>
              <w:t>Consumo (toneladas PAO)</w:t>
            </w:r>
          </w:p>
        </w:tc>
        <w:tc>
          <w:tcPr>
            <w:tcW w:w="1051" w:type="pct"/>
            <w:gridSpan w:val="2"/>
            <w:tcBorders>
              <w:top w:val="single" w:sz="2" w:space="0" w:color="auto"/>
              <w:left w:val="single" w:sz="2" w:space="0" w:color="auto"/>
              <w:bottom w:val="single" w:sz="2" w:space="0" w:color="auto"/>
              <w:right w:val="single" w:sz="2" w:space="0" w:color="auto"/>
            </w:tcBorders>
          </w:tcPr>
          <w:p w14:paraId="7D3A6120" w14:textId="77777777" w:rsidR="006C37A8" w:rsidRPr="004509DF" w:rsidRDefault="006C37A8" w:rsidP="00FE5720">
            <w:pPr>
              <w:spacing w:before="20" w:after="20"/>
              <w:ind w:left="38"/>
              <w:jc w:val="left"/>
              <w:rPr>
                <w:sz w:val="18"/>
                <w:szCs w:val="18"/>
              </w:rPr>
            </w:pPr>
            <w:r w:rsidRPr="004509DF">
              <w:rPr>
                <w:sz w:val="18"/>
              </w:rPr>
              <w:t>Límites del Protocolo de Montreal</w:t>
            </w:r>
          </w:p>
        </w:tc>
        <w:tc>
          <w:tcPr>
            <w:tcW w:w="363" w:type="pct"/>
            <w:tcBorders>
              <w:top w:val="single" w:sz="2" w:space="0" w:color="auto"/>
              <w:left w:val="single" w:sz="2" w:space="0" w:color="auto"/>
              <w:bottom w:val="single" w:sz="2" w:space="0" w:color="auto"/>
              <w:right w:val="single" w:sz="2" w:space="0" w:color="auto"/>
            </w:tcBorders>
          </w:tcPr>
          <w:p w14:paraId="43AD065B" w14:textId="77777777" w:rsidR="006C37A8" w:rsidRPr="004509DF" w:rsidRDefault="006C37A8" w:rsidP="00FE5720">
            <w:pPr>
              <w:spacing w:before="20" w:after="20"/>
              <w:ind w:left="38"/>
              <w:jc w:val="right"/>
              <w:rPr>
                <w:sz w:val="18"/>
                <w:szCs w:val="18"/>
              </w:rPr>
            </w:pPr>
            <w:r w:rsidRPr="004509DF">
              <w:rPr>
                <w:sz w:val="18"/>
              </w:rPr>
              <w:t>16,11</w:t>
            </w:r>
          </w:p>
        </w:tc>
        <w:tc>
          <w:tcPr>
            <w:tcW w:w="282" w:type="pct"/>
            <w:tcBorders>
              <w:top w:val="single" w:sz="2" w:space="0" w:color="auto"/>
              <w:left w:val="single" w:sz="2" w:space="0" w:color="auto"/>
              <w:bottom w:val="single" w:sz="2" w:space="0" w:color="auto"/>
              <w:right w:val="single" w:sz="2" w:space="0" w:color="auto"/>
            </w:tcBorders>
          </w:tcPr>
          <w:p w14:paraId="5FD9A31A" w14:textId="77777777" w:rsidR="006C37A8" w:rsidRPr="004509DF" w:rsidRDefault="006C37A8" w:rsidP="00FE5720">
            <w:pPr>
              <w:spacing w:before="20" w:after="20"/>
              <w:ind w:left="38"/>
              <w:jc w:val="right"/>
              <w:rPr>
                <w:sz w:val="18"/>
                <w:szCs w:val="18"/>
              </w:rPr>
            </w:pPr>
            <w:r w:rsidRPr="004509DF">
              <w:rPr>
                <w:sz w:val="18"/>
              </w:rPr>
              <w:t>16,11</w:t>
            </w:r>
          </w:p>
        </w:tc>
        <w:tc>
          <w:tcPr>
            <w:tcW w:w="346" w:type="pct"/>
            <w:tcBorders>
              <w:top w:val="single" w:sz="2" w:space="0" w:color="auto"/>
              <w:left w:val="single" w:sz="2" w:space="0" w:color="auto"/>
              <w:bottom w:val="single" w:sz="2" w:space="0" w:color="auto"/>
              <w:right w:val="single" w:sz="2" w:space="0" w:color="auto"/>
            </w:tcBorders>
          </w:tcPr>
          <w:p w14:paraId="3B5318AD" w14:textId="77777777" w:rsidR="006C37A8" w:rsidRPr="004509DF" w:rsidRDefault="006C37A8" w:rsidP="00FE5720">
            <w:pPr>
              <w:spacing w:before="20" w:after="20"/>
              <w:jc w:val="right"/>
              <w:rPr>
                <w:sz w:val="18"/>
                <w:szCs w:val="18"/>
              </w:rPr>
            </w:pPr>
            <w:r w:rsidRPr="004509DF">
              <w:rPr>
                <w:sz w:val="18"/>
              </w:rPr>
              <w:t>16,11</w:t>
            </w:r>
          </w:p>
        </w:tc>
        <w:tc>
          <w:tcPr>
            <w:tcW w:w="265" w:type="pct"/>
            <w:tcBorders>
              <w:top w:val="single" w:sz="2" w:space="0" w:color="auto"/>
              <w:left w:val="single" w:sz="2" w:space="0" w:color="auto"/>
              <w:bottom w:val="single" w:sz="2" w:space="0" w:color="auto"/>
              <w:right w:val="single" w:sz="2" w:space="0" w:color="auto"/>
            </w:tcBorders>
          </w:tcPr>
          <w:p w14:paraId="7DE684D4" w14:textId="77777777" w:rsidR="006C37A8" w:rsidRPr="004509DF" w:rsidRDefault="006C37A8" w:rsidP="00FE5720">
            <w:pPr>
              <w:spacing w:before="20" w:after="20"/>
              <w:jc w:val="right"/>
              <w:rPr>
                <w:sz w:val="18"/>
                <w:szCs w:val="18"/>
              </w:rPr>
            </w:pPr>
            <w:r w:rsidRPr="004509DF">
              <w:rPr>
                <w:sz w:val="18"/>
              </w:rPr>
              <w:t>16,11</w:t>
            </w:r>
          </w:p>
        </w:tc>
        <w:tc>
          <w:tcPr>
            <w:tcW w:w="346" w:type="pct"/>
            <w:tcBorders>
              <w:top w:val="single" w:sz="2" w:space="0" w:color="auto"/>
              <w:left w:val="single" w:sz="2" w:space="0" w:color="auto"/>
              <w:bottom w:val="single" w:sz="2" w:space="0" w:color="auto"/>
              <w:right w:val="single" w:sz="2" w:space="0" w:color="auto"/>
            </w:tcBorders>
          </w:tcPr>
          <w:p w14:paraId="0F82AD02" w14:textId="77777777" w:rsidR="006C37A8" w:rsidRPr="004509DF" w:rsidRDefault="006C37A8" w:rsidP="00FE5720">
            <w:pPr>
              <w:spacing w:before="20" w:after="20"/>
              <w:jc w:val="right"/>
              <w:rPr>
                <w:sz w:val="18"/>
                <w:szCs w:val="18"/>
              </w:rPr>
            </w:pPr>
            <w:r w:rsidRPr="004509DF">
              <w:rPr>
                <w:sz w:val="18"/>
              </w:rPr>
              <w:t>8,05</w:t>
            </w:r>
          </w:p>
        </w:tc>
        <w:tc>
          <w:tcPr>
            <w:tcW w:w="265" w:type="pct"/>
            <w:tcBorders>
              <w:top w:val="single" w:sz="2" w:space="0" w:color="auto"/>
              <w:left w:val="single" w:sz="2" w:space="0" w:color="auto"/>
              <w:bottom w:val="single" w:sz="2" w:space="0" w:color="auto"/>
              <w:right w:val="single" w:sz="2" w:space="0" w:color="auto"/>
            </w:tcBorders>
          </w:tcPr>
          <w:p w14:paraId="2333E019" w14:textId="77777777" w:rsidR="006C37A8" w:rsidRPr="004509DF" w:rsidRDefault="006C37A8" w:rsidP="00FE5720">
            <w:pPr>
              <w:tabs>
                <w:tab w:val="left" w:pos="430"/>
              </w:tabs>
              <w:spacing w:before="20" w:after="20"/>
              <w:ind w:left="57" w:right="57"/>
              <w:rPr>
                <w:sz w:val="18"/>
                <w:szCs w:val="18"/>
              </w:rPr>
            </w:pPr>
            <w:r w:rsidRPr="004509DF">
              <w:rPr>
                <w:sz w:val="18"/>
              </w:rPr>
              <w:t>8,05</w:t>
            </w:r>
          </w:p>
        </w:tc>
        <w:tc>
          <w:tcPr>
            <w:tcW w:w="237" w:type="pct"/>
            <w:tcBorders>
              <w:top w:val="single" w:sz="2" w:space="0" w:color="auto"/>
              <w:left w:val="single" w:sz="2" w:space="0" w:color="auto"/>
              <w:bottom w:val="single" w:sz="2" w:space="0" w:color="auto"/>
              <w:right w:val="single" w:sz="2" w:space="0" w:color="auto"/>
            </w:tcBorders>
          </w:tcPr>
          <w:p w14:paraId="1828E5AB" w14:textId="77777777" w:rsidR="006C37A8" w:rsidRPr="004509DF" w:rsidRDefault="006C37A8" w:rsidP="00FE5720">
            <w:pPr>
              <w:spacing w:before="20" w:after="20"/>
              <w:jc w:val="right"/>
              <w:rPr>
                <w:sz w:val="18"/>
                <w:szCs w:val="18"/>
              </w:rPr>
            </w:pPr>
            <w:r w:rsidRPr="004509DF">
              <w:rPr>
                <w:sz w:val="18"/>
              </w:rPr>
              <w:t>8,05</w:t>
            </w:r>
          </w:p>
        </w:tc>
        <w:tc>
          <w:tcPr>
            <w:tcW w:w="346" w:type="pct"/>
            <w:tcBorders>
              <w:top w:val="single" w:sz="2" w:space="0" w:color="auto"/>
              <w:left w:val="single" w:sz="2" w:space="0" w:color="auto"/>
              <w:bottom w:val="single" w:sz="2" w:space="0" w:color="auto"/>
              <w:right w:val="single" w:sz="2" w:space="0" w:color="auto"/>
            </w:tcBorders>
          </w:tcPr>
          <w:p w14:paraId="73FF88A4" w14:textId="77777777" w:rsidR="006C37A8" w:rsidRPr="004509DF" w:rsidRDefault="006C37A8" w:rsidP="00FE5720">
            <w:pPr>
              <w:spacing w:before="20" w:after="20"/>
              <w:jc w:val="right"/>
              <w:rPr>
                <w:sz w:val="18"/>
                <w:szCs w:val="18"/>
              </w:rPr>
            </w:pPr>
            <w:r w:rsidRPr="004509DF">
              <w:rPr>
                <w:sz w:val="18"/>
              </w:rPr>
              <w:t>8,05</w:t>
            </w:r>
          </w:p>
        </w:tc>
        <w:tc>
          <w:tcPr>
            <w:tcW w:w="237" w:type="pct"/>
            <w:tcBorders>
              <w:top w:val="single" w:sz="2" w:space="0" w:color="auto"/>
              <w:left w:val="single" w:sz="2" w:space="0" w:color="auto"/>
              <w:bottom w:val="single" w:sz="2" w:space="0" w:color="auto"/>
              <w:right w:val="single" w:sz="2" w:space="0" w:color="auto"/>
            </w:tcBorders>
          </w:tcPr>
          <w:p w14:paraId="2D29EC46" w14:textId="77777777" w:rsidR="006C37A8" w:rsidRPr="004509DF" w:rsidRDefault="006C37A8" w:rsidP="00FE5720">
            <w:pPr>
              <w:spacing w:before="20" w:after="20"/>
              <w:jc w:val="right"/>
              <w:rPr>
                <w:sz w:val="18"/>
                <w:szCs w:val="18"/>
              </w:rPr>
            </w:pPr>
            <w:r w:rsidRPr="004509DF">
              <w:rPr>
                <w:sz w:val="18"/>
              </w:rPr>
              <w:t>0,0</w:t>
            </w:r>
          </w:p>
        </w:tc>
        <w:tc>
          <w:tcPr>
            <w:tcW w:w="464" w:type="pct"/>
            <w:tcBorders>
              <w:top w:val="single" w:sz="2" w:space="0" w:color="auto"/>
              <w:left w:val="single" w:sz="2" w:space="0" w:color="auto"/>
              <w:bottom w:val="single" w:sz="2" w:space="0" w:color="auto"/>
              <w:right w:val="single" w:sz="2" w:space="0" w:color="auto"/>
            </w:tcBorders>
            <w:hideMark/>
          </w:tcPr>
          <w:p w14:paraId="3C59F419" w14:textId="77777777" w:rsidR="006C37A8" w:rsidRPr="004509DF" w:rsidRDefault="006C37A8" w:rsidP="00FE5720">
            <w:pPr>
              <w:spacing w:before="20" w:after="20"/>
              <w:jc w:val="right"/>
              <w:rPr>
                <w:sz w:val="18"/>
                <w:szCs w:val="18"/>
              </w:rPr>
            </w:pPr>
            <w:r w:rsidRPr="004509DF">
              <w:rPr>
                <w:sz w:val="18"/>
              </w:rPr>
              <w:t>n.a.</w:t>
            </w:r>
          </w:p>
        </w:tc>
      </w:tr>
      <w:tr w:rsidR="006C37A8" w:rsidRPr="004509DF" w14:paraId="299756B9" w14:textId="77777777" w:rsidTr="003F5CAE">
        <w:trPr>
          <w:trHeight w:val="84"/>
          <w:jc w:val="center"/>
        </w:trPr>
        <w:tc>
          <w:tcPr>
            <w:tcW w:w="797" w:type="pct"/>
            <w:vMerge/>
            <w:tcBorders>
              <w:left w:val="single" w:sz="2" w:space="0" w:color="auto"/>
              <w:bottom w:val="single" w:sz="2" w:space="0" w:color="auto"/>
              <w:right w:val="single" w:sz="2" w:space="0" w:color="auto"/>
            </w:tcBorders>
            <w:hideMark/>
          </w:tcPr>
          <w:p w14:paraId="3FD68C89" w14:textId="77777777" w:rsidR="006C37A8" w:rsidRPr="004509DF" w:rsidRDefault="006C37A8" w:rsidP="00FE5720">
            <w:pPr>
              <w:spacing w:before="20" w:after="20"/>
              <w:ind w:left="38"/>
              <w:jc w:val="left"/>
              <w:rPr>
                <w:sz w:val="18"/>
                <w:szCs w:val="18"/>
              </w:rPr>
            </w:pPr>
          </w:p>
        </w:tc>
        <w:tc>
          <w:tcPr>
            <w:tcW w:w="1051" w:type="pct"/>
            <w:gridSpan w:val="2"/>
            <w:tcBorders>
              <w:top w:val="single" w:sz="2" w:space="0" w:color="auto"/>
              <w:left w:val="single" w:sz="2" w:space="0" w:color="auto"/>
              <w:bottom w:val="single" w:sz="2" w:space="0" w:color="auto"/>
              <w:right w:val="single" w:sz="2" w:space="0" w:color="auto"/>
            </w:tcBorders>
          </w:tcPr>
          <w:p w14:paraId="24DA2F99" w14:textId="77777777" w:rsidR="006C37A8" w:rsidRPr="004509DF" w:rsidRDefault="006C37A8" w:rsidP="00FE5720">
            <w:pPr>
              <w:spacing w:before="20" w:after="20"/>
              <w:ind w:left="38"/>
              <w:jc w:val="left"/>
              <w:rPr>
                <w:sz w:val="18"/>
                <w:szCs w:val="18"/>
              </w:rPr>
            </w:pPr>
            <w:r w:rsidRPr="004509DF">
              <w:rPr>
                <w:sz w:val="18"/>
              </w:rPr>
              <w:t xml:space="preserve">Máximo admisible </w:t>
            </w:r>
          </w:p>
        </w:tc>
        <w:tc>
          <w:tcPr>
            <w:tcW w:w="363" w:type="pct"/>
            <w:tcBorders>
              <w:top w:val="single" w:sz="2" w:space="0" w:color="auto"/>
              <w:left w:val="single" w:sz="2" w:space="0" w:color="auto"/>
              <w:bottom w:val="single" w:sz="2" w:space="0" w:color="auto"/>
              <w:right w:val="single" w:sz="2" w:space="0" w:color="auto"/>
            </w:tcBorders>
          </w:tcPr>
          <w:p w14:paraId="6160D387" w14:textId="77777777" w:rsidR="006C37A8" w:rsidRPr="004509DF" w:rsidRDefault="006C37A8" w:rsidP="00FE5720">
            <w:pPr>
              <w:spacing w:before="20" w:after="20"/>
              <w:ind w:left="38"/>
              <w:jc w:val="right"/>
              <w:rPr>
                <w:sz w:val="18"/>
                <w:szCs w:val="18"/>
              </w:rPr>
            </w:pPr>
            <w:r w:rsidRPr="004509DF">
              <w:rPr>
                <w:sz w:val="18"/>
              </w:rPr>
              <w:t>16,11</w:t>
            </w:r>
          </w:p>
        </w:tc>
        <w:tc>
          <w:tcPr>
            <w:tcW w:w="282" w:type="pct"/>
            <w:tcBorders>
              <w:top w:val="single" w:sz="2" w:space="0" w:color="auto"/>
              <w:left w:val="single" w:sz="2" w:space="0" w:color="auto"/>
              <w:bottom w:val="single" w:sz="2" w:space="0" w:color="auto"/>
              <w:right w:val="single" w:sz="2" w:space="0" w:color="auto"/>
            </w:tcBorders>
          </w:tcPr>
          <w:p w14:paraId="5A9FBECE" w14:textId="77777777" w:rsidR="006C37A8" w:rsidRPr="004509DF" w:rsidRDefault="006C37A8" w:rsidP="00FE5720">
            <w:pPr>
              <w:spacing w:before="20" w:after="20"/>
              <w:ind w:left="38"/>
              <w:jc w:val="right"/>
              <w:rPr>
                <w:sz w:val="18"/>
                <w:szCs w:val="18"/>
              </w:rPr>
            </w:pPr>
            <w:r w:rsidRPr="004509DF">
              <w:rPr>
                <w:sz w:val="18"/>
              </w:rPr>
              <w:t>16,11</w:t>
            </w:r>
          </w:p>
        </w:tc>
        <w:tc>
          <w:tcPr>
            <w:tcW w:w="346" w:type="pct"/>
            <w:tcBorders>
              <w:top w:val="single" w:sz="2" w:space="0" w:color="auto"/>
              <w:left w:val="single" w:sz="2" w:space="0" w:color="auto"/>
              <w:bottom w:val="single" w:sz="2" w:space="0" w:color="auto"/>
              <w:right w:val="single" w:sz="2" w:space="0" w:color="auto"/>
            </w:tcBorders>
          </w:tcPr>
          <w:p w14:paraId="3D67B9BB" w14:textId="77777777" w:rsidR="006C37A8" w:rsidRPr="004509DF" w:rsidRDefault="006C37A8" w:rsidP="00FE5720">
            <w:pPr>
              <w:spacing w:before="20" w:after="20"/>
              <w:jc w:val="right"/>
              <w:rPr>
                <w:sz w:val="18"/>
                <w:szCs w:val="18"/>
              </w:rPr>
            </w:pPr>
            <w:r w:rsidRPr="004509DF">
              <w:rPr>
                <w:sz w:val="18"/>
              </w:rPr>
              <w:t>16,11</w:t>
            </w:r>
          </w:p>
        </w:tc>
        <w:tc>
          <w:tcPr>
            <w:tcW w:w="265" w:type="pct"/>
            <w:tcBorders>
              <w:top w:val="single" w:sz="2" w:space="0" w:color="auto"/>
              <w:left w:val="single" w:sz="2" w:space="0" w:color="auto"/>
              <w:bottom w:val="single" w:sz="2" w:space="0" w:color="auto"/>
              <w:right w:val="single" w:sz="2" w:space="0" w:color="auto"/>
            </w:tcBorders>
          </w:tcPr>
          <w:p w14:paraId="4F4D0D0E" w14:textId="77777777" w:rsidR="006C37A8" w:rsidRPr="004509DF" w:rsidRDefault="006C37A8" w:rsidP="00FE5720">
            <w:pPr>
              <w:spacing w:before="20" w:after="20"/>
              <w:jc w:val="right"/>
              <w:rPr>
                <w:sz w:val="18"/>
                <w:szCs w:val="18"/>
              </w:rPr>
            </w:pPr>
            <w:r w:rsidRPr="004509DF">
              <w:rPr>
                <w:sz w:val="18"/>
              </w:rPr>
              <w:t>16,11</w:t>
            </w:r>
          </w:p>
        </w:tc>
        <w:tc>
          <w:tcPr>
            <w:tcW w:w="346" w:type="pct"/>
            <w:tcBorders>
              <w:top w:val="single" w:sz="2" w:space="0" w:color="auto"/>
              <w:left w:val="single" w:sz="2" w:space="0" w:color="auto"/>
              <w:bottom w:val="single" w:sz="2" w:space="0" w:color="auto"/>
              <w:right w:val="single" w:sz="2" w:space="0" w:color="auto"/>
            </w:tcBorders>
          </w:tcPr>
          <w:p w14:paraId="59FAAEEC" w14:textId="77777777" w:rsidR="006C37A8" w:rsidRPr="004509DF" w:rsidRDefault="006C37A8" w:rsidP="00FE5720">
            <w:pPr>
              <w:spacing w:before="20" w:after="20"/>
              <w:jc w:val="right"/>
              <w:rPr>
                <w:sz w:val="18"/>
                <w:szCs w:val="18"/>
              </w:rPr>
            </w:pPr>
            <w:r w:rsidRPr="004509DF">
              <w:rPr>
                <w:sz w:val="18"/>
              </w:rPr>
              <w:t>8,05</w:t>
            </w:r>
          </w:p>
        </w:tc>
        <w:tc>
          <w:tcPr>
            <w:tcW w:w="265" w:type="pct"/>
            <w:tcBorders>
              <w:top w:val="single" w:sz="2" w:space="0" w:color="auto"/>
              <w:left w:val="single" w:sz="2" w:space="0" w:color="auto"/>
              <w:bottom w:val="single" w:sz="2" w:space="0" w:color="auto"/>
              <w:right w:val="single" w:sz="2" w:space="0" w:color="auto"/>
            </w:tcBorders>
          </w:tcPr>
          <w:p w14:paraId="01156F9A" w14:textId="77777777" w:rsidR="006C37A8" w:rsidRPr="004509DF" w:rsidRDefault="006C37A8" w:rsidP="00FE5720">
            <w:pPr>
              <w:spacing w:before="20" w:after="20"/>
              <w:jc w:val="right"/>
              <w:rPr>
                <w:sz w:val="18"/>
                <w:szCs w:val="18"/>
              </w:rPr>
            </w:pPr>
            <w:r w:rsidRPr="004509DF">
              <w:rPr>
                <w:sz w:val="18"/>
              </w:rPr>
              <w:t>8,05</w:t>
            </w:r>
          </w:p>
        </w:tc>
        <w:tc>
          <w:tcPr>
            <w:tcW w:w="237" w:type="pct"/>
            <w:tcBorders>
              <w:top w:val="single" w:sz="2" w:space="0" w:color="auto"/>
              <w:left w:val="single" w:sz="2" w:space="0" w:color="auto"/>
              <w:bottom w:val="single" w:sz="2" w:space="0" w:color="auto"/>
              <w:right w:val="single" w:sz="2" w:space="0" w:color="auto"/>
            </w:tcBorders>
          </w:tcPr>
          <w:p w14:paraId="2E670E95" w14:textId="77777777" w:rsidR="006C37A8" w:rsidRPr="004509DF" w:rsidRDefault="006C37A8" w:rsidP="00FE5720">
            <w:pPr>
              <w:spacing w:before="20" w:after="20"/>
              <w:jc w:val="right"/>
              <w:rPr>
                <w:sz w:val="18"/>
                <w:szCs w:val="18"/>
              </w:rPr>
            </w:pPr>
            <w:r w:rsidRPr="004509DF">
              <w:rPr>
                <w:sz w:val="18"/>
              </w:rPr>
              <w:t>0,62</w:t>
            </w:r>
          </w:p>
        </w:tc>
        <w:tc>
          <w:tcPr>
            <w:tcW w:w="346" w:type="pct"/>
            <w:tcBorders>
              <w:top w:val="single" w:sz="2" w:space="0" w:color="auto"/>
              <w:left w:val="single" w:sz="2" w:space="0" w:color="auto"/>
              <w:bottom w:val="single" w:sz="2" w:space="0" w:color="auto"/>
              <w:right w:val="single" w:sz="2" w:space="0" w:color="auto"/>
            </w:tcBorders>
          </w:tcPr>
          <w:p w14:paraId="42A74757" w14:textId="77777777" w:rsidR="006C37A8" w:rsidRPr="004509DF" w:rsidRDefault="006C37A8" w:rsidP="00FE5720">
            <w:pPr>
              <w:spacing w:before="20" w:after="20"/>
              <w:jc w:val="right"/>
              <w:rPr>
                <w:sz w:val="18"/>
                <w:szCs w:val="18"/>
              </w:rPr>
            </w:pPr>
            <w:r w:rsidRPr="004509DF">
              <w:rPr>
                <w:sz w:val="18"/>
              </w:rPr>
              <w:t>0,62</w:t>
            </w:r>
          </w:p>
        </w:tc>
        <w:tc>
          <w:tcPr>
            <w:tcW w:w="237" w:type="pct"/>
            <w:tcBorders>
              <w:top w:val="single" w:sz="2" w:space="0" w:color="auto"/>
              <w:left w:val="single" w:sz="2" w:space="0" w:color="auto"/>
              <w:bottom w:val="single" w:sz="2" w:space="0" w:color="auto"/>
              <w:right w:val="single" w:sz="2" w:space="0" w:color="auto"/>
            </w:tcBorders>
          </w:tcPr>
          <w:p w14:paraId="2668B873" w14:textId="77777777" w:rsidR="006C37A8" w:rsidRPr="004509DF" w:rsidRDefault="006C37A8" w:rsidP="00FE5720">
            <w:pPr>
              <w:spacing w:before="20" w:after="20"/>
              <w:jc w:val="right"/>
              <w:rPr>
                <w:sz w:val="18"/>
                <w:szCs w:val="18"/>
              </w:rPr>
            </w:pPr>
            <w:r w:rsidRPr="004509DF">
              <w:rPr>
                <w:sz w:val="18"/>
              </w:rPr>
              <w:t>0,0</w:t>
            </w:r>
          </w:p>
        </w:tc>
        <w:tc>
          <w:tcPr>
            <w:tcW w:w="464" w:type="pct"/>
            <w:tcBorders>
              <w:top w:val="single" w:sz="2" w:space="0" w:color="auto"/>
              <w:left w:val="single" w:sz="2" w:space="0" w:color="auto"/>
              <w:bottom w:val="single" w:sz="2" w:space="0" w:color="auto"/>
              <w:right w:val="single" w:sz="2" w:space="0" w:color="auto"/>
            </w:tcBorders>
            <w:hideMark/>
          </w:tcPr>
          <w:p w14:paraId="1A78DBDC" w14:textId="77777777" w:rsidR="006C37A8" w:rsidRPr="004509DF" w:rsidRDefault="006C37A8" w:rsidP="00FE5720">
            <w:pPr>
              <w:spacing w:before="20" w:after="20"/>
              <w:jc w:val="right"/>
              <w:rPr>
                <w:sz w:val="18"/>
                <w:szCs w:val="18"/>
              </w:rPr>
            </w:pPr>
            <w:r w:rsidRPr="004509DF">
              <w:rPr>
                <w:sz w:val="18"/>
              </w:rPr>
              <w:t>n.a.</w:t>
            </w:r>
          </w:p>
        </w:tc>
      </w:tr>
      <w:tr w:rsidR="006C37A8" w:rsidRPr="004509DF" w14:paraId="6D3FFFB4" w14:textId="77777777" w:rsidTr="003F5CAE">
        <w:trPr>
          <w:trHeight w:val="94"/>
          <w:jc w:val="center"/>
        </w:trPr>
        <w:tc>
          <w:tcPr>
            <w:tcW w:w="797" w:type="pct"/>
            <w:vMerge w:val="restart"/>
            <w:tcBorders>
              <w:top w:val="single" w:sz="2" w:space="0" w:color="auto"/>
              <w:left w:val="single" w:sz="4" w:space="0" w:color="auto"/>
              <w:bottom w:val="single" w:sz="4" w:space="0" w:color="auto"/>
              <w:right w:val="single" w:sz="4" w:space="0" w:color="auto"/>
            </w:tcBorders>
            <w:hideMark/>
          </w:tcPr>
          <w:p w14:paraId="2DE6BBD8" w14:textId="77777777" w:rsidR="006C37A8" w:rsidRPr="004509DF" w:rsidRDefault="006C37A8" w:rsidP="00FE5720">
            <w:pPr>
              <w:spacing w:before="20" w:after="20"/>
              <w:ind w:left="38" w:right="-82"/>
              <w:jc w:val="left"/>
              <w:rPr>
                <w:sz w:val="18"/>
                <w:szCs w:val="18"/>
              </w:rPr>
            </w:pPr>
            <w:r w:rsidRPr="004509DF">
              <w:rPr>
                <w:sz w:val="18"/>
              </w:rPr>
              <w:t>Cantidades aprobadas en principio (USD)</w:t>
            </w:r>
          </w:p>
        </w:tc>
        <w:tc>
          <w:tcPr>
            <w:tcW w:w="319" w:type="pct"/>
            <w:vMerge w:val="restart"/>
            <w:tcBorders>
              <w:top w:val="single" w:sz="2" w:space="0" w:color="auto"/>
              <w:left w:val="single" w:sz="4" w:space="0" w:color="auto"/>
              <w:bottom w:val="single" w:sz="4" w:space="0" w:color="auto"/>
              <w:right w:val="single" w:sz="4" w:space="0" w:color="auto"/>
            </w:tcBorders>
            <w:hideMark/>
          </w:tcPr>
          <w:p w14:paraId="07C10FA2" w14:textId="77777777" w:rsidR="006C37A8" w:rsidRPr="004509DF" w:rsidRDefault="006C37A8" w:rsidP="00FE5720">
            <w:pPr>
              <w:spacing w:before="20" w:after="20"/>
              <w:ind w:left="38"/>
              <w:jc w:val="center"/>
              <w:rPr>
                <w:sz w:val="18"/>
                <w:szCs w:val="18"/>
              </w:rPr>
            </w:pPr>
            <w:r w:rsidRPr="004509DF">
              <w:rPr>
                <w:color w:val="000000"/>
                <w:sz w:val="18"/>
              </w:rPr>
              <w:t>PNUD</w:t>
            </w:r>
          </w:p>
        </w:tc>
        <w:tc>
          <w:tcPr>
            <w:tcW w:w="732" w:type="pct"/>
            <w:tcBorders>
              <w:top w:val="single" w:sz="2" w:space="0" w:color="auto"/>
              <w:left w:val="single" w:sz="4" w:space="0" w:color="auto"/>
              <w:bottom w:val="single" w:sz="4" w:space="0" w:color="auto"/>
              <w:right w:val="single" w:sz="4" w:space="0" w:color="auto"/>
            </w:tcBorders>
            <w:hideMark/>
          </w:tcPr>
          <w:p w14:paraId="14817C3E" w14:textId="77777777" w:rsidR="006C37A8" w:rsidRPr="004509DF" w:rsidRDefault="006C37A8" w:rsidP="00FE5720">
            <w:pPr>
              <w:spacing w:before="20" w:after="20"/>
              <w:ind w:left="38"/>
              <w:jc w:val="left"/>
              <w:rPr>
                <w:sz w:val="18"/>
                <w:szCs w:val="18"/>
              </w:rPr>
            </w:pPr>
            <w:r w:rsidRPr="004509DF">
              <w:rPr>
                <w:sz w:val="18"/>
              </w:rPr>
              <w:t>Costos del proyecto</w:t>
            </w:r>
          </w:p>
        </w:tc>
        <w:tc>
          <w:tcPr>
            <w:tcW w:w="363" w:type="pct"/>
            <w:tcBorders>
              <w:top w:val="single" w:sz="2" w:space="0" w:color="auto"/>
              <w:left w:val="single" w:sz="4" w:space="0" w:color="auto"/>
              <w:bottom w:val="single" w:sz="4" w:space="0" w:color="auto"/>
              <w:right w:val="single" w:sz="4" w:space="0" w:color="auto"/>
            </w:tcBorders>
          </w:tcPr>
          <w:p w14:paraId="46880774" w14:textId="77777777" w:rsidR="006C37A8" w:rsidRPr="004509DF" w:rsidRDefault="006C37A8" w:rsidP="00FE5720">
            <w:pPr>
              <w:spacing w:before="20" w:after="20"/>
              <w:ind w:left="38"/>
              <w:jc w:val="right"/>
              <w:rPr>
                <w:color w:val="000000"/>
                <w:sz w:val="18"/>
                <w:szCs w:val="18"/>
              </w:rPr>
            </w:pPr>
            <w:r w:rsidRPr="004509DF">
              <w:rPr>
                <w:color w:val="000000"/>
                <w:sz w:val="18"/>
              </w:rPr>
              <w:t>206.800</w:t>
            </w:r>
          </w:p>
        </w:tc>
        <w:tc>
          <w:tcPr>
            <w:tcW w:w="282" w:type="pct"/>
            <w:tcBorders>
              <w:top w:val="single" w:sz="2" w:space="0" w:color="auto"/>
              <w:left w:val="single" w:sz="4" w:space="0" w:color="auto"/>
              <w:bottom w:val="single" w:sz="4" w:space="0" w:color="auto"/>
              <w:right w:val="single" w:sz="4" w:space="0" w:color="auto"/>
            </w:tcBorders>
          </w:tcPr>
          <w:p w14:paraId="6B92B811" w14:textId="77777777" w:rsidR="006C37A8" w:rsidRPr="004509DF" w:rsidRDefault="006C37A8" w:rsidP="00FE5720">
            <w:pPr>
              <w:tabs>
                <w:tab w:val="left" w:pos="580"/>
              </w:tabs>
              <w:spacing w:before="20" w:after="20"/>
              <w:ind w:left="38"/>
              <w:jc w:val="right"/>
              <w:rPr>
                <w:color w:val="000000"/>
                <w:sz w:val="18"/>
                <w:szCs w:val="18"/>
              </w:rPr>
            </w:pPr>
            <w:r w:rsidRPr="004509DF">
              <w:rPr>
                <w:color w:val="000000"/>
                <w:sz w:val="18"/>
              </w:rPr>
              <w:t>0</w:t>
            </w:r>
          </w:p>
        </w:tc>
        <w:tc>
          <w:tcPr>
            <w:tcW w:w="346" w:type="pct"/>
            <w:tcBorders>
              <w:top w:val="single" w:sz="2" w:space="0" w:color="auto"/>
              <w:left w:val="single" w:sz="4" w:space="0" w:color="auto"/>
              <w:bottom w:val="single" w:sz="4" w:space="0" w:color="auto"/>
              <w:right w:val="single" w:sz="4" w:space="0" w:color="auto"/>
            </w:tcBorders>
          </w:tcPr>
          <w:p w14:paraId="76AC5697" w14:textId="77777777" w:rsidR="006C37A8" w:rsidRPr="004509DF" w:rsidRDefault="006C37A8" w:rsidP="00FE5720">
            <w:pPr>
              <w:spacing w:before="20" w:after="20"/>
              <w:jc w:val="right"/>
              <w:rPr>
                <w:color w:val="000000"/>
                <w:sz w:val="18"/>
                <w:szCs w:val="18"/>
              </w:rPr>
            </w:pPr>
            <w:r w:rsidRPr="004509DF">
              <w:rPr>
                <w:color w:val="000000"/>
                <w:sz w:val="18"/>
              </w:rPr>
              <w:t>497.612</w:t>
            </w:r>
          </w:p>
        </w:tc>
        <w:tc>
          <w:tcPr>
            <w:tcW w:w="265" w:type="pct"/>
            <w:tcBorders>
              <w:top w:val="single" w:sz="2" w:space="0" w:color="auto"/>
              <w:left w:val="single" w:sz="4" w:space="0" w:color="auto"/>
              <w:bottom w:val="single" w:sz="4" w:space="0" w:color="auto"/>
              <w:right w:val="single" w:sz="4" w:space="0" w:color="auto"/>
            </w:tcBorders>
          </w:tcPr>
          <w:p w14:paraId="4C82C6C8"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2" w:space="0" w:color="auto"/>
              <w:left w:val="single" w:sz="4" w:space="0" w:color="auto"/>
              <w:bottom w:val="single" w:sz="4" w:space="0" w:color="auto"/>
              <w:right w:val="single" w:sz="4" w:space="0" w:color="auto"/>
            </w:tcBorders>
          </w:tcPr>
          <w:p w14:paraId="5010BE19" w14:textId="77777777" w:rsidR="006C37A8" w:rsidRPr="004509DF" w:rsidRDefault="006C37A8" w:rsidP="00FE5720">
            <w:pPr>
              <w:spacing w:before="20" w:after="20"/>
              <w:jc w:val="right"/>
              <w:rPr>
                <w:color w:val="000000"/>
                <w:sz w:val="18"/>
                <w:szCs w:val="18"/>
              </w:rPr>
            </w:pPr>
            <w:r w:rsidRPr="004509DF">
              <w:rPr>
                <w:color w:val="000000"/>
                <w:sz w:val="18"/>
              </w:rPr>
              <w:t>458.838</w:t>
            </w:r>
          </w:p>
        </w:tc>
        <w:tc>
          <w:tcPr>
            <w:tcW w:w="265" w:type="pct"/>
            <w:tcBorders>
              <w:top w:val="single" w:sz="2" w:space="0" w:color="auto"/>
              <w:left w:val="single" w:sz="4" w:space="0" w:color="auto"/>
              <w:bottom w:val="single" w:sz="4" w:space="0" w:color="auto"/>
              <w:right w:val="single" w:sz="4" w:space="0" w:color="auto"/>
            </w:tcBorders>
          </w:tcPr>
          <w:p w14:paraId="2D599DF3"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237" w:type="pct"/>
            <w:tcBorders>
              <w:top w:val="single" w:sz="2" w:space="0" w:color="auto"/>
              <w:left w:val="single" w:sz="4" w:space="0" w:color="auto"/>
              <w:bottom w:val="single" w:sz="4" w:space="0" w:color="auto"/>
              <w:right w:val="single" w:sz="4" w:space="0" w:color="auto"/>
            </w:tcBorders>
          </w:tcPr>
          <w:p w14:paraId="620D3716"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2" w:space="0" w:color="auto"/>
              <w:left w:val="single" w:sz="4" w:space="0" w:color="auto"/>
              <w:bottom w:val="single" w:sz="4" w:space="0" w:color="auto"/>
              <w:right w:val="single" w:sz="4" w:space="0" w:color="auto"/>
            </w:tcBorders>
          </w:tcPr>
          <w:p w14:paraId="30072F98" w14:textId="77777777" w:rsidR="006C37A8" w:rsidRPr="004509DF" w:rsidRDefault="006C37A8" w:rsidP="00FE5720">
            <w:pPr>
              <w:spacing w:before="20" w:after="20"/>
              <w:jc w:val="right"/>
              <w:rPr>
                <w:color w:val="000000"/>
                <w:sz w:val="18"/>
                <w:szCs w:val="18"/>
              </w:rPr>
            </w:pPr>
            <w:r w:rsidRPr="004509DF">
              <w:rPr>
                <w:color w:val="000000"/>
                <w:sz w:val="18"/>
              </w:rPr>
              <w:t>129.250</w:t>
            </w:r>
          </w:p>
        </w:tc>
        <w:tc>
          <w:tcPr>
            <w:tcW w:w="237" w:type="pct"/>
            <w:tcBorders>
              <w:top w:val="single" w:sz="2" w:space="0" w:color="auto"/>
              <w:left w:val="single" w:sz="4" w:space="0" w:color="auto"/>
              <w:bottom w:val="single" w:sz="4" w:space="0" w:color="auto"/>
              <w:right w:val="single" w:sz="4" w:space="0" w:color="auto"/>
            </w:tcBorders>
          </w:tcPr>
          <w:p w14:paraId="1EB9A393"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464" w:type="pct"/>
            <w:tcBorders>
              <w:top w:val="single" w:sz="2" w:space="0" w:color="auto"/>
              <w:left w:val="single" w:sz="4" w:space="0" w:color="auto"/>
              <w:bottom w:val="single" w:sz="4" w:space="0" w:color="auto"/>
              <w:right w:val="single" w:sz="4" w:space="0" w:color="auto"/>
            </w:tcBorders>
          </w:tcPr>
          <w:p w14:paraId="52C51192" w14:textId="77777777" w:rsidR="006C37A8" w:rsidRPr="004509DF" w:rsidRDefault="006C37A8" w:rsidP="00FE5720">
            <w:pPr>
              <w:spacing w:before="20" w:after="20"/>
              <w:jc w:val="right"/>
              <w:rPr>
                <w:color w:val="000000"/>
                <w:sz w:val="18"/>
                <w:szCs w:val="18"/>
              </w:rPr>
            </w:pPr>
            <w:r w:rsidRPr="004509DF">
              <w:rPr>
                <w:color w:val="000000"/>
                <w:sz w:val="18"/>
              </w:rPr>
              <w:t>1.292.500</w:t>
            </w:r>
          </w:p>
        </w:tc>
      </w:tr>
      <w:tr w:rsidR="006C37A8" w:rsidRPr="004509DF" w14:paraId="154BD069" w14:textId="77777777" w:rsidTr="003F5CAE">
        <w:trPr>
          <w:trHeight w:val="77"/>
          <w:jc w:val="center"/>
        </w:trPr>
        <w:tc>
          <w:tcPr>
            <w:tcW w:w="797" w:type="pct"/>
            <w:vMerge/>
            <w:tcBorders>
              <w:top w:val="single" w:sz="4" w:space="0" w:color="auto"/>
              <w:left w:val="single" w:sz="4" w:space="0" w:color="auto"/>
              <w:bottom w:val="single" w:sz="4" w:space="0" w:color="auto"/>
              <w:right w:val="single" w:sz="4" w:space="0" w:color="auto"/>
            </w:tcBorders>
            <w:hideMark/>
          </w:tcPr>
          <w:p w14:paraId="4B418B49" w14:textId="77777777" w:rsidR="006C37A8" w:rsidRPr="004509DF" w:rsidRDefault="006C37A8" w:rsidP="00FE5720">
            <w:pPr>
              <w:spacing w:before="20" w:after="20"/>
              <w:ind w:left="38"/>
              <w:jc w:val="left"/>
              <w:rPr>
                <w:sz w:val="18"/>
                <w:szCs w:val="18"/>
              </w:rPr>
            </w:pPr>
          </w:p>
        </w:tc>
        <w:tc>
          <w:tcPr>
            <w:tcW w:w="319" w:type="pct"/>
            <w:vMerge/>
            <w:tcBorders>
              <w:top w:val="single" w:sz="4" w:space="0" w:color="auto"/>
              <w:left w:val="single" w:sz="4" w:space="0" w:color="auto"/>
              <w:bottom w:val="single" w:sz="4" w:space="0" w:color="auto"/>
              <w:right w:val="single" w:sz="4" w:space="0" w:color="auto"/>
            </w:tcBorders>
            <w:hideMark/>
          </w:tcPr>
          <w:p w14:paraId="2C8942C4" w14:textId="77777777" w:rsidR="006C37A8" w:rsidRPr="004509DF" w:rsidRDefault="006C37A8" w:rsidP="00FE5720">
            <w:pPr>
              <w:spacing w:before="20" w:after="20"/>
              <w:ind w:left="38"/>
              <w:jc w:val="center"/>
              <w:rPr>
                <w:sz w:val="18"/>
                <w:szCs w:val="18"/>
              </w:rPr>
            </w:pPr>
          </w:p>
        </w:tc>
        <w:tc>
          <w:tcPr>
            <w:tcW w:w="732" w:type="pct"/>
            <w:tcBorders>
              <w:top w:val="single" w:sz="4" w:space="0" w:color="auto"/>
              <w:left w:val="single" w:sz="4" w:space="0" w:color="auto"/>
              <w:bottom w:val="single" w:sz="4" w:space="0" w:color="auto"/>
              <w:right w:val="single" w:sz="4" w:space="0" w:color="auto"/>
            </w:tcBorders>
            <w:hideMark/>
          </w:tcPr>
          <w:p w14:paraId="28D32B7A" w14:textId="77777777" w:rsidR="006C37A8" w:rsidRPr="004509DF" w:rsidRDefault="006C37A8" w:rsidP="00FE5720">
            <w:pPr>
              <w:spacing w:before="20" w:after="20"/>
              <w:ind w:left="38"/>
              <w:jc w:val="left"/>
              <w:rPr>
                <w:sz w:val="18"/>
                <w:szCs w:val="18"/>
              </w:rPr>
            </w:pPr>
            <w:r w:rsidRPr="004509DF">
              <w:rPr>
                <w:sz w:val="18"/>
              </w:rPr>
              <w:t>Gastos de apoyo</w:t>
            </w:r>
          </w:p>
        </w:tc>
        <w:tc>
          <w:tcPr>
            <w:tcW w:w="363" w:type="pct"/>
            <w:tcBorders>
              <w:top w:val="single" w:sz="4" w:space="0" w:color="auto"/>
              <w:left w:val="single" w:sz="4" w:space="0" w:color="auto"/>
              <w:bottom w:val="single" w:sz="4" w:space="0" w:color="auto"/>
              <w:right w:val="single" w:sz="4" w:space="0" w:color="auto"/>
            </w:tcBorders>
          </w:tcPr>
          <w:p w14:paraId="4837ABBB" w14:textId="77777777" w:rsidR="006C37A8" w:rsidRPr="004509DF" w:rsidRDefault="006C37A8" w:rsidP="00FE5720">
            <w:pPr>
              <w:spacing w:before="20" w:after="20"/>
              <w:ind w:left="38"/>
              <w:jc w:val="right"/>
              <w:rPr>
                <w:color w:val="000000"/>
                <w:sz w:val="18"/>
                <w:szCs w:val="18"/>
              </w:rPr>
            </w:pPr>
            <w:r w:rsidRPr="004509DF">
              <w:rPr>
                <w:color w:val="000000"/>
                <w:sz w:val="18"/>
              </w:rPr>
              <w:t>14.476</w:t>
            </w:r>
          </w:p>
        </w:tc>
        <w:tc>
          <w:tcPr>
            <w:tcW w:w="282" w:type="pct"/>
            <w:tcBorders>
              <w:top w:val="single" w:sz="4" w:space="0" w:color="auto"/>
              <w:left w:val="single" w:sz="4" w:space="0" w:color="auto"/>
              <w:bottom w:val="single" w:sz="4" w:space="0" w:color="auto"/>
              <w:right w:val="single" w:sz="4" w:space="0" w:color="auto"/>
            </w:tcBorders>
          </w:tcPr>
          <w:p w14:paraId="1AC3F88E" w14:textId="77777777" w:rsidR="006C37A8" w:rsidRPr="004509DF" w:rsidRDefault="006C37A8" w:rsidP="00FE5720">
            <w:pPr>
              <w:spacing w:before="20" w:after="20"/>
              <w:ind w:left="38"/>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6B232E55" w14:textId="77777777" w:rsidR="006C37A8" w:rsidRPr="004509DF" w:rsidRDefault="006C37A8" w:rsidP="00FE5720">
            <w:pPr>
              <w:spacing w:before="20" w:after="20"/>
              <w:jc w:val="right"/>
              <w:rPr>
                <w:color w:val="000000"/>
                <w:sz w:val="18"/>
                <w:szCs w:val="18"/>
              </w:rPr>
            </w:pPr>
            <w:r w:rsidRPr="004509DF">
              <w:rPr>
                <w:color w:val="000000"/>
                <w:sz w:val="18"/>
              </w:rPr>
              <w:t>34.833</w:t>
            </w:r>
          </w:p>
        </w:tc>
        <w:tc>
          <w:tcPr>
            <w:tcW w:w="265" w:type="pct"/>
            <w:tcBorders>
              <w:top w:val="single" w:sz="4" w:space="0" w:color="auto"/>
              <w:left w:val="single" w:sz="4" w:space="0" w:color="auto"/>
              <w:bottom w:val="single" w:sz="4" w:space="0" w:color="auto"/>
              <w:right w:val="single" w:sz="4" w:space="0" w:color="auto"/>
            </w:tcBorders>
          </w:tcPr>
          <w:p w14:paraId="3FB56F69"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2E7FE4CA" w14:textId="77777777" w:rsidR="006C37A8" w:rsidRPr="004509DF" w:rsidRDefault="006C37A8" w:rsidP="00FE5720">
            <w:pPr>
              <w:spacing w:before="20" w:after="20"/>
              <w:jc w:val="right"/>
              <w:rPr>
                <w:color w:val="000000"/>
                <w:sz w:val="18"/>
                <w:szCs w:val="18"/>
              </w:rPr>
            </w:pPr>
            <w:r w:rsidRPr="004509DF">
              <w:rPr>
                <w:color w:val="000000"/>
                <w:sz w:val="18"/>
              </w:rPr>
              <w:t>32.119</w:t>
            </w:r>
          </w:p>
        </w:tc>
        <w:tc>
          <w:tcPr>
            <w:tcW w:w="265" w:type="pct"/>
            <w:tcBorders>
              <w:top w:val="single" w:sz="4" w:space="0" w:color="auto"/>
              <w:left w:val="single" w:sz="4" w:space="0" w:color="auto"/>
              <w:bottom w:val="single" w:sz="4" w:space="0" w:color="auto"/>
              <w:right w:val="single" w:sz="4" w:space="0" w:color="auto"/>
            </w:tcBorders>
          </w:tcPr>
          <w:p w14:paraId="7B78E475"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237" w:type="pct"/>
            <w:tcBorders>
              <w:top w:val="single" w:sz="4" w:space="0" w:color="auto"/>
              <w:left w:val="single" w:sz="4" w:space="0" w:color="auto"/>
              <w:bottom w:val="single" w:sz="4" w:space="0" w:color="auto"/>
              <w:right w:val="single" w:sz="4" w:space="0" w:color="auto"/>
            </w:tcBorders>
          </w:tcPr>
          <w:p w14:paraId="67E15CDB"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4BB41D3E" w14:textId="77777777" w:rsidR="006C37A8" w:rsidRPr="004509DF" w:rsidRDefault="006C37A8" w:rsidP="00FE5720">
            <w:pPr>
              <w:spacing w:before="20" w:after="20"/>
              <w:jc w:val="right"/>
              <w:rPr>
                <w:color w:val="000000"/>
                <w:sz w:val="18"/>
                <w:szCs w:val="18"/>
              </w:rPr>
            </w:pPr>
            <w:r w:rsidRPr="004509DF">
              <w:rPr>
                <w:color w:val="000000"/>
                <w:sz w:val="18"/>
              </w:rPr>
              <w:t>9.047</w:t>
            </w:r>
          </w:p>
        </w:tc>
        <w:tc>
          <w:tcPr>
            <w:tcW w:w="237" w:type="pct"/>
            <w:tcBorders>
              <w:top w:val="single" w:sz="4" w:space="0" w:color="auto"/>
              <w:left w:val="single" w:sz="4" w:space="0" w:color="auto"/>
              <w:bottom w:val="single" w:sz="4" w:space="0" w:color="auto"/>
              <w:right w:val="single" w:sz="4" w:space="0" w:color="auto"/>
            </w:tcBorders>
          </w:tcPr>
          <w:p w14:paraId="57D2ABA3"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464" w:type="pct"/>
            <w:tcBorders>
              <w:top w:val="single" w:sz="4" w:space="0" w:color="auto"/>
              <w:left w:val="single" w:sz="4" w:space="0" w:color="auto"/>
              <w:bottom w:val="single" w:sz="4" w:space="0" w:color="auto"/>
              <w:right w:val="single" w:sz="4" w:space="0" w:color="auto"/>
            </w:tcBorders>
          </w:tcPr>
          <w:p w14:paraId="480F7D6E" w14:textId="508924DC" w:rsidR="006C37A8" w:rsidRPr="004509DF" w:rsidRDefault="006C37A8" w:rsidP="00FE5720">
            <w:pPr>
              <w:spacing w:before="20" w:after="20"/>
              <w:jc w:val="right"/>
              <w:rPr>
                <w:color w:val="000000"/>
                <w:sz w:val="18"/>
                <w:szCs w:val="18"/>
              </w:rPr>
            </w:pPr>
            <w:r w:rsidRPr="004509DF">
              <w:rPr>
                <w:color w:val="000000"/>
                <w:sz w:val="18"/>
              </w:rPr>
              <w:fldChar w:fldCharType="begin"/>
            </w:r>
            <w:r w:rsidRPr="004509DF">
              <w:rPr>
                <w:color w:val="000000"/>
                <w:sz w:val="18"/>
              </w:rPr>
              <w:instrText xml:space="preserve"> =SUM(LEFT) </w:instrText>
            </w:r>
            <w:r w:rsidRPr="004509DF">
              <w:rPr>
                <w:color w:val="000000"/>
                <w:sz w:val="18"/>
              </w:rPr>
              <w:fldChar w:fldCharType="separate"/>
            </w:r>
            <w:r w:rsidRPr="004509DF">
              <w:rPr>
                <w:color w:val="000000"/>
                <w:sz w:val="18"/>
              </w:rPr>
              <w:t>90</w:t>
            </w:r>
            <w:r w:rsidR="00743ACD">
              <w:rPr>
                <w:color w:val="000000"/>
                <w:sz w:val="18"/>
              </w:rPr>
              <w:t>.</w:t>
            </w:r>
            <w:r w:rsidRPr="004509DF">
              <w:rPr>
                <w:color w:val="000000"/>
                <w:sz w:val="18"/>
              </w:rPr>
              <w:t>475</w:t>
            </w:r>
            <w:r w:rsidRPr="004509DF">
              <w:rPr>
                <w:color w:val="000000"/>
                <w:sz w:val="18"/>
              </w:rPr>
              <w:fldChar w:fldCharType="end"/>
            </w:r>
          </w:p>
        </w:tc>
      </w:tr>
      <w:tr w:rsidR="006C37A8" w:rsidRPr="004509DF" w14:paraId="4E7D700E" w14:textId="77777777" w:rsidTr="003F5CAE">
        <w:trPr>
          <w:trHeight w:val="50"/>
          <w:jc w:val="center"/>
        </w:trPr>
        <w:tc>
          <w:tcPr>
            <w:tcW w:w="1116" w:type="pct"/>
            <w:gridSpan w:val="2"/>
            <w:vMerge w:val="restart"/>
            <w:tcBorders>
              <w:top w:val="single" w:sz="4" w:space="0" w:color="auto"/>
              <w:left w:val="single" w:sz="4" w:space="0" w:color="auto"/>
              <w:bottom w:val="single" w:sz="4" w:space="0" w:color="auto"/>
              <w:right w:val="single" w:sz="4" w:space="0" w:color="auto"/>
            </w:tcBorders>
            <w:hideMark/>
          </w:tcPr>
          <w:p w14:paraId="188711C1" w14:textId="77777777" w:rsidR="006C37A8" w:rsidRPr="004509DF" w:rsidRDefault="006C37A8" w:rsidP="00FE5720">
            <w:pPr>
              <w:spacing w:before="20" w:after="20"/>
              <w:ind w:left="38"/>
              <w:jc w:val="left"/>
              <w:rPr>
                <w:sz w:val="18"/>
                <w:szCs w:val="18"/>
              </w:rPr>
            </w:pPr>
            <w:r w:rsidRPr="004509DF">
              <w:rPr>
                <w:sz w:val="18"/>
              </w:rPr>
              <w:t>Fondos aprobados por el Comité Ejecutivo (USD)</w:t>
            </w:r>
          </w:p>
        </w:tc>
        <w:tc>
          <w:tcPr>
            <w:tcW w:w="732" w:type="pct"/>
            <w:tcBorders>
              <w:top w:val="single" w:sz="4" w:space="0" w:color="auto"/>
              <w:left w:val="single" w:sz="4" w:space="0" w:color="auto"/>
              <w:bottom w:val="single" w:sz="4" w:space="0" w:color="auto"/>
              <w:right w:val="single" w:sz="4" w:space="0" w:color="auto"/>
            </w:tcBorders>
            <w:hideMark/>
          </w:tcPr>
          <w:p w14:paraId="10C0E924" w14:textId="77777777" w:rsidR="006C37A8" w:rsidRPr="004509DF" w:rsidRDefault="006C37A8" w:rsidP="00FE5720">
            <w:pPr>
              <w:spacing w:before="20" w:after="20"/>
              <w:ind w:left="38"/>
              <w:jc w:val="left"/>
              <w:rPr>
                <w:sz w:val="18"/>
                <w:szCs w:val="18"/>
              </w:rPr>
            </w:pPr>
            <w:r w:rsidRPr="004509DF">
              <w:rPr>
                <w:sz w:val="18"/>
              </w:rPr>
              <w:t>Costos del proyecto</w:t>
            </w:r>
          </w:p>
        </w:tc>
        <w:tc>
          <w:tcPr>
            <w:tcW w:w="363" w:type="pct"/>
            <w:tcBorders>
              <w:top w:val="single" w:sz="4" w:space="0" w:color="auto"/>
              <w:left w:val="single" w:sz="4" w:space="0" w:color="auto"/>
              <w:bottom w:val="single" w:sz="4" w:space="0" w:color="auto"/>
              <w:right w:val="single" w:sz="4" w:space="0" w:color="auto"/>
            </w:tcBorders>
          </w:tcPr>
          <w:p w14:paraId="53BCBD41" w14:textId="77777777" w:rsidR="006C37A8" w:rsidRPr="004509DF" w:rsidRDefault="006C37A8" w:rsidP="00FE5720">
            <w:pPr>
              <w:spacing w:before="20" w:after="20"/>
              <w:ind w:left="38"/>
              <w:jc w:val="right"/>
              <w:rPr>
                <w:color w:val="000000"/>
                <w:sz w:val="18"/>
                <w:szCs w:val="18"/>
              </w:rPr>
            </w:pPr>
            <w:r w:rsidRPr="004509DF">
              <w:rPr>
                <w:color w:val="000000"/>
                <w:sz w:val="18"/>
              </w:rPr>
              <w:t>206.800</w:t>
            </w:r>
          </w:p>
        </w:tc>
        <w:tc>
          <w:tcPr>
            <w:tcW w:w="282" w:type="pct"/>
            <w:tcBorders>
              <w:top w:val="single" w:sz="4" w:space="0" w:color="auto"/>
              <w:left w:val="single" w:sz="4" w:space="0" w:color="auto"/>
              <w:bottom w:val="single" w:sz="4" w:space="0" w:color="auto"/>
              <w:right w:val="single" w:sz="4" w:space="0" w:color="auto"/>
            </w:tcBorders>
          </w:tcPr>
          <w:p w14:paraId="0AB542C7" w14:textId="77777777" w:rsidR="006C37A8" w:rsidRPr="004509DF" w:rsidRDefault="006C37A8" w:rsidP="00FE5720">
            <w:pPr>
              <w:spacing w:before="20" w:after="20"/>
              <w:ind w:left="38"/>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66CF8FCD" w14:textId="77777777" w:rsidR="006C37A8" w:rsidRPr="004509DF" w:rsidRDefault="006C37A8" w:rsidP="00FE5720">
            <w:pPr>
              <w:spacing w:before="20" w:after="20"/>
              <w:jc w:val="center"/>
              <w:rPr>
                <w:color w:val="000000"/>
                <w:sz w:val="18"/>
                <w:szCs w:val="18"/>
              </w:rPr>
            </w:pPr>
            <w:r w:rsidRPr="004509DF">
              <w:rPr>
                <w:color w:val="000000"/>
                <w:sz w:val="18"/>
              </w:rPr>
              <w:t>497.612</w:t>
            </w:r>
          </w:p>
        </w:tc>
        <w:tc>
          <w:tcPr>
            <w:tcW w:w="265" w:type="pct"/>
            <w:tcBorders>
              <w:top w:val="single" w:sz="4" w:space="0" w:color="auto"/>
              <w:left w:val="single" w:sz="4" w:space="0" w:color="auto"/>
              <w:bottom w:val="single" w:sz="4" w:space="0" w:color="auto"/>
              <w:right w:val="single" w:sz="4" w:space="0" w:color="auto"/>
            </w:tcBorders>
          </w:tcPr>
          <w:p w14:paraId="43CC9E90"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1BEBD427" w14:textId="77777777" w:rsidR="006C37A8" w:rsidRPr="004509DF" w:rsidRDefault="006C37A8"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4136ADD7"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237" w:type="pct"/>
            <w:tcBorders>
              <w:top w:val="single" w:sz="4" w:space="0" w:color="auto"/>
              <w:left w:val="single" w:sz="4" w:space="0" w:color="auto"/>
              <w:bottom w:val="single" w:sz="4" w:space="0" w:color="auto"/>
              <w:right w:val="single" w:sz="4" w:space="0" w:color="auto"/>
            </w:tcBorders>
          </w:tcPr>
          <w:p w14:paraId="69B7EA7E"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4FABD85C"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237" w:type="pct"/>
            <w:tcBorders>
              <w:top w:val="single" w:sz="4" w:space="0" w:color="auto"/>
              <w:left w:val="single" w:sz="4" w:space="0" w:color="auto"/>
              <w:bottom w:val="single" w:sz="4" w:space="0" w:color="auto"/>
              <w:right w:val="single" w:sz="4" w:space="0" w:color="auto"/>
            </w:tcBorders>
          </w:tcPr>
          <w:p w14:paraId="0E98338A"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464" w:type="pct"/>
            <w:tcBorders>
              <w:top w:val="single" w:sz="4" w:space="0" w:color="auto"/>
              <w:left w:val="single" w:sz="4" w:space="0" w:color="auto"/>
              <w:bottom w:val="single" w:sz="4" w:space="0" w:color="auto"/>
              <w:right w:val="single" w:sz="4" w:space="0" w:color="auto"/>
            </w:tcBorders>
          </w:tcPr>
          <w:p w14:paraId="7FFE011B" w14:textId="77777777" w:rsidR="006C37A8" w:rsidRPr="004509DF" w:rsidRDefault="0024300E" w:rsidP="00FE5720">
            <w:pPr>
              <w:spacing w:before="20" w:after="20"/>
              <w:jc w:val="right"/>
              <w:rPr>
                <w:color w:val="000000"/>
                <w:sz w:val="18"/>
                <w:szCs w:val="18"/>
              </w:rPr>
            </w:pPr>
            <w:r w:rsidRPr="004509DF">
              <w:rPr>
                <w:color w:val="000000"/>
                <w:sz w:val="18"/>
              </w:rPr>
              <w:t>704.412</w:t>
            </w:r>
          </w:p>
        </w:tc>
      </w:tr>
      <w:tr w:rsidR="006C37A8" w:rsidRPr="004509DF" w14:paraId="26F3C156" w14:textId="77777777" w:rsidTr="003F5CAE">
        <w:trPr>
          <w:trHeight w:val="184"/>
          <w:jc w:val="center"/>
        </w:trPr>
        <w:tc>
          <w:tcPr>
            <w:tcW w:w="1116" w:type="pct"/>
            <w:gridSpan w:val="2"/>
            <w:vMerge/>
            <w:tcBorders>
              <w:top w:val="single" w:sz="4" w:space="0" w:color="auto"/>
              <w:left w:val="single" w:sz="4" w:space="0" w:color="auto"/>
              <w:bottom w:val="single" w:sz="4" w:space="0" w:color="auto"/>
              <w:right w:val="single" w:sz="4" w:space="0" w:color="auto"/>
            </w:tcBorders>
            <w:hideMark/>
          </w:tcPr>
          <w:p w14:paraId="3D409DAE" w14:textId="77777777" w:rsidR="006C37A8" w:rsidRPr="004509DF" w:rsidRDefault="006C37A8" w:rsidP="00FE5720">
            <w:pPr>
              <w:spacing w:before="20" w:after="20"/>
              <w:ind w:left="38"/>
              <w:jc w:val="left"/>
              <w:rPr>
                <w:sz w:val="18"/>
                <w:szCs w:val="18"/>
              </w:rPr>
            </w:pPr>
          </w:p>
        </w:tc>
        <w:tc>
          <w:tcPr>
            <w:tcW w:w="732" w:type="pct"/>
            <w:tcBorders>
              <w:top w:val="single" w:sz="4" w:space="0" w:color="auto"/>
              <w:left w:val="single" w:sz="4" w:space="0" w:color="auto"/>
              <w:bottom w:val="single" w:sz="4" w:space="0" w:color="auto"/>
              <w:right w:val="single" w:sz="4" w:space="0" w:color="auto"/>
            </w:tcBorders>
            <w:hideMark/>
          </w:tcPr>
          <w:p w14:paraId="72EDF8D2" w14:textId="77777777" w:rsidR="006C37A8" w:rsidRPr="004509DF" w:rsidRDefault="006C37A8" w:rsidP="00FE5720">
            <w:pPr>
              <w:spacing w:before="20" w:after="20"/>
              <w:ind w:left="38"/>
              <w:jc w:val="left"/>
              <w:rPr>
                <w:sz w:val="18"/>
                <w:szCs w:val="18"/>
              </w:rPr>
            </w:pPr>
            <w:r w:rsidRPr="004509DF">
              <w:rPr>
                <w:sz w:val="18"/>
              </w:rPr>
              <w:t>Gastos de apoyo</w:t>
            </w:r>
          </w:p>
        </w:tc>
        <w:tc>
          <w:tcPr>
            <w:tcW w:w="363" w:type="pct"/>
            <w:tcBorders>
              <w:top w:val="single" w:sz="4" w:space="0" w:color="auto"/>
              <w:left w:val="single" w:sz="4" w:space="0" w:color="auto"/>
              <w:bottom w:val="single" w:sz="4" w:space="0" w:color="auto"/>
              <w:right w:val="single" w:sz="4" w:space="0" w:color="auto"/>
            </w:tcBorders>
          </w:tcPr>
          <w:p w14:paraId="2E6F7D9C" w14:textId="77777777" w:rsidR="006C37A8" w:rsidRPr="004509DF" w:rsidRDefault="006C37A8" w:rsidP="00FE5720">
            <w:pPr>
              <w:spacing w:before="20" w:after="20"/>
              <w:ind w:left="38"/>
              <w:jc w:val="right"/>
              <w:rPr>
                <w:color w:val="000000"/>
                <w:sz w:val="18"/>
                <w:szCs w:val="18"/>
              </w:rPr>
            </w:pPr>
            <w:r w:rsidRPr="004509DF">
              <w:rPr>
                <w:color w:val="000000"/>
                <w:sz w:val="18"/>
              </w:rPr>
              <w:t>14.476</w:t>
            </w:r>
          </w:p>
        </w:tc>
        <w:tc>
          <w:tcPr>
            <w:tcW w:w="282" w:type="pct"/>
            <w:tcBorders>
              <w:top w:val="single" w:sz="4" w:space="0" w:color="auto"/>
              <w:left w:val="single" w:sz="4" w:space="0" w:color="auto"/>
              <w:bottom w:val="single" w:sz="4" w:space="0" w:color="auto"/>
              <w:right w:val="single" w:sz="4" w:space="0" w:color="auto"/>
            </w:tcBorders>
          </w:tcPr>
          <w:p w14:paraId="0632A41D" w14:textId="77777777" w:rsidR="006C37A8" w:rsidRPr="004509DF" w:rsidRDefault="006C37A8" w:rsidP="00FE5720">
            <w:pPr>
              <w:spacing w:before="20" w:after="20"/>
              <w:ind w:left="38"/>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5FCEA93A" w14:textId="77777777" w:rsidR="006C37A8" w:rsidRPr="004509DF" w:rsidRDefault="006C37A8" w:rsidP="00FE5720">
            <w:pPr>
              <w:spacing w:before="20" w:after="20"/>
              <w:jc w:val="right"/>
              <w:rPr>
                <w:color w:val="000000"/>
                <w:sz w:val="18"/>
                <w:szCs w:val="18"/>
              </w:rPr>
            </w:pPr>
            <w:r w:rsidRPr="004509DF">
              <w:rPr>
                <w:color w:val="000000"/>
                <w:sz w:val="18"/>
              </w:rPr>
              <w:t>34.833</w:t>
            </w:r>
          </w:p>
        </w:tc>
        <w:tc>
          <w:tcPr>
            <w:tcW w:w="265" w:type="pct"/>
            <w:tcBorders>
              <w:top w:val="single" w:sz="4" w:space="0" w:color="auto"/>
              <w:left w:val="single" w:sz="4" w:space="0" w:color="auto"/>
              <w:bottom w:val="single" w:sz="4" w:space="0" w:color="auto"/>
              <w:right w:val="single" w:sz="4" w:space="0" w:color="auto"/>
            </w:tcBorders>
          </w:tcPr>
          <w:p w14:paraId="163EF4DC"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084446C9" w14:textId="77777777" w:rsidR="006C37A8" w:rsidRPr="004509DF" w:rsidRDefault="006C37A8"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3E5C3C99"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237" w:type="pct"/>
            <w:tcBorders>
              <w:top w:val="single" w:sz="4" w:space="0" w:color="auto"/>
              <w:left w:val="single" w:sz="4" w:space="0" w:color="auto"/>
              <w:bottom w:val="single" w:sz="4" w:space="0" w:color="auto"/>
              <w:right w:val="single" w:sz="4" w:space="0" w:color="auto"/>
            </w:tcBorders>
          </w:tcPr>
          <w:p w14:paraId="738DA088" w14:textId="77777777" w:rsidR="006C37A8" w:rsidRPr="004509DF" w:rsidRDefault="006C37A8" w:rsidP="00FE5720">
            <w:pPr>
              <w:spacing w:before="20" w:after="20"/>
              <w:jc w:val="right"/>
              <w:rPr>
                <w:color w:val="000000"/>
                <w:sz w:val="18"/>
                <w:szCs w:val="18"/>
              </w:rPr>
            </w:pPr>
            <w:r w:rsidRPr="004509DF">
              <w:rPr>
                <w:color w:val="000000"/>
                <w:sz w:val="18"/>
              </w:rPr>
              <w:t>0</w:t>
            </w:r>
          </w:p>
        </w:tc>
        <w:tc>
          <w:tcPr>
            <w:tcW w:w="346" w:type="pct"/>
            <w:tcBorders>
              <w:top w:val="single" w:sz="4" w:space="0" w:color="auto"/>
              <w:left w:val="single" w:sz="4" w:space="0" w:color="auto"/>
              <w:bottom w:val="single" w:sz="4" w:space="0" w:color="auto"/>
              <w:right w:val="single" w:sz="4" w:space="0" w:color="auto"/>
            </w:tcBorders>
          </w:tcPr>
          <w:p w14:paraId="1B547147" w14:textId="77777777" w:rsidR="006C37A8" w:rsidRPr="004509DF" w:rsidRDefault="006C37A8"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118A6B9D" w14:textId="77777777" w:rsidR="006C37A8" w:rsidRPr="004509DF" w:rsidRDefault="006C37A8" w:rsidP="00FE5720">
            <w:pPr>
              <w:spacing w:before="20" w:after="20"/>
              <w:jc w:val="right"/>
              <w:rPr>
                <w:color w:val="000000"/>
                <w:sz w:val="18"/>
                <w:szCs w:val="18"/>
                <w:lang w:eastAsia="en-CA"/>
              </w:rPr>
            </w:pPr>
          </w:p>
        </w:tc>
        <w:tc>
          <w:tcPr>
            <w:tcW w:w="464" w:type="pct"/>
            <w:tcBorders>
              <w:top w:val="single" w:sz="4" w:space="0" w:color="auto"/>
              <w:left w:val="single" w:sz="4" w:space="0" w:color="auto"/>
              <w:bottom w:val="single" w:sz="4" w:space="0" w:color="auto"/>
              <w:right w:val="single" w:sz="4" w:space="0" w:color="auto"/>
            </w:tcBorders>
          </w:tcPr>
          <w:p w14:paraId="064F3011" w14:textId="77777777" w:rsidR="006C37A8" w:rsidRPr="004509DF" w:rsidRDefault="0024300E" w:rsidP="00FE5720">
            <w:pPr>
              <w:spacing w:before="20" w:after="20"/>
              <w:jc w:val="right"/>
              <w:rPr>
                <w:color w:val="000000"/>
                <w:sz w:val="18"/>
                <w:szCs w:val="18"/>
              </w:rPr>
            </w:pPr>
            <w:r w:rsidRPr="004509DF">
              <w:rPr>
                <w:color w:val="000000"/>
                <w:sz w:val="18"/>
              </w:rPr>
              <w:t>49.309</w:t>
            </w:r>
          </w:p>
        </w:tc>
      </w:tr>
      <w:tr w:rsidR="0024300E" w:rsidRPr="004509DF" w14:paraId="2400E51E" w14:textId="77777777" w:rsidTr="003F5CAE">
        <w:trPr>
          <w:trHeight w:val="50"/>
          <w:jc w:val="center"/>
        </w:trPr>
        <w:tc>
          <w:tcPr>
            <w:tcW w:w="1116" w:type="pct"/>
            <w:gridSpan w:val="2"/>
            <w:vMerge w:val="restart"/>
            <w:tcBorders>
              <w:top w:val="single" w:sz="4" w:space="0" w:color="auto"/>
              <w:left w:val="single" w:sz="4" w:space="0" w:color="auto"/>
              <w:bottom w:val="single" w:sz="4" w:space="0" w:color="auto"/>
              <w:right w:val="single" w:sz="4" w:space="0" w:color="auto"/>
            </w:tcBorders>
            <w:hideMark/>
          </w:tcPr>
          <w:p w14:paraId="704CCCD1" w14:textId="77777777" w:rsidR="0024300E" w:rsidRPr="004509DF" w:rsidRDefault="0024300E" w:rsidP="00FE5720">
            <w:pPr>
              <w:spacing w:before="20" w:after="20"/>
              <w:ind w:left="38" w:right="-85"/>
              <w:jc w:val="left"/>
              <w:rPr>
                <w:sz w:val="18"/>
                <w:szCs w:val="18"/>
              </w:rPr>
            </w:pPr>
            <w:r w:rsidRPr="004509DF">
              <w:rPr>
                <w:sz w:val="18"/>
              </w:rPr>
              <w:t>Total de fondos cuya aprobación se recomienda en esta reunión (USD)</w:t>
            </w:r>
          </w:p>
        </w:tc>
        <w:tc>
          <w:tcPr>
            <w:tcW w:w="732" w:type="pct"/>
            <w:tcBorders>
              <w:top w:val="single" w:sz="4" w:space="0" w:color="auto"/>
              <w:left w:val="single" w:sz="4" w:space="0" w:color="auto"/>
              <w:bottom w:val="single" w:sz="4" w:space="0" w:color="auto"/>
              <w:right w:val="single" w:sz="4" w:space="0" w:color="auto"/>
            </w:tcBorders>
            <w:hideMark/>
          </w:tcPr>
          <w:p w14:paraId="4D5A6031" w14:textId="77777777" w:rsidR="0024300E" w:rsidRPr="004509DF" w:rsidRDefault="0024300E" w:rsidP="00FE5720">
            <w:pPr>
              <w:spacing w:before="20" w:after="20"/>
              <w:ind w:left="38"/>
              <w:jc w:val="left"/>
              <w:rPr>
                <w:sz w:val="18"/>
                <w:szCs w:val="18"/>
              </w:rPr>
            </w:pPr>
            <w:r w:rsidRPr="004509DF">
              <w:rPr>
                <w:sz w:val="18"/>
              </w:rPr>
              <w:t>Costos del proyecto</w:t>
            </w:r>
          </w:p>
        </w:tc>
        <w:tc>
          <w:tcPr>
            <w:tcW w:w="363" w:type="pct"/>
            <w:tcBorders>
              <w:top w:val="single" w:sz="4" w:space="0" w:color="auto"/>
              <w:left w:val="single" w:sz="4" w:space="0" w:color="auto"/>
              <w:bottom w:val="single" w:sz="4" w:space="0" w:color="auto"/>
              <w:right w:val="single" w:sz="4" w:space="0" w:color="auto"/>
            </w:tcBorders>
          </w:tcPr>
          <w:p w14:paraId="1F2911CB" w14:textId="77777777" w:rsidR="0024300E" w:rsidRPr="004509DF" w:rsidRDefault="0024300E" w:rsidP="00FE5720">
            <w:pPr>
              <w:spacing w:before="20" w:after="20"/>
              <w:ind w:left="38"/>
              <w:jc w:val="right"/>
              <w:rPr>
                <w:color w:val="000000"/>
                <w:sz w:val="18"/>
                <w:szCs w:val="18"/>
                <w:lang w:eastAsia="en-CA"/>
              </w:rPr>
            </w:pPr>
          </w:p>
        </w:tc>
        <w:tc>
          <w:tcPr>
            <w:tcW w:w="282" w:type="pct"/>
            <w:tcBorders>
              <w:top w:val="single" w:sz="4" w:space="0" w:color="auto"/>
              <w:left w:val="single" w:sz="4" w:space="0" w:color="auto"/>
              <w:bottom w:val="single" w:sz="4" w:space="0" w:color="auto"/>
              <w:right w:val="single" w:sz="4" w:space="0" w:color="auto"/>
            </w:tcBorders>
          </w:tcPr>
          <w:p w14:paraId="059C51FF" w14:textId="77777777" w:rsidR="0024300E" w:rsidRPr="004509DF" w:rsidRDefault="0024300E" w:rsidP="00FE5720">
            <w:pPr>
              <w:spacing w:before="20" w:after="20"/>
              <w:ind w:left="38"/>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59024E6B" w14:textId="77777777" w:rsidR="0024300E" w:rsidRPr="004509DF" w:rsidRDefault="0024300E"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48875435" w14:textId="77777777" w:rsidR="0024300E" w:rsidRPr="004509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0AB66054" w14:textId="77777777" w:rsidR="0024300E" w:rsidRPr="004509DF" w:rsidRDefault="0024300E" w:rsidP="00FE5720">
            <w:pPr>
              <w:spacing w:before="20" w:after="20"/>
              <w:jc w:val="right"/>
              <w:rPr>
                <w:color w:val="000000"/>
                <w:sz w:val="18"/>
                <w:szCs w:val="18"/>
              </w:rPr>
            </w:pPr>
            <w:r w:rsidRPr="004509DF">
              <w:rPr>
                <w:color w:val="000000"/>
                <w:sz w:val="18"/>
              </w:rPr>
              <w:t>458.838</w:t>
            </w:r>
          </w:p>
        </w:tc>
        <w:tc>
          <w:tcPr>
            <w:tcW w:w="265" w:type="pct"/>
            <w:tcBorders>
              <w:top w:val="single" w:sz="4" w:space="0" w:color="auto"/>
              <w:left w:val="single" w:sz="4" w:space="0" w:color="auto"/>
              <w:bottom w:val="single" w:sz="4" w:space="0" w:color="auto"/>
              <w:right w:val="single" w:sz="4" w:space="0" w:color="auto"/>
            </w:tcBorders>
          </w:tcPr>
          <w:p w14:paraId="119A3FA6" w14:textId="77777777" w:rsidR="0024300E" w:rsidRPr="004509DF" w:rsidRDefault="0024300E"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65888191" w14:textId="77777777" w:rsidR="0024300E" w:rsidRPr="004509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40DF95B5" w14:textId="77777777" w:rsidR="0024300E" w:rsidRPr="004509DF" w:rsidRDefault="0024300E"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5C7F0829" w14:textId="77777777" w:rsidR="0024300E" w:rsidRPr="004509DF" w:rsidRDefault="0024300E" w:rsidP="00FE5720">
            <w:pPr>
              <w:spacing w:before="20" w:after="20"/>
              <w:jc w:val="right"/>
              <w:rPr>
                <w:color w:val="000000"/>
                <w:sz w:val="18"/>
                <w:szCs w:val="18"/>
                <w:lang w:eastAsia="en-CA"/>
              </w:rPr>
            </w:pPr>
          </w:p>
        </w:tc>
        <w:tc>
          <w:tcPr>
            <w:tcW w:w="464" w:type="pct"/>
            <w:tcBorders>
              <w:top w:val="single" w:sz="4" w:space="0" w:color="auto"/>
              <w:left w:val="single" w:sz="4" w:space="0" w:color="auto"/>
              <w:bottom w:val="single" w:sz="4" w:space="0" w:color="auto"/>
              <w:right w:val="single" w:sz="4" w:space="0" w:color="auto"/>
            </w:tcBorders>
          </w:tcPr>
          <w:p w14:paraId="1068EAB5" w14:textId="77777777" w:rsidR="0024300E" w:rsidRPr="004509DF" w:rsidRDefault="0024300E" w:rsidP="00FE5720">
            <w:pPr>
              <w:spacing w:before="20" w:after="20"/>
              <w:jc w:val="right"/>
              <w:rPr>
                <w:color w:val="000000"/>
                <w:sz w:val="18"/>
                <w:szCs w:val="18"/>
              </w:rPr>
            </w:pPr>
            <w:r w:rsidRPr="004509DF">
              <w:rPr>
                <w:color w:val="000000"/>
                <w:sz w:val="18"/>
              </w:rPr>
              <w:t>458.838</w:t>
            </w:r>
          </w:p>
        </w:tc>
      </w:tr>
      <w:tr w:rsidR="0024300E" w:rsidRPr="004509DF" w14:paraId="29D446AF" w14:textId="77777777" w:rsidTr="003F5CAE">
        <w:trPr>
          <w:trHeight w:val="50"/>
          <w:jc w:val="center"/>
        </w:trPr>
        <w:tc>
          <w:tcPr>
            <w:tcW w:w="1116" w:type="pct"/>
            <w:gridSpan w:val="2"/>
            <w:vMerge/>
            <w:tcBorders>
              <w:top w:val="single" w:sz="4" w:space="0" w:color="auto"/>
              <w:left w:val="single" w:sz="4" w:space="0" w:color="auto"/>
              <w:bottom w:val="single" w:sz="4" w:space="0" w:color="auto"/>
              <w:right w:val="single" w:sz="4" w:space="0" w:color="auto"/>
            </w:tcBorders>
            <w:hideMark/>
          </w:tcPr>
          <w:p w14:paraId="51626EB0" w14:textId="77777777" w:rsidR="0024300E" w:rsidRPr="004509DF" w:rsidRDefault="0024300E" w:rsidP="00FE5720">
            <w:pPr>
              <w:spacing w:before="20" w:after="20"/>
              <w:ind w:left="38"/>
              <w:jc w:val="left"/>
              <w:rPr>
                <w:sz w:val="18"/>
                <w:szCs w:val="18"/>
              </w:rPr>
            </w:pPr>
          </w:p>
        </w:tc>
        <w:tc>
          <w:tcPr>
            <w:tcW w:w="732" w:type="pct"/>
            <w:tcBorders>
              <w:top w:val="single" w:sz="4" w:space="0" w:color="auto"/>
              <w:left w:val="single" w:sz="4" w:space="0" w:color="auto"/>
              <w:bottom w:val="single" w:sz="4" w:space="0" w:color="auto"/>
              <w:right w:val="single" w:sz="4" w:space="0" w:color="auto"/>
            </w:tcBorders>
            <w:hideMark/>
          </w:tcPr>
          <w:p w14:paraId="483D3805" w14:textId="77777777" w:rsidR="0024300E" w:rsidRPr="004509DF" w:rsidRDefault="0024300E" w:rsidP="00FE5720">
            <w:pPr>
              <w:spacing w:before="20" w:after="20"/>
              <w:ind w:left="38"/>
              <w:jc w:val="left"/>
              <w:rPr>
                <w:sz w:val="18"/>
                <w:szCs w:val="18"/>
              </w:rPr>
            </w:pPr>
            <w:r w:rsidRPr="004509DF">
              <w:rPr>
                <w:sz w:val="18"/>
              </w:rPr>
              <w:t>Gastos de apoyo</w:t>
            </w:r>
          </w:p>
        </w:tc>
        <w:tc>
          <w:tcPr>
            <w:tcW w:w="363" w:type="pct"/>
            <w:tcBorders>
              <w:top w:val="single" w:sz="4" w:space="0" w:color="auto"/>
              <w:left w:val="single" w:sz="4" w:space="0" w:color="auto"/>
              <w:bottom w:val="single" w:sz="4" w:space="0" w:color="auto"/>
              <w:right w:val="single" w:sz="4" w:space="0" w:color="auto"/>
            </w:tcBorders>
          </w:tcPr>
          <w:p w14:paraId="6F9AE8BD" w14:textId="77777777" w:rsidR="0024300E" w:rsidRPr="004509DF" w:rsidRDefault="0024300E" w:rsidP="00FE5720">
            <w:pPr>
              <w:spacing w:before="20" w:after="20"/>
              <w:ind w:left="38"/>
              <w:jc w:val="right"/>
              <w:rPr>
                <w:color w:val="000000"/>
                <w:sz w:val="18"/>
                <w:szCs w:val="18"/>
                <w:lang w:eastAsia="en-CA"/>
              </w:rPr>
            </w:pPr>
          </w:p>
        </w:tc>
        <w:tc>
          <w:tcPr>
            <w:tcW w:w="282" w:type="pct"/>
            <w:tcBorders>
              <w:top w:val="single" w:sz="4" w:space="0" w:color="auto"/>
              <w:left w:val="single" w:sz="4" w:space="0" w:color="auto"/>
              <w:bottom w:val="single" w:sz="4" w:space="0" w:color="auto"/>
              <w:right w:val="single" w:sz="4" w:space="0" w:color="auto"/>
            </w:tcBorders>
          </w:tcPr>
          <w:p w14:paraId="24DF7B18" w14:textId="77777777" w:rsidR="0024300E" w:rsidRPr="004509DF" w:rsidRDefault="0024300E" w:rsidP="00FE5720">
            <w:pPr>
              <w:spacing w:before="20" w:after="20"/>
              <w:ind w:left="38"/>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2C8218DE" w14:textId="77777777" w:rsidR="0024300E" w:rsidRPr="004509DF" w:rsidRDefault="0024300E" w:rsidP="00FE5720">
            <w:pPr>
              <w:spacing w:before="20" w:after="20"/>
              <w:jc w:val="right"/>
              <w:rPr>
                <w:color w:val="000000"/>
                <w:sz w:val="18"/>
                <w:szCs w:val="18"/>
                <w:lang w:eastAsia="en-CA"/>
              </w:rPr>
            </w:pPr>
          </w:p>
        </w:tc>
        <w:tc>
          <w:tcPr>
            <w:tcW w:w="265" w:type="pct"/>
            <w:tcBorders>
              <w:top w:val="single" w:sz="4" w:space="0" w:color="auto"/>
              <w:left w:val="single" w:sz="4" w:space="0" w:color="auto"/>
              <w:bottom w:val="single" w:sz="4" w:space="0" w:color="auto"/>
              <w:right w:val="single" w:sz="4" w:space="0" w:color="auto"/>
            </w:tcBorders>
          </w:tcPr>
          <w:p w14:paraId="1600CBA0" w14:textId="77777777" w:rsidR="0024300E" w:rsidRPr="004509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37907DD6" w14:textId="77777777" w:rsidR="0024300E" w:rsidRPr="004509DF" w:rsidRDefault="0024300E" w:rsidP="00FE5720">
            <w:pPr>
              <w:spacing w:before="20" w:after="20"/>
              <w:jc w:val="right"/>
              <w:rPr>
                <w:color w:val="000000"/>
                <w:sz w:val="18"/>
                <w:szCs w:val="18"/>
              </w:rPr>
            </w:pPr>
            <w:r w:rsidRPr="004509DF">
              <w:rPr>
                <w:color w:val="000000"/>
                <w:sz w:val="18"/>
              </w:rPr>
              <w:t>32.119</w:t>
            </w:r>
          </w:p>
        </w:tc>
        <w:tc>
          <w:tcPr>
            <w:tcW w:w="265" w:type="pct"/>
            <w:tcBorders>
              <w:top w:val="single" w:sz="4" w:space="0" w:color="auto"/>
              <w:left w:val="single" w:sz="4" w:space="0" w:color="auto"/>
              <w:bottom w:val="single" w:sz="4" w:space="0" w:color="auto"/>
              <w:right w:val="single" w:sz="4" w:space="0" w:color="auto"/>
            </w:tcBorders>
          </w:tcPr>
          <w:p w14:paraId="3D3843DF" w14:textId="77777777" w:rsidR="0024300E" w:rsidRPr="004509DF" w:rsidRDefault="0024300E"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3290A6A4" w14:textId="77777777" w:rsidR="0024300E" w:rsidRPr="004509DF" w:rsidRDefault="0024300E" w:rsidP="00FE5720">
            <w:pPr>
              <w:spacing w:before="20" w:after="20"/>
              <w:jc w:val="right"/>
              <w:rPr>
                <w:color w:val="000000"/>
                <w:sz w:val="18"/>
                <w:szCs w:val="18"/>
                <w:lang w:eastAsia="en-CA"/>
              </w:rPr>
            </w:pPr>
          </w:p>
        </w:tc>
        <w:tc>
          <w:tcPr>
            <w:tcW w:w="346" w:type="pct"/>
            <w:tcBorders>
              <w:top w:val="single" w:sz="4" w:space="0" w:color="auto"/>
              <w:left w:val="single" w:sz="4" w:space="0" w:color="auto"/>
              <w:bottom w:val="single" w:sz="4" w:space="0" w:color="auto"/>
              <w:right w:val="single" w:sz="4" w:space="0" w:color="auto"/>
            </w:tcBorders>
          </w:tcPr>
          <w:p w14:paraId="7255B93E" w14:textId="77777777" w:rsidR="0024300E" w:rsidRPr="004509DF" w:rsidRDefault="0024300E" w:rsidP="00FE5720">
            <w:pPr>
              <w:spacing w:before="20" w:after="20"/>
              <w:jc w:val="right"/>
              <w:rPr>
                <w:color w:val="000000"/>
                <w:sz w:val="18"/>
                <w:szCs w:val="18"/>
                <w:lang w:eastAsia="en-CA"/>
              </w:rPr>
            </w:pPr>
          </w:p>
        </w:tc>
        <w:tc>
          <w:tcPr>
            <w:tcW w:w="237" w:type="pct"/>
            <w:tcBorders>
              <w:top w:val="single" w:sz="4" w:space="0" w:color="auto"/>
              <w:left w:val="single" w:sz="4" w:space="0" w:color="auto"/>
              <w:bottom w:val="single" w:sz="4" w:space="0" w:color="auto"/>
              <w:right w:val="single" w:sz="4" w:space="0" w:color="auto"/>
            </w:tcBorders>
          </w:tcPr>
          <w:p w14:paraId="5DB06D4B" w14:textId="77777777" w:rsidR="0024300E" w:rsidRPr="004509DF" w:rsidRDefault="0024300E" w:rsidP="00FE5720">
            <w:pPr>
              <w:spacing w:before="20" w:after="20"/>
              <w:jc w:val="right"/>
              <w:rPr>
                <w:color w:val="000000"/>
                <w:sz w:val="18"/>
                <w:szCs w:val="18"/>
                <w:lang w:eastAsia="en-CA"/>
              </w:rPr>
            </w:pPr>
          </w:p>
        </w:tc>
        <w:tc>
          <w:tcPr>
            <w:tcW w:w="464" w:type="pct"/>
            <w:tcBorders>
              <w:top w:val="single" w:sz="4" w:space="0" w:color="auto"/>
              <w:left w:val="single" w:sz="4" w:space="0" w:color="auto"/>
              <w:bottom w:val="single" w:sz="4" w:space="0" w:color="auto"/>
              <w:right w:val="single" w:sz="4" w:space="0" w:color="auto"/>
            </w:tcBorders>
          </w:tcPr>
          <w:p w14:paraId="545DB421" w14:textId="77777777" w:rsidR="0024300E" w:rsidRPr="004509DF" w:rsidRDefault="0024300E" w:rsidP="00FE5720">
            <w:pPr>
              <w:spacing w:before="20" w:after="20"/>
              <w:jc w:val="right"/>
              <w:rPr>
                <w:color w:val="000000"/>
                <w:sz w:val="18"/>
                <w:szCs w:val="18"/>
              </w:rPr>
            </w:pPr>
            <w:r w:rsidRPr="004509DF">
              <w:rPr>
                <w:color w:val="000000"/>
                <w:sz w:val="18"/>
              </w:rPr>
              <w:t>32.119</w:t>
            </w:r>
          </w:p>
        </w:tc>
      </w:tr>
    </w:tbl>
    <w:p w14:paraId="4FA8623E" w14:textId="77777777" w:rsidR="00F72392" w:rsidRPr="004509DF" w:rsidRDefault="00F72392" w:rsidP="001C647F">
      <w:pPr>
        <w:spacing w:before="20" w:after="20"/>
        <w:jc w:val="center"/>
        <w:rPr>
          <w:sz w:val="18"/>
          <w:szCs w:val="18"/>
        </w:rPr>
      </w:pPr>
    </w:p>
    <w:tbl>
      <w:tblPr>
        <w:tblW w:w="598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41"/>
        <w:gridCol w:w="5063"/>
      </w:tblGrid>
      <w:tr w:rsidR="00F72392" w:rsidRPr="004509DF" w14:paraId="4FEE3E52" w14:textId="77777777" w:rsidTr="003F5CAE">
        <w:trPr>
          <w:trHeight w:val="128"/>
          <w:jc w:val="center"/>
        </w:trPr>
        <w:tc>
          <w:tcPr>
            <w:tcW w:w="6241" w:type="dxa"/>
            <w:vAlign w:val="center"/>
            <w:hideMark/>
          </w:tcPr>
          <w:p w14:paraId="09CDC6FC" w14:textId="77777777" w:rsidR="00F72392" w:rsidRPr="004509DF" w:rsidRDefault="00F72392" w:rsidP="00FE5720">
            <w:pPr>
              <w:spacing w:before="20" w:after="20"/>
              <w:jc w:val="left"/>
              <w:rPr>
                <w:b/>
                <w:sz w:val="18"/>
                <w:szCs w:val="18"/>
              </w:rPr>
            </w:pPr>
            <w:r w:rsidRPr="004509DF">
              <w:rPr>
                <w:b/>
                <w:sz w:val="18"/>
              </w:rPr>
              <w:t>Recomendación de la Secretaría:</w:t>
            </w:r>
          </w:p>
        </w:tc>
        <w:tc>
          <w:tcPr>
            <w:tcW w:w="5063" w:type="dxa"/>
            <w:vAlign w:val="center"/>
            <w:hideMark/>
          </w:tcPr>
          <w:p w14:paraId="36575896" w14:textId="77777777" w:rsidR="00F72392" w:rsidRPr="004509DF" w:rsidRDefault="00F72392" w:rsidP="00FE5720">
            <w:pPr>
              <w:spacing w:before="20" w:after="20"/>
              <w:jc w:val="center"/>
              <w:rPr>
                <w:sz w:val="18"/>
                <w:szCs w:val="18"/>
              </w:rPr>
            </w:pPr>
            <w:r w:rsidRPr="004509DF">
              <w:rPr>
                <w:sz w:val="18"/>
              </w:rPr>
              <w:t>Aprobación general</w:t>
            </w:r>
            <w:r w:rsidRPr="004509DF">
              <w:rPr>
                <w:b/>
                <w:sz w:val="18"/>
              </w:rPr>
              <w:t xml:space="preserve"> </w:t>
            </w:r>
          </w:p>
        </w:tc>
      </w:tr>
    </w:tbl>
    <w:p w14:paraId="01D9A2BD" w14:textId="77777777" w:rsidR="00F72392" w:rsidRPr="004509DF" w:rsidRDefault="00F72392" w:rsidP="001C647F">
      <w:r w:rsidRPr="004509DF">
        <w:br w:type="page"/>
      </w:r>
    </w:p>
    <w:p w14:paraId="1544E310" w14:textId="77777777" w:rsidR="00F72392" w:rsidRPr="004509DF" w:rsidRDefault="00F72392" w:rsidP="001C647F">
      <w:pPr>
        <w:keepNext/>
        <w:spacing w:after="240"/>
        <w:jc w:val="center"/>
        <w:rPr>
          <w:b/>
        </w:rPr>
      </w:pPr>
      <w:r w:rsidRPr="004509DF">
        <w:rPr>
          <w:b/>
        </w:rPr>
        <w:lastRenderedPageBreak/>
        <w:t>DESCRIPCIÓN DEL PROYECTO</w:t>
      </w:r>
    </w:p>
    <w:p w14:paraId="0EC78B59" w14:textId="77777777" w:rsidR="0016491C" w:rsidRPr="004509DF" w:rsidRDefault="00F72392" w:rsidP="004509DF">
      <w:pPr>
        <w:pStyle w:val="Heading1"/>
      </w:pPr>
      <w:r w:rsidRPr="004509DF">
        <w:t>El PNUD, en calidad de organismo de ejecución designado, ha presentado en nombre del Gobierno de Panamá una solicitud para la financiación del tercer tramo de la etapa III del Plan de gestión de la eliminación de los HCFC (PGEH), por un monto de USD 458.838, más gastos de apoyo del organismo de USD </w:t>
      </w:r>
      <w:r w:rsidRPr="004509DF">
        <w:rPr>
          <w:color w:val="000000"/>
        </w:rPr>
        <w:t>32.119</w:t>
      </w:r>
      <w:r w:rsidRPr="004509DF">
        <w:rPr>
          <w:vertAlign w:val="superscript"/>
        </w:rPr>
        <w:footnoteReference w:id="2"/>
      </w:r>
      <w:r w:rsidRPr="004509DF">
        <w:t>. En la presentación figuran un informe sobre la marcha de las actividades de ejecución del segundo tramo, el informe de verificación del consumo de HCFC de 2023 a 2024 y el plan de ejecución del tramo de 2026 a 2029.</w:t>
      </w:r>
    </w:p>
    <w:p w14:paraId="18399819" w14:textId="77777777" w:rsidR="00F72392" w:rsidRPr="004509DF" w:rsidRDefault="00F72392" w:rsidP="001C647F">
      <w:pPr>
        <w:keepNext/>
        <w:spacing w:after="240"/>
        <w:rPr>
          <w:u w:val="single"/>
        </w:rPr>
      </w:pPr>
      <w:r w:rsidRPr="004509DF">
        <w:rPr>
          <w:u w:val="single"/>
        </w:rPr>
        <w:t>Informe sobre el consumo de HCFC</w:t>
      </w:r>
    </w:p>
    <w:p w14:paraId="748CA47C" w14:textId="77777777" w:rsidR="00F72392" w:rsidRPr="004509DF" w:rsidRDefault="00F72392" w:rsidP="004509DF">
      <w:pPr>
        <w:pStyle w:val="Heading1"/>
      </w:pPr>
      <w:r w:rsidRPr="004509DF">
        <w:t>El Gobierno de Panamá notificó un consumo de 5,62 toneladas PAO de HCFC en 2025, que es un 77,3 % inferior al nivel básico de referencia de HCFC para el cumplimiento. En el cuadro 1 se muestra el consumo de HCFC en el período 2021-2025.</w:t>
      </w:r>
    </w:p>
    <w:p w14:paraId="528F2C18" w14:textId="77777777" w:rsidR="00F72392" w:rsidRPr="004509DF" w:rsidRDefault="00F72392" w:rsidP="001C647F">
      <w:pPr>
        <w:keepNext/>
        <w:keepLines/>
        <w:spacing w:before="240"/>
        <w:rPr>
          <w:b/>
        </w:rPr>
      </w:pPr>
      <w:r w:rsidRPr="004509DF">
        <w:rPr>
          <w:b/>
        </w:rPr>
        <w:t xml:space="preserve">Cuadro 1. </w:t>
      </w:r>
      <w:r w:rsidRPr="004509DF">
        <w:rPr>
          <w:b/>
          <w:bCs/>
        </w:rPr>
        <w:t>Consumo de HCFC en 2021-2025 en Panamá (datos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834"/>
        <w:gridCol w:w="834"/>
        <w:gridCol w:w="724"/>
        <w:gridCol w:w="772"/>
        <w:gridCol w:w="793"/>
        <w:gridCol w:w="2630"/>
      </w:tblGrid>
      <w:tr w:rsidR="00F72392" w:rsidRPr="004509DF" w14:paraId="24FB7EEB" w14:textId="77777777" w:rsidTr="00721299">
        <w:trPr>
          <w:trHeight w:val="150"/>
          <w:tblHeader/>
        </w:trPr>
        <w:tc>
          <w:tcPr>
            <w:tcW w:w="1642" w:type="pct"/>
            <w:noWrap/>
            <w:tcMar>
              <w:left w:w="43" w:type="dxa"/>
              <w:right w:w="43" w:type="dxa"/>
            </w:tcMar>
            <w:vAlign w:val="center"/>
            <w:hideMark/>
          </w:tcPr>
          <w:p w14:paraId="599B8915" w14:textId="77777777" w:rsidR="00F72392" w:rsidRPr="004509DF" w:rsidRDefault="00F72392" w:rsidP="001C647F">
            <w:pPr>
              <w:keepNext/>
              <w:keepLines/>
              <w:spacing w:before="20" w:after="20"/>
              <w:jc w:val="center"/>
              <w:rPr>
                <w:b/>
                <w:bCs/>
                <w:color w:val="000000"/>
              </w:rPr>
            </w:pPr>
            <w:r w:rsidRPr="004509DF">
              <w:rPr>
                <w:b/>
                <w:color w:val="000000"/>
              </w:rPr>
              <w:t>HCFC-22</w:t>
            </w:r>
          </w:p>
        </w:tc>
        <w:tc>
          <w:tcPr>
            <w:tcW w:w="550" w:type="pct"/>
            <w:noWrap/>
            <w:vAlign w:val="center"/>
            <w:hideMark/>
          </w:tcPr>
          <w:p w14:paraId="3EE6C7D7" w14:textId="77777777" w:rsidR="00F72392" w:rsidRPr="004509DF" w:rsidRDefault="00F72392" w:rsidP="001C647F">
            <w:pPr>
              <w:keepNext/>
              <w:keepLines/>
              <w:spacing w:before="20" w:after="20"/>
              <w:jc w:val="center"/>
              <w:rPr>
                <w:b/>
                <w:bCs/>
                <w:color w:val="000000"/>
              </w:rPr>
            </w:pPr>
            <w:r w:rsidRPr="004509DF">
              <w:rPr>
                <w:b/>
                <w:color w:val="000000"/>
              </w:rPr>
              <w:t>2021</w:t>
            </w:r>
          </w:p>
        </w:tc>
        <w:tc>
          <w:tcPr>
            <w:tcW w:w="550" w:type="pct"/>
            <w:noWrap/>
            <w:vAlign w:val="center"/>
            <w:hideMark/>
          </w:tcPr>
          <w:p w14:paraId="368D5B72" w14:textId="77777777" w:rsidR="00F72392" w:rsidRPr="004509DF" w:rsidRDefault="00F72392" w:rsidP="001C647F">
            <w:pPr>
              <w:keepNext/>
              <w:keepLines/>
              <w:spacing w:before="20" w:after="20"/>
              <w:jc w:val="center"/>
              <w:rPr>
                <w:b/>
                <w:bCs/>
                <w:color w:val="000000"/>
              </w:rPr>
            </w:pPr>
            <w:r w:rsidRPr="004509DF">
              <w:rPr>
                <w:b/>
                <w:color w:val="000000"/>
              </w:rPr>
              <w:t>2022</w:t>
            </w:r>
          </w:p>
        </w:tc>
        <w:tc>
          <w:tcPr>
            <w:tcW w:w="550" w:type="pct"/>
            <w:vAlign w:val="center"/>
          </w:tcPr>
          <w:p w14:paraId="67FA042C" w14:textId="77777777" w:rsidR="00F72392" w:rsidRPr="004509DF" w:rsidRDefault="00F72392" w:rsidP="001C647F">
            <w:pPr>
              <w:keepNext/>
              <w:keepLines/>
              <w:spacing w:before="20" w:after="20"/>
              <w:jc w:val="center"/>
              <w:rPr>
                <w:b/>
                <w:bCs/>
                <w:color w:val="000000"/>
              </w:rPr>
            </w:pPr>
            <w:r w:rsidRPr="004509DF">
              <w:rPr>
                <w:b/>
                <w:color w:val="000000"/>
              </w:rPr>
              <w:t>2023</w:t>
            </w:r>
          </w:p>
        </w:tc>
        <w:tc>
          <w:tcPr>
            <w:tcW w:w="550" w:type="pct"/>
            <w:vAlign w:val="center"/>
          </w:tcPr>
          <w:p w14:paraId="7D7EEB11" w14:textId="77777777" w:rsidR="00F72392" w:rsidRPr="004509DF" w:rsidRDefault="00F72392" w:rsidP="001C647F">
            <w:pPr>
              <w:keepNext/>
              <w:keepLines/>
              <w:spacing w:before="20" w:after="20"/>
              <w:jc w:val="center"/>
              <w:rPr>
                <w:b/>
                <w:bCs/>
                <w:color w:val="000000"/>
              </w:rPr>
            </w:pPr>
            <w:r w:rsidRPr="004509DF">
              <w:rPr>
                <w:b/>
                <w:color w:val="000000"/>
              </w:rPr>
              <w:t>2024</w:t>
            </w:r>
          </w:p>
        </w:tc>
        <w:tc>
          <w:tcPr>
            <w:tcW w:w="551" w:type="pct"/>
            <w:vAlign w:val="center"/>
          </w:tcPr>
          <w:p w14:paraId="090CD846" w14:textId="77777777" w:rsidR="00F72392" w:rsidRPr="004509DF" w:rsidRDefault="00F72392" w:rsidP="001C647F">
            <w:pPr>
              <w:keepNext/>
              <w:keepLines/>
              <w:spacing w:before="20" w:after="20"/>
              <w:jc w:val="center"/>
              <w:rPr>
                <w:b/>
                <w:bCs/>
                <w:color w:val="000000"/>
              </w:rPr>
            </w:pPr>
            <w:r w:rsidRPr="004509DF">
              <w:rPr>
                <w:b/>
                <w:color w:val="000000"/>
              </w:rPr>
              <w:t>2025</w:t>
            </w:r>
          </w:p>
        </w:tc>
        <w:tc>
          <w:tcPr>
            <w:tcW w:w="606" w:type="pct"/>
            <w:noWrap/>
            <w:vAlign w:val="center"/>
            <w:hideMark/>
          </w:tcPr>
          <w:p w14:paraId="4CD1BAE3" w14:textId="77777777" w:rsidR="00F72392" w:rsidRPr="004509DF" w:rsidRDefault="00F72392" w:rsidP="001C647F">
            <w:pPr>
              <w:keepNext/>
              <w:keepLines/>
              <w:spacing w:before="20" w:after="20"/>
              <w:jc w:val="center"/>
              <w:rPr>
                <w:b/>
                <w:bCs/>
                <w:color w:val="000000"/>
              </w:rPr>
            </w:pPr>
            <w:r w:rsidRPr="004509DF">
              <w:rPr>
                <w:b/>
                <w:color w:val="000000"/>
              </w:rPr>
              <w:t>Nivel básico de referencia</w:t>
            </w:r>
          </w:p>
        </w:tc>
      </w:tr>
      <w:tr w:rsidR="00721299" w:rsidRPr="004509DF" w14:paraId="62CF400E" w14:textId="77777777" w:rsidTr="00721299">
        <w:trPr>
          <w:trHeight w:val="60"/>
        </w:trPr>
        <w:tc>
          <w:tcPr>
            <w:tcW w:w="1642" w:type="pct"/>
            <w:noWrap/>
            <w:tcMar>
              <w:left w:w="43" w:type="dxa"/>
              <w:right w:w="43" w:type="dxa"/>
            </w:tcMar>
            <w:vAlign w:val="center"/>
            <w:hideMark/>
          </w:tcPr>
          <w:p w14:paraId="5F40B8CA" w14:textId="77777777" w:rsidR="00721299" w:rsidRPr="004509DF" w:rsidRDefault="00721299" w:rsidP="00721299">
            <w:pPr>
              <w:keepNext/>
              <w:keepLines/>
              <w:spacing w:before="20" w:after="20"/>
              <w:ind w:left="98"/>
              <w:jc w:val="left"/>
              <w:rPr>
                <w:b/>
                <w:color w:val="000000"/>
              </w:rPr>
            </w:pPr>
            <w:r w:rsidRPr="004509DF">
              <w:rPr>
                <w:b/>
                <w:color w:val="000000"/>
              </w:rPr>
              <w:t>Toneladas (t)</w:t>
            </w:r>
          </w:p>
        </w:tc>
        <w:tc>
          <w:tcPr>
            <w:tcW w:w="550" w:type="pct"/>
            <w:noWrap/>
          </w:tcPr>
          <w:p w14:paraId="50FDF8CB" w14:textId="77777777" w:rsidR="00721299" w:rsidRPr="004509DF" w:rsidRDefault="00721299" w:rsidP="00721299">
            <w:pPr>
              <w:keepNext/>
              <w:keepLines/>
              <w:spacing w:before="20" w:after="20"/>
              <w:ind w:left="-201" w:right="104"/>
              <w:jc w:val="right"/>
              <w:rPr>
                <w:color w:val="000000"/>
              </w:rPr>
            </w:pPr>
            <w:r w:rsidRPr="004509DF">
              <w:t>196,16</w:t>
            </w:r>
          </w:p>
        </w:tc>
        <w:tc>
          <w:tcPr>
            <w:tcW w:w="550" w:type="pct"/>
            <w:noWrap/>
          </w:tcPr>
          <w:p w14:paraId="3A3E74AA" w14:textId="77777777" w:rsidR="00721299" w:rsidRPr="004509DF" w:rsidRDefault="00721299" w:rsidP="00721299">
            <w:pPr>
              <w:keepNext/>
              <w:keepLines/>
              <w:spacing w:before="20" w:after="20"/>
              <w:ind w:left="-201" w:right="104"/>
              <w:jc w:val="right"/>
              <w:rPr>
                <w:color w:val="000000"/>
              </w:rPr>
            </w:pPr>
            <w:r w:rsidRPr="004509DF">
              <w:t>183,82</w:t>
            </w:r>
          </w:p>
        </w:tc>
        <w:tc>
          <w:tcPr>
            <w:tcW w:w="550" w:type="pct"/>
          </w:tcPr>
          <w:p w14:paraId="090E6D56" w14:textId="77777777" w:rsidR="00721299" w:rsidRPr="004509DF" w:rsidRDefault="00721299" w:rsidP="00721299">
            <w:pPr>
              <w:keepNext/>
              <w:keepLines/>
              <w:spacing w:before="20" w:after="20"/>
              <w:ind w:left="-201" w:right="104"/>
              <w:jc w:val="right"/>
              <w:rPr>
                <w:color w:val="000000"/>
              </w:rPr>
            </w:pPr>
            <w:r w:rsidRPr="004509DF">
              <w:t>160,97</w:t>
            </w:r>
          </w:p>
        </w:tc>
        <w:tc>
          <w:tcPr>
            <w:tcW w:w="550" w:type="pct"/>
          </w:tcPr>
          <w:p w14:paraId="09852BFA" w14:textId="77777777" w:rsidR="00721299" w:rsidRPr="004509DF" w:rsidRDefault="00721299" w:rsidP="00721299">
            <w:pPr>
              <w:keepNext/>
              <w:keepLines/>
              <w:spacing w:before="20" w:after="20"/>
              <w:ind w:left="-201" w:right="104"/>
              <w:jc w:val="right"/>
              <w:rPr>
                <w:color w:val="000000"/>
              </w:rPr>
            </w:pPr>
            <w:r w:rsidRPr="004509DF">
              <w:t>136,86</w:t>
            </w:r>
          </w:p>
        </w:tc>
        <w:tc>
          <w:tcPr>
            <w:tcW w:w="551" w:type="pct"/>
          </w:tcPr>
          <w:p w14:paraId="54F4BDFB" w14:textId="77777777" w:rsidR="00721299" w:rsidRPr="004509DF" w:rsidRDefault="00721299" w:rsidP="00721299">
            <w:pPr>
              <w:keepNext/>
              <w:keepLines/>
              <w:spacing w:before="20" w:after="20"/>
              <w:ind w:left="-201" w:right="104"/>
              <w:jc w:val="right"/>
              <w:rPr>
                <w:rFonts w:eastAsia="Calibri"/>
                <w:color w:val="000000"/>
              </w:rPr>
            </w:pPr>
            <w:r w:rsidRPr="004509DF">
              <w:t>102,10</w:t>
            </w:r>
          </w:p>
        </w:tc>
        <w:tc>
          <w:tcPr>
            <w:tcW w:w="606" w:type="pct"/>
            <w:noWrap/>
            <w:vAlign w:val="center"/>
          </w:tcPr>
          <w:p w14:paraId="4C292DCF" w14:textId="77777777" w:rsidR="00721299" w:rsidRPr="004509DF" w:rsidRDefault="004657EB" w:rsidP="00721299">
            <w:pPr>
              <w:keepNext/>
              <w:keepLines/>
              <w:spacing w:before="20" w:after="20"/>
              <w:ind w:left="-201" w:right="104"/>
              <w:jc w:val="right"/>
              <w:rPr>
                <w:color w:val="000000"/>
              </w:rPr>
            </w:pPr>
            <w:r w:rsidRPr="004509DF">
              <w:rPr>
                <w:color w:val="000000"/>
              </w:rPr>
              <w:t>430,66</w:t>
            </w:r>
          </w:p>
        </w:tc>
      </w:tr>
      <w:tr w:rsidR="00721299" w:rsidRPr="004509DF" w14:paraId="50945673" w14:textId="77777777" w:rsidTr="00721299">
        <w:trPr>
          <w:trHeight w:val="60"/>
        </w:trPr>
        <w:tc>
          <w:tcPr>
            <w:tcW w:w="1642" w:type="pct"/>
            <w:noWrap/>
            <w:tcMar>
              <w:left w:w="43" w:type="dxa"/>
              <w:right w:w="43" w:type="dxa"/>
            </w:tcMar>
            <w:vAlign w:val="center"/>
            <w:hideMark/>
          </w:tcPr>
          <w:p w14:paraId="43D93B78" w14:textId="77777777" w:rsidR="00721299" w:rsidRPr="004509DF" w:rsidRDefault="00721299" w:rsidP="00721299">
            <w:pPr>
              <w:keepNext/>
              <w:keepLines/>
              <w:spacing w:before="20" w:after="20"/>
              <w:ind w:left="98"/>
              <w:jc w:val="left"/>
              <w:rPr>
                <w:b/>
                <w:color w:val="000000"/>
              </w:rPr>
            </w:pPr>
            <w:r w:rsidRPr="004509DF">
              <w:rPr>
                <w:b/>
                <w:color w:val="000000"/>
              </w:rPr>
              <w:t>Toneladas PAO</w:t>
            </w:r>
          </w:p>
        </w:tc>
        <w:tc>
          <w:tcPr>
            <w:tcW w:w="550" w:type="pct"/>
            <w:noWrap/>
            <w:vAlign w:val="center"/>
          </w:tcPr>
          <w:p w14:paraId="7FCB3106" w14:textId="77777777" w:rsidR="00721299" w:rsidRPr="004509DF" w:rsidRDefault="00721299" w:rsidP="00721299">
            <w:pPr>
              <w:keepNext/>
              <w:keepLines/>
              <w:spacing w:before="20" w:after="20"/>
              <w:ind w:left="-201" w:right="104"/>
              <w:jc w:val="right"/>
              <w:rPr>
                <w:rFonts w:eastAsia="Calibri"/>
                <w:color w:val="000000"/>
              </w:rPr>
            </w:pPr>
            <w:r w:rsidRPr="004509DF">
              <w:t>10,79</w:t>
            </w:r>
          </w:p>
        </w:tc>
        <w:tc>
          <w:tcPr>
            <w:tcW w:w="550" w:type="pct"/>
            <w:noWrap/>
            <w:vAlign w:val="center"/>
          </w:tcPr>
          <w:p w14:paraId="3124A97E" w14:textId="77777777" w:rsidR="00721299" w:rsidRPr="004509DF" w:rsidRDefault="00721299" w:rsidP="00721299">
            <w:pPr>
              <w:keepNext/>
              <w:keepLines/>
              <w:spacing w:before="20" w:after="20"/>
              <w:ind w:left="-201" w:right="104"/>
              <w:jc w:val="right"/>
              <w:rPr>
                <w:color w:val="000000"/>
              </w:rPr>
            </w:pPr>
            <w:r w:rsidRPr="004509DF">
              <w:t>10,11</w:t>
            </w:r>
          </w:p>
        </w:tc>
        <w:tc>
          <w:tcPr>
            <w:tcW w:w="550" w:type="pct"/>
            <w:vAlign w:val="center"/>
          </w:tcPr>
          <w:p w14:paraId="6687196B" w14:textId="77777777" w:rsidR="00721299" w:rsidRPr="004509DF" w:rsidRDefault="00721299" w:rsidP="00721299">
            <w:pPr>
              <w:keepNext/>
              <w:keepLines/>
              <w:spacing w:before="20" w:after="20"/>
              <w:ind w:left="-201" w:right="104"/>
              <w:jc w:val="right"/>
              <w:rPr>
                <w:color w:val="000000"/>
              </w:rPr>
            </w:pPr>
            <w:r w:rsidRPr="004509DF">
              <w:t>8,85</w:t>
            </w:r>
          </w:p>
        </w:tc>
        <w:tc>
          <w:tcPr>
            <w:tcW w:w="550" w:type="pct"/>
            <w:vAlign w:val="center"/>
          </w:tcPr>
          <w:p w14:paraId="67E7051F" w14:textId="77777777" w:rsidR="00721299" w:rsidRPr="004509DF" w:rsidRDefault="00721299" w:rsidP="00721299">
            <w:pPr>
              <w:keepNext/>
              <w:keepLines/>
              <w:spacing w:before="20" w:after="20"/>
              <w:ind w:left="-201" w:right="104"/>
              <w:jc w:val="right"/>
            </w:pPr>
            <w:r w:rsidRPr="004509DF">
              <w:t>7,53</w:t>
            </w:r>
          </w:p>
        </w:tc>
        <w:tc>
          <w:tcPr>
            <w:tcW w:w="551" w:type="pct"/>
          </w:tcPr>
          <w:p w14:paraId="24BC5BA4" w14:textId="77777777" w:rsidR="00721299" w:rsidRPr="004509DF" w:rsidRDefault="00721299" w:rsidP="00721299">
            <w:pPr>
              <w:keepNext/>
              <w:keepLines/>
              <w:spacing w:before="20" w:after="20"/>
              <w:ind w:left="-201" w:right="104"/>
              <w:jc w:val="right"/>
              <w:rPr>
                <w:rFonts w:eastAsia="Calibri"/>
                <w:color w:val="000000"/>
              </w:rPr>
            </w:pPr>
            <w:r w:rsidRPr="004509DF">
              <w:t>5,62</w:t>
            </w:r>
          </w:p>
        </w:tc>
        <w:tc>
          <w:tcPr>
            <w:tcW w:w="606" w:type="pct"/>
            <w:noWrap/>
            <w:vAlign w:val="center"/>
          </w:tcPr>
          <w:p w14:paraId="69147333" w14:textId="77777777" w:rsidR="00721299" w:rsidRPr="004509DF" w:rsidRDefault="00577F1E" w:rsidP="00721299">
            <w:pPr>
              <w:keepNext/>
              <w:keepLines/>
              <w:spacing w:before="20" w:after="20"/>
              <w:ind w:left="-201" w:right="104"/>
              <w:jc w:val="right"/>
              <w:rPr>
                <w:rFonts w:eastAsia="Calibri"/>
                <w:color w:val="000000"/>
              </w:rPr>
            </w:pPr>
            <w:r w:rsidRPr="004509DF">
              <w:rPr>
                <w:color w:val="000000"/>
              </w:rPr>
              <w:t>24,78</w:t>
            </w:r>
          </w:p>
        </w:tc>
      </w:tr>
    </w:tbl>
    <w:p w14:paraId="65C55B55" w14:textId="77777777" w:rsidR="00C855C0" w:rsidRPr="004509DF" w:rsidRDefault="00805310" w:rsidP="00805310">
      <w:pPr>
        <w:keepNext/>
        <w:rPr>
          <w:sz w:val="20"/>
          <w:szCs w:val="20"/>
        </w:rPr>
      </w:pPr>
      <w:r w:rsidRPr="004509DF">
        <w:rPr>
          <w:sz w:val="20"/>
        </w:rPr>
        <w:t>* Incluido un consumo de 2,54 toneladas PAO de HCFC-123, HCFC-124, HCFC-141b y HCFC-142b</w:t>
      </w:r>
    </w:p>
    <w:p w14:paraId="5F4DB8C0" w14:textId="77777777" w:rsidR="00805310" w:rsidRPr="004509DF" w:rsidRDefault="00805310" w:rsidP="00136BC6">
      <w:pPr>
        <w:keepNext/>
      </w:pPr>
    </w:p>
    <w:p w14:paraId="43B574AB" w14:textId="77777777" w:rsidR="00C855C0" w:rsidRPr="004509DF" w:rsidRDefault="00C855C0" w:rsidP="00C855C0">
      <w:pPr>
        <w:pStyle w:val="Heading1"/>
      </w:pPr>
      <w:r w:rsidRPr="004509DF">
        <w:t>El consumo de HCFC-22 en Panamá durante la ejecución de la etapa III del PGEH corresponde principalmente al servicio y mantenimiento de equipo de refrigeración y aire acondicionado (RAC). Actualmente no se consume ningún otro HCFC. Esta tendencia constante a la baja muestra que el control de los HCFC es eficaz gracias a las actividades llevadas a cabo en el marco del PGEH, entre ellas medidas de control por medio de un sistema de cupos de importación, la adopción de tecnologías alternativas y la transición del mercado hacia tecnologías más modernas.</w:t>
      </w:r>
    </w:p>
    <w:p w14:paraId="23499293" w14:textId="77777777" w:rsidR="00F72392" w:rsidRPr="004509DF" w:rsidRDefault="00F72392" w:rsidP="00C855C0">
      <w:pPr>
        <w:keepNext/>
        <w:spacing w:after="240"/>
        <w:rPr>
          <w:i/>
        </w:rPr>
      </w:pPr>
      <w:r w:rsidRPr="004509DF">
        <w:rPr>
          <w:i/>
        </w:rPr>
        <w:t>Informe de ejecución del programa de país</w:t>
      </w:r>
    </w:p>
    <w:p w14:paraId="5888CBB2" w14:textId="77777777" w:rsidR="007E6514" w:rsidRPr="004509DF" w:rsidRDefault="00F72392" w:rsidP="001C647F">
      <w:pPr>
        <w:pStyle w:val="Heading1"/>
        <w:keepNext/>
        <w:rPr>
          <w:i/>
        </w:rPr>
      </w:pPr>
      <w:r w:rsidRPr="004509DF">
        <w:t xml:space="preserve">Los datos sobre el consumo de HCFC proporcionados por el Gobierno de Panamá en su informe de ejecución del programa de país en </w:t>
      </w:r>
      <w:r w:rsidRPr="004509DF">
        <w:rPr>
          <w:shd w:val="clear" w:color="auto" w:fill="FFFFFF"/>
        </w:rPr>
        <w:t>2025</w:t>
      </w:r>
      <w:r w:rsidRPr="004509DF">
        <w:t xml:space="preserve"> coinciden con los datos notificados en virtud del artículo 7 del Protocolo de Montreal. </w:t>
      </w:r>
    </w:p>
    <w:p w14:paraId="12FB51A5" w14:textId="77777777" w:rsidR="00F72392" w:rsidRPr="004509DF" w:rsidRDefault="00F72392" w:rsidP="007E6514">
      <w:pPr>
        <w:pStyle w:val="Heading1"/>
        <w:keepNext/>
        <w:numPr>
          <w:ilvl w:val="0"/>
          <w:numId w:val="0"/>
        </w:numPr>
        <w:rPr>
          <w:i/>
        </w:rPr>
      </w:pPr>
      <w:r w:rsidRPr="004509DF">
        <w:rPr>
          <w:i/>
        </w:rPr>
        <w:t xml:space="preserve">Informe de verificación </w:t>
      </w:r>
    </w:p>
    <w:p w14:paraId="4E77E295" w14:textId="77777777" w:rsidR="00F72392" w:rsidRPr="004509DF" w:rsidRDefault="00F72392" w:rsidP="004509DF">
      <w:pPr>
        <w:pStyle w:val="Heading1"/>
      </w:pPr>
      <w:r w:rsidRPr="004509DF">
        <w:t xml:space="preserve">El informe de verificación confirmó que el Gobierno estaba aplicando un sistema de concesión de licencias y cupos de importación y exportación de HCFC y que el consumo total notificado en virtud del artículo 7 del Protocolo de Montreal para el período 2023-2024 era correcto (como se muestra en el cuadro 1 anterior). En la verificación se llegó a la conclusión de que Panamá tiene un marco jurídico e institucional actualizado y acorde con sus obligaciones internacionales en lo que respecta a las SAO, con el apoyo de sólidos procedimientos de control de las importaciones, una estricta supervisión de las empresas registradas con cupos asignados, y una gestión de buena calidad de la documentación para estas actividades. </w:t>
      </w:r>
    </w:p>
    <w:p w14:paraId="683C5E72" w14:textId="77777777" w:rsidR="00034611" w:rsidRPr="004509DF" w:rsidRDefault="009F419E" w:rsidP="004509DF">
      <w:pPr>
        <w:pStyle w:val="Heading1"/>
        <w:rPr>
          <w:u w:val="single"/>
        </w:rPr>
      </w:pPr>
      <w:r w:rsidRPr="004509DF">
        <w:t xml:space="preserve">En el informe de verificación se recomienda fortalecer la supervisión mediante el establecimiento de procedimientos por escrito para aplicar la reglamentación panameña por todo el territorio nacional y en todos los sectores que utilizan gases refrigerantes; la evaluación de la viabilidad de limitar el registro de empresas o particulares con vínculos comerciales, familiares o laborales directos o indirectos con importadores ya registrados, con el fin de reducir el riesgo de especulación con los precios, monopolios o acaparamiento; y la mejora de la transparencia por medio de la difusión de información sobre las asignaciones de los cupos restantes a través de llamamientos públicos a la acción, por ejemplo, mediante su </w:t>
      </w:r>
      <w:r w:rsidRPr="004509DF">
        <w:lastRenderedPageBreak/>
        <w:t>publicación en el sitio web del Ministerio de Salud y actividades de divulgación dirigidas a las partes interesadas.</w:t>
      </w:r>
    </w:p>
    <w:p w14:paraId="6F001FF7" w14:textId="77777777" w:rsidR="00F72392" w:rsidRPr="004509DF" w:rsidRDefault="00F72392" w:rsidP="00136BC6">
      <w:pPr>
        <w:pStyle w:val="Heading1"/>
        <w:numPr>
          <w:ilvl w:val="0"/>
          <w:numId w:val="0"/>
        </w:numPr>
        <w:rPr>
          <w:u w:val="single"/>
        </w:rPr>
      </w:pPr>
      <w:r w:rsidRPr="004509DF">
        <w:rPr>
          <w:u w:val="single"/>
        </w:rPr>
        <w:t>Informe sobre la marcha de las actividades relativo a la ejecución del segundo tramo de la etapa III del plan de gestión para la eliminación de los HCFC</w:t>
      </w:r>
    </w:p>
    <w:p w14:paraId="72D73DCA" w14:textId="77777777" w:rsidR="00F72392" w:rsidRPr="004509DF" w:rsidRDefault="00F72392" w:rsidP="001C647F">
      <w:pPr>
        <w:spacing w:after="240"/>
        <w:rPr>
          <w:i/>
        </w:rPr>
      </w:pPr>
      <w:r w:rsidRPr="004509DF">
        <w:rPr>
          <w:i/>
        </w:rPr>
        <w:t xml:space="preserve">Marco jurídico </w:t>
      </w:r>
    </w:p>
    <w:p w14:paraId="466A6059" w14:textId="77777777" w:rsidR="007A1E6B" w:rsidRPr="004509DF" w:rsidRDefault="007A1E6B" w:rsidP="00EC1F4E">
      <w:pPr>
        <w:pStyle w:val="Heading1"/>
      </w:pPr>
      <w:r w:rsidRPr="004509DF">
        <w:t xml:space="preserve">Durante la ejecución del segundo tramo se hizo pública la resolución 007 de 19 de marzo de 2024, por la que se aprobó la norma de competencia laboral para buenas prácticas en sistemas de RAC y mecanismos de RAC. </w:t>
      </w:r>
    </w:p>
    <w:p w14:paraId="79FF1ACF" w14:textId="77777777" w:rsidR="003B0D59" w:rsidRPr="004509DF" w:rsidRDefault="009327BA" w:rsidP="003B0D59">
      <w:pPr>
        <w:pStyle w:val="Heading1"/>
      </w:pPr>
      <w:r w:rsidRPr="004509DF">
        <w:t>Entre 2023 y 2025 se llevó un seguimiento anual de la distribución de cupos de HCFC y su asignación a importadores en Panamá, de conformidad con la resolución 481 de agosto de 2022 y las metas de reducción aplicables. A lo largo de cada año se revisaron las solicitudes de importación para tener la seguridad de que las empresas no sobrepasaban los cupos de SAO que tenían asignados. Asimismo, se ha creado un sistema digital de concesión de licencias para gestionar el registro de importadores, exportadores y reexportadores de sustancias controladas, entre ellas el HCFC-22, los HFC y alternativos, así como de las tecnologías relacionadas con ellos. Se prevé que la plataforma empiece a estar operativa para finales de 2026 y ayudará a simplificar los procedimientos administrativos y a reducir los errores en la concesión de licencias.</w:t>
      </w:r>
    </w:p>
    <w:p w14:paraId="4AB4674B" w14:textId="77777777" w:rsidR="00C4762E" w:rsidRPr="004509DF" w:rsidRDefault="00A1370D" w:rsidP="00A1370D">
      <w:pPr>
        <w:pStyle w:val="Heading1"/>
      </w:pPr>
      <w:r w:rsidRPr="004509DF">
        <w:t>Se celebró un taller sobre control del comercio ilícito dirigido a funcionarios de aduanas en el que participaron 37 funcionarios (incluidas 26 mujeres); se celebraron dos talleres para ayudar a difundir el contenido de la resolución 697 de 7 de septiembre de 2023, por la que se aprobaron los mecanismos de control y asignación de cupos para los HFC y los HCFC, con la participación de un total de 40 partes interesadas clave (entre ellas 16 mujeres); se celebró una sesión actualizada sobre códigos arancelarios; también se ofreció una presentación oficial para actualizar el sistema aduanero con los códigos arancelarios específicos; y además se celebró un taller dedicado la aplicación del Protocolo de Montreal, la Enmienda de Kigali y otros acuerdos sobre el medio ambiente para un total de 38 participantes (entre ellos 20 mujeres).</w:t>
      </w:r>
    </w:p>
    <w:p w14:paraId="05EB77E6" w14:textId="77777777" w:rsidR="00F72392" w:rsidRPr="004509DF" w:rsidRDefault="00F72392" w:rsidP="001C647F">
      <w:pPr>
        <w:keepNext/>
        <w:spacing w:after="240"/>
        <w:rPr>
          <w:i/>
        </w:rPr>
      </w:pPr>
      <w:r w:rsidRPr="004509DF">
        <w:rPr>
          <w:i/>
        </w:rPr>
        <w:t>Sector de servicio y mantenimiento de equipos de refrigeración</w:t>
      </w:r>
    </w:p>
    <w:p w14:paraId="35636941" w14:textId="77777777" w:rsidR="00BC7EB1" w:rsidRPr="004509DF" w:rsidRDefault="00BC7EB1" w:rsidP="004509DF">
      <w:pPr>
        <w:pStyle w:val="Heading1"/>
      </w:pPr>
      <w:r w:rsidRPr="004509DF">
        <w:t xml:space="preserve">Durante el período de ejecución se llevaron a cabo las siguientes actividades: </w:t>
      </w:r>
    </w:p>
    <w:p w14:paraId="41C9AD04" w14:textId="77777777" w:rsidR="00030758" w:rsidRPr="004509DF" w:rsidRDefault="002B222D" w:rsidP="004509DF">
      <w:pPr>
        <w:pStyle w:val="Heading2"/>
        <w:ind w:left="1418" w:hanging="698"/>
      </w:pPr>
      <w:r w:rsidRPr="004509DF">
        <w:t>Aplicación de buenas prácticas y procedimientos de refrigeración en el sector de servicio y mantenimiento de equipos de refrigeración y aire acondicionado: Se llevó a cabo el programa nacional de desarrollo de capacidades para un total de 1.602 técnicos de RAC con el fin de avanzar en la adopción de prácticas y tecnologías medioambientalmente seguras; el Ministerio de Salud y el Instituto Nacional de Formación Profesional y Capacitación para el Desarrollo Humano (INADEH) llegaron a un acuerdo relativo al apoyo al centro de capacitación para proporcionar cursos a técnicos de RAC; se impartió una serie de cursos y foros de capacitación y sensibilización dirigidos a una amplia gama de partes interesadas; se mejoró la capacidad técnica del sector nacional de servicio técnico proporcionando un juego completo de herramientas</w:t>
      </w:r>
      <w:r w:rsidR="005079CB" w:rsidRPr="004509DF">
        <w:rPr>
          <w:rStyle w:val="FootnoteReference"/>
        </w:rPr>
        <w:footnoteReference w:id="3"/>
      </w:r>
      <w:r w:rsidRPr="004509DF">
        <w:t xml:space="preserve"> para seguir buenas prácticas y garantizar la manipulación segura de los refrigerantes a base de hidrocarburos para un total de 56 talleres de RAC por todo el país; se formó a 136 estudiantes de grados en refrigeración (entre ellos 10 mujeres) para seguir buenas prácticas en RAC; y se concedieron juegos de herramientas básicas de RAC a 24 estudiantes destacados de esos cursos.</w:t>
      </w:r>
    </w:p>
    <w:p w14:paraId="70FF5A73" w14:textId="3AC02CA2" w:rsidR="002B222D" w:rsidRPr="004509DF" w:rsidRDefault="002B222D" w:rsidP="004509DF">
      <w:pPr>
        <w:pStyle w:val="Heading2"/>
        <w:ind w:left="1418" w:hanging="698"/>
      </w:pPr>
      <w:r w:rsidRPr="004509DF">
        <w:rPr>
          <w:i/>
        </w:rPr>
        <w:lastRenderedPageBreak/>
        <w:t>Establecimiento del plan de certificación de técnicos de refrigeración y aire acondicionado:</w:t>
      </w:r>
      <w:r w:rsidRPr="004509DF">
        <w:t xml:space="preserve"> Se promovió la aprobación de la norma de competencia laboral para buenas prácticas en sistemas de RAC y mecánica de RAC; se crearon dos sistemas para enseñar a expertos locales a evaluar pruebas de certificación de buenas prácticas para técnicos de RAC conjuntamente con la Secretaría Técnica de la Comisión Nacional de Competencias y la Organización Internacional del Trabajo, por conducto del Centro Interamericano para el Desarrollo del Conocimiento en la Formación Profesional; seis expertos locales recibieron certificación para evaluar a técnicos de RAC que soliciten la certificación de competencia laboral para seguir buenas prácticas de servicio y mantenimiento; se desarrollaron dos campañas de promoción del proceso de certificación de competencia laboral que llevaron a la inscripción de 104 técnicos de RAC (entre ellos 58 mujeres), de los cuales se certificaron</w:t>
      </w:r>
      <w:r w:rsidR="00A66810">
        <w:t> </w:t>
      </w:r>
      <w:r w:rsidRPr="004509DF">
        <w:t>46; se actualizaron los instrumentos de evaluación de las normas de competencia laboral, y se fortaleció la capacidad técnica de los centros de capacitación del INADEH para ser utilizados en el proceso de certificación de técnicos, proporcionando el equipo y materiales necesarios</w:t>
      </w:r>
      <w:r w:rsidR="001726EC" w:rsidRPr="004509DF">
        <w:rPr>
          <w:rStyle w:val="FootnoteReference"/>
          <w:lang w:eastAsia="es-CO"/>
        </w:rPr>
        <w:footnoteReference w:id="4"/>
      </w:r>
      <w:r w:rsidRPr="004509DF">
        <w:t xml:space="preserve"> para evaluar a los técnicos de acuerdo con las normas nacionales de competencia laboral.</w:t>
      </w:r>
    </w:p>
    <w:p w14:paraId="0F3DF27B" w14:textId="2B588D66" w:rsidR="00FC18A5" w:rsidRPr="004509DF" w:rsidRDefault="004C2E0B" w:rsidP="004509DF">
      <w:pPr>
        <w:pStyle w:val="Heading2"/>
        <w:ind w:left="1418" w:hanging="698"/>
      </w:pPr>
      <w:r w:rsidRPr="004509DF">
        <w:rPr>
          <w:i/>
        </w:rPr>
        <w:t>Fortalecimiento de los institutos de enseñanza técnica formal:</w:t>
      </w:r>
      <w:r w:rsidRPr="004509DF">
        <w:t xml:space="preserve"> Se celebró un taller virtual de capacitación de formadores dedicado a tecnologías avanzadas de refrigerantes para 10</w:t>
      </w:r>
      <w:r w:rsidR="00A66810">
        <w:t> </w:t>
      </w:r>
      <w:r w:rsidRPr="004509DF">
        <w:t>formadores; se organizó un taller de capacitación de formadores dedicado a las buenas prácticas de recuperación y reciclaje de refrigerantes en el sector de la refrigeración y el aire acondicionado para 36 participantes (entre ellos cinco mujeres); se entregaron de 13 juegos de herramientas</w:t>
      </w:r>
      <w:r w:rsidR="001B7209" w:rsidRPr="004509DF">
        <w:rPr>
          <w:rStyle w:val="FootnoteReference"/>
        </w:rPr>
        <w:footnoteReference w:id="5"/>
      </w:r>
      <w:r w:rsidRPr="004509DF">
        <w:t xml:space="preserve"> y equipo básico para los laboratorios de los centros de enseñanza técnica; y se mejoró el plan de estudios de buenas prácticas de RAC que se integró oficialmente en el grado técnico de RAC en el sistema nacional de educación.</w:t>
      </w:r>
    </w:p>
    <w:p w14:paraId="568C002B" w14:textId="77777777" w:rsidR="00A458E6" w:rsidRPr="004509DF" w:rsidRDefault="00A458E6" w:rsidP="004509DF">
      <w:pPr>
        <w:pStyle w:val="Heading2"/>
        <w:ind w:left="1418" w:hanging="698"/>
        <w:rPr>
          <w:bCs/>
        </w:rPr>
      </w:pPr>
      <w:r w:rsidRPr="004509DF">
        <w:rPr>
          <w:i/>
        </w:rPr>
        <w:t>Fortalecimiento de la red de recuperación, reciclaje y regeneración de refrigerantes (RRR):</w:t>
      </w:r>
      <w:r w:rsidRPr="004509DF">
        <w:t xml:space="preserve"> Se realizó un estudio de viabilidad para establecer centros de recogida, reciclaje y regeneración de refrigerantes en el país, con el que se confirmó la viabilidad tanto económica como técnica; se avanzó en la obtención de un instituto de enseñanza técnica para albergar el centro de RRR; se adquirió equipo para poner en funcionamiento el centro de RRR y se adquirió equipo adicional</w:t>
      </w:r>
      <w:r w:rsidR="005079CB" w:rsidRPr="004509DF">
        <w:rPr>
          <w:rStyle w:val="FootnoteReference"/>
        </w:rPr>
        <w:footnoteReference w:id="6"/>
      </w:r>
      <w:r w:rsidRPr="004509DF">
        <w:t xml:space="preserve"> para fortalecer 30 talleres de RAC como parte de la red nacional de recuperación y reciclaje de refrigerantes. </w:t>
      </w:r>
    </w:p>
    <w:p w14:paraId="53EF6742" w14:textId="77777777" w:rsidR="004C2E0B" w:rsidRPr="004509DF" w:rsidRDefault="00936D00" w:rsidP="004509DF">
      <w:pPr>
        <w:pStyle w:val="Heading2"/>
        <w:ind w:left="1418" w:hanging="698"/>
      </w:pPr>
      <w:r w:rsidRPr="004509DF">
        <w:rPr>
          <w:i/>
        </w:rPr>
        <w:t>Asistencia técnica a los usuarios finales para que adopten tecnologías sin PAO y de bajo PCA</w:t>
      </w:r>
      <w:r w:rsidRPr="004509DF">
        <w:t xml:space="preserve">: Se celebraron dos talleres dedicados a las buenas prácticas de recuperación y reciclaje para 72 técnicos de RAC (entre ellos 24 mujeres); se organizaron cinco foros sobre gestión de refrigerantes durante su ciclo de vida para 105 participantes (entre ellos 15 mujeres); se celebraron dos sesiones de capacitación para los sectores de usuarios finales centradas en la aplicación del Protocolo de Montreal, la Enmienda de Kigali y la adopción de alternativas de bajo PCA para 76 participantes (entre ellos 16 mujeres); y se realizó una visita sobre el terreno junto con la celebración de cinco reuniones estratégicas con representantes del </w:t>
      </w:r>
      <w:r w:rsidRPr="004509DF">
        <w:lastRenderedPageBreak/>
        <w:t>mercado de San Felipe para evaluar la viabilidad de un proyecto de asistencia técnica a usuarios finales centrado en la adopción de tecnologías alternativas.</w:t>
      </w:r>
    </w:p>
    <w:p w14:paraId="22592F90" w14:textId="77777777" w:rsidR="004C2E0B" w:rsidRPr="004509DF" w:rsidRDefault="004C2E0B" w:rsidP="004509DF">
      <w:pPr>
        <w:pStyle w:val="Heading2"/>
        <w:ind w:left="1418" w:hanging="698"/>
      </w:pPr>
      <w:r w:rsidRPr="004509DF">
        <w:rPr>
          <w:i/>
        </w:rPr>
        <w:t>Actividades de sensibilización pública</w:t>
      </w:r>
      <w:r w:rsidRPr="004509DF">
        <w:t>: Se llevaron a cabo 466 campañas de sensibilización en todo el país que beneficiaron a 7.565 participantes</w:t>
      </w:r>
      <w:r w:rsidRPr="004509DF">
        <w:rPr>
          <w:b/>
        </w:rPr>
        <w:t xml:space="preserve"> </w:t>
      </w:r>
      <w:r w:rsidRPr="004509DF">
        <w:t>(entre ellos 2.681 mujeres) que eran responsables de la toma de decisiones; se contrataron servicios de consultoras que apoyaron la conceptualización, el diseño, el desarrollo y la implementación de una estrategia y un plan de comunicación integrales.</w:t>
      </w:r>
      <w:r w:rsidRPr="004509DF">
        <w:rPr>
          <w:rFonts w:ascii="Calibri" w:hAnsi="Calibri"/>
        </w:rPr>
        <w:t xml:space="preserve"> </w:t>
      </w:r>
    </w:p>
    <w:p w14:paraId="52825FF5" w14:textId="77777777" w:rsidR="00F72392" w:rsidRPr="004509DF" w:rsidRDefault="00F72392" w:rsidP="001C647F">
      <w:pPr>
        <w:keepNext/>
        <w:spacing w:after="240"/>
        <w:rPr>
          <w:i/>
        </w:rPr>
      </w:pPr>
      <w:r w:rsidRPr="004509DF">
        <w:rPr>
          <w:i/>
        </w:rPr>
        <w:t>Ejecución y supervisión del proyecto</w:t>
      </w:r>
    </w:p>
    <w:p w14:paraId="6EA82021" w14:textId="2D750068" w:rsidR="006C10B1" w:rsidRPr="004509DF" w:rsidRDefault="00F72392" w:rsidP="00136BC6">
      <w:pPr>
        <w:pStyle w:val="Heading1"/>
        <w:ind w:right="58"/>
      </w:pPr>
      <w:r w:rsidRPr="004509DF">
        <w:t>La Dependencia Nacional del Ozono (DNO) y el PNUD han estado supervisando las actividades, informando sobre los progresos realizados y colaborando con las partes interesadas para eliminar los HCFC. De los USD</w:t>
      </w:r>
      <w:r w:rsidR="007628B6">
        <w:t xml:space="preserve"> </w:t>
      </w:r>
      <w:r w:rsidRPr="004509DF">
        <w:t>29.500 aprobados para actividades de supervisión del proyecto en el segundo tramo, USD</w:t>
      </w:r>
      <w:r w:rsidR="00A66810">
        <w:t> </w:t>
      </w:r>
      <w:r w:rsidRPr="004509DF">
        <w:t>20.500 se desembolsaron para el equipo de trabajo y empresas consultoras, USD 3.000 para reuniones y talleres, y USD 6.000 para otros gastos.</w:t>
      </w:r>
    </w:p>
    <w:p w14:paraId="42E581EE" w14:textId="77777777" w:rsidR="00F72392" w:rsidRPr="004509DF" w:rsidRDefault="00F72392" w:rsidP="00136BC6">
      <w:pPr>
        <w:pStyle w:val="Heading1"/>
        <w:numPr>
          <w:ilvl w:val="0"/>
          <w:numId w:val="0"/>
        </w:numPr>
        <w:ind w:right="62"/>
        <w:jc w:val="left"/>
      </w:pPr>
      <w:r w:rsidRPr="004509DF">
        <w:rPr>
          <w:u w:val="single"/>
        </w:rPr>
        <w:t>Nivel de desembolso de fondos</w:t>
      </w:r>
    </w:p>
    <w:p w14:paraId="79B66FAF" w14:textId="77777777" w:rsidR="00DD7EA9" w:rsidRPr="004509DF" w:rsidRDefault="00F72392" w:rsidP="004509DF">
      <w:pPr>
        <w:pStyle w:val="Heading1"/>
      </w:pPr>
      <w:r w:rsidRPr="004509DF">
        <w:t>En abril de 2026, de los USD 704.412 aprobados hasta el momento, se habían desembolsado USD 423.787 como se indica en el cuadro 2. El saldo de USD 280.625 se desembolsará durante la ejecución del tercer tramo.</w:t>
      </w:r>
    </w:p>
    <w:p w14:paraId="66E77FD0" w14:textId="77777777" w:rsidR="00F72392" w:rsidRPr="004509DF" w:rsidRDefault="00F72392" w:rsidP="00DD7EA9">
      <w:pPr>
        <w:outlineLvl w:val="0"/>
        <w:rPr>
          <w:b/>
        </w:rPr>
      </w:pPr>
      <w:r w:rsidRPr="004509DF">
        <w:rPr>
          <w:b/>
        </w:rPr>
        <w:t>Cuadro 2. Informe financiero de la etapa III</w:t>
      </w:r>
      <w:r w:rsidRPr="004509DF">
        <w:t xml:space="preserve"> </w:t>
      </w:r>
      <w:r w:rsidRPr="004509DF">
        <w:rPr>
          <w:b/>
        </w:rPr>
        <w:t>del PGEH para Panamá (USD)</w:t>
      </w:r>
    </w:p>
    <w:tbl>
      <w:tblPr>
        <w:tblW w:w="5000" w:type="pct"/>
        <w:tblLayout w:type="fixed"/>
        <w:tblLook w:val="04A0" w:firstRow="1" w:lastRow="0" w:firstColumn="1" w:lastColumn="0" w:noHBand="0" w:noVBand="1"/>
      </w:tblPr>
      <w:tblGrid>
        <w:gridCol w:w="2263"/>
        <w:gridCol w:w="1654"/>
        <w:gridCol w:w="2003"/>
        <w:gridCol w:w="2266"/>
        <w:gridCol w:w="1254"/>
      </w:tblGrid>
      <w:tr w:rsidR="00F72392" w:rsidRPr="004509DF" w14:paraId="64418CA9" w14:textId="77777777" w:rsidTr="00A66810">
        <w:trPr>
          <w:tblHeader/>
        </w:trPr>
        <w:tc>
          <w:tcPr>
            <w:tcW w:w="1199"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5A1F367D" w14:textId="77777777" w:rsidR="00F72392" w:rsidRPr="004509DF" w:rsidRDefault="00F72392" w:rsidP="001C647F">
            <w:pPr>
              <w:keepNext/>
              <w:spacing w:before="20" w:after="20"/>
              <w:jc w:val="center"/>
              <w:rPr>
                <w:b/>
                <w:color w:val="000000"/>
                <w:sz w:val="20"/>
                <w:szCs w:val="20"/>
              </w:rPr>
            </w:pPr>
            <w:r w:rsidRPr="004509DF">
              <w:rPr>
                <w:b/>
                <w:color w:val="000000"/>
                <w:sz w:val="20"/>
              </w:rPr>
              <w:t>Tramo de financiamiento</w:t>
            </w:r>
          </w:p>
        </w:tc>
        <w:tc>
          <w:tcPr>
            <w:tcW w:w="876"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A7A30C6" w14:textId="77777777" w:rsidR="00F72392" w:rsidRPr="004509DF" w:rsidRDefault="00474D18" w:rsidP="001C647F">
            <w:pPr>
              <w:keepNext/>
              <w:spacing w:before="20" w:after="20"/>
              <w:jc w:val="center"/>
              <w:rPr>
                <w:b/>
                <w:color w:val="000000"/>
                <w:sz w:val="20"/>
                <w:szCs w:val="20"/>
              </w:rPr>
            </w:pPr>
            <w:r w:rsidRPr="004509DF">
              <w:rPr>
                <w:b/>
                <w:color w:val="000000"/>
                <w:sz w:val="20"/>
              </w:rPr>
              <w:t>Fondos aprobados</w:t>
            </w:r>
          </w:p>
        </w:tc>
        <w:tc>
          <w:tcPr>
            <w:tcW w:w="106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CAE1431" w14:textId="77777777" w:rsidR="00F72392" w:rsidRPr="004509DF" w:rsidRDefault="00474D18" w:rsidP="001C647F">
            <w:pPr>
              <w:keepNext/>
              <w:spacing w:before="20" w:after="20"/>
              <w:jc w:val="center"/>
              <w:rPr>
                <w:b/>
                <w:color w:val="000000"/>
                <w:sz w:val="20"/>
                <w:szCs w:val="20"/>
              </w:rPr>
            </w:pPr>
            <w:r w:rsidRPr="004509DF">
              <w:rPr>
                <w:b/>
                <w:color w:val="000000"/>
                <w:sz w:val="20"/>
              </w:rPr>
              <w:t>Fondos desembolsados</w:t>
            </w:r>
          </w:p>
        </w:tc>
        <w:tc>
          <w:tcPr>
            <w:tcW w:w="12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D4963CE" w14:textId="77777777" w:rsidR="00F72392" w:rsidRPr="004509DF" w:rsidRDefault="00F72392" w:rsidP="001C647F">
            <w:pPr>
              <w:keepNext/>
              <w:spacing w:before="20" w:after="20"/>
              <w:jc w:val="center"/>
              <w:rPr>
                <w:b/>
                <w:color w:val="000000"/>
                <w:sz w:val="20"/>
                <w:szCs w:val="20"/>
              </w:rPr>
            </w:pPr>
            <w:r w:rsidRPr="004509DF">
              <w:rPr>
                <w:b/>
                <w:color w:val="000000"/>
                <w:sz w:val="20"/>
              </w:rPr>
              <w:t>Porcentaje de desembolso (%)</w:t>
            </w:r>
          </w:p>
        </w:tc>
        <w:tc>
          <w:tcPr>
            <w:tcW w:w="665" w:type="pct"/>
            <w:tcBorders>
              <w:top w:val="single" w:sz="4" w:space="0" w:color="auto"/>
              <w:left w:val="nil"/>
              <w:bottom w:val="single" w:sz="4" w:space="0" w:color="auto"/>
              <w:right w:val="single" w:sz="4" w:space="0" w:color="auto"/>
            </w:tcBorders>
          </w:tcPr>
          <w:p w14:paraId="0386C509" w14:textId="77777777" w:rsidR="00F72392" w:rsidRPr="004509DF" w:rsidRDefault="00474D18" w:rsidP="001C647F">
            <w:pPr>
              <w:keepNext/>
              <w:spacing w:before="20" w:after="20"/>
              <w:jc w:val="center"/>
              <w:rPr>
                <w:b/>
                <w:color w:val="000000"/>
                <w:sz w:val="20"/>
                <w:szCs w:val="20"/>
              </w:rPr>
            </w:pPr>
            <w:r w:rsidRPr="004509DF">
              <w:rPr>
                <w:b/>
                <w:color w:val="000000"/>
                <w:sz w:val="20"/>
              </w:rPr>
              <w:t>Saldo del fondo</w:t>
            </w:r>
          </w:p>
        </w:tc>
      </w:tr>
      <w:tr w:rsidR="00F72392" w:rsidRPr="004509DF" w14:paraId="50267CD5" w14:textId="77777777" w:rsidTr="00A66810">
        <w:tc>
          <w:tcPr>
            <w:tcW w:w="119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1BE178C" w14:textId="77777777" w:rsidR="00F72392" w:rsidRPr="004509DF" w:rsidRDefault="00F72392" w:rsidP="001C647F">
            <w:pPr>
              <w:spacing w:before="20" w:after="20"/>
              <w:jc w:val="left"/>
              <w:rPr>
                <w:color w:val="000000"/>
                <w:sz w:val="20"/>
                <w:szCs w:val="20"/>
              </w:rPr>
            </w:pPr>
            <w:r w:rsidRPr="004509DF">
              <w:rPr>
                <w:color w:val="000000"/>
                <w:sz w:val="20"/>
              </w:rPr>
              <w:t>Primero</w:t>
            </w:r>
          </w:p>
        </w:tc>
        <w:tc>
          <w:tcPr>
            <w:tcW w:w="876" w:type="pct"/>
            <w:tcBorders>
              <w:top w:val="nil"/>
              <w:left w:val="nil"/>
              <w:bottom w:val="single" w:sz="4" w:space="0" w:color="auto"/>
              <w:right w:val="single" w:sz="4" w:space="0" w:color="auto"/>
            </w:tcBorders>
            <w:noWrap/>
            <w:tcMar>
              <w:left w:w="72" w:type="dxa"/>
              <w:right w:w="115" w:type="dxa"/>
            </w:tcMar>
            <w:vAlign w:val="center"/>
            <w:hideMark/>
          </w:tcPr>
          <w:p w14:paraId="349A1BC5" w14:textId="77777777" w:rsidR="00F72392" w:rsidRPr="004509DF" w:rsidRDefault="00BC7EB1" w:rsidP="001C647F">
            <w:pPr>
              <w:spacing w:before="20" w:after="20"/>
              <w:ind w:right="65"/>
              <w:jc w:val="right"/>
              <w:rPr>
                <w:color w:val="000000"/>
                <w:sz w:val="20"/>
                <w:szCs w:val="20"/>
              </w:rPr>
            </w:pPr>
            <w:r w:rsidRPr="004509DF">
              <w:rPr>
                <w:sz w:val="20"/>
              </w:rPr>
              <w:t>206.800</w:t>
            </w:r>
          </w:p>
        </w:tc>
        <w:tc>
          <w:tcPr>
            <w:tcW w:w="1061" w:type="pct"/>
            <w:tcBorders>
              <w:top w:val="nil"/>
              <w:left w:val="nil"/>
              <w:bottom w:val="single" w:sz="4" w:space="0" w:color="auto"/>
              <w:right w:val="single" w:sz="4" w:space="0" w:color="auto"/>
            </w:tcBorders>
            <w:noWrap/>
            <w:tcMar>
              <w:left w:w="72" w:type="dxa"/>
              <w:right w:w="115" w:type="dxa"/>
            </w:tcMar>
            <w:vAlign w:val="center"/>
            <w:hideMark/>
          </w:tcPr>
          <w:p w14:paraId="17281A1A" w14:textId="77777777" w:rsidR="00F72392" w:rsidRPr="004509DF" w:rsidRDefault="00BC7EB1" w:rsidP="001C647F">
            <w:pPr>
              <w:spacing w:before="20" w:after="20"/>
              <w:ind w:right="65"/>
              <w:jc w:val="right"/>
              <w:rPr>
                <w:color w:val="000000"/>
                <w:sz w:val="20"/>
                <w:szCs w:val="20"/>
              </w:rPr>
            </w:pPr>
            <w:r w:rsidRPr="004509DF">
              <w:rPr>
                <w:sz w:val="20"/>
              </w:rPr>
              <w:t>206.800</w:t>
            </w:r>
          </w:p>
        </w:tc>
        <w:tc>
          <w:tcPr>
            <w:tcW w:w="1200" w:type="pct"/>
            <w:tcBorders>
              <w:top w:val="nil"/>
              <w:left w:val="nil"/>
              <w:bottom w:val="single" w:sz="4" w:space="0" w:color="auto"/>
              <w:right w:val="single" w:sz="4" w:space="0" w:color="auto"/>
            </w:tcBorders>
            <w:noWrap/>
            <w:tcMar>
              <w:left w:w="72" w:type="dxa"/>
              <w:right w:w="72" w:type="dxa"/>
            </w:tcMar>
            <w:vAlign w:val="bottom"/>
            <w:hideMark/>
          </w:tcPr>
          <w:p w14:paraId="787E207F" w14:textId="77777777" w:rsidR="00F72392" w:rsidRPr="004509DF" w:rsidRDefault="00BC7EB1" w:rsidP="001C647F">
            <w:pPr>
              <w:spacing w:before="20" w:after="20"/>
              <w:jc w:val="center"/>
              <w:rPr>
                <w:color w:val="000000"/>
                <w:sz w:val="20"/>
                <w:szCs w:val="20"/>
              </w:rPr>
            </w:pPr>
            <w:r w:rsidRPr="004509DF">
              <w:rPr>
                <w:sz w:val="20"/>
              </w:rPr>
              <w:t>100,0</w:t>
            </w:r>
          </w:p>
        </w:tc>
        <w:tc>
          <w:tcPr>
            <w:tcW w:w="665" w:type="pct"/>
            <w:tcBorders>
              <w:top w:val="nil"/>
              <w:left w:val="nil"/>
              <w:bottom w:val="single" w:sz="4" w:space="0" w:color="auto"/>
              <w:right w:val="single" w:sz="4" w:space="0" w:color="auto"/>
            </w:tcBorders>
          </w:tcPr>
          <w:p w14:paraId="19B1AC2A" w14:textId="77777777" w:rsidR="00F72392" w:rsidRPr="004509DF" w:rsidRDefault="00BC7EB1" w:rsidP="001C647F">
            <w:pPr>
              <w:spacing w:before="20" w:after="20"/>
              <w:ind w:right="65"/>
              <w:jc w:val="right"/>
              <w:rPr>
                <w:color w:val="000000"/>
                <w:sz w:val="20"/>
                <w:szCs w:val="20"/>
              </w:rPr>
            </w:pPr>
            <w:r w:rsidRPr="004509DF">
              <w:rPr>
                <w:color w:val="000000"/>
                <w:sz w:val="20"/>
              </w:rPr>
              <w:t>0</w:t>
            </w:r>
          </w:p>
        </w:tc>
      </w:tr>
      <w:tr w:rsidR="00F72392" w:rsidRPr="004509DF" w14:paraId="3ED18306" w14:textId="77777777" w:rsidTr="00A66810">
        <w:trPr>
          <w:trHeight w:val="77"/>
        </w:trPr>
        <w:tc>
          <w:tcPr>
            <w:tcW w:w="119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F8FCC58" w14:textId="77777777" w:rsidR="00F72392" w:rsidRPr="004509DF" w:rsidRDefault="00F72392" w:rsidP="001C647F">
            <w:pPr>
              <w:spacing w:before="20" w:after="20"/>
              <w:jc w:val="left"/>
              <w:rPr>
                <w:color w:val="000000"/>
                <w:sz w:val="20"/>
                <w:szCs w:val="20"/>
              </w:rPr>
            </w:pPr>
            <w:r w:rsidRPr="004509DF">
              <w:rPr>
                <w:color w:val="000000"/>
                <w:sz w:val="20"/>
              </w:rPr>
              <w:t>Segundo</w:t>
            </w:r>
          </w:p>
        </w:tc>
        <w:tc>
          <w:tcPr>
            <w:tcW w:w="876" w:type="pct"/>
            <w:tcBorders>
              <w:top w:val="nil"/>
              <w:left w:val="nil"/>
              <w:bottom w:val="single" w:sz="4" w:space="0" w:color="auto"/>
              <w:right w:val="single" w:sz="4" w:space="0" w:color="auto"/>
            </w:tcBorders>
            <w:noWrap/>
            <w:tcMar>
              <w:left w:w="72" w:type="dxa"/>
              <w:right w:w="115" w:type="dxa"/>
            </w:tcMar>
            <w:vAlign w:val="center"/>
            <w:hideMark/>
          </w:tcPr>
          <w:p w14:paraId="7A9F4B6B" w14:textId="77777777" w:rsidR="00F72392" w:rsidRPr="004509DF" w:rsidRDefault="00BC7EB1" w:rsidP="001C647F">
            <w:pPr>
              <w:spacing w:before="20" w:after="20"/>
              <w:ind w:right="65"/>
              <w:jc w:val="right"/>
              <w:rPr>
                <w:color w:val="000000"/>
                <w:sz w:val="20"/>
                <w:szCs w:val="20"/>
              </w:rPr>
            </w:pPr>
            <w:r w:rsidRPr="004509DF">
              <w:rPr>
                <w:sz w:val="20"/>
              </w:rPr>
              <w:t>497.612</w:t>
            </w:r>
          </w:p>
        </w:tc>
        <w:tc>
          <w:tcPr>
            <w:tcW w:w="1061" w:type="pct"/>
            <w:tcBorders>
              <w:top w:val="nil"/>
              <w:left w:val="nil"/>
              <w:bottom w:val="single" w:sz="4" w:space="0" w:color="auto"/>
              <w:right w:val="single" w:sz="4" w:space="0" w:color="auto"/>
            </w:tcBorders>
            <w:noWrap/>
            <w:tcMar>
              <w:left w:w="72" w:type="dxa"/>
              <w:right w:w="115" w:type="dxa"/>
            </w:tcMar>
            <w:vAlign w:val="center"/>
            <w:hideMark/>
          </w:tcPr>
          <w:p w14:paraId="4C1D4706" w14:textId="77777777" w:rsidR="00F72392" w:rsidRPr="004509DF" w:rsidRDefault="00BC7EB1" w:rsidP="001C647F">
            <w:pPr>
              <w:spacing w:before="20" w:after="20"/>
              <w:ind w:right="65"/>
              <w:jc w:val="right"/>
              <w:rPr>
                <w:color w:val="000000"/>
                <w:sz w:val="20"/>
                <w:szCs w:val="20"/>
              </w:rPr>
            </w:pPr>
            <w:r w:rsidRPr="004509DF">
              <w:rPr>
                <w:sz w:val="20"/>
              </w:rPr>
              <w:t>216.987</w:t>
            </w:r>
          </w:p>
        </w:tc>
        <w:tc>
          <w:tcPr>
            <w:tcW w:w="1200" w:type="pct"/>
            <w:tcBorders>
              <w:top w:val="nil"/>
              <w:left w:val="nil"/>
              <w:bottom w:val="single" w:sz="4" w:space="0" w:color="auto"/>
              <w:right w:val="single" w:sz="4" w:space="0" w:color="auto"/>
            </w:tcBorders>
            <w:noWrap/>
            <w:tcMar>
              <w:left w:w="72" w:type="dxa"/>
              <w:right w:w="72" w:type="dxa"/>
            </w:tcMar>
            <w:vAlign w:val="bottom"/>
            <w:hideMark/>
          </w:tcPr>
          <w:p w14:paraId="1A3A9476" w14:textId="77777777" w:rsidR="00F72392" w:rsidRPr="004509DF" w:rsidRDefault="00BC7EB1" w:rsidP="001C647F">
            <w:pPr>
              <w:spacing w:before="20" w:after="20"/>
              <w:jc w:val="center"/>
              <w:rPr>
                <w:color w:val="000000"/>
                <w:sz w:val="20"/>
                <w:szCs w:val="20"/>
              </w:rPr>
            </w:pPr>
            <w:r w:rsidRPr="004509DF">
              <w:rPr>
                <w:sz w:val="20"/>
              </w:rPr>
              <w:t>43,6</w:t>
            </w:r>
          </w:p>
        </w:tc>
        <w:tc>
          <w:tcPr>
            <w:tcW w:w="665" w:type="pct"/>
            <w:tcBorders>
              <w:top w:val="nil"/>
              <w:left w:val="nil"/>
              <w:bottom w:val="single" w:sz="4" w:space="0" w:color="auto"/>
              <w:right w:val="single" w:sz="4" w:space="0" w:color="auto"/>
            </w:tcBorders>
          </w:tcPr>
          <w:p w14:paraId="545E4031" w14:textId="77777777" w:rsidR="00F72392" w:rsidRPr="004509DF" w:rsidRDefault="00BC7EB1" w:rsidP="001C647F">
            <w:pPr>
              <w:spacing w:before="20" w:after="20"/>
              <w:ind w:right="65"/>
              <w:jc w:val="right"/>
              <w:rPr>
                <w:color w:val="000000"/>
                <w:sz w:val="20"/>
                <w:szCs w:val="20"/>
              </w:rPr>
            </w:pPr>
            <w:r w:rsidRPr="004509DF">
              <w:rPr>
                <w:sz w:val="20"/>
              </w:rPr>
              <w:t>280.625</w:t>
            </w:r>
          </w:p>
        </w:tc>
      </w:tr>
      <w:tr w:rsidR="00F72392" w:rsidRPr="004509DF" w14:paraId="3F9E8518" w14:textId="77777777" w:rsidTr="00A66810">
        <w:tc>
          <w:tcPr>
            <w:tcW w:w="1199"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69C5440" w14:textId="77777777" w:rsidR="00F72392" w:rsidRPr="004509DF" w:rsidRDefault="00F72392" w:rsidP="001C647F">
            <w:pPr>
              <w:spacing w:before="20" w:after="20"/>
              <w:jc w:val="left"/>
              <w:rPr>
                <w:b/>
                <w:color w:val="000000"/>
                <w:sz w:val="20"/>
                <w:szCs w:val="20"/>
              </w:rPr>
            </w:pPr>
            <w:r w:rsidRPr="004509DF">
              <w:rPr>
                <w:b/>
                <w:color w:val="000000"/>
                <w:sz w:val="20"/>
              </w:rPr>
              <w:t>Total</w:t>
            </w:r>
          </w:p>
        </w:tc>
        <w:tc>
          <w:tcPr>
            <w:tcW w:w="876" w:type="pct"/>
            <w:tcBorders>
              <w:top w:val="nil"/>
              <w:left w:val="nil"/>
              <w:bottom w:val="single" w:sz="4" w:space="0" w:color="auto"/>
              <w:right w:val="single" w:sz="4" w:space="0" w:color="auto"/>
            </w:tcBorders>
            <w:noWrap/>
            <w:tcMar>
              <w:left w:w="72" w:type="dxa"/>
              <w:right w:w="115" w:type="dxa"/>
            </w:tcMar>
            <w:vAlign w:val="center"/>
            <w:hideMark/>
          </w:tcPr>
          <w:p w14:paraId="3658D146" w14:textId="77777777" w:rsidR="00F72392" w:rsidRPr="004509DF" w:rsidRDefault="00532A19" w:rsidP="001C647F">
            <w:pPr>
              <w:spacing w:before="20" w:after="20"/>
              <w:ind w:right="65"/>
              <w:jc w:val="right"/>
              <w:rPr>
                <w:color w:val="000000"/>
                <w:sz w:val="20"/>
                <w:szCs w:val="20"/>
              </w:rPr>
            </w:pPr>
            <w:r w:rsidRPr="004509DF">
              <w:rPr>
                <w:color w:val="000000"/>
                <w:sz w:val="20"/>
              </w:rPr>
              <w:t>704.412</w:t>
            </w:r>
          </w:p>
        </w:tc>
        <w:tc>
          <w:tcPr>
            <w:tcW w:w="1061" w:type="pct"/>
            <w:tcBorders>
              <w:top w:val="nil"/>
              <w:left w:val="nil"/>
              <w:bottom w:val="single" w:sz="4" w:space="0" w:color="auto"/>
              <w:right w:val="single" w:sz="4" w:space="0" w:color="auto"/>
            </w:tcBorders>
            <w:noWrap/>
            <w:tcMar>
              <w:left w:w="72" w:type="dxa"/>
              <w:right w:w="115" w:type="dxa"/>
            </w:tcMar>
            <w:vAlign w:val="center"/>
            <w:hideMark/>
          </w:tcPr>
          <w:p w14:paraId="086142D9" w14:textId="506187D1" w:rsidR="00F72392" w:rsidRPr="004509DF" w:rsidRDefault="006C5A64" w:rsidP="001C647F">
            <w:pPr>
              <w:spacing w:before="20" w:after="20"/>
              <w:ind w:right="65"/>
              <w:jc w:val="right"/>
              <w:rPr>
                <w:color w:val="000000"/>
                <w:sz w:val="20"/>
                <w:szCs w:val="20"/>
              </w:rPr>
            </w:pPr>
            <w:r w:rsidRPr="004509DF">
              <w:rPr>
                <w:color w:val="000000"/>
                <w:sz w:val="20"/>
              </w:rPr>
              <w:fldChar w:fldCharType="begin"/>
            </w:r>
            <w:r w:rsidRPr="004509DF">
              <w:rPr>
                <w:color w:val="000000"/>
                <w:sz w:val="20"/>
              </w:rPr>
              <w:instrText xml:space="preserve"> =SUM(ABOVE) </w:instrText>
            </w:r>
            <w:r w:rsidRPr="004509DF">
              <w:rPr>
                <w:color w:val="000000"/>
                <w:sz w:val="20"/>
              </w:rPr>
              <w:fldChar w:fldCharType="separate"/>
            </w:r>
            <w:r w:rsidRPr="004509DF">
              <w:rPr>
                <w:color w:val="000000"/>
                <w:sz w:val="20"/>
              </w:rPr>
              <w:t>423</w:t>
            </w:r>
            <w:r w:rsidR="008E69B8">
              <w:rPr>
                <w:color w:val="000000"/>
                <w:sz w:val="20"/>
              </w:rPr>
              <w:t>.</w:t>
            </w:r>
            <w:r w:rsidRPr="004509DF">
              <w:rPr>
                <w:color w:val="000000"/>
                <w:sz w:val="20"/>
              </w:rPr>
              <w:t>787</w:t>
            </w:r>
            <w:r w:rsidRPr="004509DF">
              <w:rPr>
                <w:color w:val="000000"/>
                <w:sz w:val="20"/>
              </w:rPr>
              <w:fldChar w:fldCharType="end"/>
            </w:r>
          </w:p>
        </w:tc>
        <w:tc>
          <w:tcPr>
            <w:tcW w:w="1200" w:type="pct"/>
            <w:tcBorders>
              <w:top w:val="nil"/>
              <w:left w:val="nil"/>
              <w:bottom w:val="single" w:sz="4" w:space="0" w:color="auto"/>
              <w:right w:val="single" w:sz="4" w:space="0" w:color="auto"/>
            </w:tcBorders>
            <w:noWrap/>
            <w:tcMar>
              <w:left w:w="72" w:type="dxa"/>
              <w:right w:w="72" w:type="dxa"/>
            </w:tcMar>
            <w:vAlign w:val="bottom"/>
            <w:hideMark/>
          </w:tcPr>
          <w:p w14:paraId="164E3F33" w14:textId="77777777" w:rsidR="00F72392" w:rsidRPr="004509DF" w:rsidRDefault="006C5A64" w:rsidP="001C647F">
            <w:pPr>
              <w:spacing w:before="20" w:after="20"/>
              <w:jc w:val="center"/>
              <w:rPr>
                <w:color w:val="000000"/>
                <w:sz w:val="20"/>
                <w:szCs w:val="20"/>
              </w:rPr>
            </w:pPr>
            <w:r w:rsidRPr="004509DF">
              <w:rPr>
                <w:color w:val="000000"/>
                <w:sz w:val="20"/>
              </w:rPr>
              <w:t>60,2</w:t>
            </w:r>
          </w:p>
        </w:tc>
        <w:tc>
          <w:tcPr>
            <w:tcW w:w="665" w:type="pct"/>
            <w:tcBorders>
              <w:top w:val="nil"/>
              <w:left w:val="nil"/>
              <w:bottom w:val="single" w:sz="4" w:space="0" w:color="auto"/>
              <w:right w:val="single" w:sz="4" w:space="0" w:color="auto"/>
            </w:tcBorders>
          </w:tcPr>
          <w:p w14:paraId="52DB3C20" w14:textId="77777777" w:rsidR="00F72392" w:rsidRPr="004509DF" w:rsidRDefault="00D50A23" w:rsidP="001C647F">
            <w:pPr>
              <w:spacing w:before="20" w:after="20"/>
              <w:ind w:right="65"/>
              <w:jc w:val="right"/>
              <w:rPr>
                <w:color w:val="000000"/>
                <w:sz w:val="20"/>
                <w:szCs w:val="20"/>
              </w:rPr>
            </w:pPr>
            <w:r w:rsidRPr="004509DF">
              <w:rPr>
                <w:sz w:val="20"/>
              </w:rPr>
              <w:t>280.625</w:t>
            </w:r>
          </w:p>
        </w:tc>
      </w:tr>
    </w:tbl>
    <w:p w14:paraId="3F64D205" w14:textId="77777777" w:rsidR="00F72392" w:rsidRPr="004509DF" w:rsidRDefault="00F72392" w:rsidP="001C647F">
      <w:pPr>
        <w:keepNext/>
        <w:spacing w:before="240" w:after="240"/>
        <w:rPr>
          <w:u w:val="single"/>
        </w:rPr>
      </w:pPr>
      <w:r w:rsidRPr="004509DF">
        <w:rPr>
          <w:u w:val="single"/>
        </w:rPr>
        <w:t>Plan de ejecución del tercer tramo de la etapa III del plan de gestión para la eliminación de los HCFC</w:t>
      </w:r>
    </w:p>
    <w:p w14:paraId="19D9DDAA" w14:textId="77777777" w:rsidR="00F72392" w:rsidRPr="004509DF" w:rsidRDefault="00F72392" w:rsidP="004509DF">
      <w:pPr>
        <w:pStyle w:val="Heading1"/>
      </w:pPr>
      <w:bookmarkStart w:id="0" w:name="_Hlk126934425"/>
      <w:bookmarkStart w:id="1" w:name="_Hlk126663552"/>
      <w:r w:rsidRPr="004509DF">
        <w:t>Entre julio de 2026 y diciembre de 2029 se ejecutarán las siguientes actividades:</w:t>
      </w:r>
    </w:p>
    <w:p w14:paraId="5619800C" w14:textId="77777777" w:rsidR="00DD7145" w:rsidRPr="004509DF" w:rsidRDefault="00DD7145" w:rsidP="004509DF">
      <w:pPr>
        <w:pStyle w:val="Heading2"/>
        <w:ind w:left="1418" w:hanging="698"/>
        <w:rPr>
          <w:b/>
          <w:sz w:val="19"/>
          <w:szCs w:val="19"/>
        </w:rPr>
      </w:pPr>
      <w:r w:rsidRPr="004509DF">
        <w:rPr>
          <w:i/>
        </w:rPr>
        <w:t>Fortalecimiento de políticas y marcos jurídicos para controlar el consumo de HCFC:</w:t>
      </w:r>
      <w:r w:rsidRPr="004509DF">
        <w:t xml:space="preserve"> Se harán visitas de supervisión a los centros de capacitación del INADEH y a las instalaciones educativas del Ministerio de Educación de Panamá (MEDUCA) de todo el país para verificar la impartición de cursos y la ejecución de programas de buenas prácticas de RAC; se harán visitas de inspección a 20 centros de capacitación del INADEH e instalaciones educativas del MEDUCA de todo el país para verificar el uso y estado adecuados de los equipos y herramientas donados; y se celebrarán tres talleres de capacitación para 90 funcionarios de aduanas dedicados al contenido actualizado de las medidas de control de los HCFC y la prevención del tráfico ilícito (USD 33.500 más fondos del tramo anterior).</w:t>
      </w:r>
    </w:p>
    <w:p w14:paraId="2B523C87" w14:textId="77777777" w:rsidR="00F72392" w:rsidRPr="004509DF" w:rsidRDefault="00C56235" w:rsidP="004509DF">
      <w:pPr>
        <w:pStyle w:val="Heading2"/>
        <w:ind w:left="1418" w:hanging="698"/>
      </w:pPr>
      <w:r w:rsidRPr="004509DF">
        <w:rPr>
          <w:i/>
        </w:rPr>
        <w:t>Fortalecimiento de la red de RRR</w:t>
      </w:r>
      <w:r w:rsidRPr="004509DF">
        <w:t>: Se llevarán a cabo cuatro talleres de capacitación centrados en técnicas de RRR para 120 técnicos de RAC; se llevarán a cabo 45 talleres de RAC para los que se suministrarán equipos básicos de RRR</w:t>
      </w:r>
      <w:r w:rsidR="00201610" w:rsidRPr="004509DF">
        <w:rPr>
          <w:rStyle w:val="FootnoteReference"/>
        </w:rPr>
        <w:footnoteReference w:id="7"/>
      </w:r>
      <w:r w:rsidRPr="004509DF">
        <w:t>; se establecerán, equiparán e instalarán tres centros de recogida de gases refrigerantes recuperados; y se diseñarán, imprimirán y distribuirán 100 directrices educativas (USD 60.450 más fondos del tramo anterior).</w:t>
      </w:r>
    </w:p>
    <w:p w14:paraId="0CE8DDAA" w14:textId="152781AB" w:rsidR="00F72392" w:rsidRPr="004509DF" w:rsidRDefault="004E3F0C" w:rsidP="004509DF">
      <w:pPr>
        <w:pStyle w:val="Heading2"/>
        <w:ind w:left="1418" w:hanging="698"/>
      </w:pPr>
      <w:r w:rsidRPr="004509DF">
        <w:lastRenderedPageBreak/>
        <w:t>Aplicación de buenas prácticas y procedimientos de refrigeración en el sector de servicio y mantenimiento de equipos de refrigeración y aire acondicionado: Se celebrará un taller de capacitación para 30 técnicos de RAC de empresas que son usuarios finales y talleres centrados en nuevas tecnologías de RAC, eficiencia energética y electrónica aplicada; se organizarán 10 talleres de capacitación centrados en contenido actualizado sobre buenas prácticas de RAC y refrigerantes alternativos para 150 técnicos de RAC; se diseñarán, imprimirán y distribuirán 150 publicaciones y guías educativas sobre buenas prácticas de refrigeración; se proporcionará equipo básico y juegos de herramientas para la manipulación segura de gases refrigerantes a 15 técnicas de RAC; y se proporcionarán 48 equipos y juegos de herramientas</w:t>
      </w:r>
      <w:r w:rsidR="00201610" w:rsidRPr="004509DF">
        <w:rPr>
          <w:rStyle w:val="FootnoteReference"/>
        </w:rPr>
        <w:footnoteReference w:id="8"/>
      </w:r>
      <w:r w:rsidRPr="004509DF">
        <w:t xml:space="preserve"> a estudiantes destacados del programa de RAC del MEDUCA (USD</w:t>
      </w:r>
      <w:r w:rsidR="00513F46">
        <w:t> </w:t>
      </w:r>
      <w:r w:rsidRPr="004509DF">
        <w:t>70.750);</w:t>
      </w:r>
    </w:p>
    <w:p w14:paraId="5C8C7555" w14:textId="14C5C851" w:rsidR="00313837" w:rsidRPr="004509DF" w:rsidRDefault="00313837" w:rsidP="004509DF">
      <w:pPr>
        <w:pStyle w:val="Heading2"/>
        <w:ind w:left="1418" w:hanging="698"/>
      </w:pPr>
      <w:r w:rsidRPr="004509DF">
        <w:rPr>
          <w:i/>
        </w:rPr>
        <w:t>Establecimiento del plan de certificación de técnicos de refrigeración y aire acondicionado</w:t>
      </w:r>
      <w:r w:rsidRPr="004509DF">
        <w:t>: Se apoyará la planificación y ejecución de acciones de comunicación estratégicas en relación con el proceso de certificación de competencia laboral para seguir buenas prácticas de RAC; se apoyará el proceso de certificación formal para que 75 técnicos de RAC obtengan su certificación de competencia laboral para seguir buenas prácticas de RAC; y se equiparán a cuatro centros de certificación de competencia laboral con las herramientas y equipos básicos</w:t>
      </w:r>
      <w:r w:rsidR="00201610" w:rsidRPr="004509DF">
        <w:rPr>
          <w:rStyle w:val="FootnoteReference"/>
        </w:rPr>
        <w:footnoteReference w:id="9"/>
      </w:r>
      <w:r w:rsidRPr="004509DF">
        <w:t xml:space="preserve"> necesarios para llevar a cabo el proceso de certificación (USD 58.000 más fondos del tramo anterior).</w:t>
      </w:r>
    </w:p>
    <w:p w14:paraId="137E2F06" w14:textId="77777777" w:rsidR="00371526" w:rsidRPr="004509DF" w:rsidRDefault="00371526" w:rsidP="004509DF">
      <w:pPr>
        <w:pStyle w:val="Heading2"/>
        <w:ind w:left="1418" w:hanging="698"/>
      </w:pPr>
      <w:r w:rsidRPr="004509DF">
        <w:rPr>
          <w:i/>
          <w:iCs/>
        </w:rPr>
        <w:t>Fortalecimiento de los institutos de enseñanza técnica formal:</w:t>
      </w:r>
      <w:r w:rsidRPr="004509DF">
        <w:t xml:space="preserve"> Se adquirirán 18 equipos y juegos de herramientas</w:t>
      </w:r>
      <w:r w:rsidR="002A6F3A" w:rsidRPr="004509DF">
        <w:rPr>
          <w:rStyle w:val="FootnoteReference"/>
        </w:rPr>
        <w:footnoteReference w:id="10"/>
      </w:r>
      <w:r w:rsidRPr="004509DF">
        <w:t xml:space="preserve"> para fortalecer la capacidad de los laboratorios de los centros de enseñanza formal e informal de todo el país (USD 36.000 más fondos del tramo anterior).</w:t>
      </w:r>
    </w:p>
    <w:p w14:paraId="6ADEB74B" w14:textId="77777777" w:rsidR="00F72392" w:rsidRPr="004509DF" w:rsidRDefault="00936D00" w:rsidP="004509DF">
      <w:pPr>
        <w:pStyle w:val="Heading2"/>
        <w:ind w:left="1418" w:hanging="698"/>
      </w:pPr>
      <w:r w:rsidRPr="004509DF">
        <w:rPr>
          <w:i/>
        </w:rPr>
        <w:t xml:space="preserve">Asistencia técnica a los usuarios finales para que adopten tecnologías sin PAO y de bajo PCA: </w:t>
      </w:r>
      <w:r w:rsidRPr="004509DF">
        <w:t>Se celebrará un taller de capacitación para 30 técnicos centrado en tecnologías alternativas para técnicos de empresas del sector usuarios; se seleccionarán dos empresas del sector usuarios para que participen en el proyecto de asistencia técnica centrado en tecnologías alternativas; se contratará a una consultora internacional para que preste servicios de asesoramiento técnico a las empresas del sector usuarios que participan en el proyecto de asistencia técnica centrado en tecnologías alternativas; y se pondrán en marcha dos demostraciones de casos de nuevas tecnologías de RAC que utilicen refrigerantes de bajo PCA (USD 111.138 más fondos del tramo anterior).</w:t>
      </w:r>
    </w:p>
    <w:p w14:paraId="7D2AA856" w14:textId="77777777" w:rsidR="00310482" w:rsidRPr="004509DF" w:rsidRDefault="00310482" w:rsidP="004509DF">
      <w:pPr>
        <w:pStyle w:val="Heading2"/>
        <w:ind w:left="1418" w:hanging="698"/>
      </w:pPr>
      <w:r w:rsidRPr="004509DF">
        <w:rPr>
          <w:i/>
        </w:rPr>
        <w:t>Actividades de sensibilización pública</w:t>
      </w:r>
      <w:r w:rsidRPr="004509DF">
        <w:t>: Se desarrollarán seis campañas de sensibilización centradas en alternativas a los HCFC y el uso de tecnologías sin PAO y de bajo PCA; se adquirirán y distribuirán materiales promocionales a los participantes que asistan a los eventos y campañas; y se reproducirán y distribuirán materiales educativos y de sensibilización sobre alternativas sin PAO y de bajo PCA (USD 45.000 más fondos del tramo anterior).</w:t>
      </w:r>
    </w:p>
    <w:p w14:paraId="6888E141" w14:textId="77777777" w:rsidR="00F72392" w:rsidRPr="004509DF" w:rsidRDefault="00F72392" w:rsidP="004509DF">
      <w:pPr>
        <w:pStyle w:val="Heading2"/>
        <w:ind w:left="1418" w:hanging="698"/>
      </w:pPr>
      <w:r w:rsidRPr="004509DF">
        <w:rPr>
          <w:i/>
        </w:rPr>
        <w:t>Supervisión y ejecución del proyecto</w:t>
      </w:r>
      <w:r w:rsidRPr="004509DF">
        <w:t xml:space="preserve"> (USD 44.000): USD 28.000 para consultoras nacionales, USD 8.000 para informes de verificación; USD 3.600 para viajes y USD 4.400 para reuniones de partes interesadas.</w:t>
      </w:r>
    </w:p>
    <w:bookmarkEnd w:id="0"/>
    <w:bookmarkEnd w:id="1"/>
    <w:p w14:paraId="663657BF" w14:textId="77777777" w:rsidR="00F72392" w:rsidRPr="004509DF" w:rsidRDefault="00F72392" w:rsidP="00897F56">
      <w:pPr>
        <w:keepNext/>
        <w:keepLines/>
        <w:spacing w:after="240"/>
        <w:jc w:val="center"/>
        <w:rPr>
          <w:b/>
        </w:rPr>
      </w:pPr>
      <w:r w:rsidRPr="004509DF">
        <w:rPr>
          <w:b/>
        </w:rPr>
        <w:lastRenderedPageBreak/>
        <w:t>OBSERVACIONES Y RECOMENDACIÓN DE LA SECRETARÍA</w:t>
      </w:r>
    </w:p>
    <w:p w14:paraId="4DD1321F" w14:textId="77777777" w:rsidR="004122F7" w:rsidRPr="004509DF" w:rsidRDefault="00F72392" w:rsidP="00C661C4">
      <w:pPr>
        <w:keepNext/>
        <w:keepLines/>
        <w:spacing w:after="240"/>
        <w:rPr>
          <w:b/>
        </w:rPr>
      </w:pPr>
      <w:r w:rsidRPr="004509DF">
        <w:rPr>
          <w:b/>
        </w:rPr>
        <w:t>OBSERVACIONES</w:t>
      </w:r>
    </w:p>
    <w:p w14:paraId="6D7CB324" w14:textId="77777777" w:rsidR="004122F7" w:rsidRPr="004509DF" w:rsidRDefault="00702B34" w:rsidP="004122F7">
      <w:pPr>
        <w:spacing w:after="240"/>
        <w:outlineLvl w:val="0"/>
        <w:rPr>
          <w:u w:val="single"/>
        </w:rPr>
      </w:pPr>
      <w:r w:rsidRPr="004509DF">
        <w:rPr>
          <w:u w:val="single"/>
        </w:rPr>
        <w:t>Informe sobre el consumo de HCFC y verificación</w:t>
      </w:r>
    </w:p>
    <w:p w14:paraId="63F14AC9" w14:textId="77777777" w:rsidR="004122F7" w:rsidRPr="004509DF" w:rsidRDefault="004122F7" w:rsidP="00897F56">
      <w:pPr>
        <w:pStyle w:val="Heading1"/>
        <w:widowControl w:val="0"/>
      </w:pPr>
      <w:r w:rsidRPr="004509DF">
        <w:t>El PNUD presentó el informe de verificación del consumo de HCFC correspondiente al período 2023–2024 y, a petición de la Secretaría, informó de que el informe de verificación de las metas de consumo de HCFC correspondiente a 2025 se encuentra en fase de finalización y estará terminado para junio de 2026. De conformidad con la decisión 72/19, se pedirá a la Tesorería que transfiera los fondos aprobados al PNUD sólo después de que la Secretaría haya recibido el informe de verificación terminado, en el que se confirme que el país cumplió sus obligaciones en ese período.</w:t>
      </w:r>
    </w:p>
    <w:p w14:paraId="3ACEF1A3" w14:textId="77777777" w:rsidR="003C76A5" w:rsidRPr="004509DF" w:rsidRDefault="00C661C4" w:rsidP="00897F56">
      <w:pPr>
        <w:pStyle w:val="Heading1"/>
        <w:keepLines/>
        <w:widowControl w:val="0"/>
        <w:spacing w:before="240"/>
        <w:rPr>
          <w:u w:val="single"/>
        </w:rPr>
      </w:pPr>
      <w:r w:rsidRPr="004509DF">
        <w:t xml:space="preserve">La Secretaría preguntó acerca de las recomendaciones incluidas en el informe de verificación, principalmente relacionadas con las zonas francas, la necesidad de mecanismos de supervisión más sólidos de los procedimientos por escrito y la capacidad institucional profesional especializada. El PNUD aclaró que, en relación con las zonas francas, en marzo de 2026 se celebró una reunión técnica de la Dependencia Nacional del Ozono (DNO) del Ministerio de Salud de Panamá y la Zona Libre de Colón para negociar el control de sustancias reguladas, las medidas aplicables en las zonas francas y los posibles mecanismos de cooperación. Como resultado de ello, se avanzó en la creación de cuentas de usuario del sistema de Declaración de Movimiento Comercial Electrónico con el fin de fortalecer el seguimiento y la supervisión. </w:t>
      </w:r>
    </w:p>
    <w:p w14:paraId="3018D448" w14:textId="77777777" w:rsidR="003C76A5" w:rsidRPr="004509DF" w:rsidRDefault="00C661C4" w:rsidP="00897F56">
      <w:pPr>
        <w:pStyle w:val="Heading1"/>
        <w:keepLines/>
        <w:widowControl w:val="0"/>
        <w:spacing w:before="240"/>
        <w:rPr>
          <w:u w:val="single"/>
        </w:rPr>
      </w:pPr>
      <w:r w:rsidRPr="004509DF">
        <w:t>Con respecto a los procedimientos por escrito, el PNUD indicó que la coordinación técnica e institucional entre las autoridades competentes se estaba fortaleciendo constantemente mediante foros de capacitación, intercambio de información reglamentaria y actividades de sensibilización dirigidas a las partes interesadas que intervienen en la importación, el seguimiento y la comercialización de refrigerantes, entre ellas las autoridades aduaneras, representantes del sector privado y otras entidades pertinentes.</w:t>
      </w:r>
    </w:p>
    <w:p w14:paraId="43948E5F" w14:textId="77777777" w:rsidR="00C661C4" w:rsidRPr="004509DF" w:rsidRDefault="003C76A5" w:rsidP="00897F56">
      <w:pPr>
        <w:pStyle w:val="Heading1"/>
        <w:keepLines/>
        <w:widowControl w:val="0"/>
        <w:spacing w:before="240"/>
      </w:pPr>
      <w:r w:rsidRPr="004509DF">
        <w:t>En cuanto a la capacidad profesional especializada, el PNUD señaló que se reconocía plenamente la necesidad de seguir fortaleciendo la capacidad técnica e institucional de las entidades que intervienen en el control y la supervisión de los refrigerantes, incluidos los hidrocarburos. En este sentido, el Cuerpo de Bomberos de Panamá ha participado activamente en el fortalecimiento de la capacidad para la gestión y el control seguros de los refrigerantes inflamables, entre otras cosas, mediante capacitación técnica, reuniones de coordinación con la Dirección Nacional de Seguridad, Prevención e Investigación de Incendios y su participación en sesiones de actualización organizadas en el marco del Protocolo de Montreal y la Enmienda de Kigali.</w:t>
      </w:r>
    </w:p>
    <w:p w14:paraId="35269F8A" w14:textId="77777777" w:rsidR="00702B34" w:rsidRPr="004509DF" w:rsidRDefault="00702B34" w:rsidP="00897F56">
      <w:pPr>
        <w:pStyle w:val="Heading1"/>
      </w:pPr>
      <w:r w:rsidRPr="004509DF">
        <w:t xml:space="preserve">La Secretaría preguntó acerca de los datos correspondientes al período 2009-2016 que no eran coherentes con los datos del programa del país y el artículo 7, ya que parecía que los datos referentes al HCFC-124, el HCFC-141b y el HCFC-142b se habían desplazado un año. El PNUD confirmó que el DNO había examinado los datos del artículo 7 y había hecho los ajustes necesarios. </w:t>
      </w:r>
    </w:p>
    <w:p w14:paraId="25C3407C" w14:textId="77777777" w:rsidR="00F72392" w:rsidRPr="004509DF" w:rsidRDefault="00F72392" w:rsidP="00136BC6">
      <w:pPr>
        <w:pStyle w:val="Heading1"/>
        <w:keepNext/>
        <w:keepLines/>
        <w:numPr>
          <w:ilvl w:val="0"/>
          <w:numId w:val="0"/>
        </w:numPr>
        <w:spacing w:before="240"/>
        <w:rPr>
          <w:u w:val="single"/>
        </w:rPr>
      </w:pPr>
      <w:r w:rsidRPr="004509DF">
        <w:rPr>
          <w:u w:val="single"/>
        </w:rPr>
        <w:t>Informe sobre la marcha de las actividades relativo a la ejecución del segundo tramo de la etapa III del plan de gestión para la eliminación de los HCFC</w:t>
      </w:r>
    </w:p>
    <w:p w14:paraId="4E8D963C" w14:textId="77777777" w:rsidR="00F72392" w:rsidRPr="004509DF" w:rsidRDefault="00F72392" w:rsidP="001C647F">
      <w:pPr>
        <w:keepNext/>
        <w:keepLines/>
        <w:spacing w:before="240" w:after="240"/>
        <w:rPr>
          <w:i/>
        </w:rPr>
      </w:pPr>
      <w:r w:rsidRPr="004509DF">
        <w:rPr>
          <w:i/>
        </w:rPr>
        <w:t>Marco jurídico</w:t>
      </w:r>
    </w:p>
    <w:p w14:paraId="28C956B0" w14:textId="77777777" w:rsidR="00F72392" w:rsidRPr="004509DF" w:rsidRDefault="00F72392" w:rsidP="004509DF">
      <w:pPr>
        <w:pStyle w:val="Heading1"/>
      </w:pPr>
      <w:r w:rsidRPr="004509DF">
        <w:t>El Gobierno de Panamá ha emitido cupos de importación de HCFC para 2026 de 4,38 toneladas PAO, cupos que son inferiores a las metas de control del Protocolo de Montreal.</w:t>
      </w:r>
    </w:p>
    <w:p w14:paraId="4F0F5E13" w14:textId="77777777" w:rsidR="00F72392" w:rsidRPr="004509DF" w:rsidRDefault="00F72392" w:rsidP="001C647F">
      <w:pPr>
        <w:keepNext/>
        <w:spacing w:after="240"/>
        <w:rPr>
          <w:i/>
        </w:rPr>
      </w:pPr>
      <w:r w:rsidRPr="004509DF">
        <w:rPr>
          <w:i/>
        </w:rPr>
        <w:lastRenderedPageBreak/>
        <w:t>Sector de servicio y mantenimiento de equipos de refrigeración</w:t>
      </w:r>
    </w:p>
    <w:p w14:paraId="1B98EB53" w14:textId="77777777" w:rsidR="00287859" w:rsidRPr="004509DF" w:rsidRDefault="00287859" w:rsidP="00136BC6">
      <w:pPr>
        <w:pStyle w:val="Heading1"/>
      </w:pPr>
      <w:r w:rsidRPr="004509DF">
        <w:t xml:space="preserve">Tras una solicitud de información sobre las medidas reglamentarias, el PNUD confirmó que la norma técnica (DGNTI COPANIT ISO 5149 4:2014) que corresponde a la operación, mantenimiento, reparación y recuperación de sistemas de refrigeración y a los requisitos ambientales y de seguridad se había establecido el 1 de enero de 2024; Panamá había pasado a ser miembro de la Unión Aduanera Centroamericana, pasando a adoptar el Sistema Arancelario Centroamericano, y había aprobado las modificaciones que incorporaban la séptima enmienda al Arancel Centroamericano de Importación referente a los códigos del Sistema Armonizado. El PNUD también aclaró que, de conformidad con la reglamentación vigente que rige la asignación de cupos para los HFC (resolución 697 de 2023), todos los importadores de refrigerantes y HFC de bajo PCA o sin PCA deben registrarse en la Subdirección General de Salud Ambiental (SDGSA) y todas las importaciones de refrigerantes de bajo PCA o sin PCA deben ser autorizadas por la SDGSA. </w:t>
      </w:r>
    </w:p>
    <w:p w14:paraId="5488A29F" w14:textId="77777777" w:rsidR="005D28E2" w:rsidRPr="004509DF" w:rsidRDefault="005D28E2" w:rsidP="00704545">
      <w:pPr>
        <w:pStyle w:val="Heading1"/>
      </w:pPr>
      <w:r w:rsidRPr="004509DF">
        <w:t>La Secretaría preguntó por qué el objetivo inicial de 30 juegos de herramientas se había sobrepasado en 26 juegos, y el PNUD explicó que la compra de equipo y juegos de herramientas adicionales se debía a dos adquisiciones internacionales, durante las cuales se adquirieron todo el equipo y herramientas, junto con equipo y herramientas para el centro de RRR de refrigerantes, lo que había supuesto costos relativamente bajos y había permitido un aumento de las cantidades pedidas.</w:t>
      </w:r>
    </w:p>
    <w:p w14:paraId="18D394F1" w14:textId="77777777" w:rsidR="00F72392" w:rsidRPr="004509DF" w:rsidRDefault="00F72392" w:rsidP="001C647F">
      <w:pPr>
        <w:keepNext/>
        <w:spacing w:after="240"/>
        <w:rPr>
          <w:u w:val="single"/>
        </w:rPr>
      </w:pPr>
      <w:r w:rsidRPr="004509DF">
        <w:rPr>
          <w:u w:val="single"/>
        </w:rPr>
        <w:t>Plan de ejecución del tercer tramo de la etapa III del plan de gestión para la eliminación de los HCFC</w:t>
      </w:r>
    </w:p>
    <w:p w14:paraId="0805999A" w14:textId="77777777" w:rsidR="006A57E1" w:rsidRPr="004509DF" w:rsidRDefault="000E50AE" w:rsidP="00AF19C4">
      <w:pPr>
        <w:pStyle w:val="Heading1"/>
      </w:pPr>
      <w:r w:rsidRPr="004509DF">
        <w:t>La Secretaría pidió aclaraciones de los cambios introducidos en el plan original de compra de tres juegos de herramientas y equipo básico para los laboratorios de los centros de enseñanza técnica durante toda la etapa, ya que en el segundo tramo se habían reforzado 13 centros de capacitación con juegos que contenían equipo, herramientas y suministros, y en el tercer tramo otros 18 institutos técnicos recibirán juegos de herramientas y equipos básicos para trabajar con HCFC en sus laboratorios. El PNUD explicó que durante la ejecución del proyecto se había determinado que varios centros de capacitación del INADEH ya contaban con módulos de capacitación que habían quedado inutilizables debido a la falta de piezas de repuesto en Panamá. Como resultado, se decidió proporcionar juegos nuevos que incluían una unidad de recuperación de refrigerante, una bomba de vacío, un detector de fugas de gas halogenado, un juego de manómetros de gas halogenado, un vacuómetro digital, un termómetro digital de cinco sensores, bombonas de recuperación, bombonas de refrigerante, equipo de soldadura portátil, un tanque de nitrógeno y otras herramientas manuales básicas. Para la manipulación segura de hidrocarburos se les proporcionó un juego de manómetros de hidrocarburos, un detector de fugas de hidrocarburos y una báscula electrónica.</w:t>
      </w:r>
    </w:p>
    <w:p w14:paraId="59E25753" w14:textId="77777777" w:rsidR="00F72392" w:rsidRPr="004509DF" w:rsidRDefault="00F72392" w:rsidP="001C647F">
      <w:pPr>
        <w:keepNext/>
        <w:spacing w:after="240"/>
        <w:rPr>
          <w:u w:val="single"/>
        </w:rPr>
      </w:pPr>
      <w:r w:rsidRPr="004509DF">
        <w:rPr>
          <w:u w:val="single"/>
        </w:rPr>
        <w:t>Aplicación de la política de género</w:t>
      </w:r>
    </w:p>
    <w:p w14:paraId="5B3CF5B3" w14:textId="77777777" w:rsidR="00E37900" w:rsidRPr="004509DF" w:rsidRDefault="00E37900" w:rsidP="00E37900">
      <w:pPr>
        <w:pStyle w:val="Heading1"/>
      </w:pPr>
      <w:r w:rsidRPr="004509DF">
        <w:t>Conforme a lo dispuesto en las decisiones 84/92 d) y 90/48 c), durante la ejecución del tramo anterior se han tomado diversas medidas en materia de género, entre ellas el seguimiento y notificación de datos desglosados por sexo, la integración de consideraciones de género en los materiales de capacitación y las comunicaciones de sensibilización, la recopilación de datos de referencia sobre las técnicas del sector de la RAC y la inclusión de aspectos que fomentan la contratación de mujeres. En 2023 se pusieron en marcha iniciativas específicas como el primer Conversatorio sobre la Participación de las Mujeres en la Industria de la RAC y del aire acondicionado móvil, con 48 participantes (entre ellos 35 mujeres).</w:t>
      </w:r>
    </w:p>
    <w:p w14:paraId="4CAAB91B" w14:textId="77777777" w:rsidR="00F72392" w:rsidRPr="004509DF" w:rsidRDefault="00F72392" w:rsidP="000572B3">
      <w:pPr>
        <w:keepNext/>
        <w:spacing w:before="100" w:beforeAutospacing="1" w:after="100" w:afterAutospacing="1"/>
        <w:jc w:val="left"/>
        <w:rPr>
          <w:u w:val="single"/>
        </w:rPr>
      </w:pPr>
      <w:r w:rsidRPr="004509DF">
        <w:rPr>
          <w:u w:val="single"/>
        </w:rPr>
        <w:t>Sostenibilidad de la eliminación de los HCFC y evaluación de los riesgos</w:t>
      </w:r>
    </w:p>
    <w:p w14:paraId="4C8C1BEC" w14:textId="77777777" w:rsidR="00600DFD" w:rsidRPr="004509DF" w:rsidRDefault="00600DFD" w:rsidP="002A18C1">
      <w:pPr>
        <w:pStyle w:val="Heading1"/>
        <w:rPr>
          <w:u w:val="single"/>
        </w:rPr>
      </w:pPr>
      <w:r w:rsidRPr="004509DF">
        <w:t xml:space="preserve">La sostenibilidad de la eliminación de los HCFC en Panamá se garantiza mediante la integración de buenas prácticas y normas de seguridad para la manipulación de refrigerantes inflamables en el plan oficial de estudios de capacitación del INADEH, garantizando así la formación continua de los técnicos de RAC y apoyando el proceso de certificación a través de la sensibilización de las partes interesadas y asociaciones clave. En lo que se refiere a la reglamentación y a exigir su cumplimiento, el riesgo de tráfico ilícito se </w:t>
      </w:r>
      <w:r w:rsidRPr="004509DF">
        <w:lastRenderedPageBreak/>
        <w:t>minimiza mediante la capacitación permanente de funcionarios de aduanas y mediante diálogos y visitas a la zonas francas y los centros de control aduanero.</w:t>
      </w:r>
    </w:p>
    <w:p w14:paraId="361801C7" w14:textId="77777777" w:rsidR="00F72392" w:rsidRPr="004509DF" w:rsidRDefault="00F72392" w:rsidP="000572B3">
      <w:pPr>
        <w:keepNext/>
        <w:spacing w:before="100" w:beforeAutospacing="1" w:after="100" w:afterAutospacing="1"/>
        <w:jc w:val="left"/>
        <w:rPr>
          <w:u w:val="single"/>
        </w:rPr>
      </w:pPr>
      <w:r w:rsidRPr="004509DF">
        <w:rPr>
          <w:u w:val="single"/>
        </w:rPr>
        <w:t>Conclusión</w:t>
      </w:r>
    </w:p>
    <w:p w14:paraId="52090F5A" w14:textId="77777777" w:rsidR="00B33540" w:rsidRPr="004509DF" w:rsidRDefault="00F1589D" w:rsidP="000572B3">
      <w:pPr>
        <w:pStyle w:val="Heading1"/>
      </w:pPr>
      <w:r w:rsidRPr="004509DF">
        <w:t>El Gobierno de Panamá cumple los niveles de consumo máximo permitido tanto del Protocolo de Montreal como del Acuerdo con el Comité Ejecutivo, y su consumo de HCFC en 2025 es un 77,3 % inferior al nivel básico de referencia y un 30 % inferior a la meta establecida para ese año. Durante el período de notificación, el nivel de desembolso de fondos aprobados en el tramo anterior fue de un 43,6 %, y se han logrado progresos en la ejecución del tramo. Las actividades previstas en el tercer tramo fortalecerán aún más el sector de servicio y mantenimiento de equipos de refrigeración y garantizarán la sostenibilidad a largo plazo de la etapa III. El PNUD se ha comprometido a presentar el informe de verificación correspondiente al período 2023-2025 como muy pronto en junio de 2026 y, de conformidad con la decisión 72/19, la Secretaría recomienda, entre otras cosas, que se pida a la Tesorería que transfiera los fondos aprobados al PNUD sólo después de que la Secretaría haya recibido el informe de verificación terminado, en el que se confirme que el país estaba cumpliendo sus obligaciones de ese período.</w:t>
      </w:r>
    </w:p>
    <w:p w14:paraId="409EC44A" w14:textId="77777777" w:rsidR="00F72392" w:rsidRPr="004509DF" w:rsidRDefault="00F72392" w:rsidP="00136BC6">
      <w:pPr>
        <w:pStyle w:val="Heading1"/>
        <w:keepNext/>
        <w:numPr>
          <w:ilvl w:val="0"/>
          <w:numId w:val="0"/>
        </w:numPr>
        <w:spacing w:before="360"/>
        <w:rPr>
          <w:b/>
        </w:rPr>
      </w:pPr>
      <w:r w:rsidRPr="004509DF">
        <w:rPr>
          <w:b/>
        </w:rPr>
        <w:t>RECOMENDACIÓN</w:t>
      </w:r>
    </w:p>
    <w:p w14:paraId="25DD277F" w14:textId="77777777" w:rsidR="00F72392" w:rsidRPr="004509DF" w:rsidRDefault="00F72392" w:rsidP="00704545">
      <w:pPr>
        <w:pStyle w:val="Heading1"/>
      </w:pPr>
      <w:bookmarkStart w:id="2" w:name="_Hlk122622077"/>
      <w:r w:rsidRPr="004509DF">
        <w:t>La Secretaría del Fondo recomienda que el Comité Ejecutivo tome nota del informe sobre la marcha de las actividades relativo a la ejecución del segundo tramo de la etapa III del plan de gestión de la eliminación de los HCFC (PGEH) para Panamá, y recomienda además la aprobación general del tercer tramo de la etapa III del PGEH y el correspondiente plan de ejecución del tramo 2026–2029 para Panamá al nivel de financiación que se indica en el cuadro siguiente. en el entendimiento de que los fondos aprobados no se transferirán al PNUD hasta que la Secretaría haya examinado el informe de verificación del consumo de HCFC correspondiente al período 2023-2025 y confirmado que Panamá cumplía el Protocolo de Montreal y del Acuerdo entre el Gobierno y el Comité Ejecutivo.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4509DF" w14:paraId="565EB407" w14:textId="77777777" w:rsidTr="001C647F">
        <w:trPr>
          <w:tblHeader/>
        </w:trPr>
        <w:tc>
          <w:tcPr>
            <w:tcW w:w="293" w:type="pct"/>
            <w:vAlign w:val="center"/>
          </w:tcPr>
          <w:p w14:paraId="3040FA18" w14:textId="77777777" w:rsidR="00F72392" w:rsidRPr="004509DF" w:rsidRDefault="00F72392" w:rsidP="001C647F">
            <w:pPr>
              <w:keepNext/>
              <w:spacing w:before="20" w:after="20"/>
              <w:jc w:val="center"/>
              <w:rPr>
                <w:b/>
                <w:bCs/>
                <w:sz w:val="20"/>
                <w:szCs w:val="20"/>
              </w:rPr>
            </w:pPr>
          </w:p>
        </w:tc>
        <w:tc>
          <w:tcPr>
            <w:tcW w:w="2337" w:type="pct"/>
            <w:vAlign w:val="center"/>
          </w:tcPr>
          <w:p w14:paraId="47C74515" w14:textId="77777777" w:rsidR="00F72392" w:rsidRPr="004509DF" w:rsidRDefault="00F72392" w:rsidP="001C647F">
            <w:pPr>
              <w:keepNext/>
              <w:spacing w:before="20" w:after="20"/>
              <w:jc w:val="center"/>
              <w:rPr>
                <w:b/>
                <w:bCs/>
                <w:sz w:val="20"/>
                <w:szCs w:val="20"/>
              </w:rPr>
            </w:pPr>
            <w:r w:rsidRPr="004509DF">
              <w:rPr>
                <w:b/>
                <w:sz w:val="20"/>
              </w:rPr>
              <w:t>Título del proyecto</w:t>
            </w:r>
          </w:p>
        </w:tc>
        <w:tc>
          <w:tcPr>
            <w:tcW w:w="790" w:type="pct"/>
            <w:tcMar>
              <w:left w:w="29" w:type="dxa"/>
              <w:right w:w="29" w:type="dxa"/>
            </w:tcMar>
            <w:vAlign w:val="center"/>
          </w:tcPr>
          <w:p w14:paraId="42B212B7" w14:textId="77777777" w:rsidR="00F72392" w:rsidRPr="004509DF" w:rsidRDefault="00F72392" w:rsidP="001C647F">
            <w:pPr>
              <w:keepNext/>
              <w:spacing w:before="20" w:after="20"/>
              <w:jc w:val="center"/>
              <w:rPr>
                <w:b/>
                <w:bCs/>
                <w:sz w:val="20"/>
                <w:szCs w:val="20"/>
              </w:rPr>
            </w:pPr>
            <w:r w:rsidRPr="004509DF">
              <w:rPr>
                <w:b/>
                <w:sz w:val="20"/>
              </w:rPr>
              <w:t>Financiación acordada (USD)</w:t>
            </w:r>
          </w:p>
        </w:tc>
        <w:tc>
          <w:tcPr>
            <w:tcW w:w="747" w:type="pct"/>
            <w:tcMar>
              <w:left w:w="29" w:type="dxa"/>
              <w:right w:w="29" w:type="dxa"/>
            </w:tcMar>
            <w:vAlign w:val="center"/>
          </w:tcPr>
          <w:p w14:paraId="4484D963" w14:textId="77777777" w:rsidR="00F72392" w:rsidRPr="004509DF" w:rsidRDefault="00F72392" w:rsidP="001C647F">
            <w:pPr>
              <w:keepNext/>
              <w:spacing w:before="20" w:after="20"/>
              <w:jc w:val="center"/>
              <w:rPr>
                <w:b/>
                <w:bCs/>
                <w:sz w:val="20"/>
                <w:szCs w:val="20"/>
              </w:rPr>
            </w:pPr>
            <w:r w:rsidRPr="004509DF">
              <w:rPr>
                <w:b/>
                <w:sz w:val="20"/>
              </w:rPr>
              <w:t>Gastos de apoyo (USD)</w:t>
            </w:r>
          </w:p>
        </w:tc>
        <w:tc>
          <w:tcPr>
            <w:tcW w:w="833" w:type="pct"/>
            <w:tcBorders>
              <w:bottom w:val="single" w:sz="4" w:space="0" w:color="auto"/>
            </w:tcBorders>
            <w:tcMar>
              <w:left w:w="29" w:type="dxa"/>
              <w:right w:w="29" w:type="dxa"/>
            </w:tcMar>
            <w:vAlign w:val="center"/>
          </w:tcPr>
          <w:p w14:paraId="37947BD0" w14:textId="77777777" w:rsidR="00F72392" w:rsidRPr="004509DF" w:rsidRDefault="00F72392" w:rsidP="001C647F">
            <w:pPr>
              <w:keepNext/>
              <w:spacing w:before="20" w:after="20"/>
              <w:jc w:val="center"/>
              <w:rPr>
                <w:b/>
                <w:bCs/>
                <w:sz w:val="20"/>
                <w:szCs w:val="20"/>
              </w:rPr>
            </w:pPr>
            <w:r w:rsidRPr="004509DF">
              <w:rPr>
                <w:b/>
                <w:sz w:val="20"/>
              </w:rPr>
              <w:t>Organismo de ejecución</w:t>
            </w:r>
          </w:p>
        </w:tc>
      </w:tr>
      <w:tr w:rsidR="00F72392" w:rsidRPr="004509DF" w14:paraId="73C75545" w14:textId="77777777" w:rsidTr="001C647F">
        <w:tc>
          <w:tcPr>
            <w:tcW w:w="293" w:type="pct"/>
          </w:tcPr>
          <w:p w14:paraId="0A2D45BD" w14:textId="77777777" w:rsidR="00F72392" w:rsidRPr="004509DF" w:rsidRDefault="00F72392" w:rsidP="001C647F">
            <w:pPr>
              <w:keepNext/>
              <w:spacing w:before="20" w:after="20"/>
              <w:rPr>
                <w:sz w:val="20"/>
                <w:szCs w:val="20"/>
              </w:rPr>
            </w:pPr>
            <w:r w:rsidRPr="004509DF">
              <w:rPr>
                <w:sz w:val="20"/>
              </w:rPr>
              <w:t>a)</w:t>
            </w:r>
          </w:p>
        </w:tc>
        <w:tc>
          <w:tcPr>
            <w:tcW w:w="2337" w:type="pct"/>
          </w:tcPr>
          <w:p w14:paraId="05D92B4C" w14:textId="77777777" w:rsidR="00F72392" w:rsidRPr="004509DF" w:rsidRDefault="00F72392" w:rsidP="001C647F">
            <w:pPr>
              <w:keepNext/>
              <w:spacing w:before="20" w:after="20"/>
              <w:jc w:val="left"/>
              <w:rPr>
                <w:sz w:val="20"/>
                <w:szCs w:val="20"/>
              </w:rPr>
            </w:pPr>
            <w:r w:rsidRPr="004509DF">
              <w:rPr>
                <w:sz w:val="20"/>
              </w:rPr>
              <w:t>Plan de gestión de la eliminación de los HCFC (etapa III, tercer tramo)</w:t>
            </w:r>
          </w:p>
        </w:tc>
        <w:tc>
          <w:tcPr>
            <w:tcW w:w="790" w:type="pct"/>
            <w:vAlign w:val="center"/>
          </w:tcPr>
          <w:p w14:paraId="775EA898" w14:textId="77777777" w:rsidR="00F72392" w:rsidRPr="004509DF" w:rsidRDefault="00FC38B1" w:rsidP="001C647F">
            <w:pPr>
              <w:keepNext/>
              <w:spacing w:before="20" w:after="20"/>
              <w:jc w:val="right"/>
              <w:rPr>
                <w:sz w:val="20"/>
                <w:szCs w:val="20"/>
              </w:rPr>
            </w:pPr>
            <w:r w:rsidRPr="004509DF">
              <w:rPr>
                <w:sz w:val="20"/>
              </w:rPr>
              <w:t>458.838</w:t>
            </w:r>
          </w:p>
        </w:tc>
        <w:tc>
          <w:tcPr>
            <w:tcW w:w="747" w:type="pct"/>
            <w:vAlign w:val="center"/>
          </w:tcPr>
          <w:p w14:paraId="0576D2F2" w14:textId="77777777" w:rsidR="00F72392" w:rsidRPr="004509DF" w:rsidRDefault="00FC38B1" w:rsidP="001C647F">
            <w:pPr>
              <w:keepNext/>
              <w:spacing w:before="20" w:after="20"/>
              <w:jc w:val="right"/>
            </w:pPr>
            <w:r w:rsidRPr="004509DF">
              <w:rPr>
                <w:color w:val="000000"/>
                <w:sz w:val="20"/>
              </w:rPr>
              <w:t>32.119</w:t>
            </w:r>
          </w:p>
        </w:tc>
        <w:tc>
          <w:tcPr>
            <w:tcW w:w="833" w:type="pct"/>
            <w:tcBorders>
              <w:top w:val="single" w:sz="4" w:space="0" w:color="auto"/>
            </w:tcBorders>
            <w:vAlign w:val="center"/>
          </w:tcPr>
          <w:p w14:paraId="3A874DFA" w14:textId="77777777" w:rsidR="00F72392" w:rsidRPr="004509DF" w:rsidRDefault="007E6514" w:rsidP="001C647F">
            <w:pPr>
              <w:keepNext/>
              <w:spacing w:before="20" w:after="20"/>
              <w:jc w:val="center"/>
              <w:rPr>
                <w:sz w:val="20"/>
                <w:szCs w:val="20"/>
              </w:rPr>
            </w:pPr>
            <w:r w:rsidRPr="004509DF">
              <w:rPr>
                <w:sz w:val="20"/>
              </w:rPr>
              <w:t>PNUD</w:t>
            </w:r>
          </w:p>
        </w:tc>
      </w:tr>
      <w:bookmarkEnd w:id="2"/>
    </w:tbl>
    <w:p w14:paraId="411F3605" w14:textId="77777777" w:rsidR="00F72392" w:rsidRPr="004509DF" w:rsidRDefault="00F72392" w:rsidP="001C647F">
      <w:pPr>
        <w:spacing w:before="240" w:after="240"/>
        <w:jc w:val="center"/>
      </w:pPr>
    </w:p>
    <w:tbl>
      <w:tblPr>
        <w:tblW w:w="0" w:type="auto"/>
        <w:tblLook w:val="04A0" w:firstRow="1" w:lastRow="0" w:firstColumn="1" w:lastColumn="0" w:noHBand="0" w:noVBand="1"/>
      </w:tblPr>
      <w:tblGrid>
        <w:gridCol w:w="1871"/>
        <w:gridCol w:w="1872"/>
        <w:gridCol w:w="1872"/>
        <w:gridCol w:w="1872"/>
        <w:gridCol w:w="1873"/>
      </w:tblGrid>
      <w:tr w:rsidR="00F72392" w:rsidRPr="004509DF" w14:paraId="67AEBF25" w14:textId="77777777" w:rsidTr="00FE5720">
        <w:tc>
          <w:tcPr>
            <w:tcW w:w="1871" w:type="dxa"/>
          </w:tcPr>
          <w:p w14:paraId="656844B1" w14:textId="77777777" w:rsidR="00F72392" w:rsidRPr="004509DF" w:rsidRDefault="00F72392" w:rsidP="001C647F"/>
        </w:tc>
        <w:tc>
          <w:tcPr>
            <w:tcW w:w="1872" w:type="dxa"/>
          </w:tcPr>
          <w:p w14:paraId="6C202333" w14:textId="77777777" w:rsidR="00F72392" w:rsidRPr="004509DF" w:rsidRDefault="00F72392" w:rsidP="001C647F"/>
        </w:tc>
        <w:tc>
          <w:tcPr>
            <w:tcW w:w="1872" w:type="dxa"/>
            <w:tcBorders>
              <w:bottom w:val="single" w:sz="4" w:space="0" w:color="auto"/>
            </w:tcBorders>
          </w:tcPr>
          <w:p w14:paraId="27F340C2" w14:textId="77777777" w:rsidR="00F72392" w:rsidRPr="004509DF" w:rsidRDefault="00F72392" w:rsidP="001C647F"/>
        </w:tc>
        <w:tc>
          <w:tcPr>
            <w:tcW w:w="1872" w:type="dxa"/>
          </w:tcPr>
          <w:p w14:paraId="3A08153D" w14:textId="77777777" w:rsidR="00F72392" w:rsidRPr="004509DF" w:rsidRDefault="00F72392" w:rsidP="001C647F"/>
        </w:tc>
        <w:tc>
          <w:tcPr>
            <w:tcW w:w="1873" w:type="dxa"/>
          </w:tcPr>
          <w:p w14:paraId="632398EE" w14:textId="77777777" w:rsidR="00F72392" w:rsidRPr="004509DF" w:rsidRDefault="00F72392" w:rsidP="001C647F"/>
        </w:tc>
      </w:tr>
    </w:tbl>
    <w:p w14:paraId="35E7E2BB" w14:textId="77777777" w:rsidR="00F72392" w:rsidRPr="004509DF" w:rsidRDefault="00F72392" w:rsidP="001C647F">
      <w:pPr>
        <w:jc w:val="center"/>
      </w:pPr>
    </w:p>
    <w:p w14:paraId="1BF1F62E" w14:textId="77777777" w:rsidR="00720EE7" w:rsidRPr="004509DF" w:rsidRDefault="00720EE7" w:rsidP="0051710D">
      <w:pPr>
        <w:jc w:val="center"/>
      </w:pPr>
    </w:p>
    <w:sectPr w:rsidR="00720EE7" w:rsidRPr="004509DF"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8A0E0" w14:textId="77777777" w:rsidR="003F3CC9" w:rsidRDefault="003F3CC9" w:rsidP="004A504B">
      <w:r>
        <w:separator/>
      </w:r>
    </w:p>
  </w:endnote>
  <w:endnote w:type="continuationSeparator" w:id="0">
    <w:p w14:paraId="0E9394C0" w14:textId="77777777" w:rsidR="003F3CC9" w:rsidRDefault="003F3CC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2B2C"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46BD"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93DB"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115CFAC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ninguna decisión que el Comité Ejecutivo pudiera adoptar después de la emisión de los mismos.</w:t>
    </w:r>
  </w:p>
  <w:p w14:paraId="370E2D77"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43657" w14:textId="77777777" w:rsidR="003F3CC9" w:rsidRDefault="003F3CC9" w:rsidP="004A504B">
      <w:r>
        <w:separator/>
      </w:r>
    </w:p>
  </w:footnote>
  <w:footnote w:type="continuationSeparator" w:id="0">
    <w:p w14:paraId="68CF1E35" w14:textId="77777777" w:rsidR="003F3CC9" w:rsidRDefault="003F3CC9" w:rsidP="004A504B">
      <w:r>
        <w:continuationSeparator/>
      </w:r>
    </w:p>
  </w:footnote>
  <w:footnote w:id="1">
    <w:p w14:paraId="278E5CBD" w14:textId="77777777" w:rsidR="00F72392" w:rsidRPr="001E1147" w:rsidRDefault="00F72392" w:rsidP="001C647F">
      <w:pPr>
        <w:pStyle w:val="FootnoteText"/>
        <w:spacing w:after="120"/>
      </w:pPr>
      <w:r>
        <w:rPr>
          <w:rStyle w:val="FootnoteReference"/>
        </w:rPr>
        <w:footnoteRef/>
      </w:r>
      <w:r>
        <w:t xml:space="preserve"> UNEP/OzL.Pro/ExCom/98/1</w:t>
      </w:r>
    </w:p>
  </w:footnote>
  <w:footnote w:id="2">
    <w:p w14:paraId="1B8891E8" w14:textId="77777777" w:rsidR="00F72392" w:rsidRPr="00FE3307" w:rsidRDefault="00F72392" w:rsidP="001C647F">
      <w:pPr>
        <w:pStyle w:val="FootnoteText"/>
      </w:pPr>
      <w:r>
        <w:rPr>
          <w:rStyle w:val="FootnoteReference"/>
        </w:rPr>
        <w:footnoteRef/>
      </w:r>
      <w:r>
        <w:t xml:space="preserve"> Según la nota del 9 de abril de 2026 enviada por el Ministerio de Salud de Panamá al PNUD.</w:t>
      </w:r>
    </w:p>
  </w:footnote>
  <w:footnote w:id="3">
    <w:p w14:paraId="6152438D" w14:textId="77777777" w:rsidR="005079CB" w:rsidRPr="005079CB" w:rsidRDefault="005079CB" w:rsidP="00136BC6">
      <w:pPr>
        <w:tabs>
          <w:tab w:val="num" w:pos="720"/>
        </w:tabs>
      </w:pPr>
      <w:r>
        <w:rPr>
          <w:rStyle w:val="FootnoteReference"/>
        </w:rPr>
        <w:footnoteRef/>
      </w:r>
      <w:r>
        <w:t xml:space="preserve"> </w:t>
      </w:r>
      <w:r>
        <w:rPr>
          <w:sz w:val="20"/>
        </w:rPr>
        <w:t>Compuesto de un manómetro, equipo de soldadura, un cortador de tuberías, un detector de fugas, una bomba de vacío y una máquina dobladora de tubos.</w:t>
      </w:r>
    </w:p>
  </w:footnote>
  <w:footnote w:id="4">
    <w:p w14:paraId="2BF662FF" w14:textId="77777777" w:rsidR="001726EC" w:rsidRPr="00FE5720" w:rsidRDefault="001726EC" w:rsidP="001726EC">
      <w:pPr>
        <w:pStyle w:val="Heading2"/>
        <w:numPr>
          <w:ilvl w:val="0"/>
          <w:numId w:val="0"/>
        </w:numPr>
        <w:spacing w:after="0"/>
        <w:rPr>
          <w:bCs/>
          <w:sz w:val="20"/>
          <w:szCs w:val="20"/>
        </w:rPr>
      </w:pPr>
      <w:r>
        <w:rPr>
          <w:bCs/>
          <w:sz w:val="20"/>
          <w:szCs w:val="20"/>
          <w:vertAlign w:val="superscript"/>
        </w:rPr>
        <w:footnoteRef/>
      </w:r>
      <w:r>
        <w:rPr>
          <w:sz w:val="20"/>
          <w:vertAlign w:val="superscript"/>
        </w:rPr>
        <w:t xml:space="preserve"> </w:t>
      </w:r>
      <w:r>
        <w:rPr>
          <w:sz w:val="20"/>
        </w:rPr>
        <w:t>Consistentes en máquinas de recuperación, vacuómetros digitales, bombonas de 30 libras y equipo de protección personal.</w:t>
      </w:r>
    </w:p>
  </w:footnote>
  <w:footnote w:id="5">
    <w:p w14:paraId="2640A442" w14:textId="77777777" w:rsidR="001B7209" w:rsidRPr="007431A5" w:rsidRDefault="001B7209" w:rsidP="007431A5">
      <w:pPr>
        <w:pStyle w:val="FootnoteText"/>
      </w:pPr>
      <w:r>
        <w:rPr>
          <w:rStyle w:val="FootnoteReference"/>
        </w:rPr>
        <w:footnoteRef/>
      </w:r>
      <w:r>
        <w:t xml:space="preserve"> Consistentes en módulos de formación en RAC, unidades de recuperación, unidades de reciclaje, bombas de vacío, básculas, bombonas, manómetros, identificadores de refrigerantes, válvulas perforantes, mangueras para diferentes refrigerantes y un kit para HC.</w:t>
      </w:r>
    </w:p>
  </w:footnote>
  <w:footnote w:id="6">
    <w:p w14:paraId="18EA46BB" w14:textId="77777777" w:rsidR="005079CB" w:rsidRPr="00136BC6" w:rsidRDefault="005079CB" w:rsidP="007431A5">
      <w:pPr>
        <w:rPr>
          <w:bCs/>
          <w:sz w:val="20"/>
          <w:szCs w:val="20"/>
        </w:rPr>
      </w:pPr>
      <w:r>
        <w:rPr>
          <w:rStyle w:val="FootnoteReference"/>
          <w:sz w:val="20"/>
          <w:szCs w:val="20"/>
        </w:rPr>
        <w:footnoteRef/>
      </w:r>
      <w:r>
        <w:rPr>
          <w:sz w:val="20"/>
        </w:rPr>
        <w:t xml:space="preserve"> Consistente en una máquina de regeneración (para el centro de RRR), una bomba de transferencia, un identificador de refrigerante, una máquina de recuperación y reciclaje, una balanza digital, una balanza, un detector de fugas, bombonas de 30, 50 y 100 libras, manómetros y bombas de vacío.</w:t>
      </w:r>
    </w:p>
    <w:p w14:paraId="6EA823BC" w14:textId="77777777" w:rsidR="005079CB" w:rsidRPr="005079CB" w:rsidRDefault="005079CB">
      <w:pPr>
        <w:pStyle w:val="FootnoteText"/>
      </w:pPr>
    </w:p>
  </w:footnote>
  <w:footnote w:id="7">
    <w:p w14:paraId="436FDF27" w14:textId="77777777" w:rsidR="00201610" w:rsidRPr="008C4F2F" w:rsidRDefault="00201610">
      <w:pPr>
        <w:pStyle w:val="FootnoteText"/>
      </w:pPr>
      <w:r>
        <w:rPr>
          <w:rStyle w:val="FootnoteReference"/>
        </w:rPr>
        <w:footnoteRef/>
      </w:r>
      <w:r>
        <w:t xml:space="preserve"> </w:t>
      </w:r>
      <w:r>
        <w:rPr>
          <w:i/>
          <w:iCs/>
        </w:rPr>
        <w:t>Ibid.</w:t>
      </w:r>
      <w:r>
        <w:t>, nota 6.</w:t>
      </w:r>
    </w:p>
  </w:footnote>
  <w:footnote w:id="8">
    <w:p w14:paraId="35D0BEC0" w14:textId="77777777" w:rsidR="00201610" w:rsidRPr="008C4F2F" w:rsidRDefault="00201610">
      <w:pPr>
        <w:pStyle w:val="FootnoteText"/>
      </w:pPr>
      <w:r>
        <w:rPr>
          <w:rStyle w:val="FootnoteReference"/>
        </w:rPr>
        <w:footnoteRef/>
      </w:r>
      <w:r>
        <w:t xml:space="preserve"> </w:t>
      </w:r>
      <w:r>
        <w:rPr>
          <w:i/>
          <w:iCs/>
        </w:rPr>
        <w:t>Ibid.</w:t>
      </w:r>
      <w:r>
        <w:t>, nota 3.</w:t>
      </w:r>
    </w:p>
  </w:footnote>
  <w:footnote w:id="9">
    <w:p w14:paraId="24328E97" w14:textId="77777777" w:rsidR="00201610" w:rsidRPr="008C4F2F" w:rsidRDefault="00201610">
      <w:pPr>
        <w:pStyle w:val="FootnoteText"/>
      </w:pPr>
      <w:r>
        <w:rPr>
          <w:rStyle w:val="FootnoteReference"/>
        </w:rPr>
        <w:footnoteRef/>
      </w:r>
      <w:r>
        <w:t xml:space="preserve"> </w:t>
      </w:r>
      <w:r>
        <w:rPr>
          <w:i/>
          <w:iCs/>
        </w:rPr>
        <w:t>Ibid.</w:t>
      </w:r>
      <w:r>
        <w:t>, nota 4.</w:t>
      </w:r>
    </w:p>
  </w:footnote>
  <w:footnote w:id="10">
    <w:p w14:paraId="4294EB3B" w14:textId="77777777" w:rsidR="002A6F3A" w:rsidRPr="002A6F3A" w:rsidRDefault="002A6F3A" w:rsidP="00201610">
      <w:pPr>
        <w:pStyle w:val="FootnoteText"/>
      </w:pPr>
      <w:r>
        <w:rPr>
          <w:rStyle w:val="FootnoteReference"/>
        </w:rPr>
        <w:footnoteRef/>
      </w:r>
      <w:r>
        <w:t xml:space="preserve"> Consistentes en una unidad de recuperación de refrigerante, una bomba de vacío, un detector de fugas de gas halogenado, un juego de manómetros de gas halogenado, un vacuómetro digital, un termómetro digital de cinco sensores, bombonas de recuperación, bombonas de refrigerante, equipo de soldadura portátil, un tanque de nitrógeno y otras herramientas manuales básicas.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3102D" w14:textId="50904712" w:rsidR="00DC6A10" w:rsidRPr="0033525D" w:rsidRDefault="00A66810">
    <w:fldSimple w:instr=" DOCPROPERTY &quot;Document number&quot;  \* MERGEFORMAT ">
      <w:r>
        <w:t>UNEP/OzL.Pro/ExCom/98/45</w:t>
      </w:r>
    </w:fldSimple>
  </w:p>
  <w:p w14:paraId="38F03A8E" w14:textId="77777777" w:rsidR="00DC6A10" w:rsidRPr="0033525D" w:rsidRDefault="00DC6A10"/>
  <w:p w14:paraId="730339D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9F90E" w14:textId="12F2A4F9" w:rsidR="00DC6A10" w:rsidRPr="0033525D" w:rsidRDefault="00A66810">
    <w:pPr>
      <w:jc w:val="right"/>
    </w:pPr>
    <w:fldSimple w:instr=" DOCPROPERTY &quot;Document number&quot;  \* MERGEFORMAT ">
      <w:r>
        <w:t>UNEP/OzL.Pro/ExCom/98/45</w:t>
      </w:r>
    </w:fldSimple>
  </w:p>
  <w:p w14:paraId="2FE4562B" w14:textId="77777777" w:rsidR="00DC6A10" w:rsidRPr="0033525D" w:rsidRDefault="00DC6A10" w:rsidP="00003D27">
    <w:pPr>
      <w:jc w:val="right"/>
    </w:pPr>
  </w:p>
  <w:p w14:paraId="65CA7F6B"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4E0BE84"/>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ind w:left="1080" w:hanging="360"/>
      </w:pPr>
      <w:rPr>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654028D"/>
    <w:multiLevelType w:val="hybridMultilevel"/>
    <w:tmpl w:val="31945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8683979">
    <w:abstractNumId w:val="0"/>
  </w:num>
  <w:num w:numId="2" w16cid:durableId="950162131">
    <w:abstractNumId w:val="1"/>
  </w:num>
  <w:num w:numId="3" w16cid:durableId="971641813">
    <w:abstractNumId w:val="3"/>
  </w:num>
  <w:num w:numId="4" w16cid:durableId="68431661">
    <w:abstractNumId w:val="4"/>
  </w:num>
  <w:num w:numId="5" w16cid:durableId="436027366">
    <w:abstractNumId w:val="9"/>
  </w:num>
  <w:num w:numId="6" w16cid:durableId="430317242">
    <w:abstractNumId w:val="6"/>
  </w:num>
  <w:num w:numId="7" w16cid:durableId="170148127">
    <w:abstractNumId w:val="5"/>
  </w:num>
  <w:num w:numId="8" w16cid:durableId="215548592">
    <w:abstractNumId w:val="2"/>
  </w:num>
  <w:num w:numId="9" w16cid:durableId="917716975">
    <w:abstractNumId w:val="8"/>
  </w:num>
  <w:num w:numId="10" w16cid:durableId="88896207">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60320"/>
    <w:rsid w:val="00000FED"/>
    <w:rsid w:val="0000125E"/>
    <w:rsid w:val="00003D27"/>
    <w:rsid w:val="0000434E"/>
    <w:rsid w:val="0001485A"/>
    <w:rsid w:val="00016FBD"/>
    <w:rsid w:val="000219FC"/>
    <w:rsid w:val="00021A4C"/>
    <w:rsid w:val="00022BDD"/>
    <w:rsid w:val="00023BB5"/>
    <w:rsid w:val="00026C99"/>
    <w:rsid w:val="00027178"/>
    <w:rsid w:val="00030758"/>
    <w:rsid w:val="00031260"/>
    <w:rsid w:val="000327D0"/>
    <w:rsid w:val="00034611"/>
    <w:rsid w:val="00034728"/>
    <w:rsid w:val="00036482"/>
    <w:rsid w:val="00036522"/>
    <w:rsid w:val="0003681A"/>
    <w:rsid w:val="00042BA4"/>
    <w:rsid w:val="0004366A"/>
    <w:rsid w:val="00045EFD"/>
    <w:rsid w:val="0004742D"/>
    <w:rsid w:val="000534C2"/>
    <w:rsid w:val="000554FD"/>
    <w:rsid w:val="000565EB"/>
    <w:rsid w:val="00056D6E"/>
    <w:rsid w:val="000572B3"/>
    <w:rsid w:val="00057606"/>
    <w:rsid w:val="000649EE"/>
    <w:rsid w:val="00065035"/>
    <w:rsid w:val="00065D34"/>
    <w:rsid w:val="00072B13"/>
    <w:rsid w:val="00073A74"/>
    <w:rsid w:val="00076CEE"/>
    <w:rsid w:val="00080ED0"/>
    <w:rsid w:val="00084B30"/>
    <w:rsid w:val="00085B8F"/>
    <w:rsid w:val="000861CC"/>
    <w:rsid w:val="000872F8"/>
    <w:rsid w:val="00087AFC"/>
    <w:rsid w:val="00090481"/>
    <w:rsid w:val="00091A22"/>
    <w:rsid w:val="00092DFB"/>
    <w:rsid w:val="00095D68"/>
    <w:rsid w:val="000A134A"/>
    <w:rsid w:val="000A3D70"/>
    <w:rsid w:val="000A6DE1"/>
    <w:rsid w:val="000A78CC"/>
    <w:rsid w:val="000B1CE5"/>
    <w:rsid w:val="000B324E"/>
    <w:rsid w:val="000B3375"/>
    <w:rsid w:val="000B6F80"/>
    <w:rsid w:val="000C7EF8"/>
    <w:rsid w:val="000D22E3"/>
    <w:rsid w:val="000D3111"/>
    <w:rsid w:val="000D76E3"/>
    <w:rsid w:val="000E07BC"/>
    <w:rsid w:val="000E0B5F"/>
    <w:rsid w:val="000E19D5"/>
    <w:rsid w:val="000E1DE9"/>
    <w:rsid w:val="000E2313"/>
    <w:rsid w:val="000E3086"/>
    <w:rsid w:val="000E45E1"/>
    <w:rsid w:val="000E50AE"/>
    <w:rsid w:val="000F0B8B"/>
    <w:rsid w:val="000F1CD4"/>
    <w:rsid w:val="000F4103"/>
    <w:rsid w:val="000F70A7"/>
    <w:rsid w:val="001020E7"/>
    <w:rsid w:val="00102E11"/>
    <w:rsid w:val="00103AF4"/>
    <w:rsid w:val="00104568"/>
    <w:rsid w:val="001049B8"/>
    <w:rsid w:val="00106BDD"/>
    <w:rsid w:val="0011062E"/>
    <w:rsid w:val="001139D2"/>
    <w:rsid w:val="0011771A"/>
    <w:rsid w:val="00123EA2"/>
    <w:rsid w:val="00135980"/>
    <w:rsid w:val="001362B5"/>
    <w:rsid w:val="001363FB"/>
    <w:rsid w:val="00136BC6"/>
    <w:rsid w:val="001413D2"/>
    <w:rsid w:val="00142FB8"/>
    <w:rsid w:val="00144CA5"/>
    <w:rsid w:val="001464E9"/>
    <w:rsid w:val="0015376B"/>
    <w:rsid w:val="00154357"/>
    <w:rsid w:val="00157E86"/>
    <w:rsid w:val="0016394D"/>
    <w:rsid w:val="00164130"/>
    <w:rsid w:val="00164719"/>
    <w:rsid w:val="0016491C"/>
    <w:rsid w:val="0016612D"/>
    <w:rsid w:val="00166A5E"/>
    <w:rsid w:val="00166FC4"/>
    <w:rsid w:val="001677AC"/>
    <w:rsid w:val="001726EC"/>
    <w:rsid w:val="00177DA2"/>
    <w:rsid w:val="001908E2"/>
    <w:rsid w:val="00190A61"/>
    <w:rsid w:val="001913CB"/>
    <w:rsid w:val="0019266B"/>
    <w:rsid w:val="00192AA0"/>
    <w:rsid w:val="00196357"/>
    <w:rsid w:val="001A113A"/>
    <w:rsid w:val="001A13FA"/>
    <w:rsid w:val="001A3342"/>
    <w:rsid w:val="001A3E3D"/>
    <w:rsid w:val="001A4DEB"/>
    <w:rsid w:val="001A5138"/>
    <w:rsid w:val="001A7854"/>
    <w:rsid w:val="001B1E40"/>
    <w:rsid w:val="001B7209"/>
    <w:rsid w:val="001C647F"/>
    <w:rsid w:val="001C6DEA"/>
    <w:rsid w:val="001C764E"/>
    <w:rsid w:val="001C7B9B"/>
    <w:rsid w:val="001D1BCD"/>
    <w:rsid w:val="001D4ADA"/>
    <w:rsid w:val="001D669C"/>
    <w:rsid w:val="001D68CA"/>
    <w:rsid w:val="001E1052"/>
    <w:rsid w:val="001E1675"/>
    <w:rsid w:val="001E212B"/>
    <w:rsid w:val="001E21B1"/>
    <w:rsid w:val="001E2CEB"/>
    <w:rsid w:val="001E2F93"/>
    <w:rsid w:val="001E61E5"/>
    <w:rsid w:val="001F1B2B"/>
    <w:rsid w:val="001F2159"/>
    <w:rsid w:val="00201610"/>
    <w:rsid w:val="00203CA8"/>
    <w:rsid w:val="00205FFE"/>
    <w:rsid w:val="0020601D"/>
    <w:rsid w:val="002062C0"/>
    <w:rsid w:val="0021133E"/>
    <w:rsid w:val="00213C2C"/>
    <w:rsid w:val="00220C45"/>
    <w:rsid w:val="00222C8E"/>
    <w:rsid w:val="00226090"/>
    <w:rsid w:val="00227F4F"/>
    <w:rsid w:val="002310E7"/>
    <w:rsid w:val="0023295D"/>
    <w:rsid w:val="002338A1"/>
    <w:rsid w:val="002365BB"/>
    <w:rsid w:val="00236B1C"/>
    <w:rsid w:val="00237199"/>
    <w:rsid w:val="002376F3"/>
    <w:rsid w:val="0024191C"/>
    <w:rsid w:val="00241BC5"/>
    <w:rsid w:val="0024300E"/>
    <w:rsid w:val="00244FEF"/>
    <w:rsid w:val="00247F63"/>
    <w:rsid w:val="00251DFF"/>
    <w:rsid w:val="0025289F"/>
    <w:rsid w:val="00253222"/>
    <w:rsid w:val="002559EF"/>
    <w:rsid w:val="00262E06"/>
    <w:rsid w:val="00265F02"/>
    <w:rsid w:val="002709B2"/>
    <w:rsid w:val="00270DBE"/>
    <w:rsid w:val="002722DC"/>
    <w:rsid w:val="0027289B"/>
    <w:rsid w:val="00274606"/>
    <w:rsid w:val="0027567B"/>
    <w:rsid w:val="00277B64"/>
    <w:rsid w:val="00280371"/>
    <w:rsid w:val="00280CFE"/>
    <w:rsid w:val="00283077"/>
    <w:rsid w:val="00284C69"/>
    <w:rsid w:val="00287859"/>
    <w:rsid w:val="00287E5A"/>
    <w:rsid w:val="0029010D"/>
    <w:rsid w:val="00291880"/>
    <w:rsid w:val="002A18C1"/>
    <w:rsid w:val="002A2001"/>
    <w:rsid w:val="002A27DE"/>
    <w:rsid w:val="002A3541"/>
    <w:rsid w:val="002A3FCA"/>
    <w:rsid w:val="002A58C6"/>
    <w:rsid w:val="002A5C99"/>
    <w:rsid w:val="002A6F3A"/>
    <w:rsid w:val="002B222D"/>
    <w:rsid w:val="002B5292"/>
    <w:rsid w:val="002B72E9"/>
    <w:rsid w:val="002B734E"/>
    <w:rsid w:val="002C3A12"/>
    <w:rsid w:val="002D6A27"/>
    <w:rsid w:val="002E1D44"/>
    <w:rsid w:val="002E36BE"/>
    <w:rsid w:val="002E3935"/>
    <w:rsid w:val="002E46E3"/>
    <w:rsid w:val="002E5B06"/>
    <w:rsid w:val="002F6E3D"/>
    <w:rsid w:val="002F74D5"/>
    <w:rsid w:val="0030065C"/>
    <w:rsid w:val="00302AA1"/>
    <w:rsid w:val="00302ABE"/>
    <w:rsid w:val="00303EB0"/>
    <w:rsid w:val="00304C03"/>
    <w:rsid w:val="00310482"/>
    <w:rsid w:val="00311465"/>
    <w:rsid w:val="00313596"/>
    <w:rsid w:val="00313837"/>
    <w:rsid w:val="00323739"/>
    <w:rsid w:val="00326195"/>
    <w:rsid w:val="003306E1"/>
    <w:rsid w:val="003320E4"/>
    <w:rsid w:val="0033525D"/>
    <w:rsid w:val="003378DC"/>
    <w:rsid w:val="00340640"/>
    <w:rsid w:val="003414F3"/>
    <w:rsid w:val="00341CCE"/>
    <w:rsid w:val="00342313"/>
    <w:rsid w:val="0034267B"/>
    <w:rsid w:val="00344A55"/>
    <w:rsid w:val="00344B52"/>
    <w:rsid w:val="00345A42"/>
    <w:rsid w:val="00352531"/>
    <w:rsid w:val="0035553A"/>
    <w:rsid w:val="0035613E"/>
    <w:rsid w:val="00363EE9"/>
    <w:rsid w:val="00371526"/>
    <w:rsid w:val="00372F19"/>
    <w:rsid w:val="00376128"/>
    <w:rsid w:val="0037742E"/>
    <w:rsid w:val="0038219A"/>
    <w:rsid w:val="0038245A"/>
    <w:rsid w:val="003837A1"/>
    <w:rsid w:val="00385788"/>
    <w:rsid w:val="0039337A"/>
    <w:rsid w:val="00396605"/>
    <w:rsid w:val="003A3189"/>
    <w:rsid w:val="003B0D59"/>
    <w:rsid w:val="003B3973"/>
    <w:rsid w:val="003B3AB8"/>
    <w:rsid w:val="003B569D"/>
    <w:rsid w:val="003B5D8B"/>
    <w:rsid w:val="003C3C0E"/>
    <w:rsid w:val="003C76A5"/>
    <w:rsid w:val="003D0C07"/>
    <w:rsid w:val="003D21C3"/>
    <w:rsid w:val="003D4FAC"/>
    <w:rsid w:val="003D6F6F"/>
    <w:rsid w:val="003E4534"/>
    <w:rsid w:val="003E7906"/>
    <w:rsid w:val="003F2F04"/>
    <w:rsid w:val="003F3C50"/>
    <w:rsid w:val="003F3CC9"/>
    <w:rsid w:val="003F3F1B"/>
    <w:rsid w:val="003F5CAE"/>
    <w:rsid w:val="003F5ED4"/>
    <w:rsid w:val="003F6543"/>
    <w:rsid w:val="0040042A"/>
    <w:rsid w:val="00406A6A"/>
    <w:rsid w:val="00406B22"/>
    <w:rsid w:val="0041016B"/>
    <w:rsid w:val="004103C2"/>
    <w:rsid w:val="00410E81"/>
    <w:rsid w:val="004122F7"/>
    <w:rsid w:val="00413B85"/>
    <w:rsid w:val="0042285F"/>
    <w:rsid w:val="004320B0"/>
    <w:rsid w:val="00432279"/>
    <w:rsid w:val="004328A7"/>
    <w:rsid w:val="00434C74"/>
    <w:rsid w:val="00442CBE"/>
    <w:rsid w:val="004479E9"/>
    <w:rsid w:val="004509DF"/>
    <w:rsid w:val="00450AA6"/>
    <w:rsid w:val="00451B36"/>
    <w:rsid w:val="004553F8"/>
    <w:rsid w:val="0045623A"/>
    <w:rsid w:val="00456915"/>
    <w:rsid w:val="00456EB4"/>
    <w:rsid w:val="00457876"/>
    <w:rsid w:val="004657EB"/>
    <w:rsid w:val="004666B8"/>
    <w:rsid w:val="004669D1"/>
    <w:rsid w:val="00466A6F"/>
    <w:rsid w:val="00470584"/>
    <w:rsid w:val="004718F3"/>
    <w:rsid w:val="004736D1"/>
    <w:rsid w:val="00473BD4"/>
    <w:rsid w:val="004749E1"/>
    <w:rsid w:val="00474D18"/>
    <w:rsid w:val="00475040"/>
    <w:rsid w:val="004777CC"/>
    <w:rsid w:val="00477BE6"/>
    <w:rsid w:val="0048686F"/>
    <w:rsid w:val="00491DA8"/>
    <w:rsid w:val="00493D40"/>
    <w:rsid w:val="00497217"/>
    <w:rsid w:val="004A0A07"/>
    <w:rsid w:val="004A465C"/>
    <w:rsid w:val="004A504B"/>
    <w:rsid w:val="004A612B"/>
    <w:rsid w:val="004A6911"/>
    <w:rsid w:val="004A7A0E"/>
    <w:rsid w:val="004B54E0"/>
    <w:rsid w:val="004B7384"/>
    <w:rsid w:val="004C04C5"/>
    <w:rsid w:val="004C2E0B"/>
    <w:rsid w:val="004C30E7"/>
    <w:rsid w:val="004C4269"/>
    <w:rsid w:val="004C4B3F"/>
    <w:rsid w:val="004C548F"/>
    <w:rsid w:val="004D0FB5"/>
    <w:rsid w:val="004D13AF"/>
    <w:rsid w:val="004D4D70"/>
    <w:rsid w:val="004D6236"/>
    <w:rsid w:val="004D7C74"/>
    <w:rsid w:val="004E2F62"/>
    <w:rsid w:val="004E3F0C"/>
    <w:rsid w:val="004E4C07"/>
    <w:rsid w:val="004E4DBB"/>
    <w:rsid w:val="004E602B"/>
    <w:rsid w:val="004E6B6C"/>
    <w:rsid w:val="004E7F9C"/>
    <w:rsid w:val="004F1E41"/>
    <w:rsid w:val="004F3493"/>
    <w:rsid w:val="00503BE3"/>
    <w:rsid w:val="00504518"/>
    <w:rsid w:val="00504AE0"/>
    <w:rsid w:val="00504E58"/>
    <w:rsid w:val="005079CB"/>
    <w:rsid w:val="00512B09"/>
    <w:rsid w:val="00512C3E"/>
    <w:rsid w:val="00513B0E"/>
    <w:rsid w:val="00513F46"/>
    <w:rsid w:val="00513FD5"/>
    <w:rsid w:val="0051710D"/>
    <w:rsid w:val="00521A49"/>
    <w:rsid w:val="00522C75"/>
    <w:rsid w:val="005236C0"/>
    <w:rsid w:val="005251A0"/>
    <w:rsid w:val="005251C0"/>
    <w:rsid w:val="00527D4D"/>
    <w:rsid w:val="00532A19"/>
    <w:rsid w:val="005361DF"/>
    <w:rsid w:val="00540CBD"/>
    <w:rsid w:val="00543B0C"/>
    <w:rsid w:val="005467FC"/>
    <w:rsid w:val="005544DF"/>
    <w:rsid w:val="00554EB6"/>
    <w:rsid w:val="005550B9"/>
    <w:rsid w:val="00555D75"/>
    <w:rsid w:val="00560DF0"/>
    <w:rsid w:val="0056189F"/>
    <w:rsid w:val="00562249"/>
    <w:rsid w:val="00562542"/>
    <w:rsid w:val="00565513"/>
    <w:rsid w:val="00574427"/>
    <w:rsid w:val="00574C02"/>
    <w:rsid w:val="00577D7F"/>
    <w:rsid w:val="00577F1E"/>
    <w:rsid w:val="005814EB"/>
    <w:rsid w:val="005830D3"/>
    <w:rsid w:val="005865B5"/>
    <w:rsid w:val="00586BCE"/>
    <w:rsid w:val="005913AE"/>
    <w:rsid w:val="00591AF8"/>
    <w:rsid w:val="005947FE"/>
    <w:rsid w:val="00597523"/>
    <w:rsid w:val="005A5D20"/>
    <w:rsid w:val="005A618E"/>
    <w:rsid w:val="005A6635"/>
    <w:rsid w:val="005A68C5"/>
    <w:rsid w:val="005B17B5"/>
    <w:rsid w:val="005B29B7"/>
    <w:rsid w:val="005B48FF"/>
    <w:rsid w:val="005B4DD4"/>
    <w:rsid w:val="005B5601"/>
    <w:rsid w:val="005B594D"/>
    <w:rsid w:val="005B63C9"/>
    <w:rsid w:val="005C5589"/>
    <w:rsid w:val="005C7764"/>
    <w:rsid w:val="005C7A40"/>
    <w:rsid w:val="005D1A3F"/>
    <w:rsid w:val="005D1E4E"/>
    <w:rsid w:val="005D28E2"/>
    <w:rsid w:val="005F0CC0"/>
    <w:rsid w:val="005F74CE"/>
    <w:rsid w:val="005F7A1B"/>
    <w:rsid w:val="00600A67"/>
    <w:rsid w:val="00600DFD"/>
    <w:rsid w:val="006012A7"/>
    <w:rsid w:val="00601BFD"/>
    <w:rsid w:val="00605AA4"/>
    <w:rsid w:val="006141C1"/>
    <w:rsid w:val="0061522F"/>
    <w:rsid w:val="00615791"/>
    <w:rsid w:val="006158D5"/>
    <w:rsid w:val="0061650C"/>
    <w:rsid w:val="006177A4"/>
    <w:rsid w:val="0062038A"/>
    <w:rsid w:val="00621914"/>
    <w:rsid w:val="00625053"/>
    <w:rsid w:val="006256F1"/>
    <w:rsid w:val="00625D83"/>
    <w:rsid w:val="00626125"/>
    <w:rsid w:val="006422FC"/>
    <w:rsid w:val="00643292"/>
    <w:rsid w:val="00643857"/>
    <w:rsid w:val="00645D3D"/>
    <w:rsid w:val="006465B1"/>
    <w:rsid w:val="006469C6"/>
    <w:rsid w:val="0064700A"/>
    <w:rsid w:val="006623E7"/>
    <w:rsid w:val="0066267E"/>
    <w:rsid w:val="00662B80"/>
    <w:rsid w:val="00664E63"/>
    <w:rsid w:val="00672946"/>
    <w:rsid w:val="006733E2"/>
    <w:rsid w:val="00674CC8"/>
    <w:rsid w:val="00682720"/>
    <w:rsid w:val="006833F6"/>
    <w:rsid w:val="006852C7"/>
    <w:rsid w:val="00687328"/>
    <w:rsid w:val="0069469D"/>
    <w:rsid w:val="00695A4B"/>
    <w:rsid w:val="00696699"/>
    <w:rsid w:val="006A0347"/>
    <w:rsid w:val="006A57E1"/>
    <w:rsid w:val="006A7948"/>
    <w:rsid w:val="006B38D2"/>
    <w:rsid w:val="006C10B1"/>
    <w:rsid w:val="006C1727"/>
    <w:rsid w:val="006C32A4"/>
    <w:rsid w:val="006C32FD"/>
    <w:rsid w:val="006C37A8"/>
    <w:rsid w:val="006C48B7"/>
    <w:rsid w:val="006C54BC"/>
    <w:rsid w:val="006C5A64"/>
    <w:rsid w:val="006C73F1"/>
    <w:rsid w:val="006D0FCC"/>
    <w:rsid w:val="006E0D57"/>
    <w:rsid w:val="006E2FED"/>
    <w:rsid w:val="006E53AB"/>
    <w:rsid w:val="006F39D2"/>
    <w:rsid w:val="006F6061"/>
    <w:rsid w:val="006F6B40"/>
    <w:rsid w:val="006F7E21"/>
    <w:rsid w:val="00702B34"/>
    <w:rsid w:val="00704545"/>
    <w:rsid w:val="00704796"/>
    <w:rsid w:val="007048E2"/>
    <w:rsid w:val="0070616B"/>
    <w:rsid w:val="00706FDA"/>
    <w:rsid w:val="00711F9A"/>
    <w:rsid w:val="00713810"/>
    <w:rsid w:val="00715298"/>
    <w:rsid w:val="00716A17"/>
    <w:rsid w:val="0071746D"/>
    <w:rsid w:val="00720EE7"/>
    <w:rsid w:val="00721299"/>
    <w:rsid w:val="00723E5B"/>
    <w:rsid w:val="00725003"/>
    <w:rsid w:val="007250A8"/>
    <w:rsid w:val="00727F42"/>
    <w:rsid w:val="007303A5"/>
    <w:rsid w:val="00730B3E"/>
    <w:rsid w:val="0073271C"/>
    <w:rsid w:val="00734070"/>
    <w:rsid w:val="0073420B"/>
    <w:rsid w:val="00734899"/>
    <w:rsid w:val="007357BE"/>
    <w:rsid w:val="007359B4"/>
    <w:rsid w:val="00737C8B"/>
    <w:rsid w:val="007416DA"/>
    <w:rsid w:val="00741B70"/>
    <w:rsid w:val="007431A5"/>
    <w:rsid w:val="00743ACD"/>
    <w:rsid w:val="0074402F"/>
    <w:rsid w:val="007440CC"/>
    <w:rsid w:val="0074760E"/>
    <w:rsid w:val="00754ABA"/>
    <w:rsid w:val="00760F9F"/>
    <w:rsid w:val="007628B6"/>
    <w:rsid w:val="007648EA"/>
    <w:rsid w:val="00767726"/>
    <w:rsid w:val="00770B71"/>
    <w:rsid w:val="007715DA"/>
    <w:rsid w:val="00772373"/>
    <w:rsid w:val="00772C82"/>
    <w:rsid w:val="007734A1"/>
    <w:rsid w:val="007747FA"/>
    <w:rsid w:val="00785DEC"/>
    <w:rsid w:val="00786518"/>
    <w:rsid w:val="00787117"/>
    <w:rsid w:val="00790C50"/>
    <w:rsid w:val="00791C13"/>
    <w:rsid w:val="00795131"/>
    <w:rsid w:val="00795354"/>
    <w:rsid w:val="007A1546"/>
    <w:rsid w:val="007A1E6B"/>
    <w:rsid w:val="007A228C"/>
    <w:rsid w:val="007A3301"/>
    <w:rsid w:val="007A368E"/>
    <w:rsid w:val="007A5868"/>
    <w:rsid w:val="007A60F4"/>
    <w:rsid w:val="007A7903"/>
    <w:rsid w:val="007A7C0D"/>
    <w:rsid w:val="007B04CE"/>
    <w:rsid w:val="007B1CF3"/>
    <w:rsid w:val="007B1D39"/>
    <w:rsid w:val="007B3D87"/>
    <w:rsid w:val="007B598C"/>
    <w:rsid w:val="007B6871"/>
    <w:rsid w:val="007B6897"/>
    <w:rsid w:val="007B7086"/>
    <w:rsid w:val="007C0031"/>
    <w:rsid w:val="007C1C13"/>
    <w:rsid w:val="007C3D33"/>
    <w:rsid w:val="007C4332"/>
    <w:rsid w:val="007C7DE2"/>
    <w:rsid w:val="007D294A"/>
    <w:rsid w:val="007D3D13"/>
    <w:rsid w:val="007D47D2"/>
    <w:rsid w:val="007D53DC"/>
    <w:rsid w:val="007D6EC0"/>
    <w:rsid w:val="007D78E3"/>
    <w:rsid w:val="007D7E1D"/>
    <w:rsid w:val="007E0687"/>
    <w:rsid w:val="007E19C5"/>
    <w:rsid w:val="007E3F1C"/>
    <w:rsid w:val="007E4AD1"/>
    <w:rsid w:val="007E4AF2"/>
    <w:rsid w:val="007E6514"/>
    <w:rsid w:val="007E7D5D"/>
    <w:rsid w:val="007E7E14"/>
    <w:rsid w:val="007F0DB8"/>
    <w:rsid w:val="007F2069"/>
    <w:rsid w:val="007F616E"/>
    <w:rsid w:val="00802196"/>
    <w:rsid w:val="00805310"/>
    <w:rsid w:val="00806097"/>
    <w:rsid w:val="008063BA"/>
    <w:rsid w:val="0081133E"/>
    <w:rsid w:val="00813B1D"/>
    <w:rsid w:val="00813E14"/>
    <w:rsid w:val="00815B25"/>
    <w:rsid w:val="00821DFA"/>
    <w:rsid w:val="008260B5"/>
    <w:rsid w:val="0083315A"/>
    <w:rsid w:val="008356D5"/>
    <w:rsid w:val="00840D2E"/>
    <w:rsid w:val="00843664"/>
    <w:rsid w:val="00846DD2"/>
    <w:rsid w:val="00852C4A"/>
    <w:rsid w:val="00863230"/>
    <w:rsid w:val="008717D8"/>
    <w:rsid w:val="0087188D"/>
    <w:rsid w:val="0087215C"/>
    <w:rsid w:val="008728BA"/>
    <w:rsid w:val="00873AED"/>
    <w:rsid w:val="00874F2C"/>
    <w:rsid w:val="00882D3D"/>
    <w:rsid w:val="00884A4D"/>
    <w:rsid w:val="00884B62"/>
    <w:rsid w:val="008875FE"/>
    <w:rsid w:val="00887F8E"/>
    <w:rsid w:val="00890195"/>
    <w:rsid w:val="00890B4F"/>
    <w:rsid w:val="00893193"/>
    <w:rsid w:val="00896234"/>
    <w:rsid w:val="00896AA2"/>
    <w:rsid w:val="00897E43"/>
    <w:rsid w:val="00897F56"/>
    <w:rsid w:val="008A089A"/>
    <w:rsid w:val="008A3367"/>
    <w:rsid w:val="008A3855"/>
    <w:rsid w:val="008B2ED4"/>
    <w:rsid w:val="008C2559"/>
    <w:rsid w:val="008C3782"/>
    <w:rsid w:val="008C4731"/>
    <w:rsid w:val="008C4F2F"/>
    <w:rsid w:val="008C5738"/>
    <w:rsid w:val="008C736A"/>
    <w:rsid w:val="008C7EAD"/>
    <w:rsid w:val="008D23B9"/>
    <w:rsid w:val="008D5C2E"/>
    <w:rsid w:val="008D6152"/>
    <w:rsid w:val="008E24AF"/>
    <w:rsid w:val="008E66BF"/>
    <w:rsid w:val="008E69B8"/>
    <w:rsid w:val="008E7879"/>
    <w:rsid w:val="008F0F81"/>
    <w:rsid w:val="008F443B"/>
    <w:rsid w:val="0090407E"/>
    <w:rsid w:val="009063E3"/>
    <w:rsid w:val="0090767A"/>
    <w:rsid w:val="00912276"/>
    <w:rsid w:val="00912AA5"/>
    <w:rsid w:val="009149A2"/>
    <w:rsid w:val="009153F1"/>
    <w:rsid w:val="00915677"/>
    <w:rsid w:val="00915D01"/>
    <w:rsid w:val="009210CE"/>
    <w:rsid w:val="00923540"/>
    <w:rsid w:val="00923BF6"/>
    <w:rsid w:val="00926767"/>
    <w:rsid w:val="00927DDD"/>
    <w:rsid w:val="00931D86"/>
    <w:rsid w:val="009327BA"/>
    <w:rsid w:val="00934412"/>
    <w:rsid w:val="0093490A"/>
    <w:rsid w:val="00935D0A"/>
    <w:rsid w:val="009361D5"/>
    <w:rsid w:val="00936D00"/>
    <w:rsid w:val="009405D5"/>
    <w:rsid w:val="00943014"/>
    <w:rsid w:val="0094377F"/>
    <w:rsid w:val="00945AEA"/>
    <w:rsid w:val="00952A41"/>
    <w:rsid w:val="009601C1"/>
    <w:rsid w:val="00961649"/>
    <w:rsid w:val="00963668"/>
    <w:rsid w:val="009659F4"/>
    <w:rsid w:val="00967514"/>
    <w:rsid w:val="009679EA"/>
    <w:rsid w:val="00970D60"/>
    <w:rsid w:val="00976682"/>
    <w:rsid w:val="00984F36"/>
    <w:rsid w:val="00985280"/>
    <w:rsid w:val="00985819"/>
    <w:rsid w:val="0098608C"/>
    <w:rsid w:val="00991408"/>
    <w:rsid w:val="00993FE0"/>
    <w:rsid w:val="00995C28"/>
    <w:rsid w:val="00996BE7"/>
    <w:rsid w:val="009A0053"/>
    <w:rsid w:val="009A546B"/>
    <w:rsid w:val="009A7ADC"/>
    <w:rsid w:val="009B1CB9"/>
    <w:rsid w:val="009B38D5"/>
    <w:rsid w:val="009B6B52"/>
    <w:rsid w:val="009C19B7"/>
    <w:rsid w:val="009C1F7D"/>
    <w:rsid w:val="009C401F"/>
    <w:rsid w:val="009D3253"/>
    <w:rsid w:val="009D3CF8"/>
    <w:rsid w:val="009D53F2"/>
    <w:rsid w:val="009D7C51"/>
    <w:rsid w:val="009E0622"/>
    <w:rsid w:val="009E1315"/>
    <w:rsid w:val="009E1A0E"/>
    <w:rsid w:val="009E2EB0"/>
    <w:rsid w:val="009E30F4"/>
    <w:rsid w:val="009E3F46"/>
    <w:rsid w:val="009F2553"/>
    <w:rsid w:val="009F36BF"/>
    <w:rsid w:val="009F3980"/>
    <w:rsid w:val="009F419E"/>
    <w:rsid w:val="009F7704"/>
    <w:rsid w:val="00A0320A"/>
    <w:rsid w:val="00A03C9E"/>
    <w:rsid w:val="00A059D0"/>
    <w:rsid w:val="00A05FE0"/>
    <w:rsid w:val="00A10243"/>
    <w:rsid w:val="00A111B6"/>
    <w:rsid w:val="00A1370D"/>
    <w:rsid w:val="00A2094D"/>
    <w:rsid w:val="00A318B6"/>
    <w:rsid w:val="00A32C4E"/>
    <w:rsid w:val="00A401A0"/>
    <w:rsid w:val="00A41711"/>
    <w:rsid w:val="00A42A99"/>
    <w:rsid w:val="00A4489A"/>
    <w:rsid w:val="00A4494B"/>
    <w:rsid w:val="00A458E6"/>
    <w:rsid w:val="00A47530"/>
    <w:rsid w:val="00A47602"/>
    <w:rsid w:val="00A50D97"/>
    <w:rsid w:val="00A5151A"/>
    <w:rsid w:val="00A55C26"/>
    <w:rsid w:val="00A60528"/>
    <w:rsid w:val="00A619A9"/>
    <w:rsid w:val="00A6632B"/>
    <w:rsid w:val="00A66810"/>
    <w:rsid w:val="00A67FE0"/>
    <w:rsid w:val="00A70F8B"/>
    <w:rsid w:val="00A72D4F"/>
    <w:rsid w:val="00A73A67"/>
    <w:rsid w:val="00A80DF0"/>
    <w:rsid w:val="00A823F6"/>
    <w:rsid w:val="00A84B41"/>
    <w:rsid w:val="00A852F9"/>
    <w:rsid w:val="00A87BA5"/>
    <w:rsid w:val="00A91A3E"/>
    <w:rsid w:val="00A91DF7"/>
    <w:rsid w:val="00A924D8"/>
    <w:rsid w:val="00A92663"/>
    <w:rsid w:val="00A97459"/>
    <w:rsid w:val="00AA0A89"/>
    <w:rsid w:val="00AA4C52"/>
    <w:rsid w:val="00AB4FEC"/>
    <w:rsid w:val="00AB541F"/>
    <w:rsid w:val="00AB6FDB"/>
    <w:rsid w:val="00AB7364"/>
    <w:rsid w:val="00AC01AA"/>
    <w:rsid w:val="00AC1142"/>
    <w:rsid w:val="00AC3935"/>
    <w:rsid w:val="00AC40CA"/>
    <w:rsid w:val="00AC4F72"/>
    <w:rsid w:val="00AD50AA"/>
    <w:rsid w:val="00AD56BF"/>
    <w:rsid w:val="00AD7296"/>
    <w:rsid w:val="00AD74D4"/>
    <w:rsid w:val="00AE0B5F"/>
    <w:rsid w:val="00AE2F5A"/>
    <w:rsid w:val="00AE5144"/>
    <w:rsid w:val="00AE58E6"/>
    <w:rsid w:val="00AE655C"/>
    <w:rsid w:val="00AF19C4"/>
    <w:rsid w:val="00AF2EF7"/>
    <w:rsid w:val="00AF3778"/>
    <w:rsid w:val="00AF5905"/>
    <w:rsid w:val="00AF741A"/>
    <w:rsid w:val="00B02351"/>
    <w:rsid w:val="00B03603"/>
    <w:rsid w:val="00B04161"/>
    <w:rsid w:val="00B056F9"/>
    <w:rsid w:val="00B07707"/>
    <w:rsid w:val="00B078B5"/>
    <w:rsid w:val="00B07F1A"/>
    <w:rsid w:val="00B102E3"/>
    <w:rsid w:val="00B10BA2"/>
    <w:rsid w:val="00B11E3D"/>
    <w:rsid w:val="00B13355"/>
    <w:rsid w:val="00B13D67"/>
    <w:rsid w:val="00B14137"/>
    <w:rsid w:val="00B1647A"/>
    <w:rsid w:val="00B17DFE"/>
    <w:rsid w:val="00B17E82"/>
    <w:rsid w:val="00B20997"/>
    <w:rsid w:val="00B22D31"/>
    <w:rsid w:val="00B25221"/>
    <w:rsid w:val="00B260E8"/>
    <w:rsid w:val="00B3195E"/>
    <w:rsid w:val="00B321D6"/>
    <w:rsid w:val="00B32F68"/>
    <w:rsid w:val="00B33540"/>
    <w:rsid w:val="00B37D09"/>
    <w:rsid w:val="00B40021"/>
    <w:rsid w:val="00B403C5"/>
    <w:rsid w:val="00B44406"/>
    <w:rsid w:val="00B454C4"/>
    <w:rsid w:val="00B479D1"/>
    <w:rsid w:val="00B55263"/>
    <w:rsid w:val="00B55E20"/>
    <w:rsid w:val="00B575BA"/>
    <w:rsid w:val="00B60320"/>
    <w:rsid w:val="00B61D91"/>
    <w:rsid w:val="00B61DA0"/>
    <w:rsid w:val="00B62BD7"/>
    <w:rsid w:val="00B6496A"/>
    <w:rsid w:val="00B64E36"/>
    <w:rsid w:val="00B6765A"/>
    <w:rsid w:val="00B67711"/>
    <w:rsid w:val="00B72B81"/>
    <w:rsid w:val="00B72E6F"/>
    <w:rsid w:val="00B758AB"/>
    <w:rsid w:val="00B76429"/>
    <w:rsid w:val="00B80494"/>
    <w:rsid w:val="00B822C8"/>
    <w:rsid w:val="00B84E8E"/>
    <w:rsid w:val="00B86702"/>
    <w:rsid w:val="00B87A75"/>
    <w:rsid w:val="00B87F83"/>
    <w:rsid w:val="00B87FD8"/>
    <w:rsid w:val="00B90D7A"/>
    <w:rsid w:val="00B956D4"/>
    <w:rsid w:val="00BA0D38"/>
    <w:rsid w:val="00BA2BDC"/>
    <w:rsid w:val="00BA305C"/>
    <w:rsid w:val="00BA7432"/>
    <w:rsid w:val="00BA7BEF"/>
    <w:rsid w:val="00BB03E6"/>
    <w:rsid w:val="00BB246B"/>
    <w:rsid w:val="00BB7C1F"/>
    <w:rsid w:val="00BC1AA0"/>
    <w:rsid w:val="00BC305C"/>
    <w:rsid w:val="00BC3835"/>
    <w:rsid w:val="00BC6D5D"/>
    <w:rsid w:val="00BC7EB1"/>
    <w:rsid w:val="00BC7EB9"/>
    <w:rsid w:val="00BD19BE"/>
    <w:rsid w:val="00BD2643"/>
    <w:rsid w:val="00BD42C2"/>
    <w:rsid w:val="00BD43CD"/>
    <w:rsid w:val="00BD6464"/>
    <w:rsid w:val="00BD6558"/>
    <w:rsid w:val="00BD7287"/>
    <w:rsid w:val="00BD7B60"/>
    <w:rsid w:val="00BE02FD"/>
    <w:rsid w:val="00BE08BF"/>
    <w:rsid w:val="00BE2209"/>
    <w:rsid w:val="00BE3C0E"/>
    <w:rsid w:val="00BF1996"/>
    <w:rsid w:val="00BF1F7C"/>
    <w:rsid w:val="00BF3214"/>
    <w:rsid w:val="00BF71DE"/>
    <w:rsid w:val="00BF7E5F"/>
    <w:rsid w:val="00C00DB1"/>
    <w:rsid w:val="00C01C48"/>
    <w:rsid w:val="00C04648"/>
    <w:rsid w:val="00C06FED"/>
    <w:rsid w:val="00C15867"/>
    <w:rsid w:val="00C17298"/>
    <w:rsid w:val="00C17F95"/>
    <w:rsid w:val="00C2296D"/>
    <w:rsid w:val="00C23155"/>
    <w:rsid w:val="00C2435F"/>
    <w:rsid w:val="00C247EE"/>
    <w:rsid w:val="00C33206"/>
    <w:rsid w:val="00C334CC"/>
    <w:rsid w:val="00C34AF9"/>
    <w:rsid w:val="00C40C41"/>
    <w:rsid w:val="00C42D94"/>
    <w:rsid w:val="00C43175"/>
    <w:rsid w:val="00C43530"/>
    <w:rsid w:val="00C447EC"/>
    <w:rsid w:val="00C45885"/>
    <w:rsid w:val="00C45927"/>
    <w:rsid w:val="00C4641F"/>
    <w:rsid w:val="00C4762E"/>
    <w:rsid w:val="00C50F22"/>
    <w:rsid w:val="00C56235"/>
    <w:rsid w:val="00C57971"/>
    <w:rsid w:val="00C661C4"/>
    <w:rsid w:val="00C67A87"/>
    <w:rsid w:val="00C71BC0"/>
    <w:rsid w:val="00C71DE8"/>
    <w:rsid w:val="00C730F9"/>
    <w:rsid w:val="00C73C42"/>
    <w:rsid w:val="00C73EFF"/>
    <w:rsid w:val="00C76BA4"/>
    <w:rsid w:val="00C804BE"/>
    <w:rsid w:val="00C83A48"/>
    <w:rsid w:val="00C848EA"/>
    <w:rsid w:val="00C855C0"/>
    <w:rsid w:val="00C85865"/>
    <w:rsid w:val="00C85E85"/>
    <w:rsid w:val="00C92C8C"/>
    <w:rsid w:val="00CA2EAE"/>
    <w:rsid w:val="00CA34D4"/>
    <w:rsid w:val="00CA3A9B"/>
    <w:rsid w:val="00CA4AC1"/>
    <w:rsid w:val="00CA6F72"/>
    <w:rsid w:val="00CB0316"/>
    <w:rsid w:val="00CB0317"/>
    <w:rsid w:val="00CB0B11"/>
    <w:rsid w:val="00CB49CC"/>
    <w:rsid w:val="00CB5354"/>
    <w:rsid w:val="00CC14A1"/>
    <w:rsid w:val="00CC4AE5"/>
    <w:rsid w:val="00CC6A14"/>
    <w:rsid w:val="00CC6E10"/>
    <w:rsid w:val="00CC6EBC"/>
    <w:rsid w:val="00CC70A3"/>
    <w:rsid w:val="00CC7F83"/>
    <w:rsid w:val="00CD53C3"/>
    <w:rsid w:val="00CD55DA"/>
    <w:rsid w:val="00CD574E"/>
    <w:rsid w:val="00CE4C22"/>
    <w:rsid w:val="00CE63CC"/>
    <w:rsid w:val="00CE756E"/>
    <w:rsid w:val="00CF2563"/>
    <w:rsid w:val="00CF41EC"/>
    <w:rsid w:val="00CF5BE3"/>
    <w:rsid w:val="00CF5D04"/>
    <w:rsid w:val="00CF613E"/>
    <w:rsid w:val="00D00A8E"/>
    <w:rsid w:val="00D02DAD"/>
    <w:rsid w:val="00D039B1"/>
    <w:rsid w:val="00D04DE4"/>
    <w:rsid w:val="00D04ECA"/>
    <w:rsid w:val="00D063F1"/>
    <w:rsid w:val="00D14F22"/>
    <w:rsid w:val="00D21677"/>
    <w:rsid w:val="00D24723"/>
    <w:rsid w:val="00D249C4"/>
    <w:rsid w:val="00D31777"/>
    <w:rsid w:val="00D42237"/>
    <w:rsid w:val="00D44F90"/>
    <w:rsid w:val="00D4718A"/>
    <w:rsid w:val="00D50A23"/>
    <w:rsid w:val="00D50D20"/>
    <w:rsid w:val="00D50D31"/>
    <w:rsid w:val="00D57918"/>
    <w:rsid w:val="00D620FF"/>
    <w:rsid w:val="00D644A6"/>
    <w:rsid w:val="00D71CCE"/>
    <w:rsid w:val="00D731B5"/>
    <w:rsid w:val="00D73DC6"/>
    <w:rsid w:val="00D74232"/>
    <w:rsid w:val="00D7430E"/>
    <w:rsid w:val="00D74C1A"/>
    <w:rsid w:val="00D75205"/>
    <w:rsid w:val="00D754C1"/>
    <w:rsid w:val="00D77A35"/>
    <w:rsid w:val="00D800D5"/>
    <w:rsid w:val="00D81494"/>
    <w:rsid w:val="00D81B3E"/>
    <w:rsid w:val="00D846B0"/>
    <w:rsid w:val="00D90C70"/>
    <w:rsid w:val="00D90E49"/>
    <w:rsid w:val="00D92673"/>
    <w:rsid w:val="00DA11A5"/>
    <w:rsid w:val="00DA166F"/>
    <w:rsid w:val="00DA53FF"/>
    <w:rsid w:val="00DA7718"/>
    <w:rsid w:val="00DB3BF1"/>
    <w:rsid w:val="00DB5EBB"/>
    <w:rsid w:val="00DB6539"/>
    <w:rsid w:val="00DB7F4F"/>
    <w:rsid w:val="00DC2A72"/>
    <w:rsid w:val="00DC5C71"/>
    <w:rsid w:val="00DC692A"/>
    <w:rsid w:val="00DC6A10"/>
    <w:rsid w:val="00DC6D65"/>
    <w:rsid w:val="00DD502B"/>
    <w:rsid w:val="00DD7145"/>
    <w:rsid w:val="00DD7EA9"/>
    <w:rsid w:val="00DE13F5"/>
    <w:rsid w:val="00DE19ED"/>
    <w:rsid w:val="00DE1D5E"/>
    <w:rsid w:val="00DE258C"/>
    <w:rsid w:val="00DE2CC3"/>
    <w:rsid w:val="00DE2EB8"/>
    <w:rsid w:val="00DE3835"/>
    <w:rsid w:val="00DE3F39"/>
    <w:rsid w:val="00DE4AE0"/>
    <w:rsid w:val="00DE657E"/>
    <w:rsid w:val="00DE7307"/>
    <w:rsid w:val="00DF1ABA"/>
    <w:rsid w:val="00DF1D98"/>
    <w:rsid w:val="00DF4704"/>
    <w:rsid w:val="00DF6528"/>
    <w:rsid w:val="00E013D5"/>
    <w:rsid w:val="00E024AA"/>
    <w:rsid w:val="00E06673"/>
    <w:rsid w:val="00E10975"/>
    <w:rsid w:val="00E125FB"/>
    <w:rsid w:val="00E13B50"/>
    <w:rsid w:val="00E14D1D"/>
    <w:rsid w:val="00E15BA8"/>
    <w:rsid w:val="00E1693E"/>
    <w:rsid w:val="00E16D12"/>
    <w:rsid w:val="00E20584"/>
    <w:rsid w:val="00E217AA"/>
    <w:rsid w:val="00E2378F"/>
    <w:rsid w:val="00E250F1"/>
    <w:rsid w:val="00E25408"/>
    <w:rsid w:val="00E26B1A"/>
    <w:rsid w:val="00E26EE6"/>
    <w:rsid w:val="00E32E6B"/>
    <w:rsid w:val="00E32ED8"/>
    <w:rsid w:val="00E33106"/>
    <w:rsid w:val="00E3550D"/>
    <w:rsid w:val="00E37900"/>
    <w:rsid w:val="00E446C6"/>
    <w:rsid w:val="00E50035"/>
    <w:rsid w:val="00E53175"/>
    <w:rsid w:val="00E57893"/>
    <w:rsid w:val="00E614E0"/>
    <w:rsid w:val="00E72DD6"/>
    <w:rsid w:val="00E73F7F"/>
    <w:rsid w:val="00E746D5"/>
    <w:rsid w:val="00E77F24"/>
    <w:rsid w:val="00E812BB"/>
    <w:rsid w:val="00E965E3"/>
    <w:rsid w:val="00E974BC"/>
    <w:rsid w:val="00E97FC0"/>
    <w:rsid w:val="00EA2887"/>
    <w:rsid w:val="00EA429F"/>
    <w:rsid w:val="00EA4F9E"/>
    <w:rsid w:val="00EA5557"/>
    <w:rsid w:val="00EA5D91"/>
    <w:rsid w:val="00EA6D3B"/>
    <w:rsid w:val="00EB00AD"/>
    <w:rsid w:val="00EB03E7"/>
    <w:rsid w:val="00EB136C"/>
    <w:rsid w:val="00EB2FDC"/>
    <w:rsid w:val="00EB3D59"/>
    <w:rsid w:val="00EB480E"/>
    <w:rsid w:val="00EB5EC6"/>
    <w:rsid w:val="00EB7FC9"/>
    <w:rsid w:val="00EC1F4E"/>
    <w:rsid w:val="00ED408D"/>
    <w:rsid w:val="00ED45F1"/>
    <w:rsid w:val="00ED7137"/>
    <w:rsid w:val="00ED7A2B"/>
    <w:rsid w:val="00EE191C"/>
    <w:rsid w:val="00EE2119"/>
    <w:rsid w:val="00EE7380"/>
    <w:rsid w:val="00EF3175"/>
    <w:rsid w:val="00EF4355"/>
    <w:rsid w:val="00EF5684"/>
    <w:rsid w:val="00EF65CE"/>
    <w:rsid w:val="00EF705B"/>
    <w:rsid w:val="00F01CE5"/>
    <w:rsid w:val="00F036EB"/>
    <w:rsid w:val="00F036FF"/>
    <w:rsid w:val="00F03BD5"/>
    <w:rsid w:val="00F0459E"/>
    <w:rsid w:val="00F04EEC"/>
    <w:rsid w:val="00F064EF"/>
    <w:rsid w:val="00F07236"/>
    <w:rsid w:val="00F1248E"/>
    <w:rsid w:val="00F12CA2"/>
    <w:rsid w:val="00F14041"/>
    <w:rsid w:val="00F1589D"/>
    <w:rsid w:val="00F16590"/>
    <w:rsid w:val="00F21088"/>
    <w:rsid w:val="00F2351E"/>
    <w:rsid w:val="00F327E7"/>
    <w:rsid w:val="00F32A5F"/>
    <w:rsid w:val="00F34966"/>
    <w:rsid w:val="00F35284"/>
    <w:rsid w:val="00F35746"/>
    <w:rsid w:val="00F36371"/>
    <w:rsid w:val="00F36C78"/>
    <w:rsid w:val="00F401AE"/>
    <w:rsid w:val="00F41701"/>
    <w:rsid w:val="00F435B3"/>
    <w:rsid w:val="00F447C7"/>
    <w:rsid w:val="00F554A9"/>
    <w:rsid w:val="00F60CC4"/>
    <w:rsid w:val="00F63EFB"/>
    <w:rsid w:val="00F70C2D"/>
    <w:rsid w:val="00F70DCB"/>
    <w:rsid w:val="00F716FD"/>
    <w:rsid w:val="00F721B6"/>
    <w:rsid w:val="00F72392"/>
    <w:rsid w:val="00F75C5F"/>
    <w:rsid w:val="00F80355"/>
    <w:rsid w:val="00F8043B"/>
    <w:rsid w:val="00F80496"/>
    <w:rsid w:val="00F81E24"/>
    <w:rsid w:val="00F82769"/>
    <w:rsid w:val="00F91A78"/>
    <w:rsid w:val="00F924A5"/>
    <w:rsid w:val="00F9314E"/>
    <w:rsid w:val="00F9363C"/>
    <w:rsid w:val="00FA1805"/>
    <w:rsid w:val="00FA2652"/>
    <w:rsid w:val="00FA29EE"/>
    <w:rsid w:val="00FA31C1"/>
    <w:rsid w:val="00FA54D3"/>
    <w:rsid w:val="00FA6349"/>
    <w:rsid w:val="00FB0C81"/>
    <w:rsid w:val="00FC18A5"/>
    <w:rsid w:val="00FC2200"/>
    <w:rsid w:val="00FC2540"/>
    <w:rsid w:val="00FC38B1"/>
    <w:rsid w:val="00FD1BF9"/>
    <w:rsid w:val="00FD3B2A"/>
    <w:rsid w:val="00FD3DCC"/>
    <w:rsid w:val="00FD4012"/>
    <w:rsid w:val="00FD55FE"/>
    <w:rsid w:val="00FD7188"/>
    <w:rsid w:val="00FD7F76"/>
    <w:rsid w:val="00FE09A1"/>
    <w:rsid w:val="00FE3364"/>
    <w:rsid w:val="00FE5720"/>
    <w:rsid w:val="00FF0204"/>
    <w:rsid w:val="00FF0B73"/>
    <w:rsid w:val="00FF1B8E"/>
    <w:rsid w:val="00FF3AED"/>
    <w:rsid w:val="00FF52CB"/>
    <w:rsid w:val="00FF5867"/>
    <w:rsid w:val="00FF5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AF9B2"/>
  <w15:chartTrackingRefBased/>
  <w15:docId w15:val="{537922B5-2A42-4B84-9783-EC9E9F74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s-E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qForma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val="es-ES"/>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val="es-ES"/>
    </w:rPr>
  </w:style>
  <w:style w:type="character" w:customStyle="1" w:styleId="Heading5Char">
    <w:name w:val="Heading 5 Char"/>
    <w:link w:val="Heading5"/>
    <w:rsid w:val="00821DFA"/>
    <w:rPr>
      <w:sz w:val="22"/>
      <w:szCs w:val="22"/>
      <w:lang w:val="es-ES"/>
    </w:rPr>
  </w:style>
  <w:style w:type="character" w:customStyle="1" w:styleId="Heading6Char">
    <w:name w:val="Heading 6 Char"/>
    <w:link w:val="Heading6"/>
    <w:rsid w:val="00720EE7"/>
    <w:rPr>
      <w:rFonts w:ascii="Arial" w:hAnsi="Arial"/>
      <w:i/>
      <w:sz w:val="22"/>
      <w:szCs w:val="22"/>
      <w:lang w:val="es-ES"/>
    </w:rPr>
  </w:style>
  <w:style w:type="character" w:customStyle="1" w:styleId="Heading7Char">
    <w:name w:val="Heading 7 Char"/>
    <w:link w:val="Heading7"/>
    <w:rsid w:val="00720EE7"/>
    <w:rPr>
      <w:rFonts w:ascii="Arial" w:hAnsi="Arial"/>
      <w:sz w:val="22"/>
      <w:szCs w:val="22"/>
      <w:lang w:val="es-ES"/>
    </w:rPr>
  </w:style>
  <w:style w:type="character" w:customStyle="1" w:styleId="Heading8Char">
    <w:name w:val="Heading 8 Char"/>
    <w:link w:val="Heading8"/>
    <w:rsid w:val="00720EE7"/>
    <w:rPr>
      <w:b/>
      <w:sz w:val="22"/>
      <w:szCs w:val="22"/>
      <w:lang w:val="es-ES"/>
    </w:rPr>
  </w:style>
  <w:style w:type="character" w:customStyle="1" w:styleId="Heading9Char">
    <w:name w:val="Heading 9 Char"/>
    <w:link w:val="Heading9"/>
    <w:rsid w:val="00720EE7"/>
    <w:rPr>
      <w:rFonts w:ascii="Arial" w:hAnsi="Arial"/>
      <w:i/>
      <w:sz w:val="18"/>
      <w:szCs w:val="22"/>
      <w:lang w:val="es-ES"/>
    </w:rPr>
  </w:style>
  <w:style w:type="numbering" w:customStyle="1" w:styleId="1111111">
    <w:name w:val="1 / 1.1 / 1.1.11"/>
    <w:basedOn w:val="NoList"/>
    <w:next w:val="111111"/>
    <w:semiHidden/>
    <w:rsid w:val="00720EE7"/>
    <w:pPr>
      <w:numPr>
        <w:numId w:val="7"/>
      </w:numPr>
    </w:pPr>
  </w:style>
  <w:style w:type="character" w:customStyle="1" w:styleId="HeaderChar">
    <w:name w:val="Header Char"/>
    <w:link w:val="Header"/>
    <w:rsid w:val="00720EE7"/>
    <w:rPr>
      <w:sz w:val="22"/>
      <w:szCs w:val="22"/>
      <w:lang w:val="es-ES"/>
    </w:rPr>
  </w:style>
  <w:style w:type="character" w:customStyle="1" w:styleId="FooterChar">
    <w:name w:val="Footer Char"/>
    <w:link w:val="Footer"/>
    <w:rsid w:val="00720EE7"/>
    <w:rPr>
      <w:sz w:val="22"/>
      <w:szCs w:val="22"/>
      <w:lang w:val="es-ES"/>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link w:val="BodyText3"/>
    <w:semiHidden/>
    <w:rsid w:val="00720EE7"/>
    <w:rPr>
      <w:sz w:val="16"/>
      <w:szCs w:val="16"/>
      <w:lang w:val="es-ES"/>
    </w:rPr>
  </w:style>
  <w:style w:type="character" w:customStyle="1" w:styleId="BodyTextIndent3Char">
    <w:name w:val="Body Text Indent 3 Char"/>
    <w:link w:val="BodyTextIndent3"/>
    <w:semiHidden/>
    <w:rsid w:val="00720EE7"/>
    <w:rPr>
      <w:sz w:val="16"/>
      <w:szCs w:val="16"/>
      <w:lang w:val="es-ES"/>
    </w:rPr>
  </w:style>
  <w:style w:type="character" w:customStyle="1" w:styleId="PlainTextChar">
    <w:name w:val="Plain Text Char"/>
    <w:link w:val="PlainText"/>
    <w:semiHidden/>
    <w:rsid w:val="00720EE7"/>
    <w:rPr>
      <w:rFonts w:ascii="Courier New" w:hAnsi="Courier New" w:cs="Courier New"/>
      <w:szCs w:val="22"/>
      <w:lang w:val="es-ES"/>
    </w:rPr>
  </w:style>
  <w:style w:type="character" w:customStyle="1" w:styleId="SubtitleChar">
    <w:name w:val="Subtitle Char"/>
    <w:link w:val="Subtitle"/>
    <w:rsid w:val="00720EE7"/>
    <w:rPr>
      <w:rFonts w:ascii="Arial" w:hAnsi="Arial" w:cs="Arial"/>
      <w:sz w:val="22"/>
      <w:szCs w:val="22"/>
      <w:lang w:val="es-ES"/>
    </w:rPr>
  </w:style>
  <w:style w:type="character" w:customStyle="1" w:styleId="TitleChar">
    <w:name w:val="Title Char"/>
    <w:link w:val="Title"/>
    <w:rsid w:val="00720EE7"/>
    <w:rPr>
      <w:rFonts w:ascii="Arial" w:hAnsi="Arial" w:cs="Arial"/>
      <w:b/>
      <w:bCs/>
      <w:kern w:val="28"/>
      <w:sz w:val="22"/>
      <w:szCs w:val="22"/>
      <w:lang w:val="es-ES"/>
    </w:rPr>
  </w:style>
  <w:style w:type="character" w:customStyle="1" w:styleId="DateChar">
    <w:name w:val="Date Char"/>
    <w:link w:val="Date"/>
    <w:rsid w:val="00720EE7"/>
    <w:rPr>
      <w:sz w:val="22"/>
      <w:szCs w:val="22"/>
      <w:lang w:val="es-E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20EE7"/>
    <w:pPr>
      <w:ind w:left="720"/>
      <w:contextualSpacing/>
    </w:pPr>
    <w:rPr>
      <w:rFonts w:eastAsia="Times New Roman"/>
      <w:lang w:eastAsia="en-US"/>
    </w:rPr>
  </w:style>
  <w:style w:type="paragraph" w:styleId="Revision">
    <w:name w:val="Revision"/>
    <w:hidden/>
    <w:uiPriority w:val="99"/>
    <w:semiHidden/>
    <w:rsid w:val="00720EE7"/>
    <w:pPr>
      <w:jc w:val="both"/>
    </w:pPr>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qFormat/>
    <w:locked/>
    <w:rsid w:val="00E10975"/>
    <w:rPr>
      <w:rFonts w:eastAsia="Times New Roman"/>
      <w:sz w:val="22"/>
      <w:szCs w:val="22"/>
      <w:lang w:val="es-ES" w:eastAsia="en-US"/>
    </w:rPr>
  </w:style>
  <w:style w:type="character" w:customStyle="1" w:styleId="normaltextrun">
    <w:name w:val="normaltextrun"/>
    <w:basedOn w:val="DefaultParagraphFont"/>
    <w:rsid w:val="00E10975"/>
  </w:style>
  <w:style w:type="paragraph" w:styleId="NoSpacing">
    <w:name w:val="No Spacing"/>
    <w:uiPriority w:val="1"/>
    <w:qFormat/>
    <w:rsid w:val="00E10975"/>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Strong">
    <w:name w:val="Strong"/>
    <w:uiPriority w:val="22"/>
    <w:qFormat/>
    <w:rsid w:val="0069469D"/>
    <w:rPr>
      <w:b/>
      <w:bCs/>
    </w:rPr>
  </w:style>
  <w:style w:type="character" w:customStyle="1" w:styleId="Style1">
    <w:name w:val="Style1"/>
    <w:uiPriority w:val="1"/>
    <w:rsid w:val="00C56235"/>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8441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91B2ADF8-3BBB-4509-8F26-27D82B8FAB24}">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A9DAFD2C-BA6F-48BC-8218-DF24CC439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10</Pages>
  <Words>4346</Words>
  <Characters>24775</Characters>
  <Application>Microsoft Office Word</Application>
  <DocSecurity>0</DocSecurity>
  <Lines>206</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Panamá</vt:lpstr>
      <vt:lpstr>Project proposal: Panama</vt:lpstr>
    </vt:vector>
  </TitlesOfParts>
  <Company>UNMFS</Company>
  <LinksUpToDate>false</LinksUpToDate>
  <CharactersWithSpaces>29063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Panamá</dc:title>
  <dc:subject/>
  <dc:creator>PEK</dc:creator>
  <cp:keywords>98th ExCom</cp:keywords>
  <dc:description>HPMP tranche request</dc:description>
  <cp:lastModifiedBy>Angela Xue He Yan</cp:lastModifiedBy>
  <cp:revision>6</cp:revision>
  <cp:lastPrinted>2001-05-26T16:40:00Z</cp:lastPrinted>
  <dcterms:created xsi:type="dcterms:W3CDTF">2026-06-01T14:32:00Z</dcterms:created>
  <dcterms:modified xsi:type="dcterms:W3CDTF">2026-06-01T20:13:00Z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UNEP/OzL.Pro/ExCom/98/45</vt:lpwstr>
  </property>
  <property fmtid="{D5CDD505-2E9C-101B-9397-08002B2CF9AE}" pid="3" name="Revision date">
    <vt:lpwstr>27/05/2026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Panamá</vt:lpwstr>
  </property>
</Properties>
</file>