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62.xml" ContentType="application/vnd.openxmlformats-officedocument.wordprocessingml.footer+xml"/>
  <Override PartName="/word/header62.xml" ContentType="application/vnd.openxmlformats-officedocument.wordprocessingml.header+xml"/>
  <Override PartName="/word/header61.xml" ContentType="application/vnd.openxmlformats-officedocument.wordprocessingml.header+xml"/>
  <Override PartName="/word/styles.xml" ContentType="application/vnd.openxmlformats-officedocument.wordprocessingml.styles+xml"/>
  <Override PartName="/word/footer61.xml" ContentType="application/vnd.openxmlformats-officedocument.wordprocessingml.footer+xml"/>
  <Override PartName="/word/footer60.xml" ContentType="application/vnd.openxmlformats-officedocument.wordprocessingml.footer+xml"/>
  <Override PartName="/word/header60.xml" ContentType="application/vnd.openxmlformats-officedocument.wordprocessingml.header+xml"/>
  <Override PartName="/word/header59.xml" ContentType="application/vnd.openxmlformats-officedocument.wordprocessingml.header+xml"/>
  <Override PartName="/word/header58.xml" ContentType="application/vnd.openxmlformats-officedocument.wordprocessingml.header+xml"/>
  <Override PartName="/word/header57.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_rels/document.xml.rels" ContentType="application/vnd.openxmlformats-package.relationships+xml"/>
  <Override PartName="/word/footer54.xml" ContentType="application/vnd.openxmlformats-officedocument.wordprocessingml.footer+xml"/>
  <Override PartName="/word/header54.xml" ContentType="application/vnd.openxmlformats-officedocument.wordprocessingml.header+xml"/>
  <Override PartName="/word/footer59.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footer52.xml" ContentType="application/vnd.openxmlformats-officedocument.wordprocessingml.footer+xml"/>
  <Override PartName="/word/footer58.xml" ContentType="application/vnd.openxmlformats-officedocument.wordprocessingml.footer+xml"/>
  <Override PartName="/word/header52.xml" ContentType="application/vnd.openxmlformats-officedocument.wordprocessingml.header+xml"/>
  <Override PartName="/word/footer57.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footer50.xml" ContentType="application/vnd.openxmlformats-officedocument.wordprocessingml.footer+xml"/>
  <Override PartName="/word/footer56.xml" ContentType="application/vnd.openxmlformats-officedocument.wordprocessingml.footer+xml"/>
  <Override PartName="/word/header50.xml" ContentType="application/vnd.openxmlformats-officedocument.wordprocessingml.header+xml"/>
  <Override PartName="/word/header49.xml" ContentType="application/vnd.openxmlformats-officedocument.wordprocessingml.header+xml"/>
  <Override PartName="/word/header48.xml" ContentType="application/vnd.openxmlformats-officedocument.wordprocessingml.header+xml"/>
  <Override PartName="/word/header47.xml" ContentType="application/vnd.openxmlformats-officedocument.wordprocessingml.header+xml"/>
  <Override PartName="/word/header46.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numbering.xml" ContentType="application/vnd.openxmlformats-officedocument.wordprocessingml.numbering+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header11.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header13.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23.xml" ContentType="application/vnd.openxmlformats-officedocument.wordprocessingml.header+xml"/>
  <Override PartName="/word/footer29.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0.xml" ContentType="application/vnd.openxmlformats-officedocument.wordprocessingml.header+xml"/>
  <Override PartName="/word/header69.xml" ContentType="application/vnd.openxmlformats-officedocument.wordprocessingml.header+xml"/>
  <Override PartName="/word/footer68.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69.xml" ContentType="application/vnd.openxmlformats-officedocument.wordprocessingml.footer+xml"/>
  <Override PartName="/word/header63.xml" ContentType="application/vnd.openxmlformats-officedocument.wordprocessingml.header+xml"/>
  <Override PartName="/word/footer71.xml" ContentType="application/vnd.openxmlformats-officedocument.wordprocessingml.footer+xml"/>
  <Override PartName="/word/header12.xml" ContentType="application/vnd.openxmlformats-officedocument.wordprocessingml.header+xml"/>
  <Override PartName="/word/footer18.xml" ContentType="application/vnd.openxmlformats-officedocument.wordprocessingml.footer+xml"/>
  <Override PartName="/word/footer73.xml" ContentType="application/vnd.openxmlformats-officedocument.wordprocessingml.footer+xml"/>
  <Override PartName="/word/header14.xml" ContentType="application/vnd.openxmlformats-officedocument.wordprocessingml.header+xml"/>
  <Override PartName="/word/footer75.xml" ContentType="application/vnd.openxmlformats-officedocument.wordprocessingml.footer+xml"/>
  <Override PartName="/word/settings.xml" ContentType="application/vnd.openxmlformats-officedocument.wordprocessingml.settings+xml"/>
  <Override PartName="/word/header34.xml" ContentType="application/vnd.openxmlformats-officedocument.wordprocessingml.header+xml"/>
  <Override PartName="/word/footer74.xml" ContentType="application/vnd.openxmlformats-officedocument.wordprocessingml.footer+xml"/>
  <Override PartName="/word/fontTable.xml" ContentType="application/vnd.openxmlformats-officedocument.wordprocessingml.fontTable+xml"/>
  <Override PartName="/word/footer66.xml" ContentType="application/vnd.openxmlformats-officedocument.wordprocessingml.footer+xml"/>
  <Override PartName="/word/footer72.xml" ContentType="application/vnd.openxmlformats-officedocument.wordprocessingml.footer+xml"/>
  <Override PartName="/word/header25.xml" ContentType="application/vnd.openxmlformats-officedocument.wordprocessingml.header+xml"/>
  <Override PartName="/word/theme/theme1.xml" ContentType="application/vnd.openxmlformats-officedocument.theme+xml"/>
  <Override PartName="/word/footer67.xml" ContentType="application/vnd.openxmlformats-officedocument.wordprocessingml.footer+xml"/>
  <Override PartName="/word/header68.xml" ContentType="application/vnd.openxmlformats-officedocument.wordprocessingml.header+xml"/>
  <Override PartName="/word/header4.xml" ContentType="application/vnd.openxmlformats-officedocument.wordprocessingml.header+xml"/>
  <Override PartName="/word/footer65.xml" ContentType="application/vnd.openxmlformats-officedocument.wordprocessingml.footer+xml"/>
  <Override PartName="/word/header67.xml" ContentType="application/vnd.openxmlformats-officedocument.wordprocessingml.header+xml"/>
  <Override PartName="/word/header3.xml" ContentType="application/vnd.openxmlformats-officedocument.wordprocessingml.header+xml"/>
  <Override PartName="/word/footer27.xml" ContentType="application/vnd.openxmlformats-officedocument.wordprocessingml.footer+xml"/>
  <Override PartName="/word/header21.xml" ContentType="application/vnd.openxmlformats-officedocument.wordprocessingml.header+xml"/>
  <Override PartName="/word/header66.xml" ContentType="application/vnd.openxmlformats-officedocument.wordprocessingml.header+xml"/>
  <Override PartName="/word/header2.xml" ContentType="application/vnd.openxmlformats-officedocument.wordprocessingml.header+xml"/>
  <Override PartName="/word/footer63.xml" ContentType="application/vnd.openxmlformats-officedocument.wordprocessingml.footer+xml"/>
  <Override PartName="/word/header65.xml" ContentType="application/vnd.openxmlformats-officedocument.wordprocessingml.header+xml"/>
  <Override PartName="/word/header1.xml" ContentType="application/vnd.openxmlformats-officedocument.wordprocessingml.header+xml"/>
  <Override PartName="/word/header5.xml" ContentType="application/vnd.openxmlformats-officedocument.wordprocessingml.header+xml"/>
  <Override PartName="/word/header70.xml" ContentType="application/vnd.openxmlformats-officedocument.wordprocessingml.header+xml"/>
  <Override PartName="/word/header28.xml" ContentType="application/vnd.openxmlformats-officedocument.wordprocessingml.header+xml"/>
  <Override PartName="/word/footer6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header64.xml" ContentType="application/vnd.openxmlformats-officedocument.wordprocessingml.header+xml"/>
  <Override PartName="/word/header27.xml" ContentType="application/vnd.openxmlformats-officedocument.wordprocessingml.header+xml"/>
  <Override PartName="/word/footer3.xml" ContentType="application/vnd.openxmlformats-officedocument.wordprocessingml.footer+xml"/>
  <Override PartName="/word/header39.xml" ContentType="application/vnd.openxmlformats-officedocument.wordprocessingml.header+xml"/>
  <Override PartName="/word/footer2.xml" ContentType="application/vnd.openxmlformats-officedocument.wordprocessingml.footer+xml"/>
  <Override PartName="/word/header38.xml" ContentType="application/vnd.openxmlformats-officedocument.wordprocessingml.header+xml"/>
  <Override PartName="/word/footer1.xml" ContentType="application/vnd.openxmlformats-officedocument.wordprocessingml.footer+xml"/>
  <Override PartName="/word/header37.xml" ContentType="application/vnd.openxmlformats-officedocument.wordprocessingml.header+xml"/>
  <Override PartName="/word/header55.xml" ContentType="application/vnd.openxmlformats-officedocument.wordprocessingml.header+xml"/>
  <Override PartName="/word/header24.xml" ContentType="application/vnd.openxmlformats-officedocument.wordprocessingml.header+xml"/>
  <Override PartName="/word/media/image1.png" ContentType="image/png"/>
  <Override PartName="/word/media/image2.png" ContentType="image/png"/>
  <Override PartName="/word/media/image3.png" ContentType="image/png"/>
  <Override PartName="/word/media/image4.jpeg" ContentType="image/jpeg"/>
  <Override PartName="/word/media/image5.jpeg" ContentType="image/jpeg"/>
  <Override PartName="/word/footer30.xml" ContentType="application/vnd.openxmlformats-officedocument.wordprocessingml.footer+xml"/>
  <Override PartName="/word/header6.xml" ContentType="application/vnd.openxmlformats-officedocument.wordprocessingml.header+xml"/>
  <Override PartName="/word/header71.xml" ContentType="application/vnd.openxmlformats-officedocument.wordprocessingml.header+xml"/>
  <Override PartName="/word/footer5.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72.xml" ContentType="application/vnd.openxmlformats-officedocument.wordprocessingml.header+xml"/>
  <Override PartName="/word/header7.xml" ContentType="application/vnd.openxmlformats-officedocument.wordprocessingml.header+xml"/>
  <Override PartName="/word/footer31.xml" ContentType="application/vnd.openxmlformats-officedocument.wordprocessingml.footer+xml"/>
  <Override PartName="/word/header73.xml" ContentType="application/vnd.openxmlformats-officedocument.wordprocessingml.header+xml"/>
  <Override PartName="/word/header8.xml" ContentType="application/vnd.openxmlformats-officedocument.wordprocessingml.header+xml"/>
  <Override PartName="/word/footer32.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74.xml" ContentType="application/vnd.openxmlformats-officedocument.wordprocessingml.header+xml"/>
  <Override PartName="/word/header9.xml" ContentType="application/vnd.openxmlformats-officedocument.wordprocessingml.header+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6.xml" ContentType="application/vnd.openxmlformats-officedocument.wordprocessingml.footer+xml"/>
  <Override PartName="/word/header31.xml" ContentType="application/vnd.openxmlformats-officedocument.wordprocessingml.header+xml"/>
  <Override PartName="/word/footer37.xml" ContentType="application/vnd.openxmlformats-officedocument.wordprocessingml.footer+xml"/>
  <Override PartName="/word/header32.xml" ContentType="application/vnd.openxmlformats-officedocument.wordprocessingml.header+xml"/>
  <Override PartName="/word/footer38.xml" ContentType="application/vnd.openxmlformats-officedocument.wordprocessingml.footer+xml"/>
  <Override PartName="/word/header33.xml" ContentType="application/vnd.openxmlformats-officedocument.wordprocessingml.header+xml"/>
  <Override PartName="/word/footer39.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40.xml" ContentType="application/vnd.openxmlformats-officedocument.wordprocessingml.header+xml"/>
  <Override PartName="/word/footer4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header41.xml" ContentType="application/vnd.openxmlformats-officedocument.wordprocessingml.header+xml"/>
  <Override PartName="/word/footer47.xml" ContentType="application/vnd.openxmlformats-officedocument.wordprocessingml.footer+xml"/>
  <Override PartName="/word/header42.xml" ContentType="application/vnd.openxmlformats-officedocument.wordprocessingml.header+xml"/>
  <Override PartName="/word/footer48.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header43.xml" ContentType="application/vnd.openxmlformats-officedocument.wordprocessingml.header+xml"/>
  <Override PartName="/word/footer49.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5.xml" ContentType="application/vnd.openxmlformats-officedocument.wordprocessingml.header+xml"/>
  <Override PartName="/_rels/.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tbl>
      <w:tblPr>
        <w:tblW w:w="10080" w:type="dxa"/>
        <w:jc w:val="left"/>
        <w:tblInd w:w="-432" w:type="dxa"/>
        <w:tblLayout w:type="fixed"/>
        <w:tblCellMar>
          <w:top w:w="0" w:type="dxa"/>
          <w:left w:w="108" w:type="dxa"/>
          <w:bottom w:w="0" w:type="dxa"/>
          <w:right w:w="108" w:type="dxa"/>
        </w:tblCellMar>
        <w:tblLook w:val="0000" w:noHBand="0" w:noVBand="0" w:firstColumn="0" w:lastRow="0" w:lastColumn="0" w:firstRow="0"/>
      </w:tblPr>
      <w:tblGrid>
        <w:gridCol w:w="2070"/>
        <w:gridCol w:w="3419"/>
        <w:gridCol w:w="4591"/>
      </w:tblGrid>
      <w:tr>
        <w:trPr>
          <w:trHeight w:val="720" w:hRule="atLeast"/>
        </w:trPr>
        <w:tc>
          <w:tcPr>
            <w:tcW w:w="5489" w:type="dxa"/>
            <w:gridSpan w:val="2"/>
            <w:tcBorders>
              <w:bottom w:val="single" w:sz="18" w:space="0" w:color="000000"/>
            </w:tcBorders>
          </w:tcPr>
          <w:p>
            <w:pPr>
              <w:pStyle w:val="NoSpacing"/>
              <w:widowControl w:val="false"/>
              <w:rPr/>
            </w:pPr>
            <w:r>
              <w:rPr>
                <w:rFonts w:ascii="Univers" w:hAnsi="Univers"/>
                <w:b/>
                <w:sz w:val="28"/>
                <w:szCs w:val="28"/>
              </w:rPr>
              <w:t>UNITED</w:t>
              <w:br/>
              <w:t>NATIONS</w:t>
            </w:r>
          </w:p>
        </w:tc>
        <w:tc>
          <w:tcPr>
            <w:tcW w:w="4591" w:type="dxa"/>
            <w:tcBorders>
              <w:bottom w:val="single" w:sz="18" w:space="0" w:color="000000"/>
            </w:tcBorders>
          </w:tcPr>
          <w:p>
            <w:pPr>
              <w:pStyle w:val="Normal"/>
              <w:widowControl w:val="false"/>
              <w:jc w:val="right"/>
              <w:rPr>
                <w:sz w:val="52"/>
                <w:szCs w:val="52"/>
              </w:rPr>
            </w:pPr>
            <w:r>
              <w:rPr>
                <w:rFonts w:ascii="Univers Bold" w:hAnsi="Univers Bold"/>
                <w:b/>
                <w:sz w:val="72"/>
              </w:rPr>
              <w:t>EP</w:t>
            </w:r>
          </w:p>
        </w:tc>
      </w:tr>
      <w:tr>
        <w:trPr>
          <w:trHeight w:val="2718" w:hRule="atLeast"/>
        </w:trPr>
        <w:tc>
          <w:tcPr>
            <w:tcW w:w="2070" w:type="dxa"/>
            <w:tcBorders>
              <w:bottom w:val="single" w:sz="36" w:space="0" w:color="000000"/>
            </w:tcBorders>
          </w:tcPr>
          <w:p>
            <w:pPr>
              <w:pStyle w:val="Normal"/>
              <w:widowControl w:val="false"/>
              <w:spacing w:before="120" w:after="0"/>
              <w:rPr/>
            </w:pPr>
            <w:r>
              <w:rPr/>
              <w:drawing>
                <wp:anchor behindDoc="0" distT="0" distB="0" distL="0" distR="0" simplePos="0" locked="0" layoutInCell="1" allowOverlap="1" relativeHeight="2">
                  <wp:simplePos x="0" y="0"/>
                  <wp:positionH relativeFrom="column">
                    <wp:posOffset>19050</wp:posOffset>
                  </wp:positionH>
                  <wp:positionV relativeFrom="paragraph">
                    <wp:posOffset>824230</wp:posOffset>
                  </wp:positionV>
                  <wp:extent cx="880110" cy="775970"/>
                  <wp:effectExtent l="0" t="0" r="0" b="0"/>
                  <wp:wrapNone/>
                  <wp:docPr id="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EP"/>
                          <pic:cNvPicPr>
                            <a:picLocks noChangeAspect="1" noChangeArrowheads="1"/>
                          </pic:cNvPicPr>
                        </pic:nvPicPr>
                        <pic:blipFill>
                          <a:blip r:embed="rId2"/>
                          <a:stretch>
                            <a:fillRect/>
                          </a:stretch>
                        </pic:blipFill>
                        <pic:spPr bwMode="auto">
                          <a:xfrm>
                            <a:off x="0" y="0"/>
                            <a:ext cx="880110" cy="775970"/>
                          </a:xfrm>
                          <a:prstGeom prst="rect">
                            <a:avLst/>
                          </a:prstGeom>
                        </pic:spPr>
                      </pic:pic>
                    </a:graphicData>
                  </a:graphic>
                </wp:anchor>
              </w:drawing>
              <w:drawing>
                <wp:anchor behindDoc="1" distT="0" distB="0" distL="0" distR="0" simplePos="0" locked="0" layoutInCell="1" allowOverlap="1" relativeHeight="3">
                  <wp:simplePos x="0" y="0"/>
                  <wp:positionH relativeFrom="column">
                    <wp:posOffset>0</wp:posOffset>
                  </wp:positionH>
                  <wp:positionV relativeFrom="paragraph">
                    <wp:posOffset>114300</wp:posOffset>
                  </wp:positionV>
                  <wp:extent cx="822960" cy="731520"/>
                  <wp:effectExtent l="0" t="0" r="0" b="0"/>
                  <wp:wrapNone/>
                  <wp:docPr id="2"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
                          <pic:cNvPicPr>
                            <a:picLocks noChangeAspect="1" noChangeArrowheads="1"/>
                          </pic:cNvPicPr>
                        </pic:nvPicPr>
                        <pic:blipFill>
                          <a:blip r:embed="rId3"/>
                          <a:stretch>
                            <a:fillRect/>
                          </a:stretch>
                        </pic:blipFill>
                        <pic:spPr bwMode="auto">
                          <a:xfrm>
                            <a:off x="0" y="0"/>
                            <a:ext cx="822960" cy="731520"/>
                          </a:xfrm>
                          <a:prstGeom prst="rect">
                            <a:avLst/>
                          </a:prstGeom>
                        </pic:spPr>
                      </pic:pic>
                    </a:graphicData>
                  </a:graphic>
                </wp:anchor>
              </w:drawing>
            </w:r>
          </w:p>
        </w:tc>
        <w:tc>
          <w:tcPr>
            <w:tcW w:w="3419" w:type="dxa"/>
            <w:tcBorders>
              <w:bottom w:val="single" w:sz="36" w:space="0" w:color="000000"/>
            </w:tcBorders>
          </w:tcPr>
          <w:p>
            <w:pPr>
              <w:pStyle w:val="Normal"/>
              <w:widowControl w:val="false"/>
              <w:tabs>
                <w:tab w:val="clear" w:pos="720"/>
                <w:tab w:val="left" w:pos="680" w:leader="none"/>
                <w:tab w:val="left" w:pos="1360" w:leader="none"/>
                <w:tab w:val="left" w:pos="2041" w:leader="none"/>
                <w:tab w:val="left" w:pos="2721" w:leader="none"/>
                <w:tab w:val="left" w:pos="3402" w:leader="none"/>
                <w:tab w:val="left" w:pos="4082" w:leader="none"/>
                <w:tab w:val="left" w:pos="4762" w:leader="none"/>
                <w:tab w:val="left" w:pos="5443" w:leader="none"/>
                <w:tab w:val="left" w:pos="6123" w:leader="none"/>
                <w:tab w:val="left" w:pos="6804" w:leader="none"/>
                <w:tab w:val="left" w:pos="7484" w:leader="none"/>
                <w:tab w:val="left" w:pos="8164" w:leader="none"/>
                <w:tab w:val="left" w:pos="8845" w:leader="none"/>
              </w:tabs>
              <w:suppressAutoHyphens w:val="true"/>
              <w:rPr>
                <w:rFonts w:ascii="Univers" w:hAnsi="Univers"/>
                <w:b/>
                <w:b/>
                <w:sz w:val="32"/>
              </w:rPr>
            </w:pPr>
            <w:r>
              <w:rPr>
                <w:rFonts w:ascii="Univers" w:hAnsi="Univers"/>
                <w:b/>
                <w:sz w:val="32"/>
              </w:rPr>
              <w:t>United Nations</w:t>
            </w:r>
          </w:p>
          <w:p>
            <w:pPr>
              <w:pStyle w:val="Normal"/>
              <w:widowControl w:val="false"/>
              <w:tabs>
                <w:tab w:val="clear" w:pos="720"/>
                <w:tab w:val="left" w:pos="680" w:leader="none"/>
                <w:tab w:val="left" w:pos="1360" w:leader="none"/>
                <w:tab w:val="left" w:pos="2041" w:leader="none"/>
                <w:tab w:val="left" w:pos="2721" w:leader="none"/>
                <w:tab w:val="left" w:pos="3402" w:leader="none"/>
                <w:tab w:val="left" w:pos="4082" w:leader="none"/>
                <w:tab w:val="left" w:pos="4762" w:leader="none"/>
                <w:tab w:val="left" w:pos="5443" w:leader="none"/>
                <w:tab w:val="left" w:pos="6123" w:leader="none"/>
                <w:tab w:val="left" w:pos="6804" w:leader="none"/>
                <w:tab w:val="left" w:pos="7484" w:leader="none"/>
                <w:tab w:val="left" w:pos="8164" w:leader="none"/>
                <w:tab w:val="left" w:pos="8845" w:leader="none"/>
              </w:tabs>
              <w:suppressAutoHyphens w:val="true"/>
              <w:rPr>
                <w:rFonts w:ascii="Univers" w:hAnsi="Univers"/>
              </w:rPr>
            </w:pPr>
            <w:r>
              <w:rPr>
                <w:rFonts w:ascii="Univers" w:hAnsi="Univers"/>
                <w:b/>
                <w:sz w:val="32"/>
              </w:rPr>
              <w:t>Environment</w:t>
            </w:r>
          </w:p>
          <w:p>
            <w:pPr>
              <w:pStyle w:val="Normal"/>
              <w:widowControl w:val="false"/>
              <w:tabs>
                <w:tab w:val="clear" w:pos="720"/>
                <w:tab w:val="left" w:pos="680" w:leader="none"/>
                <w:tab w:val="left" w:pos="1360" w:leader="none"/>
                <w:tab w:val="left" w:pos="2041" w:leader="none"/>
                <w:tab w:val="left" w:pos="2721" w:leader="none"/>
                <w:tab w:val="left" w:pos="3402" w:leader="none"/>
                <w:tab w:val="left" w:pos="4082" w:leader="none"/>
                <w:tab w:val="left" w:pos="4762" w:leader="none"/>
                <w:tab w:val="left" w:pos="5443" w:leader="none"/>
                <w:tab w:val="left" w:pos="6123" w:leader="none"/>
                <w:tab w:val="left" w:pos="6804" w:leader="none"/>
                <w:tab w:val="left" w:pos="7484" w:leader="none"/>
                <w:tab w:val="left" w:pos="8164" w:leader="none"/>
                <w:tab w:val="left" w:pos="8845" w:leader="none"/>
              </w:tabs>
              <w:suppressAutoHyphens w:val="true"/>
              <w:rPr>
                <w:rFonts w:ascii="Univers Bold" w:hAnsi="Univers Bold"/>
                <w:b/>
                <w:b/>
                <w:sz w:val="32"/>
              </w:rPr>
            </w:pPr>
            <w:r>
              <w:rPr>
                <w:rFonts w:ascii="Univers" w:hAnsi="Univers"/>
                <w:b/>
                <w:sz w:val="32"/>
              </w:rPr>
              <w:t>Programme</w:t>
            </w:r>
          </w:p>
          <w:p>
            <w:pPr>
              <w:pStyle w:val="Normal"/>
              <w:widowControl w:val="false"/>
              <w:spacing w:before="720" w:after="0"/>
              <w:ind w:left="158" w:hanging="0"/>
              <w:rPr/>
            </w:pPr>
            <w:r>
              <w:rPr/>
            </w:r>
          </w:p>
        </w:tc>
        <w:tc>
          <w:tcPr>
            <w:tcW w:w="4591" w:type="dxa"/>
            <w:tcBorders>
              <w:bottom w:val="single" w:sz="36" w:space="0" w:color="000000"/>
            </w:tcBorders>
          </w:tcPr>
          <w:p>
            <w:pPr>
              <w:pStyle w:val="Normal"/>
              <w:widowControl w:val="false"/>
              <w:rPr/>
            </w:pPr>
            <w:r>
              <w:rPr/>
              <w:t>Distr.</w:t>
            </w:r>
          </w:p>
          <w:p>
            <w:pPr>
              <w:pStyle w:val="Normal"/>
              <w:widowControl w:val="false"/>
              <w:rPr/>
            </w:pPr>
            <w:r>
              <w:rPr/>
              <w:t>GENERAL</w:t>
            </w:r>
          </w:p>
          <w:p>
            <w:pPr>
              <w:pStyle w:val="Normal"/>
              <w:widowControl w:val="false"/>
              <w:rPr/>
            </w:pPr>
            <w:r>
              <w:rPr/>
            </w:r>
          </w:p>
          <w:p>
            <w:pPr>
              <w:pStyle w:val="Normal"/>
              <w:widowControl w:val="false"/>
              <w:rPr/>
            </w:pPr>
            <w:r>
              <w:rPr/>
            </w:r>
          </w:p>
          <w:p>
            <w:pPr>
              <w:pStyle w:val="Normal"/>
              <w:widowControl w:val="false"/>
              <w:rPr/>
            </w:pPr>
            <w:r>
              <w:rPr/>
              <w:fldChar w:fldCharType="begin"/>
            </w:r>
            <w:r>
              <w:rPr/>
              <w:instrText xml:space="preserve"> DOCPROPERTY "Document number"</w:instrText>
            </w:r>
            <w:r>
              <w:rPr/>
              <w:fldChar w:fldCharType="separate"/>
            </w:r>
            <w:r>
              <w:rPr/>
              <w:t>UNEP/OzL.Pro/ExCom/80/26</w:t>
            </w:r>
            <w:r>
              <w:rPr/>
              <w:fldChar w:fldCharType="end"/>
            </w:r>
          </w:p>
          <w:p>
            <w:pPr>
              <w:pStyle w:val="Normal"/>
              <w:widowControl w:val="false"/>
              <w:rPr/>
            </w:pPr>
            <w:r>
              <w:rPr/>
              <w:fldChar w:fldCharType="begin"/>
            </w:r>
            <w:r>
              <w:rPr/>
              <w:instrText xml:space="preserve"> DOCPROPERTY "Revision date"</w:instrText>
            </w:r>
            <w:r>
              <w:rPr/>
              <w:fldChar w:fldCharType="separate"/>
            </w:r>
            <w:r>
              <w:rPr/>
              <w:t>19/10/2017</w:t>
            </w:r>
            <w:r>
              <w:rPr/>
              <w:fldChar w:fldCharType="end"/>
            </w:r>
          </w:p>
          <w:p>
            <w:pPr>
              <w:pStyle w:val="Normal"/>
              <w:widowControl w:val="false"/>
              <w:rPr>
                <w:caps/>
              </w:rPr>
            </w:pPr>
            <w:r>
              <w:rPr>
                <w:caps/>
              </w:rPr>
            </w:r>
          </w:p>
          <w:p>
            <w:pPr>
              <w:pStyle w:val="Normal"/>
              <w:widowControl w:val="false"/>
              <w:rPr/>
            </w:pPr>
            <w:r>
              <w:rPr/>
              <w:t>ORIGINAL: ENGLISH</w:t>
            </w:r>
          </w:p>
        </w:tc>
      </w:tr>
    </w:tbl>
    <w:p>
      <w:pPr>
        <w:pStyle w:val="Normal"/>
        <w:jc w:val="left"/>
        <w:rPr/>
      </w:pPr>
      <w:r>
        <w:rPr/>
        <w:t>EXECUTIVE COMMITTEE OF</w:t>
        <w:br/>
        <w:t xml:space="preserve">  THE MULTILATERAL FUND FOR THE</w:t>
        <w:br/>
        <w:t xml:space="preserve">  IMPLEMENTATION OF THE MONTREAL PROTOCOL</w:t>
        <w:br/>
      </w:r>
      <w:r>
        <w:rPr>
          <w:lang w:val="en-CA"/>
        </w:rPr>
        <w:t xml:space="preserve">Eightieth </w:t>
      </w:r>
      <w:r>
        <w:rPr/>
        <w:t>Meeting</w:t>
      </w:r>
    </w:p>
    <w:p>
      <w:pPr>
        <w:pStyle w:val="Normal"/>
        <w:jc w:val="left"/>
        <w:rPr>
          <w:lang w:val="en-CA"/>
        </w:rPr>
      </w:pPr>
      <w:r>
        <w:rPr>
          <w:lang w:val="en-CA"/>
        </w:rPr>
        <w:t xml:space="preserve">Montreal, </w:t>
      </w:r>
      <w:r>
        <w:rPr/>
        <w:t>13-17 November 2017</w:t>
      </w:r>
    </w:p>
    <w:p>
      <w:pPr>
        <w:pStyle w:val="Normal"/>
        <w:jc w:val="left"/>
        <w:rPr>
          <w:lang w:val="en-US"/>
        </w:rPr>
      </w:pPr>
      <w:r>
        <w:rPr>
          <w:lang w:val="en-US"/>
        </w:rPr>
      </w:r>
    </w:p>
    <w:p>
      <w:pPr>
        <w:pStyle w:val="Title1"/>
        <w:rPr/>
      </w:pPr>
      <w:r>
        <w:rPr/>
      </w:r>
    </w:p>
    <w:p>
      <w:pPr>
        <w:pStyle w:val="Title1"/>
        <w:rPr/>
      </w:pPr>
      <w:r>
        <w:rPr/>
      </w:r>
    </w:p>
    <w:p>
      <w:pPr>
        <w:pStyle w:val="Title1"/>
        <w:rPr/>
      </w:pPr>
      <w:r>
        <w:rPr/>
      </w:r>
    </w:p>
    <w:p>
      <w:pPr>
        <w:pStyle w:val="Title1"/>
        <w:rPr/>
      </w:pPr>
      <w:r>
        <w:rPr/>
      </w:r>
    </w:p>
    <w:p>
      <w:pPr>
        <w:pStyle w:val="Title1"/>
        <w:rPr/>
      </w:pPr>
      <w:r>
        <w:rPr/>
      </w:r>
    </w:p>
    <w:p>
      <w:pPr>
        <w:pStyle w:val="Title1"/>
        <w:rPr/>
      </w:pPr>
      <w:r>
        <w:rPr/>
      </w:r>
    </w:p>
    <w:p>
      <w:pPr>
        <w:pStyle w:val="Title1"/>
        <w:rPr/>
      </w:pPr>
      <w:r>
        <w:rPr/>
      </w:r>
    </w:p>
    <w:p>
      <w:pPr>
        <w:pStyle w:val="Title1"/>
        <w:rPr/>
      </w:pPr>
      <w:r>
        <w:rPr/>
      </w:r>
    </w:p>
    <w:p>
      <w:pPr>
        <w:pStyle w:val="Title1"/>
        <w:rPr>
          <w:color w:val="000000" w:themeColor="text1"/>
        </w:rPr>
      </w:pPr>
      <w:r>
        <w:rPr>
          <w:color w:val="000000" w:themeColor="text1"/>
        </w:rPr>
        <w:t>UNIDO’</w:t>
      </w:r>
      <w:r>
        <w:rPr>
          <w:caps w:val="false"/>
          <w:smallCaps w:val="false"/>
          <w:color w:val="000000" w:themeColor="text1"/>
        </w:rPr>
        <w:t>s</w:t>
      </w:r>
      <w:r>
        <w:rPr>
          <w:color w:val="000000" w:themeColor="text1"/>
        </w:rPr>
        <w:t xml:space="preserve"> work programme AMENDMENTS for 2017</w:t>
      </w:r>
    </w:p>
    <w:p>
      <w:pPr>
        <w:pStyle w:val="Title1"/>
        <w:rPr/>
      </w:pPr>
      <w:r>
        <w:rPr/>
      </w:r>
    </w:p>
    <w:p>
      <w:pPr>
        <w:pStyle w:val="Heading1"/>
        <w:numPr>
          <w:ilvl w:val="0"/>
          <w:numId w:val="0"/>
        </w:numPr>
        <w:ind w:left="0" w:hanging="0"/>
        <w:rPr/>
      </w:pPr>
      <w:r>
        <w:rPr/>
      </w:r>
    </w:p>
    <w:p>
      <w:pPr>
        <w:pStyle w:val="StyleHeader4Para4Left0Firstline0"/>
        <w:numPr>
          <w:ilvl w:val="0"/>
          <w:numId w:val="0"/>
        </w:numPr>
        <w:ind w:left="0" w:hanging="0"/>
        <w:rPr/>
      </w:pPr>
      <w:r>
        <w:rPr/>
      </w:r>
    </w:p>
    <w:p>
      <w:pPr>
        <w:pStyle w:val="StyleHeader4Para4Left0Firstline0"/>
        <w:numPr>
          <w:ilvl w:val="0"/>
          <w:numId w:val="0"/>
        </w:numPr>
        <w:ind w:left="0" w:hanging="0"/>
        <w:rPr/>
      </w:pPr>
      <w:r>
        <w:rPr/>
      </w:r>
      <w:r>
        <w:br w:type="page"/>
      </w:r>
    </w:p>
    <w:p>
      <w:pPr>
        <w:pStyle w:val="Normal"/>
        <w:spacing w:before="0" w:after="240"/>
        <w:jc w:val="center"/>
        <w:rPr>
          <w:b/>
          <w:b/>
          <w:color w:val="000000" w:themeColor="text1"/>
        </w:rPr>
      </w:pPr>
      <w:r>
        <w:rPr>
          <w:b/>
          <w:color w:val="000000" w:themeColor="text1"/>
        </w:rPr>
        <w:t>COMMENTS AND RECOMMENDATION OF THE FUND SECRETARIAT</w:t>
      </w:r>
    </w:p>
    <w:p>
      <w:pPr>
        <w:pStyle w:val="Heading1"/>
        <w:numPr>
          <w:ilvl w:val="0"/>
          <w:numId w:val="65"/>
        </w:numPr>
        <w:rPr>
          <w:color w:val="000000" w:themeColor="text1"/>
        </w:rPr>
      </w:pPr>
      <w:r>
        <w:rPr>
          <w:color w:val="000000" w:themeColor="text1"/>
        </w:rPr>
        <w:t>UNIDO is requesting approval from the Executive Committee of US $3,192,126, plus agency support costs of US $271,369 for its 2017 work programme amendments listed in Table 1. The submission is attached to the present document.</w:t>
      </w:r>
    </w:p>
    <w:p>
      <w:pPr>
        <w:pStyle w:val="StyleHeader4Para4Left0Firstline0"/>
        <w:numPr>
          <w:ilvl w:val="0"/>
          <w:numId w:val="0"/>
        </w:numPr>
        <w:spacing w:before="0" w:after="0"/>
        <w:ind w:left="0" w:hanging="0"/>
        <w:rPr>
          <w:b/>
          <w:b/>
          <w:color w:val="000000" w:themeColor="text1"/>
          <w:sz w:val="22"/>
        </w:rPr>
      </w:pPr>
      <w:r>
        <w:rPr>
          <w:b/>
          <w:color w:val="000000" w:themeColor="text1"/>
          <w:sz w:val="22"/>
        </w:rPr>
        <w:t>Table 1: UNIDO’s work programme amendments for 2017</w:t>
      </w:r>
    </w:p>
    <w:tbl>
      <w:tblPr>
        <w:tblW w:w="9810"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2296"/>
        <w:gridCol w:w="4821"/>
        <w:gridCol w:w="1134"/>
        <w:gridCol w:w="1558"/>
      </w:tblGrid>
      <w:tr>
        <w:trPr>
          <w:tblHeader w:val="true"/>
          <w:trHeight w:val="690"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b/>
                <w:color w:val="000000" w:themeColor="text1"/>
                <w:sz w:val="20"/>
                <w:szCs w:val="20"/>
              </w:rPr>
            </w:pPr>
            <w:r>
              <w:rPr>
                <w:b/>
                <w:color w:val="000000" w:themeColor="text1"/>
                <w:sz w:val="20"/>
                <w:szCs w:val="20"/>
              </w:rPr>
              <w:t>Country</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b/>
                <w:color w:val="000000" w:themeColor="text1"/>
                <w:sz w:val="20"/>
                <w:szCs w:val="20"/>
              </w:rPr>
            </w:pPr>
            <w:r>
              <w:rPr>
                <w:b/>
                <w:color w:val="000000" w:themeColor="text1"/>
                <w:sz w:val="20"/>
                <w:szCs w:val="20"/>
              </w:rPr>
              <w:t>Activity/Project</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b/>
                <w:color w:val="000000" w:themeColor="text1"/>
                <w:sz w:val="20"/>
                <w:szCs w:val="20"/>
              </w:rPr>
            </w:pPr>
            <w:r>
              <w:rPr>
                <w:b/>
                <w:color w:val="000000" w:themeColor="text1"/>
                <w:sz w:val="20"/>
                <w:szCs w:val="20"/>
              </w:rPr>
              <w:t>Amount Requested (US $)</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b/>
                <w:color w:val="000000" w:themeColor="text1"/>
                <w:sz w:val="20"/>
                <w:szCs w:val="20"/>
              </w:rPr>
            </w:pPr>
            <w:r>
              <w:rPr>
                <w:b/>
                <w:color w:val="000000" w:themeColor="text1"/>
                <w:sz w:val="20"/>
                <w:szCs w:val="20"/>
              </w:rPr>
              <w:t>Amount Recommended (US $)</w:t>
            </w:r>
          </w:p>
        </w:tc>
      </w:tr>
      <w:tr>
        <w:trPr>
          <w:trHeight w:val="219" w:hRule="atLeast"/>
        </w:trPr>
        <w:tc>
          <w:tcPr>
            <w:tcW w:w="980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rPr>
                <w:color w:val="000000" w:themeColor="text1"/>
                <w:sz w:val="20"/>
                <w:szCs w:val="20"/>
              </w:rPr>
            </w:pPr>
            <w:r>
              <w:rPr>
                <w:b/>
                <w:color w:val="000000" w:themeColor="text1"/>
                <w:sz w:val="20"/>
                <w:szCs w:val="20"/>
              </w:rPr>
              <w:t>SECTION A: ACTIVITIES RECOMMENDED FOR BLANKET APPROVAL</w:t>
            </w:r>
          </w:p>
        </w:tc>
      </w:tr>
      <w:tr>
        <w:trPr>
          <w:trHeight w:val="235" w:hRule="atLeast"/>
        </w:trPr>
        <w:tc>
          <w:tcPr>
            <w:tcW w:w="980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rPr>
                <w:b/>
                <w:b/>
                <w:bCs/>
                <w:color w:val="000000" w:themeColor="text1"/>
                <w:sz w:val="20"/>
                <w:szCs w:val="20"/>
              </w:rPr>
            </w:pPr>
            <w:r>
              <w:rPr>
                <w:b/>
                <w:bCs/>
                <w:color w:val="000000" w:themeColor="text1"/>
                <w:sz w:val="20"/>
                <w:szCs w:val="20"/>
              </w:rPr>
              <w:t>A1: Renewal of institutional strengthening projects</w:t>
            </w:r>
          </w:p>
        </w:tc>
      </w:tr>
      <w:tr>
        <w:trPr>
          <w:trHeight w:val="219"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Bosnia and Herzegovina</w:t>
            </w:r>
          </w:p>
        </w:tc>
        <w:tc>
          <w:tcPr>
            <w:tcW w:w="4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highlight w:val="yellow"/>
              </w:rPr>
            </w:pPr>
            <w:r>
              <w:rPr>
                <w:sz w:val="20"/>
                <w:szCs w:val="20"/>
                <w:lang w:val="en-US"/>
              </w:rPr>
              <w:t>Renewal of institutional strengthening project (phase VI)</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color w:val="000000"/>
                <w:sz w:val="20"/>
              </w:rPr>
              <w:t>122,026</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color w:val="000000"/>
                <w:sz w:val="20"/>
              </w:rPr>
              <w:t>122,026</w:t>
            </w:r>
          </w:p>
        </w:tc>
      </w:tr>
      <w:tr>
        <w:trPr>
          <w:trHeight w:val="219"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Serbia</w:t>
            </w:r>
          </w:p>
        </w:tc>
        <w:tc>
          <w:tcPr>
            <w:tcW w:w="4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highlight w:val="yellow"/>
              </w:rPr>
            </w:pPr>
            <w:r>
              <w:rPr>
                <w:sz w:val="20"/>
                <w:szCs w:val="20"/>
                <w:lang w:val="en-US"/>
              </w:rPr>
              <w:t>Renewal of institutional strengthening project (phase VI)</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color w:val="000000"/>
                <w:sz w:val="20"/>
              </w:rPr>
              <w:t>131,300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color w:val="000000"/>
                <w:sz w:val="20"/>
              </w:rPr>
              <w:t>168,064</w:t>
            </w:r>
          </w:p>
        </w:tc>
      </w:tr>
      <w:tr>
        <w:trPr>
          <w:trHeight w:val="219"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Turkey</w:t>
            </w:r>
          </w:p>
        </w:tc>
        <w:tc>
          <w:tcPr>
            <w:tcW w:w="4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highlight w:val="yellow"/>
              </w:rPr>
            </w:pPr>
            <w:r>
              <w:rPr>
                <w:sz w:val="20"/>
                <w:szCs w:val="20"/>
                <w:lang w:val="en-US"/>
              </w:rPr>
              <w:t>Renewal of institutional strengthening project (phase VII)</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color w:val="000000"/>
                <w:sz w:val="20"/>
              </w:rPr>
              <w:t>332,800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color w:val="000000"/>
                <w:sz w:val="20"/>
              </w:rPr>
              <w:t>332,800</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Subtotal for A1</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586,126</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586,126</w:t>
            </w:r>
          </w:p>
        </w:tc>
      </w:tr>
      <w:tr>
        <w:trPr>
          <w:trHeight w:val="219"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lang w:val="en-US"/>
              </w:rPr>
              <w:t>Agency support costs (7 per cent for institutional strengthening) for A1</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41,029</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41,029</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Total for A1</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sz w:val="20"/>
              </w:rPr>
            </w:pPr>
            <w:r>
              <w:rPr>
                <w:color w:val="000000"/>
                <w:sz w:val="20"/>
              </w:rPr>
              <w:t>627,155</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sz w:val="20"/>
              </w:rPr>
            </w:pPr>
            <w:r>
              <w:rPr>
                <w:color w:val="000000"/>
                <w:sz w:val="20"/>
              </w:rPr>
              <w:t>627,155</w:t>
            </w:r>
          </w:p>
        </w:tc>
      </w:tr>
      <w:tr>
        <w:trPr>
          <w:trHeight w:val="235" w:hRule="atLeast"/>
        </w:trPr>
        <w:tc>
          <w:tcPr>
            <w:tcW w:w="980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left"/>
              <w:rPr>
                <w:b/>
                <w:b/>
                <w:color w:val="000000" w:themeColor="text1"/>
                <w:sz w:val="20"/>
                <w:szCs w:val="20"/>
              </w:rPr>
            </w:pPr>
            <w:r>
              <w:rPr>
                <w:b/>
                <w:color w:val="000000" w:themeColor="text1"/>
                <w:sz w:val="20"/>
                <w:szCs w:val="20"/>
              </w:rPr>
              <w:t xml:space="preserve">A2: </w:t>
            </w:r>
            <w:r>
              <w:rPr>
                <w:b/>
                <w:sz w:val="20"/>
                <w:szCs w:val="20"/>
              </w:rPr>
              <w:t>Technical assistance for preparation for verification reports</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Oman</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Verification report for stage I of HCFC phase-out management plan (HPMP)</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30,000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Sudan</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Verification report for stage I of HCFC phase-out management plan (HPMP)</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30,000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Subtotal for A2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60,000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sz w:val="20"/>
                <w:szCs w:val="20"/>
              </w:rPr>
              <w:t>Agency support costs (9 per cent for technical assistance)</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5,400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sz w:val="20"/>
                <w:szCs w:val="20"/>
              </w:rPr>
              <w:t>Total for A2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65,400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r>
          </w:p>
        </w:tc>
      </w:tr>
      <w:tr>
        <w:trPr>
          <w:trHeight w:val="235" w:hRule="atLeast"/>
        </w:trPr>
        <w:tc>
          <w:tcPr>
            <w:tcW w:w="980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left"/>
              <w:rPr>
                <w:color w:val="000000" w:themeColor="text1"/>
                <w:sz w:val="20"/>
                <w:szCs w:val="20"/>
              </w:rPr>
            </w:pPr>
            <w:r>
              <w:rPr>
                <w:b/>
                <w:sz w:val="20"/>
                <w:szCs w:val="20"/>
              </w:rPr>
              <w:t>SECTION B: ACTIVITIES RECOMMENDED FOR INDIVIDUAL CONSIDERATION</w:t>
            </w:r>
          </w:p>
        </w:tc>
      </w:tr>
      <w:tr>
        <w:trPr>
          <w:trHeight w:val="235" w:hRule="atLeast"/>
        </w:trPr>
        <w:tc>
          <w:tcPr>
            <w:tcW w:w="980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left"/>
              <w:rPr>
                <w:color w:val="000000" w:themeColor="text1"/>
                <w:sz w:val="20"/>
                <w:szCs w:val="20"/>
              </w:rPr>
            </w:pPr>
            <w:r>
              <w:rPr>
                <w:b/>
                <w:sz w:val="20"/>
                <w:szCs w:val="20"/>
              </w:rPr>
              <w:t>B1: Technical assistance for enabling activities (decision 79/46)</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Albania</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95,000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Armenia</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150,000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Bosnia and Herzegovina</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95,000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Burkina Faso</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150,000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Cameroon</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150,000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Chile**</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86,000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Congo (Republic of)</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150,000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Gambia</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95,000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Mexico</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220,000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Montenegro</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Serbia</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150,000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Somalia</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150,000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Sudan**</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75,000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The Former Yugoslav Republic of Macedonia</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95,000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Tunisia***</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75,000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Turkey</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250,000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Uruguay**</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Viet Nam</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Enabling activities for HFC phase-down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250,000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Subtotal for B1</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2,336,000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Agency support costs (9 per cent for technical assistance)</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210,240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Total for B1</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2,546,240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b/>
                <w:sz w:val="20"/>
                <w:szCs w:val="20"/>
              </w:rPr>
              <w:t>B2: Project preparation for HFC-related projects (decision 78/3(g))</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Ecuador</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color w:val="000000"/>
                <w:sz w:val="20"/>
                <w:szCs w:val="20"/>
              </w:rPr>
              <w:t>Project preparation for the phase-out of HFC-134a and R</w:t>
              <w:noBreakHyphen/>
              <w:t>404a in the manufacturing sector at Ecasa</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30,000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Ecuador</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color w:val="000000"/>
                <w:sz w:val="20"/>
                <w:szCs w:val="20"/>
              </w:rPr>
              <w:t>Project preparation for the phase-out of HFC-134a and R</w:t>
              <w:noBreakHyphen/>
              <w:t>404a in the manufacturing sector at Induglob</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30,000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Lebanon</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color w:val="000000"/>
                <w:sz w:val="20"/>
                <w:szCs w:val="20"/>
              </w:rPr>
              <w:t>Project preparation for HFC-related projects in the manufacturing sector at Lematic Industries</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30,000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Mexico</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color w:val="000000"/>
                <w:sz w:val="20"/>
                <w:szCs w:val="20"/>
              </w:rPr>
              <w:t>Project preparation for HFC-related project in the manufacturing of self-contained refrigeration equipment at Fersa enterprise</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30,000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Mexico</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color w:val="000000"/>
                <w:sz w:val="20"/>
                <w:szCs w:val="20"/>
              </w:rPr>
              <w:t xml:space="preserve">Project preparation for HFC-related projects in the manufacturing sector at Imbera enterprise </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30,000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Morocco</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color w:val="000000"/>
                <w:sz w:val="20"/>
                <w:szCs w:val="20"/>
              </w:rPr>
              <w:t>Project preparation for HFC-related project in the manufacturing sector at Manar enterprise</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30,000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2296"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sz w:val="20"/>
                <w:szCs w:val="20"/>
              </w:rPr>
              <w:t>Viet Nam</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sz w:val="20"/>
                <w:szCs w:val="20"/>
              </w:rPr>
            </w:pPr>
            <w:r>
              <w:rPr>
                <w:color w:val="000000"/>
                <w:sz w:val="20"/>
                <w:szCs w:val="20"/>
              </w:rPr>
              <w:t>Project preparation for HFC-related projects in the manufacturing sector at Nagakawa Vietnam Company</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30,000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Subtotal for B2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210,000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rPr>
            </w:pPr>
            <w:r>
              <w:rPr>
                <w:sz w:val="20"/>
              </w:rPr>
              <w:t>Agency support costs (7 per cent for project preparation)</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14,700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rPr>
            </w:pPr>
            <w:r>
              <w:rPr>
                <w:sz w:val="20"/>
              </w:rPr>
              <w:t>Total for B2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224,700</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color w:val="000000" w:themeColor="text1"/>
                <w:sz w:val="20"/>
                <w:szCs w:val="20"/>
              </w:rPr>
            </w:pPr>
            <w:r>
              <w:rPr>
                <w:color w:val="000000" w:themeColor="text1"/>
                <w:sz w:val="20"/>
                <w:szCs w:val="20"/>
              </w:rPr>
              <w:t>*</w:t>
            </w:r>
          </w:p>
        </w:tc>
      </w:tr>
      <w:tr>
        <w:trPr>
          <w:trHeight w:val="235" w:hRule="atLeast"/>
        </w:trPr>
        <w:tc>
          <w:tcPr>
            <w:tcW w:w="71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Grand total (A1, A2, A3, B1, B2)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t>3,463,495</w:t>
            </w:r>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color w:val="000000"/>
                <w:sz w:val="20"/>
              </w:rPr>
              <w:t>627,155</w:t>
            </w:r>
          </w:p>
        </w:tc>
      </w:tr>
    </w:tbl>
    <w:p>
      <w:pPr>
        <w:pStyle w:val="StyleHeader4Para4Left0Firstline0"/>
        <w:numPr>
          <w:ilvl w:val="0"/>
          <w:numId w:val="0"/>
        </w:numPr>
        <w:spacing w:before="0" w:after="0"/>
        <w:ind w:left="0" w:hanging="0"/>
        <w:rPr/>
      </w:pPr>
      <w:r>
        <w:rPr/>
        <w:t xml:space="preserve">  </w:t>
      </w:r>
      <w:r>
        <w:rPr/>
        <w:t>*For individual consideration</w:t>
      </w:r>
    </w:p>
    <w:p>
      <w:pPr>
        <w:pStyle w:val="StyleHeader4Para4Left0Firstline0"/>
        <w:numPr>
          <w:ilvl w:val="0"/>
          <w:numId w:val="0"/>
        </w:numPr>
        <w:spacing w:before="0" w:after="0"/>
        <w:ind w:left="0" w:hanging="0"/>
        <w:rPr/>
      </w:pPr>
      <w:r>
        <w:rPr/>
        <w:t xml:space="preserve">  </w:t>
      </w:r>
      <w:r>
        <w:rPr/>
        <w:t>**As cooperating agency</w:t>
      </w:r>
    </w:p>
    <w:p>
      <w:pPr>
        <w:pStyle w:val="StyleHeader4Para4Left0Firstline0"/>
        <w:numPr>
          <w:ilvl w:val="0"/>
          <w:numId w:val="0"/>
        </w:numPr>
        <w:ind w:left="0" w:hanging="0"/>
        <w:rPr/>
      </w:pPr>
      <w:r>
        <w:rPr/>
        <w:t xml:space="preserve">  </w:t>
      </w:r>
      <w:r>
        <w:rPr/>
        <w:t>***Government of Italy as cooperating agency</w:t>
      </w:r>
    </w:p>
    <w:p>
      <w:pPr>
        <w:pStyle w:val="StyleHeader4Para4Left0Firstline0"/>
        <w:numPr>
          <w:ilvl w:val="0"/>
          <w:numId w:val="0"/>
        </w:numPr>
        <w:spacing w:before="0" w:after="0"/>
        <w:ind w:left="0" w:hanging="0"/>
        <w:rPr>
          <w:b/>
          <w:b/>
          <w:color w:val="000000" w:themeColor="text1"/>
          <w:sz w:val="22"/>
        </w:rPr>
      </w:pPr>
      <w:r>
        <w:rPr>
          <w:b/>
          <w:color w:val="000000" w:themeColor="text1"/>
          <w:sz w:val="22"/>
        </w:rPr>
      </w:r>
    </w:p>
    <w:p>
      <w:pPr>
        <w:pStyle w:val="Normal"/>
        <w:rPr>
          <w:lang w:val="en-CA"/>
        </w:rPr>
      </w:pPr>
      <w:r>
        <w:rPr>
          <w:lang w:val="en-CA"/>
        </w:rPr>
      </w:r>
    </w:p>
    <w:p>
      <w:pPr>
        <w:pStyle w:val="Normal"/>
        <w:spacing w:before="0" w:after="240"/>
        <w:rPr>
          <w:b/>
          <w:b/>
          <w:color w:val="000000" w:themeColor="text1"/>
        </w:rPr>
      </w:pPr>
      <w:r>
        <w:rPr>
          <w:b/>
          <w:color w:val="000000" w:themeColor="text1"/>
        </w:rPr>
        <w:t>SECTION A: ACTIVITIES RECOMMENDED FOR BLANKET APPROVAL</w:t>
      </w:r>
    </w:p>
    <w:p>
      <w:pPr>
        <w:pStyle w:val="Normal"/>
        <w:spacing w:before="0" w:after="240"/>
        <w:rPr>
          <w:b/>
          <w:b/>
          <w:bCs/>
          <w:color w:val="000000" w:themeColor="text1"/>
        </w:rPr>
      </w:pPr>
      <w:r>
        <w:rPr>
          <w:b/>
          <w:color w:val="000000" w:themeColor="text1"/>
        </w:rPr>
        <w:t>A1: Institutional strengthening</w:t>
      </w:r>
      <w:r>
        <w:rPr>
          <w:b/>
          <w:bCs/>
          <w:color w:val="000000" w:themeColor="text1"/>
        </w:rPr>
        <w:t xml:space="preserve"> </w:t>
      </w:r>
    </w:p>
    <w:p>
      <w:pPr>
        <w:pStyle w:val="Heading1"/>
        <w:numPr>
          <w:ilvl w:val="0"/>
          <w:numId w:val="0"/>
        </w:numPr>
        <w:ind w:left="0" w:hanging="0"/>
        <w:rPr>
          <w:b/>
          <w:b/>
          <w:color w:val="000000" w:themeColor="text1"/>
        </w:rPr>
      </w:pPr>
      <w:r>
        <w:rPr>
          <w:b/>
          <w:color w:val="000000" w:themeColor="text1"/>
        </w:rPr>
        <w:t>Project description</w:t>
      </w:r>
    </w:p>
    <w:p>
      <w:pPr>
        <w:pStyle w:val="Heading1"/>
        <w:numPr>
          <w:ilvl w:val="0"/>
          <w:numId w:val="66"/>
        </w:numPr>
        <w:rPr/>
      </w:pPr>
      <w:r>
        <w:rPr/>
        <w:t>UNIDO submitted the requests for the renewal of the institutional strengthening (IS) projects for the countries listed in Table 1. The descriptions for these projects are presented in Annex I to the present document.</w:t>
      </w:r>
    </w:p>
    <w:p>
      <w:pPr>
        <w:pStyle w:val="Heading1"/>
        <w:numPr>
          <w:ilvl w:val="0"/>
          <w:numId w:val="0"/>
        </w:numPr>
        <w:ind w:left="0" w:hanging="0"/>
        <w:rPr>
          <w:b/>
          <w:b/>
          <w:color w:val="000000" w:themeColor="text1"/>
        </w:rPr>
      </w:pPr>
      <w:r>
        <w:rPr>
          <w:b/>
          <w:color w:val="000000" w:themeColor="text1"/>
        </w:rPr>
        <w:t>Secretariat’s comments</w:t>
      </w:r>
    </w:p>
    <w:p>
      <w:pPr>
        <w:pStyle w:val="Heading1"/>
        <w:numPr>
          <w:ilvl w:val="0"/>
          <w:numId w:val="67"/>
        </w:numPr>
        <w:rPr/>
      </w:pPr>
      <w:r>
        <w:rPr/>
        <w:t xml:space="preserve">The Secretariat reviewed the requests for the renewal of three IS projects submitted by UNIDO on behalf of the Governments concerned against the guidelines and relevant decisions regarding eligibility and funding levels, </w:t>
      </w:r>
      <w:r>
        <w:rPr>
          <w:lang w:val="en-US"/>
        </w:rPr>
        <w:t>including decision 74/51(c)</w:t>
      </w:r>
      <w:r>
        <w:rPr>
          <w:rStyle w:val="FootnoteAnchor"/>
          <w:lang w:val="en-US"/>
        </w:rPr>
        <w:footnoteReference w:id="2"/>
      </w:r>
      <w:r>
        <w:rPr/>
        <w:t>. The requests were cross-checked against the original IS work plan for the previous phase, country programme and Article 7 data, the latest report on implementation of the HCFC phase-out management plan (HPMP), the agency’s progress report, and any relevant decisions of the Meeting of the Parties. It was noted that these countries are in compliance with the ODS phase</w:t>
        <w:noBreakHyphen/>
        <w:t xml:space="preserve">out targets under the Montreal Protocol and that their annual HCFC consumption does not exceed the annual maximum allowable consumption indicated in their respective HPMP agreements with the Executive Committee. Furthermore, all requests submitted included performance indicators for the planned activities for the next phase of the IS projects in accordance with decision 74/51(e). </w:t>
      </w:r>
    </w:p>
    <w:p>
      <w:pPr>
        <w:pStyle w:val="Heading1"/>
        <w:numPr>
          <w:ilvl w:val="0"/>
          <w:numId w:val="0"/>
        </w:numPr>
        <w:ind w:left="0" w:hanging="0"/>
        <w:rPr>
          <w:b/>
          <w:b/>
          <w:color w:val="000000" w:themeColor="text1"/>
        </w:rPr>
      </w:pPr>
      <w:r>
        <w:rPr>
          <w:b/>
          <w:color w:val="000000" w:themeColor="text1"/>
        </w:rPr>
        <w:t>Secretariat’s recommendations</w:t>
      </w:r>
    </w:p>
    <w:p>
      <w:pPr>
        <w:pStyle w:val="Heading1"/>
        <w:numPr>
          <w:ilvl w:val="0"/>
          <w:numId w:val="68"/>
        </w:numPr>
        <w:rPr/>
      </w:pPr>
      <w:r>
        <w:rPr/>
        <w:t>The Secretariat recommends blanket approval of the IS renewal requests for Bosnia and Herzegovina, Serbia, and Turkey at the level of funding indicated in Table 1 of this document. The Executive Committee may wish to express to the aforementioned Governments the comments which appear in Annex II to this document.</w:t>
      </w:r>
    </w:p>
    <w:p>
      <w:pPr>
        <w:pStyle w:val="Normal"/>
        <w:rPr>
          <w:b/>
          <w:b/>
          <w:lang w:val="en-CA"/>
        </w:rPr>
      </w:pPr>
      <w:r>
        <w:rPr>
          <w:b/>
          <w:lang w:val="en-CA"/>
        </w:rPr>
        <w:t>A2: Technical assistance to prepare verification reports on HCFC consumption</w:t>
      </w:r>
    </w:p>
    <w:p>
      <w:pPr>
        <w:pStyle w:val="Normal"/>
        <w:rPr>
          <w:b/>
          <w:b/>
          <w:lang w:val="en-CA"/>
        </w:rPr>
      </w:pPr>
      <w:r>
        <w:rPr>
          <w:b/>
          <w:lang w:val="en-CA"/>
        </w:rPr>
      </w:r>
    </w:p>
    <w:p>
      <w:pPr>
        <w:pStyle w:val="Normal"/>
        <w:rPr>
          <w:u w:val="single"/>
          <w:lang w:val="en-CA"/>
        </w:rPr>
      </w:pPr>
      <w:r>
        <w:rPr>
          <w:u w:val="single"/>
          <w:lang w:val="en-CA"/>
        </w:rPr>
        <w:t>Oman: Technical assistance for verification report for stage I of the HPMP: US $30,000</w:t>
      </w:r>
    </w:p>
    <w:p>
      <w:pPr>
        <w:pStyle w:val="Normal"/>
        <w:rPr>
          <w:u w:val="single"/>
          <w:lang w:val="en-CA"/>
        </w:rPr>
      </w:pPr>
      <w:r>
        <w:rPr>
          <w:u w:val="single"/>
          <w:lang w:val="en-CA"/>
        </w:rPr>
      </w:r>
    </w:p>
    <w:p>
      <w:pPr>
        <w:pStyle w:val="Normal"/>
        <w:rPr>
          <w:u w:val="single"/>
          <w:lang w:val="en-CA"/>
        </w:rPr>
      </w:pPr>
      <w:r>
        <w:rPr>
          <w:u w:val="single"/>
          <w:lang w:val="en-CA"/>
        </w:rPr>
        <w:t>Sudan (the): Technical assistance for verification report for stage I of the HPMP: US $30,000</w:t>
      </w:r>
    </w:p>
    <w:p>
      <w:pPr>
        <w:pStyle w:val="Normal"/>
        <w:rPr>
          <w:u w:val="single"/>
          <w:lang w:val="en-CA"/>
        </w:rPr>
      </w:pPr>
      <w:r>
        <w:rPr>
          <w:u w:val="single"/>
          <w:lang w:val="en-CA"/>
        </w:rPr>
      </w:r>
    </w:p>
    <w:p>
      <w:pPr>
        <w:pStyle w:val="Normal"/>
        <w:rPr>
          <w:b/>
          <w:b/>
          <w:lang w:val="en-CA"/>
        </w:rPr>
      </w:pPr>
      <w:r>
        <w:rPr>
          <w:b/>
          <w:lang w:val="en-CA"/>
        </w:rPr>
        <w:t>Project description</w:t>
      </w:r>
    </w:p>
    <w:p>
      <w:pPr>
        <w:pStyle w:val="Normal"/>
        <w:rPr>
          <w:b/>
          <w:b/>
          <w:lang w:val="en-CA"/>
        </w:rPr>
      </w:pPr>
      <w:r>
        <w:rPr>
          <w:b/>
          <w:lang w:val="en-CA"/>
        </w:rPr>
      </w:r>
    </w:p>
    <w:p>
      <w:pPr>
        <w:pStyle w:val="Heading1"/>
        <w:numPr>
          <w:ilvl w:val="0"/>
          <w:numId w:val="32"/>
        </w:numPr>
        <w:rPr/>
      </w:pPr>
      <w:r>
        <w:rPr/>
        <w:t>The Executive Committee in decision 79/26, requested relevant bilateral and implementing agencies to include in their respective work programme amendments for submission to the 80</w:t>
      </w:r>
      <w:r>
        <w:rPr>
          <w:vertAlign w:val="superscript"/>
        </w:rPr>
        <w:t>th</w:t>
      </w:r>
      <w:r>
        <w:rPr/>
        <w:t xml:space="preserve"> meeting, funding for verification reports for stage I of the HPMPs for, </w:t>
      </w:r>
      <w:r>
        <w:rPr>
          <w:i/>
        </w:rPr>
        <w:t>inter alia</w:t>
      </w:r>
      <w:r>
        <w:rPr/>
        <w:t>, Oman and Sudan (the), where UNIDO is the lead implementing agency.</w:t>
      </w:r>
    </w:p>
    <w:p>
      <w:pPr>
        <w:pStyle w:val="Normal"/>
        <w:rPr>
          <w:b/>
          <w:b/>
          <w:lang w:val="en-CA"/>
        </w:rPr>
      </w:pPr>
      <w:r>
        <w:rPr>
          <w:b/>
          <w:lang w:val="en-CA"/>
        </w:rPr>
        <w:t>Secretariat’s comments</w:t>
      </w:r>
    </w:p>
    <w:p>
      <w:pPr>
        <w:pStyle w:val="Normal"/>
        <w:rPr>
          <w:b/>
          <w:b/>
          <w:lang w:val="en-CA"/>
        </w:rPr>
      </w:pPr>
      <w:r>
        <w:rPr>
          <w:b/>
          <w:lang w:val="en-CA"/>
        </w:rPr>
      </w:r>
    </w:p>
    <w:p>
      <w:pPr>
        <w:pStyle w:val="Heading1"/>
        <w:numPr>
          <w:ilvl w:val="0"/>
          <w:numId w:val="32"/>
        </w:numPr>
        <w:rPr>
          <w:lang w:val="en-CA"/>
        </w:rPr>
      </w:pPr>
      <w:r>
        <w:rPr/>
        <w:t>The Secretariat noted that the funding requested was consistent with the funds approved for similar verifications in previous meetings. It further noted that the verification report has to be submitted at least 60 days prior to the applicable Executive Committee meeting where the next funding tranche for its HPMP is being sought.</w:t>
      </w:r>
    </w:p>
    <w:p>
      <w:pPr>
        <w:pStyle w:val="Normal"/>
        <w:rPr>
          <w:b/>
          <w:b/>
          <w:lang w:val="en-CA"/>
        </w:rPr>
      </w:pPr>
      <w:r>
        <w:rPr>
          <w:b/>
          <w:lang w:val="en-CA"/>
        </w:rPr>
        <w:t>Secretariat’s recommendations</w:t>
      </w:r>
    </w:p>
    <w:p>
      <w:pPr>
        <w:pStyle w:val="Normal"/>
        <w:rPr>
          <w:b/>
          <w:b/>
          <w:lang w:val="en-CA"/>
        </w:rPr>
      </w:pPr>
      <w:r>
        <w:rPr>
          <w:b/>
          <w:lang w:val="en-CA"/>
        </w:rPr>
      </w:r>
    </w:p>
    <w:p>
      <w:pPr>
        <w:pStyle w:val="Heading1"/>
        <w:numPr>
          <w:ilvl w:val="0"/>
          <w:numId w:val="32"/>
        </w:numPr>
        <w:rPr>
          <w:lang w:val="en-CA"/>
        </w:rPr>
      </w:pPr>
      <w:r>
        <w:rPr/>
        <w:t>The Secretariat recommends blanket approval for the verification report for stage I of HPMP for Oman and Sudan at the level of funding indicated in Table 1 on the understanding that the verification reports should be submitted at least 60 days prior to the applicable Executive Committee meeting where the next funding tranche for its HPMP is being sought.</w:t>
      </w:r>
    </w:p>
    <w:p>
      <w:pPr>
        <w:pStyle w:val="Normal"/>
        <w:rPr>
          <w:b/>
          <w:b/>
          <w:lang w:val="en-CA"/>
        </w:rPr>
      </w:pPr>
      <w:r>
        <w:rPr>
          <w:b/>
          <w:lang w:val="en-CA"/>
        </w:rPr>
        <w:t>SECTION B: ACTIVITIES RECOMMENDED FOR INDIVIDUAL CONSIDERATION</w:t>
      </w:r>
    </w:p>
    <w:p>
      <w:pPr>
        <w:pStyle w:val="Normal"/>
        <w:rPr>
          <w:b/>
          <w:b/>
          <w:lang w:val="en-CA"/>
        </w:rPr>
      </w:pPr>
      <w:r>
        <w:rPr>
          <w:b/>
          <w:lang w:val="en-CA"/>
        </w:rPr>
      </w:r>
    </w:p>
    <w:p>
      <w:pPr>
        <w:pStyle w:val="Normal"/>
        <w:rPr>
          <w:b/>
          <w:b/>
          <w:lang w:val="en-CA"/>
        </w:rPr>
      </w:pPr>
      <w:r>
        <w:rPr>
          <w:b/>
          <w:lang w:val="en-CA"/>
        </w:rPr>
        <w:t>B1: Technical assistance for enabling activities (decision 79/46)</w:t>
      </w:r>
    </w:p>
    <w:p>
      <w:pPr>
        <w:pStyle w:val="Normal"/>
        <w:rPr>
          <w:lang w:val="en-CA"/>
        </w:rPr>
      </w:pPr>
      <w:r>
        <w:rPr>
          <w:lang w:val="en-CA"/>
        </w:rPr>
      </w:r>
    </w:p>
    <w:p>
      <w:pPr>
        <w:pStyle w:val="Normal"/>
        <w:rPr>
          <w:u w:val="single"/>
          <w:lang w:val="en-CA"/>
        </w:rPr>
      </w:pPr>
      <w:r>
        <w:rPr>
          <w:u w:val="single"/>
          <w:lang w:val="en-CA"/>
        </w:rPr>
        <w:t>Background</w:t>
      </w:r>
    </w:p>
    <w:p>
      <w:pPr>
        <w:pStyle w:val="Normal"/>
        <w:rPr>
          <w:b/>
          <w:b/>
          <w:lang w:val="en-CA"/>
        </w:rPr>
      </w:pPr>
      <w:r>
        <w:rPr>
          <w:b/>
          <w:lang w:val="en-CA"/>
        </w:rPr>
      </w:r>
    </w:p>
    <w:p>
      <w:pPr>
        <w:pStyle w:val="Heading1"/>
        <w:numPr>
          <w:ilvl w:val="0"/>
          <w:numId w:val="32"/>
        </w:numPr>
        <w:rPr>
          <w:lang w:val="en-CA"/>
        </w:rPr>
      </w:pPr>
      <w:r>
        <w:rPr>
          <w:lang w:val="en-CA"/>
        </w:rPr>
        <w:t>In line with decision 79/46,</w:t>
      </w:r>
      <w:r>
        <w:rPr>
          <w:rStyle w:val="FootnoteAnchor"/>
          <w:lang w:val="en-CA"/>
        </w:rPr>
        <w:footnoteReference w:id="3"/>
      </w:r>
      <w:r>
        <w:rPr>
          <w:lang w:val="en-CA"/>
        </w:rPr>
        <w:t xml:space="preserve">  UNIDO submitted funding requests for the implementation of enabling activities in the 18 Article 5 countries listed in Table 1. The detailed proposals are contained in Section 2 of UNIDO’s submission.</w:t>
      </w:r>
    </w:p>
    <w:p>
      <w:pPr>
        <w:pStyle w:val="Heading1"/>
        <w:numPr>
          <w:ilvl w:val="0"/>
          <w:numId w:val="32"/>
        </w:numPr>
        <w:rPr>
          <w:lang w:val="en-CA"/>
        </w:rPr>
      </w:pPr>
      <w:r>
        <w:rPr>
          <w:lang w:val="en-CA"/>
        </w:rPr>
        <w:t>The enabling activities submitted by the 18 countries consist of the following elements:</w:t>
      </w:r>
    </w:p>
    <w:p>
      <w:pPr>
        <w:pStyle w:val="Heading2"/>
        <w:numPr>
          <w:ilvl w:val="1"/>
          <w:numId w:val="32"/>
        </w:numPr>
        <w:rPr>
          <w:lang w:val="en-CA"/>
        </w:rPr>
      </w:pPr>
      <w:r>
        <w:rPr>
          <w:lang w:val="en-CA"/>
        </w:rPr>
        <w:t>Activities to support the early ratification of the Kigali Amendment, including stakeholder consultation, support the development of national ratification instruments, and raise awareness on HFC phase-down and energy efficiency improvement;</w:t>
      </w:r>
    </w:p>
    <w:p>
      <w:pPr>
        <w:pStyle w:val="Heading2"/>
        <w:numPr>
          <w:ilvl w:val="1"/>
          <w:numId w:val="32"/>
        </w:numPr>
        <w:rPr>
          <w:lang w:val="en-CA"/>
        </w:rPr>
      </w:pPr>
      <w:r>
        <w:rPr>
          <w:lang w:val="en-CA"/>
        </w:rPr>
        <w:t>Institutional arrangements to support licensing and reporting including the review of codes and standards for the efficient use of HFCs and ODS alternatives in the value chain; preparing harmonized tariff codes according to HFC commitments, with special attention to HFC blends; and review of the national mechanisms used for ODS reporting to include HFCs consumption;</w:t>
      </w:r>
    </w:p>
    <w:p>
      <w:pPr>
        <w:pStyle w:val="Heading2"/>
        <w:numPr>
          <w:ilvl w:val="1"/>
          <w:numId w:val="32"/>
        </w:numPr>
        <w:rPr>
          <w:lang w:val="en-CA"/>
        </w:rPr>
      </w:pPr>
      <w:r>
        <w:rPr>
          <w:lang w:val="en-CA"/>
        </w:rPr>
        <w:t>Preparation of a national strategy for the implementation of the Kigali Amendment including assessment of the refrigeration and air-conditioning servicing sector; inventory of the refrigeration and air-conditioning equipment; and policy, institutional and management framework to facilitate the phase-down of HFCs and the introduction of low</w:t>
        <w:noBreakHyphen/>
        <w:t>GWP alternative technologies.</w:t>
      </w:r>
    </w:p>
    <w:p>
      <w:pPr>
        <w:pStyle w:val="Normal"/>
        <w:rPr>
          <w:b/>
          <w:b/>
          <w:lang w:val="en-CA"/>
        </w:rPr>
      </w:pPr>
      <w:r>
        <w:rPr>
          <w:b/>
          <w:lang w:val="en-CA"/>
        </w:rPr>
        <w:t>Secretariat’s comment</w:t>
      </w:r>
    </w:p>
    <w:p>
      <w:pPr>
        <w:pStyle w:val="Normal"/>
        <w:rPr>
          <w:b/>
          <w:b/>
          <w:lang w:val="en-CA"/>
        </w:rPr>
      </w:pPr>
      <w:r>
        <w:rPr>
          <w:b/>
          <w:lang w:val="en-CA"/>
        </w:rPr>
      </w:r>
    </w:p>
    <w:p>
      <w:pPr>
        <w:pStyle w:val="Heading1"/>
        <w:numPr>
          <w:ilvl w:val="0"/>
          <w:numId w:val="32"/>
        </w:numPr>
        <w:rPr>
          <w:lang w:val="en-CA"/>
        </w:rPr>
      </w:pPr>
      <w:r>
        <w:rPr>
          <w:lang w:val="en-CA"/>
        </w:rPr>
        <w:t>To facilitate the preparation and submission of requests for enabling activities, the Secretariat prepared a Guide for the submission of enabling activities for HFC phase-down and presented to bilateral and implementing agencies at the Inter-agency coordination meeting.</w:t>
      </w:r>
      <w:r>
        <w:rPr>
          <w:rStyle w:val="FootnoteAnchor"/>
          <w:lang w:val="en-CA"/>
        </w:rPr>
        <w:footnoteReference w:id="4"/>
      </w:r>
      <w:r>
        <w:rPr>
          <w:lang w:val="en-CA"/>
        </w:rPr>
        <w:t xml:space="preserve">  The Secretariat notes that the requests for enabling activities submitted by UNIDO followed the guide.</w:t>
      </w:r>
    </w:p>
    <w:p>
      <w:pPr>
        <w:pStyle w:val="Heading1"/>
        <w:numPr>
          <w:ilvl w:val="0"/>
          <w:numId w:val="32"/>
        </w:numPr>
        <w:rPr>
          <w:lang w:val="en-CA"/>
        </w:rPr>
      </w:pPr>
      <w:r>
        <w:rPr>
          <w:lang w:val="en-CA"/>
        </w:rPr>
        <w:t>The Governments of Germany and Italy (as bilateral agencies), and the four implementing agencies, all submitted requests for funding for enabling activities, on behalf of 59 Article 5 countries, in line with decision 79/46. In sub-paragraph (e) of the decision, the Committee decided that requests for enabling activities submitted to the 80</w:t>
      </w:r>
      <w:r>
        <w:rPr>
          <w:vertAlign w:val="superscript"/>
          <w:lang w:val="en-CA"/>
        </w:rPr>
        <w:t>th</w:t>
      </w:r>
      <w:r>
        <w:rPr>
          <w:lang w:val="en-CA"/>
        </w:rPr>
        <w:t xml:space="preserve"> meeting would be funded to the extent possible from additional voluntary contributions provided by non-Article 5 Parties. To facilitate the review and discussion by Committee members, and given the funding modality agreed in decision 79/46(e), the Secretariat has included a list of all the requests for enabling activities submitted to the 80</w:t>
      </w:r>
      <w:r>
        <w:rPr>
          <w:vertAlign w:val="superscript"/>
          <w:lang w:val="en-CA"/>
        </w:rPr>
        <w:t>th</w:t>
      </w:r>
      <w:r>
        <w:rPr>
          <w:lang w:val="en-CA"/>
        </w:rPr>
        <w:t xml:space="preserve"> meeting, indicating funding levels and agencies involved, in the document on the Overview of issues identified during project review.</w:t>
      </w:r>
      <w:r>
        <w:rPr>
          <w:rStyle w:val="FootnoteAnchor"/>
          <w:lang w:val="en-CA"/>
        </w:rPr>
        <w:footnoteReference w:id="5"/>
      </w:r>
      <w:r>
        <w:rPr>
          <w:lang w:val="en-CA"/>
        </w:rPr>
        <w:t xml:space="preserve">  </w:t>
      </w:r>
    </w:p>
    <w:p>
      <w:pPr>
        <w:pStyle w:val="Heading1"/>
        <w:numPr>
          <w:ilvl w:val="0"/>
          <w:numId w:val="32"/>
        </w:numPr>
        <w:rPr>
          <w:lang w:val="en-CA"/>
        </w:rPr>
      </w:pPr>
      <w:r>
        <w:rPr>
          <w:lang w:val="en-CA"/>
        </w:rPr>
        <w:t>The Secretariat reviewed the requests for enabling activities and concluded that they fulfilled all the requirements of decision 79/46, as noted below:</w:t>
      </w:r>
    </w:p>
    <w:p>
      <w:pPr>
        <w:pStyle w:val="Heading2"/>
        <w:numPr>
          <w:ilvl w:val="1"/>
          <w:numId w:val="32"/>
        </w:numPr>
        <w:rPr>
          <w:lang w:val="en-CA"/>
        </w:rPr>
      </w:pPr>
      <w:r>
        <w:rPr>
          <w:lang w:val="en-CA"/>
        </w:rPr>
        <w:t>UNIDO submitted endorsement letters from the Governments of the 18 Article 5 countries indicating their intent to make best efforts to ratify the Kigali Amendment as early as possible;</w:t>
      </w:r>
    </w:p>
    <w:p>
      <w:pPr>
        <w:pStyle w:val="Heading2"/>
        <w:numPr>
          <w:ilvl w:val="1"/>
          <w:numId w:val="32"/>
        </w:numPr>
        <w:rPr>
          <w:lang w:val="en-CA"/>
        </w:rPr>
      </w:pPr>
      <w:r>
        <w:rPr>
          <w:lang w:val="en-CA"/>
        </w:rPr>
        <w:t>The 18 project proposals included detailed descriptions of each of the enabling activities, institutional arrangements, cost breakdown and the schedule for implementation;</w:t>
      </w:r>
    </w:p>
    <w:p>
      <w:pPr>
        <w:pStyle w:val="Heading2"/>
        <w:numPr>
          <w:ilvl w:val="1"/>
          <w:numId w:val="32"/>
        </w:numPr>
        <w:rPr>
          <w:lang w:val="en-CA"/>
        </w:rPr>
      </w:pPr>
      <w:r>
        <w:rPr>
          <w:lang w:val="en-CA"/>
        </w:rPr>
        <w:t>All of the proposals will be implemented in 18 months.</w:t>
      </w:r>
    </w:p>
    <w:p>
      <w:pPr>
        <w:pStyle w:val="Heading1"/>
        <w:numPr>
          <w:ilvl w:val="0"/>
          <w:numId w:val="0"/>
        </w:numPr>
        <w:ind w:left="0" w:hanging="0"/>
        <w:rPr>
          <w:b/>
          <w:b/>
          <w:lang w:val="en-CA"/>
        </w:rPr>
      </w:pPr>
      <w:r>
        <w:rPr>
          <w:b/>
          <w:lang w:val="en-CA"/>
        </w:rPr>
        <w:t>Secretariat’s recommendation</w:t>
      </w:r>
    </w:p>
    <w:p>
      <w:pPr>
        <w:pStyle w:val="Heading1"/>
        <w:numPr>
          <w:ilvl w:val="0"/>
          <w:numId w:val="32"/>
        </w:numPr>
        <w:rPr>
          <w:lang w:val="en-CA"/>
        </w:rPr>
      </w:pPr>
      <w:r>
        <w:rPr>
          <w:lang w:val="en-CA"/>
        </w:rPr>
        <w:t>The Executive Committee may wish to consider the requests for enabling activities for HFC phase</w:t>
        <w:noBreakHyphen/>
        <w:t>down for the 18 Article 5 countries listed in Table 1 above, in the context of its discussion of the proposals for HFC-related projects described in the document on Overview of issues identified during project review (UNEP/Oz</w:t>
      </w:r>
      <w:bookmarkStart w:id="0" w:name="_GoBack"/>
      <w:bookmarkEnd w:id="0"/>
      <w:r>
        <w:rPr>
          <w:lang w:val="en-CA"/>
        </w:rPr>
        <w:t>L.Pro/ExCom/80/22).</w:t>
      </w:r>
    </w:p>
    <w:p>
      <w:pPr>
        <w:pStyle w:val="Normal"/>
        <w:keepNext w:val="true"/>
        <w:rPr>
          <w:b/>
          <w:b/>
          <w:lang w:val="en-CA"/>
        </w:rPr>
      </w:pPr>
      <w:r>
        <w:rPr>
          <w:b/>
          <w:lang w:val="en-CA"/>
        </w:rPr>
        <w:t>B2: Project preparation for HFC-related projects (decision 78/3(g))</w:t>
      </w:r>
    </w:p>
    <w:p>
      <w:pPr>
        <w:pStyle w:val="Normal"/>
        <w:keepNext w:val="true"/>
        <w:rPr>
          <w:u w:val="single"/>
        </w:rPr>
      </w:pPr>
      <w:r>
        <w:rPr>
          <w:u w:val="single"/>
        </w:rPr>
      </w:r>
    </w:p>
    <w:p>
      <w:pPr>
        <w:pStyle w:val="Normal"/>
        <w:keepNext w:val="true"/>
        <w:rPr>
          <w:u w:val="single"/>
          <w:lang w:val="en-CA"/>
        </w:rPr>
      </w:pPr>
      <w:r>
        <w:rPr>
          <w:u w:val="single"/>
          <w:lang w:val="en-CA"/>
        </w:rPr>
        <w:t>Project description</w:t>
      </w:r>
    </w:p>
    <w:p>
      <w:pPr>
        <w:pStyle w:val="Normal"/>
        <w:keepNext w:val="true"/>
        <w:rPr>
          <w:u w:val="single"/>
          <w:lang w:val="en-CA"/>
        </w:rPr>
      </w:pPr>
      <w:r>
        <w:rPr>
          <w:u w:val="single"/>
          <w:lang w:val="en-CA"/>
        </w:rPr>
      </w:r>
    </w:p>
    <w:p>
      <w:pPr>
        <w:pStyle w:val="Normal"/>
        <w:keepNext w:val="true"/>
        <w:numPr>
          <w:ilvl w:val="0"/>
          <w:numId w:val="32"/>
        </w:numPr>
        <w:spacing w:before="0" w:after="240"/>
        <w:outlineLvl w:val="0"/>
        <w:rPr>
          <w:lang w:val="en-CA"/>
        </w:rPr>
      </w:pPr>
      <w:r>
        <w:rPr>
          <w:lang w:val="en-CA"/>
        </w:rPr>
        <w:t xml:space="preserve">UNIDO submitted seven requests for project preparation </w:t>
      </w:r>
      <w:r>
        <w:rPr/>
        <w:t xml:space="preserve">for the conversion of HFC to low-GWP refrigerant in refrigeration manufacturing in five countries (two projects each for Ecuador and Mexico, one each for Lebanon, Morocco and Viet Nam), listed in Table 1 above. </w:t>
      </w:r>
      <w:r>
        <w:rPr>
          <w:lang w:val="en-CA"/>
        </w:rPr>
        <w:t>Details of the project preparation requests are contained in Section 2 of UNIDO’s submission.</w:t>
      </w:r>
    </w:p>
    <w:p>
      <w:pPr>
        <w:pStyle w:val="Normal"/>
        <w:keepNext w:val="true"/>
        <w:rPr>
          <w:b/>
          <w:b/>
          <w:lang w:val="en-CA"/>
        </w:rPr>
      </w:pPr>
      <w:r>
        <w:rPr>
          <w:b/>
          <w:lang w:val="en-CA"/>
        </w:rPr>
        <w:t>Secretariat’s comments</w:t>
      </w:r>
    </w:p>
    <w:p>
      <w:pPr>
        <w:pStyle w:val="Normal"/>
        <w:keepNext w:val="true"/>
        <w:rPr>
          <w:b/>
          <w:b/>
          <w:lang w:val="en-CA"/>
        </w:rPr>
      </w:pPr>
      <w:r>
        <w:rPr>
          <w:b/>
          <w:lang w:val="en-CA"/>
        </w:rPr>
      </w:r>
    </w:p>
    <w:p>
      <w:pPr>
        <w:pStyle w:val="Heading1"/>
        <w:numPr>
          <w:ilvl w:val="0"/>
          <w:numId w:val="32"/>
        </w:numPr>
        <w:rPr>
          <w:lang w:val="en-CA"/>
        </w:rPr>
      </w:pPr>
      <w:r>
        <w:rPr>
          <w:lang w:val="en-CA"/>
        </w:rPr>
        <w:t xml:space="preserve">  </w:t>
      </w:r>
      <w:r>
        <w:rPr>
          <w:lang w:val="en-CA"/>
        </w:rPr>
        <w:t>The Government of Germany (as bilateral agency), and three implementing agencies, submitted requests for funding for preparation of HFC phase-out investment projects in the consumption sector in ten Article 5 countries, and four (fully developed) investment projects for the phase-out of HFC-134a in Argentina,</w:t>
      </w:r>
      <w:r>
        <w:rPr>
          <w:rStyle w:val="FootnoteAnchor"/>
          <w:lang w:val="en-CA"/>
        </w:rPr>
        <w:footnoteReference w:id="6"/>
      </w:r>
      <w:r>
        <w:rPr>
          <w:lang w:val="en-CA"/>
        </w:rPr>
        <w:t xml:space="preserve">  Bangladesh,</w:t>
      </w:r>
      <w:r>
        <w:rPr>
          <w:rStyle w:val="FootnoteAnchor"/>
          <w:lang w:val="en-CA"/>
        </w:rPr>
        <w:footnoteReference w:id="7"/>
      </w:r>
      <w:r>
        <w:rPr>
          <w:lang w:val="en-CA"/>
        </w:rPr>
        <w:t xml:space="preserve">  Colombia</w:t>
      </w:r>
      <w:r>
        <w:rPr>
          <w:rStyle w:val="FootnoteAnchor"/>
          <w:lang w:val="en-CA"/>
        </w:rPr>
        <w:footnoteReference w:id="8"/>
      </w:r>
      <w:r>
        <w:rPr>
          <w:lang w:val="en-CA"/>
        </w:rPr>
        <w:t xml:space="preserve">   and Mexico,</w:t>
      </w:r>
      <w:r>
        <w:rPr>
          <w:rStyle w:val="FootnoteAnchor"/>
          <w:lang w:val="en-CA"/>
        </w:rPr>
        <w:footnoteReference w:id="9"/>
      </w:r>
      <w:r>
        <w:rPr>
          <w:lang w:val="en-CA"/>
        </w:rPr>
        <w:t xml:space="preserve">   in line with decisions 78/3</w:t>
      </w:r>
      <w:r>
        <w:rPr>
          <w:rStyle w:val="FootnoteAnchor"/>
          <w:lang w:val="en-CA"/>
        </w:rPr>
        <w:footnoteReference w:id="10"/>
      </w:r>
      <w:r>
        <w:rPr>
          <w:lang w:val="en-CA"/>
        </w:rPr>
        <w:t xml:space="preserve"> and 79/45.</w:t>
      </w:r>
      <w:r>
        <w:rPr>
          <w:rStyle w:val="FootnoteAnchor"/>
          <w:lang w:val="en-CA"/>
        </w:rPr>
        <w:footnoteReference w:id="11"/>
      </w:r>
      <w:r>
        <w:rPr>
          <w:lang w:val="en-CA"/>
        </w:rPr>
        <w:t xml:space="preserve"> The Executive Committee would need to consider all the HFC-related projects proposals submitted to the 80</w:t>
      </w:r>
      <w:r>
        <w:rPr>
          <w:vertAlign w:val="superscript"/>
          <w:lang w:val="en-CA"/>
        </w:rPr>
        <w:t>th</w:t>
      </w:r>
      <w:r>
        <w:rPr>
          <w:lang w:val="en-CA"/>
        </w:rPr>
        <w:t> meeting, noting the criteria for their selection (i.e., technology being proposed, the replicability and the geographic distribution of the proposals) and their funding modality (i.e., to the extent possible, from additional voluntary contributions provided by non-Article 5 Parties, after giving priority to enabling activities ). To facilitate the review and discussion by Committee members, the Secretariat has included a list of all the HFC-related project proposals submitted to the 80</w:t>
      </w:r>
      <w:r>
        <w:rPr>
          <w:vertAlign w:val="superscript"/>
          <w:lang w:val="en-CA"/>
        </w:rPr>
        <w:t>th</w:t>
      </w:r>
      <w:r>
        <w:rPr>
          <w:lang w:val="en-CA"/>
        </w:rPr>
        <w:t xml:space="preserve"> meeting, indicating a brief description, technology selected, funding levels and agencies involved, in the document on the Overview of issues identified during project review.</w:t>
      </w:r>
    </w:p>
    <w:p>
      <w:pPr>
        <w:pStyle w:val="Heading1"/>
        <w:widowControl w:val="false"/>
        <w:numPr>
          <w:ilvl w:val="0"/>
          <w:numId w:val="32"/>
        </w:numPr>
        <w:rPr>
          <w:lang w:val="en-CA"/>
        </w:rPr>
      </w:pPr>
      <w:r>
        <w:rPr>
          <w:lang w:val="en-CA"/>
        </w:rPr>
        <w:t>With regard to the request for project preparation for the seven HFC phase-out projects, the Secretariat noted that the submissions fulfilled all the requirements of decisions 78/3 and 79/45, and were consistent with relevant decisions related to project preparation funding.</w:t>
      </w:r>
    </w:p>
    <w:p>
      <w:pPr>
        <w:pStyle w:val="Normal"/>
        <w:widowControl w:val="false"/>
        <w:rPr>
          <w:b/>
          <w:b/>
          <w:lang w:val="en-CA"/>
        </w:rPr>
      </w:pPr>
      <w:r>
        <w:rPr>
          <w:b/>
          <w:lang w:val="en-CA"/>
        </w:rPr>
        <w:t>Secretariat’s recommendation</w:t>
      </w:r>
    </w:p>
    <w:p>
      <w:pPr>
        <w:pStyle w:val="Normal"/>
        <w:rPr>
          <w:b/>
          <w:b/>
          <w:lang w:val="en-CA"/>
        </w:rPr>
      </w:pPr>
      <w:r>
        <w:rPr>
          <w:b/>
          <w:lang w:val="en-CA"/>
        </w:rPr>
      </w:r>
    </w:p>
    <w:p>
      <w:pPr>
        <w:sectPr>
          <w:headerReference w:type="even" r:id="rId4"/>
          <w:headerReference w:type="default" r:id="rId5"/>
          <w:footerReference w:type="even" r:id="rId6"/>
          <w:footerReference w:type="default" r:id="rId7"/>
          <w:footerReference w:type="first" r:id="rId8"/>
          <w:footnotePr>
            <w:numFmt w:val="decimal"/>
          </w:footnotePr>
          <w:type w:val="nextPage"/>
          <w:pgSz w:w="12240" w:h="15840"/>
          <w:pgMar w:left="1440" w:right="1440" w:gutter="0" w:header="720" w:top="777" w:footer="475" w:bottom="864"/>
          <w:pgNumType w:fmt="decimal"/>
          <w:formProt w:val="false"/>
          <w:titlePg/>
          <w:textDirection w:val="lrTb"/>
          <w:docGrid w:type="default" w:linePitch="100" w:charSpace="0"/>
        </w:sectPr>
        <w:pStyle w:val="Heading1"/>
        <w:numPr>
          <w:ilvl w:val="0"/>
          <w:numId w:val="32"/>
        </w:numPr>
        <w:rPr>
          <w:lang w:val="en-CA"/>
        </w:rPr>
      </w:pPr>
      <w:r>
        <w:rPr>
          <w:lang w:val="en-CA"/>
        </w:rPr>
        <w:t>The Executive Committee may wish to consider the requests for project preparation for conversion from HFC to low-GWP alternatives in the refrigeration manufacturing sector in Ecuador, Lebanon, Mexico, Morocco and Viet Nam, listed in Table 1 above, in the context of its discussion of the proposals for HFC</w:t>
        <w:noBreakHyphen/>
        <w:t xml:space="preserve">related projects described in the document on Overview of issues identified during project review (UNEP/OzL.Pro/ExCom/80/22). </w:t>
      </w:r>
    </w:p>
    <w:p>
      <w:pPr>
        <w:pStyle w:val="Normal"/>
        <w:rPr>
          <w:lang w:val="en-CA"/>
        </w:rPr>
      </w:pPr>
      <w:r>
        <w:rPr>
          <w:lang w:val="en-CA"/>
        </w:rPr>
      </w:r>
    </w:p>
    <w:p>
      <w:pPr>
        <w:pStyle w:val="Normal"/>
        <w:widowControl w:val="false"/>
        <w:spacing w:before="0" w:after="240"/>
        <w:jc w:val="center"/>
        <w:rPr>
          <w:b/>
          <w:b/>
          <w:lang w:val="en-US"/>
        </w:rPr>
      </w:pPr>
      <w:r>
        <w:rPr>
          <w:b/>
          <w:lang w:val="en-US"/>
        </w:rPr>
        <w:t>Annex I</w:t>
      </w:r>
    </w:p>
    <w:p>
      <w:pPr>
        <w:pStyle w:val="Title1"/>
        <w:widowControl w:val="false"/>
        <w:spacing w:before="0" w:after="240"/>
        <w:rPr>
          <w:lang w:val="en-US"/>
        </w:rPr>
      </w:pPr>
      <w:r>
        <w:rPr>
          <w:lang w:val="en-US"/>
        </w:rPr>
        <w:t>institutional strengthening (IS) project proposals</w:t>
      </w:r>
    </w:p>
    <w:p>
      <w:pPr>
        <w:pStyle w:val="Normal"/>
        <w:rPr>
          <w:b/>
          <w:b/>
          <w:bCs/>
        </w:rPr>
      </w:pPr>
      <w:r>
        <w:rPr>
          <w:b/>
          <w:bCs/>
        </w:rPr>
        <w:t>Bosnia and Herzegovina:  Renewal of institutional strengthening</w:t>
      </w:r>
    </w:p>
    <w:p>
      <w:pPr>
        <w:pStyle w:val="Normal"/>
        <w:ind w:left="-180" w:hanging="0"/>
        <w:rPr>
          <w:b/>
          <w:b/>
          <w:bCs/>
        </w:rPr>
      </w:pPr>
      <w:r>
        <w:rPr>
          <w:b/>
          <w:bCs/>
        </w:rPr>
      </w:r>
    </w:p>
    <w:tbl>
      <w:tblPr>
        <w:tblStyle w:val="TableGrid10"/>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6379"/>
        <w:gridCol w:w="1277"/>
        <w:gridCol w:w="1704"/>
      </w:tblGrid>
      <w:tr>
        <w:trPr>
          <w:tblHeader w:val="true"/>
          <w:trHeight w:val="278" w:hRule="atLeast"/>
        </w:trPr>
        <w:tc>
          <w:tcPr>
            <w:tcW w:w="7656" w:type="dxa"/>
            <w:gridSpan w:val="2"/>
            <w:tcBorders/>
          </w:tcPr>
          <w:p>
            <w:pPr>
              <w:pStyle w:val="Normal"/>
              <w:widowControl/>
              <w:spacing w:before="0" w:after="0"/>
              <w:rPr>
                <w:b/>
                <w:b/>
                <w:sz w:val="20"/>
              </w:rPr>
            </w:pPr>
            <w:r>
              <w:rPr>
                <w:rFonts w:eastAsia="Times New Roman" w:cs="Times New Roman"/>
                <w:b/>
                <w:kern w:val="0"/>
                <w:sz w:val="20"/>
                <w:lang w:eastAsia="en-US" w:bidi="ar-SA"/>
              </w:rPr>
              <w:t>Summary of the project and country profile</w:t>
            </w:r>
          </w:p>
        </w:tc>
        <w:tc>
          <w:tcPr>
            <w:tcW w:w="1704" w:type="dxa"/>
            <w:tcBorders/>
          </w:tcPr>
          <w:p>
            <w:pPr>
              <w:pStyle w:val="Normal"/>
              <w:widowControl/>
              <w:spacing w:before="0" w:after="0"/>
              <w:jc w:val="right"/>
              <w:rPr>
                <w:b/>
                <w:b/>
                <w:sz w:val="20"/>
              </w:rPr>
            </w:pPr>
            <w:r>
              <w:rPr>
                <w:rFonts w:eastAsia="Times New Roman" w:cs="Times New Roman"/>
                <w:b/>
                <w:kern w:val="0"/>
                <w:sz w:val="20"/>
                <w:lang w:eastAsia="en-US" w:bidi="ar-SA"/>
              </w:rPr>
            </w:r>
          </w:p>
        </w:tc>
      </w:tr>
      <w:tr>
        <w:trPr>
          <w:trHeight w:val="233" w:hRule="atLeast"/>
        </w:trPr>
        <w:tc>
          <w:tcPr>
            <w:tcW w:w="7656" w:type="dxa"/>
            <w:gridSpan w:val="2"/>
            <w:tcBorders/>
          </w:tcPr>
          <w:p>
            <w:pPr>
              <w:pStyle w:val="Normal"/>
              <w:widowControl/>
              <w:spacing w:before="0" w:after="0"/>
              <w:rPr>
                <w:sz w:val="20"/>
              </w:rPr>
            </w:pPr>
            <w:r>
              <w:rPr>
                <w:rFonts w:eastAsia="Times New Roman" w:cs="Times New Roman"/>
                <w:kern w:val="0"/>
                <w:sz w:val="20"/>
                <w:lang w:eastAsia="en-US" w:bidi="ar-SA"/>
              </w:rPr>
              <w:t>Implementing agency:</w:t>
            </w:r>
          </w:p>
        </w:tc>
        <w:tc>
          <w:tcPr>
            <w:tcW w:w="1704" w:type="dxa"/>
            <w:tcBorders/>
          </w:tcPr>
          <w:p>
            <w:pPr>
              <w:pStyle w:val="Normal"/>
              <w:widowControl/>
              <w:spacing w:before="0" w:after="0"/>
              <w:jc w:val="center"/>
              <w:rPr>
                <w:sz w:val="20"/>
              </w:rPr>
            </w:pPr>
            <w:r>
              <w:rPr>
                <w:rFonts w:eastAsia="Times New Roman" w:cs="Times New Roman"/>
                <w:kern w:val="0"/>
                <w:sz w:val="20"/>
                <w:lang w:eastAsia="en-US" w:bidi="ar-SA"/>
              </w:rPr>
              <w:t>UNIDO</w:t>
            </w:r>
          </w:p>
        </w:tc>
      </w:tr>
      <w:tr>
        <w:trPr>
          <w:trHeight w:val="233" w:hRule="atLeast"/>
        </w:trPr>
        <w:tc>
          <w:tcPr>
            <w:tcW w:w="7656" w:type="dxa"/>
            <w:gridSpan w:val="2"/>
            <w:tcBorders>
              <w:bottom w:val="nil"/>
            </w:tcBorders>
          </w:tcPr>
          <w:p>
            <w:pPr>
              <w:pStyle w:val="Normal"/>
              <w:widowControl/>
              <w:spacing w:before="0" w:after="0"/>
              <w:rPr>
                <w:sz w:val="20"/>
              </w:rPr>
            </w:pPr>
            <w:r>
              <w:rPr>
                <w:rFonts w:eastAsia="Times New Roman" w:cs="Times New Roman"/>
                <w:kern w:val="0"/>
                <w:sz w:val="20"/>
                <w:lang w:eastAsia="en-US" w:bidi="ar-SA"/>
              </w:rPr>
              <w:t>Amounts previously approved for institutional strengthening (US $):</w:t>
            </w:r>
          </w:p>
        </w:tc>
        <w:tc>
          <w:tcPr>
            <w:tcW w:w="1704" w:type="dxa"/>
            <w:tcBorders>
              <w:bottom w:val="nil"/>
            </w:tcBorders>
          </w:tcPr>
          <w:p>
            <w:pPr>
              <w:pStyle w:val="Normal"/>
              <w:widowControl/>
              <w:spacing w:before="0" w:after="0"/>
              <w:jc w:val="right"/>
              <w:rPr>
                <w:sz w:val="20"/>
              </w:rPr>
            </w:pPr>
            <w:r>
              <w:rPr>
                <w:rFonts w:eastAsia="Times New Roman" w:cs="Times New Roman"/>
                <w:kern w:val="0"/>
                <w:sz w:val="20"/>
                <w:lang w:eastAsia="en-US" w:bidi="ar-SA"/>
              </w:rPr>
            </w:r>
          </w:p>
        </w:tc>
      </w:tr>
      <w:tr>
        <w:trPr>
          <w:trHeight w:val="233" w:hRule="atLeast"/>
        </w:trPr>
        <w:tc>
          <w:tcPr>
            <w:tcW w:w="6379"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I:</w:t>
            </w:r>
          </w:p>
        </w:tc>
        <w:tc>
          <w:tcPr>
            <w:tcW w:w="1277"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Mar-99</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110,000</w:t>
            </w:r>
          </w:p>
        </w:tc>
      </w:tr>
      <w:tr>
        <w:trPr>
          <w:trHeight w:val="233" w:hRule="atLeast"/>
        </w:trPr>
        <w:tc>
          <w:tcPr>
            <w:tcW w:w="6379"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II:</w:t>
            </w:r>
          </w:p>
        </w:tc>
        <w:tc>
          <w:tcPr>
            <w:tcW w:w="1277"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Jul-04</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95,333</w:t>
            </w:r>
          </w:p>
        </w:tc>
      </w:tr>
      <w:tr>
        <w:trPr>
          <w:trHeight w:val="233" w:hRule="atLeast"/>
        </w:trPr>
        <w:tc>
          <w:tcPr>
            <w:tcW w:w="6379"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III:</w:t>
            </w:r>
          </w:p>
        </w:tc>
        <w:tc>
          <w:tcPr>
            <w:tcW w:w="1277"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Nov-11</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 xml:space="preserve">95,333 </w:t>
            </w:r>
          </w:p>
        </w:tc>
      </w:tr>
      <w:tr>
        <w:trPr>
          <w:trHeight w:val="233" w:hRule="atLeast"/>
        </w:trPr>
        <w:tc>
          <w:tcPr>
            <w:tcW w:w="6379"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IV:</w:t>
            </w:r>
          </w:p>
        </w:tc>
        <w:tc>
          <w:tcPr>
            <w:tcW w:w="1277"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Dec-13</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95,333</w:t>
            </w:r>
          </w:p>
        </w:tc>
      </w:tr>
      <w:tr>
        <w:trPr>
          <w:trHeight w:val="233" w:hRule="atLeast"/>
        </w:trPr>
        <w:tc>
          <w:tcPr>
            <w:tcW w:w="6379"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V:</w:t>
            </w:r>
          </w:p>
        </w:tc>
        <w:tc>
          <w:tcPr>
            <w:tcW w:w="1277"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May-15</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95,333</w:t>
            </w:r>
          </w:p>
        </w:tc>
      </w:tr>
      <w:tr>
        <w:trPr>
          <w:trHeight w:val="233" w:hRule="atLeast"/>
        </w:trPr>
        <w:tc>
          <w:tcPr>
            <w:tcW w:w="7656" w:type="dxa"/>
            <w:gridSpan w:val="2"/>
            <w:tcBorders>
              <w:top w:val="nil"/>
              <w:bottom w:val="nil"/>
            </w:tcBorders>
            <w:shd w:color="auto" w:fill="auto" w:val="clear"/>
          </w:tcPr>
          <w:p>
            <w:pPr>
              <w:pStyle w:val="Normal"/>
              <w:widowControl/>
              <w:tabs>
                <w:tab w:val="clear" w:pos="720"/>
                <w:tab w:val="right" w:pos="7560" w:leader="none"/>
              </w:tabs>
              <w:spacing w:before="0" w:after="0"/>
              <w:ind w:left="6480" w:right="-108" w:hanging="0"/>
              <w:jc w:val="left"/>
              <w:rPr>
                <w:sz w:val="20"/>
              </w:rPr>
            </w:pPr>
            <w:r>
              <w:rPr>
                <w:rFonts w:eastAsia="Times New Roman" w:cs="Times New Roman"/>
                <w:kern w:val="0"/>
                <w:sz w:val="20"/>
                <w:lang w:eastAsia="en-US" w:bidi="ar-SA"/>
              </w:rPr>
              <w:tab/>
              <w:t>Total:</w:t>
            </w:r>
          </w:p>
        </w:tc>
        <w:tc>
          <w:tcPr>
            <w:tcW w:w="1704" w:type="dxa"/>
            <w:tcBorders>
              <w:top w:val="nil"/>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491,332</w:t>
            </w:r>
          </w:p>
        </w:tc>
      </w:tr>
      <w:tr>
        <w:trPr>
          <w:trHeight w:val="233" w:hRule="atLeast"/>
        </w:trPr>
        <w:tc>
          <w:tcPr>
            <w:tcW w:w="7656" w:type="dxa"/>
            <w:gridSpan w:val="2"/>
            <w:tcBorders/>
            <w:shd w:color="auto" w:fill="FFFFFF" w:themeFill="background1" w:val="clear"/>
          </w:tcPr>
          <w:p>
            <w:pPr>
              <w:pStyle w:val="Normal"/>
              <w:widowControl/>
              <w:spacing w:before="0" w:after="0"/>
              <w:jc w:val="left"/>
              <w:rPr>
                <w:sz w:val="20"/>
              </w:rPr>
            </w:pPr>
            <w:r>
              <w:rPr>
                <w:rFonts w:eastAsia="Times New Roman" w:cs="Times New Roman"/>
                <w:kern w:val="0"/>
                <w:sz w:val="20"/>
                <w:lang w:eastAsia="en-US" w:bidi="ar-SA"/>
              </w:rPr>
              <w:t>Amount requested for renewal (phase VI) (US $):</w:t>
            </w:r>
          </w:p>
        </w:tc>
        <w:tc>
          <w:tcPr>
            <w:tcW w:w="1704" w:type="dxa"/>
            <w:tcBorders/>
            <w:shd w:color="auto" w:fill="auto" w:val="clear"/>
          </w:tcPr>
          <w:p>
            <w:pPr>
              <w:pStyle w:val="Normal"/>
              <w:widowControl/>
              <w:spacing w:before="0" w:after="0"/>
              <w:jc w:val="right"/>
              <w:rPr>
                <w:sz w:val="20"/>
              </w:rPr>
            </w:pPr>
            <w:r>
              <w:rPr>
                <w:rFonts w:eastAsia="Times New Roman" w:cs="Times New Roman"/>
                <w:color w:val="000000"/>
                <w:kern w:val="0"/>
                <w:sz w:val="20"/>
                <w:lang w:eastAsia="en-US" w:bidi="ar-SA"/>
              </w:rPr>
              <w:t>122,026</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 xml:space="preserve">Amount recommended for approval for phase VI (US $): </w:t>
            </w:r>
          </w:p>
        </w:tc>
        <w:tc>
          <w:tcPr>
            <w:tcW w:w="1704" w:type="dxa"/>
            <w:tcBorders/>
            <w:shd w:color="auto" w:fill="auto" w:val="clear"/>
          </w:tcPr>
          <w:p>
            <w:pPr>
              <w:pStyle w:val="Normal"/>
              <w:widowControl/>
              <w:spacing w:before="0" w:after="0"/>
              <w:jc w:val="right"/>
              <w:rPr>
                <w:sz w:val="20"/>
              </w:rPr>
            </w:pPr>
            <w:r>
              <w:rPr>
                <w:rFonts w:eastAsia="Times New Roman" w:cs="Times New Roman"/>
                <w:color w:val="000000"/>
                <w:kern w:val="0"/>
                <w:sz w:val="20"/>
                <w:lang w:eastAsia="en-US" w:bidi="ar-SA"/>
              </w:rPr>
              <w:t>122,026</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Agency support costs (US $):</w:t>
            </w:r>
          </w:p>
        </w:tc>
        <w:tc>
          <w:tcPr>
            <w:tcW w:w="1704"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8,542</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Total cost of institutional strengthening phase VI to the Multilateral Fund (US $):</w:t>
            </w:r>
          </w:p>
        </w:tc>
        <w:tc>
          <w:tcPr>
            <w:tcW w:w="1704"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130,568</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Date of approval of country programme:</w:t>
            </w:r>
          </w:p>
        </w:tc>
        <w:tc>
          <w:tcPr>
            <w:tcW w:w="1704" w:type="dxa"/>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1997</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Date of approval of HCFC phase-out management plan:</w:t>
            </w:r>
          </w:p>
        </w:tc>
        <w:tc>
          <w:tcPr>
            <w:tcW w:w="1704" w:type="dxa"/>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2012</w:t>
            </w:r>
          </w:p>
        </w:tc>
      </w:tr>
      <w:tr>
        <w:trPr>
          <w:trHeight w:val="233" w:hRule="atLeast"/>
        </w:trPr>
        <w:tc>
          <w:tcPr>
            <w:tcW w:w="7656" w:type="dxa"/>
            <w:gridSpan w:val="2"/>
            <w:tcBorders>
              <w:bottom w:val="nil"/>
            </w:tcBorders>
          </w:tcPr>
          <w:p>
            <w:pPr>
              <w:pStyle w:val="Normal"/>
              <w:widowControl/>
              <w:spacing w:before="20" w:after="0"/>
              <w:jc w:val="left"/>
              <w:rPr>
                <w:sz w:val="20"/>
              </w:rPr>
            </w:pPr>
            <w:r>
              <w:rPr>
                <w:rFonts w:eastAsia="Times New Roman" w:cs="Times New Roman"/>
                <w:kern w:val="0"/>
                <w:sz w:val="20"/>
                <w:lang w:eastAsia="en-US" w:bidi="ar-SA"/>
              </w:rPr>
              <w:t>Baseline consumption of controlled substances (ODP tonnes):</w:t>
            </w:r>
          </w:p>
        </w:tc>
        <w:tc>
          <w:tcPr>
            <w:tcW w:w="1704" w:type="dxa"/>
            <w:tcBorders>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r>
          </w:p>
        </w:tc>
      </w:tr>
      <w:tr>
        <w:trPr>
          <w:trHeight w:val="233" w:hRule="atLeast"/>
        </w:trPr>
        <w:tc>
          <w:tcPr>
            <w:tcW w:w="7656" w:type="dxa"/>
            <w:gridSpan w:val="2"/>
            <w:tcBorders>
              <w:top w:val="nil"/>
              <w:bottom w:val="nil"/>
            </w:tcBorders>
          </w:tcPr>
          <w:p>
            <w:pPr>
              <w:pStyle w:val="Normal"/>
              <w:widowControl/>
              <w:spacing w:before="0" w:after="0"/>
              <w:ind w:hanging="360"/>
              <w:jc w:val="left"/>
              <w:rPr>
                <w:sz w:val="20"/>
              </w:rPr>
            </w:pPr>
            <w:r>
              <w:rPr>
                <w:rFonts w:eastAsia="Times New Roman" w:cs="Times New Roman"/>
                <w:kern w:val="0"/>
                <w:sz w:val="20"/>
                <w:lang w:eastAsia="en-US" w:bidi="ar-SA"/>
              </w:rPr>
              <w:t>(d)</w:t>
              <w:tab/>
              <w:t>Annex B, Group III (methyl chloroform) (average 1998-2000)</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1.6</w:t>
            </w:r>
          </w:p>
        </w:tc>
      </w:tr>
      <w:tr>
        <w:trPr>
          <w:trHeight w:val="233" w:hRule="atLeast"/>
        </w:trPr>
        <w:tc>
          <w:tcPr>
            <w:tcW w:w="7656" w:type="dxa"/>
            <w:gridSpan w:val="2"/>
            <w:tcBorders>
              <w:top w:val="nil"/>
              <w:bottom w:val="nil"/>
            </w:tcBorders>
          </w:tcPr>
          <w:p>
            <w:pPr>
              <w:pStyle w:val="Normal"/>
              <w:widowControl/>
              <w:spacing w:before="0" w:after="20"/>
              <w:ind w:hanging="360"/>
              <w:jc w:val="left"/>
              <w:rPr>
                <w:sz w:val="20"/>
              </w:rPr>
            </w:pPr>
            <w:r>
              <w:rPr>
                <w:rFonts w:eastAsia="Times New Roman" w:cs="Times New Roman"/>
                <w:kern w:val="0"/>
                <w:sz w:val="20"/>
                <w:lang w:eastAsia="en-US" w:bidi="ar-SA"/>
              </w:rPr>
              <w:t>(e)</w:t>
              <w:tab/>
              <w:t>Annex C, Group I (HCFCs) (average 2009-2010)</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4.7</w:t>
            </w:r>
          </w:p>
        </w:tc>
      </w:tr>
      <w:tr>
        <w:trPr>
          <w:trHeight w:val="233" w:hRule="atLeast"/>
        </w:trPr>
        <w:tc>
          <w:tcPr>
            <w:tcW w:w="7656" w:type="dxa"/>
            <w:gridSpan w:val="2"/>
            <w:tcBorders>
              <w:top w:val="nil"/>
            </w:tcBorders>
          </w:tcPr>
          <w:p>
            <w:pPr>
              <w:pStyle w:val="Normal"/>
              <w:widowControl/>
              <w:spacing w:before="0" w:after="20"/>
              <w:ind w:hanging="360"/>
              <w:jc w:val="left"/>
              <w:rPr>
                <w:sz w:val="20"/>
              </w:rPr>
            </w:pPr>
            <w:r>
              <w:rPr>
                <w:rFonts w:eastAsia="Times New Roman" w:cs="Times New Roman"/>
                <w:kern w:val="0"/>
                <w:sz w:val="20"/>
                <w:lang w:eastAsia="en-US" w:bidi="ar-SA"/>
              </w:rPr>
              <w:t>(f)</w:t>
              <w:tab/>
              <w:t>Annex E (methyl bromide) (average 1995-1998)</w:t>
            </w:r>
          </w:p>
        </w:tc>
        <w:tc>
          <w:tcPr>
            <w:tcW w:w="1704" w:type="dxa"/>
            <w:tcBorders>
              <w:top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3.5</w:t>
            </w:r>
          </w:p>
        </w:tc>
      </w:tr>
      <w:tr>
        <w:trPr>
          <w:trHeight w:val="233" w:hRule="atLeast"/>
        </w:trPr>
        <w:tc>
          <w:tcPr>
            <w:tcW w:w="7656" w:type="dxa"/>
            <w:gridSpan w:val="2"/>
            <w:tcBorders>
              <w:bottom w:val="nil"/>
            </w:tcBorders>
          </w:tcPr>
          <w:p>
            <w:pPr>
              <w:pStyle w:val="Normal"/>
              <w:widowControl/>
              <w:spacing w:before="20" w:after="0"/>
              <w:jc w:val="left"/>
              <w:rPr>
                <w:sz w:val="20"/>
              </w:rPr>
            </w:pPr>
            <w:r>
              <w:rPr>
                <w:rFonts w:eastAsia="Times New Roman" w:cs="Times New Roman"/>
                <w:kern w:val="0"/>
                <w:sz w:val="20"/>
                <w:lang w:eastAsia="en-US" w:bidi="ar-SA"/>
              </w:rPr>
              <w:t>Latest reported ODS consumption (2016) (ODP tonnes) as per Article 7:</w:t>
            </w:r>
          </w:p>
        </w:tc>
        <w:tc>
          <w:tcPr>
            <w:tcW w:w="1704" w:type="dxa"/>
            <w:tcBorders>
              <w:bottom w:val="nil"/>
            </w:tcBorders>
            <w:shd w:color="auto" w:fill="FFFFFF" w:themeFill="background1" w:val="clear"/>
          </w:tcPr>
          <w:p>
            <w:pPr>
              <w:pStyle w:val="Normal"/>
              <w:widowControl/>
              <w:spacing w:before="20" w:after="0"/>
              <w:jc w:val="right"/>
              <w:rPr>
                <w:sz w:val="20"/>
              </w:rPr>
            </w:pPr>
            <w:r>
              <w:rPr>
                <w:rFonts w:eastAsia="Times New Roman" w:cs="Times New Roman"/>
                <w:kern w:val="0"/>
                <w:sz w:val="20"/>
                <w:lang w:eastAsia="en-US" w:bidi="ar-SA"/>
              </w:rPr>
            </w:r>
          </w:p>
        </w:tc>
      </w:tr>
      <w:tr>
        <w:trPr>
          <w:trHeight w:val="233" w:hRule="atLeast"/>
        </w:trPr>
        <w:tc>
          <w:tcPr>
            <w:tcW w:w="7656" w:type="dxa"/>
            <w:gridSpan w:val="2"/>
            <w:tcBorders>
              <w:top w:val="nil"/>
              <w:bottom w:val="nil"/>
            </w:tcBorders>
          </w:tcPr>
          <w:p>
            <w:pPr>
              <w:pStyle w:val="Normal"/>
              <w:widowControl/>
              <w:spacing w:before="0" w:after="0"/>
              <w:ind w:hanging="360"/>
              <w:jc w:val="left"/>
              <w:rPr>
                <w:sz w:val="20"/>
              </w:rPr>
            </w:pPr>
            <w:r>
              <w:rPr>
                <w:rFonts w:eastAsia="Times New Roman" w:cs="Times New Roman"/>
                <w:kern w:val="0"/>
                <w:sz w:val="20"/>
                <w:lang w:eastAsia="en-US" w:bidi="ar-SA"/>
              </w:rPr>
              <w:t>(d)</w:t>
              <w:tab/>
              <w:t>Annex B, Group III (methyl chloroform)</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0.00</w:t>
            </w:r>
          </w:p>
        </w:tc>
      </w:tr>
      <w:tr>
        <w:trPr>
          <w:trHeight w:val="233" w:hRule="atLeast"/>
        </w:trPr>
        <w:tc>
          <w:tcPr>
            <w:tcW w:w="7656" w:type="dxa"/>
            <w:gridSpan w:val="2"/>
            <w:tcBorders>
              <w:top w:val="nil"/>
              <w:bottom w:val="nil"/>
            </w:tcBorders>
          </w:tcPr>
          <w:p>
            <w:pPr>
              <w:pStyle w:val="Normal"/>
              <w:widowControl/>
              <w:spacing w:before="0" w:after="0"/>
              <w:ind w:hanging="360"/>
              <w:jc w:val="left"/>
              <w:rPr>
                <w:sz w:val="20"/>
                <w:lang w:val="en-CA"/>
              </w:rPr>
            </w:pPr>
            <w:r>
              <w:rPr>
                <w:rFonts w:eastAsia="Times New Roman" w:cs="Times New Roman"/>
                <w:kern w:val="0"/>
                <w:sz w:val="20"/>
                <w:lang w:val="en-CA" w:eastAsia="en-US" w:bidi="ar-SA"/>
              </w:rPr>
              <w:t>(e)</w:t>
              <w:tab/>
            </w:r>
            <w:r>
              <w:rPr>
                <w:rFonts w:eastAsia="Times New Roman" w:cs="Times New Roman"/>
                <w:kern w:val="0"/>
                <w:sz w:val="20"/>
                <w:lang w:eastAsia="en-US" w:bidi="ar-SA"/>
              </w:rPr>
              <w:t>Annex C, Group I (HCFCs)</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2.34</w:t>
            </w:r>
          </w:p>
        </w:tc>
      </w:tr>
      <w:tr>
        <w:trPr>
          <w:trHeight w:val="233" w:hRule="atLeast"/>
        </w:trPr>
        <w:tc>
          <w:tcPr>
            <w:tcW w:w="7656" w:type="dxa"/>
            <w:gridSpan w:val="2"/>
            <w:tcBorders>
              <w:top w:val="nil"/>
              <w:bottom w:val="nil"/>
            </w:tcBorders>
          </w:tcPr>
          <w:p>
            <w:pPr>
              <w:pStyle w:val="Normal"/>
              <w:widowControl/>
              <w:spacing w:before="0" w:after="0"/>
              <w:ind w:hanging="360"/>
              <w:jc w:val="left"/>
              <w:rPr>
                <w:sz w:val="20"/>
                <w:lang w:val="en-CA"/>
              </w:rPr>
            </w:pPr>
            <w:r>
              <w:rPr>
                <w:rFonts w:eastAsia="Times New Roman" w:cs="Times New Roman"/>
                <w:kern w:val="0"/>
                <w:sz w:val="20"/>
                <w:lang w:eastAsia="en-US" w:bidi="ar-SA"/>
              </w:rPr>
              <w:t>(f)</w:t>
              <w:tab/>
            </w:r>
            <w:r>
              <w:rPr>
                <w:rFonts w:eastAsia="Times New Roman" w:cs="Times New Roman"/>
                <w:kern w:val="0"/>
                <w:sz w:val="20"/>
                <w:lang w:val="en-CA" w:eastAsia="en-US" w:bidi="ar-SA"/>
              </w:rPr>
              <w:t>Annex E (methyl bromide)</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0.00</w:t>
            </w:r>
          </w:p>
        </w:tc>
      </w:tr>
      <w:tr>
        <w:trPr>
          <w:trHeight w:val="233" w:hRule="atLeast"/>
        </w:trPr>
        <w:tc>
          <w:tcPr>
            <w:tcW w:w="7656" w:type="dxa"/>
            <w:gridSpan w:val="2"/>
            <w:tcBorders>
              <w:top w:val="nil"/>
            </w:tcBorders>
          </w:tcPr>
          <w:p>
            <w:pPr>
              <w:pStyle w:val="Normal"/>
              <w:widowControl/>
              <w:tabs>
                <w:tab w:val="clear" w:pos="720"/>
                <w:tab w:val="right" w:pos="7560" w:leader="none"/>
              </w:tabs>
              <w:spacing w:before="0" w:after="0"/>
              <w:ind w:left="6480" w:right="-108" w:hanging="0"/>
              <w:jc w:val="left"/>
              <w:rPr>
                <w:sz w:val="20"/>
              </w:rPr>
            </w:pPr>
            <w:r>
              <w:rPr>
                <w:rFonts w:eastAsia="Times New Roman" w:cs="Times New Roman"/>
                <w:kern w:val="0"/>
                <w:sz w:val="20"/>
                <w:lang w:eastAsia="en-US" w:bidi="ar-SA"/>
              </w:rPr>
              <w:tab/>
              <w:t>Total:</w:t>
            </w:r>
          </w:p>
        </w:tc>
        <w:tc>
          <w:tcPr>
            <w:tcW w:w="1704" w:type="dxa"/>
            <w:tcBorders>
              <w:top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2.34</w:t>
            </w:r>
          </w:p>
        </w:tc>
      </w:tr>
      <w:tr>
        <w:trPr>
          <w:trHeight w:val="233" w:hRule="atLeast"/>
        </w:trPr>
        <w:tc>
          <w:tcPr>
            <w:tcW w:w="7656" w:type="dxa"/>
            <w:gridSpan w:val="2"/>
            <w:tcBorders>
              <w:top w:val="nil"/>
            </w:tcBorders>
          </w:tcPr>
          <w:p>
            <w:pPr>
              <w:pStyle w:val="Normal"/>
              <w:widowControl/>
              <w:spacing w:before="0" w:after="0"/>
              <w:jc w:val="left"/>
              <w:rPr>
                <w:sz w:val="20"/>
              </w:rPr>
            </w:pPr>
            <w:r>
              <w:rPr>
                <w:rFonts w:eastAsia="Times New Roman" w:cs="Times New Roman"/>
                <w:kern w:val="0"/>
                <w:sz w:val="20"/>
                <w:lang w:eastAsia="en-US" w:bidi="ar-SA"/>
              </w:rPr>
              <w:t>Year of reported country programme implementation data:</w:t>
            </w:r>
          </w:p>
        </w:tc>
        <w:tc>
          <w:tcPr>
            <w:tcW w:w="1704" w:type="dxa"/>
            <w:tcBorders>
              <w:top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2016</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Amount approved for projects (as at July 2017) (US $):</w:t>
            </w:r>
          </w:p>
        </w:tc>
        <w:tc>
          <w:tcPr>
            <w:tcW w:w="1704" w:type="dxa"/>
            <w:tcBorders/>
            <w:shd w:color="auto" w:fill="auto" w:val="clear"/>
            <w:vAlign w:val="bottom"/>
          </w:tcPr>
          <w:p>
            <w:pPr>
              <w:pStyle w:val="Normal"/>
              <w:widowControl/>
              <w:spacing w:before="0" w:after="0"/>
              <w:jc w:val="right"/>
              <w:rPr>
                <w:sz w:val="20"/>
              </w:rPr>
            </w:pPr>
            <w:r>
              <w:rPr>
                <w:rFonts w:eastAsia="Times New Roman" w:cs="Times New Roman"/>
                <w:kern w:val="0"/>
                <w:sz w:val="20"/>
                <w:lang w:eastAsia="en-US" w:bidi="ar-SA"/>
              </w:rPr>
              <w:t>4,380,591</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Amount disbursed (as at December 2016) (US</w:t>
            </w:r>
            <w:r>
              <w:rPr>
                <w:rFonts w:eastAsia="Times New Roman" w:cs="Times New Roman"/>
                <w:kern w:val="0"/>
                <w:lang w:eastAsia="en-US" w:bidi="ar-SA"/>
              </w:rPr>
              <w:t> </w:t>
            </w:r>
            <w:r>
              <w:rPr>
                <w:rFonts w:eastAsia="Times New Roman" w:cs="Times New Roman"/>
                <w:kern w:val="0"/>
                <w:sz w:val="20"/>
                <w:lang w:eastAsia="en-US" w:bidi="ar-SA"/>
              </w:rPr>
              <w:t>$):</w:t>
            </w:r>
          </w:p>
        </w:tc>
        <w:tc>
          <w:tcPr>
            <w:tcW w:w="1704"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4,015,285</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ODS to be phased out (as at July 2017) (ODP tonnes):</w:t>
            </w:r>
          </w:p>
        </w:tc>
        <w:tc>
          <w:tcPr>
            <w:tcW w:w="1704" w:type="dxa"/>
            <w:tcBorders/>
            <w:shd w:color="auto" w:fill="auto" w:val="clear"/>
            <w:vAlign w:val="bottom"/>
          </w:tcPr>
          <w:p>
            <w:pPr>
              <w:pStyle w:val="Normal"/>
              <w:widowControl/>
              <w:spacing w:before="0" w:after="0"/>
              <w:jc w:val="right"/>
              <w:rPr>
                <w:sz w:val="20"/>
              </w:rPr>
            </w:pPr>
            <w:r>
              <w:rPr>
                <w:rFonts w:eastAsia="Times New Roman" w:cs="Times New Roman"/>
                <w:kern w:val="0"/>
                <w:sz w:val="20"/>
                <w:lang w:eastAsia="en-US" w:bidi="ar-SA"/>
              </w:rPr>
              <w:t>257.0</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ODS phased out (as at December 2016) (ODP tonnes):</w:t>
            </w:r>
          </w:p>
        </w:tc>
        <w:tc>
          <w:tcPr>
            <w:tcW w:w="1704"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315.4</w:t>
            </w:r>
          </w:p>
        </w:tc>
      </w:tr>
    </w:tbl>
    <w:p>
      <w:pPr>
        <w:pStyle w:val="Normal"/>
        <w:rPr/>
      </w:pPr>
      <w:r>
        <w:rPr/>
      </w:r>
    </w:p>
    <w:p>
      <w:pPr>
        <w:pStyle w:val="Heading1"/>
        <w:numPr>
          <w:ilvl w:val="0"/>
          <w:numId w:val="69"/>
        </w:numPr>
        <w:rPr/>
      </w:pPr>
      <w:r>
        <w:rPr/>
        <w:t>Summary of activities and funds approved by the Executive Committee:</w:t>
      </w:r>
    </w:p>
    <w:tbl>
      <w:tblPr>
        <w:tblStyle w:val="TableGrid10"/>
        <w:tblW w:w="5000" w:type="pct"/>
        <w:jc w:val="left"/>
        <w:tblInd w:w="-5" w:type="dxa"/>
        <w:tblLayout w:type="fixed"/>
        <w:tblCellMar>
          <w:top w:w="0" w:type="dxa"/>
          <w:left w:w="108" w:type="dxa"/>
          <w:bottom w:w="0" w:type="dxa"/>
          <w:right w:w="108" w:type="dxa"/>
        </w:tblCellMar>
        <w:tblLook w:val="01e0" w:noHBand="0" w:noVBand="0" w:firstColumn="1" w:lastRow="1" w:lastColumn="1" w:firstRow="1"/>
      </w:tblPr>
      <w:tblGrid>
        <w:gridCol w:w="626"/>
        <w:gridCol w:w="7032"/>
        <w:gridCol w:w="1702"/>
      </w:tblGrid>
      <w:tr>
        <w:trPr/>
        <w:tc>
          <w:tcPr>
            <w:tcW w:w="7658" w:type="dxa"/>
            <w:gridSpan w:val="2"/>
            <w:tcBorders/>
          </w:tcPr>
          <w:p>
            <w:pPr>
              <w:pStyle w:val="Normal"/>
              <w:widowControl w:val="false"/>
              <w:spacing w:before="0" w:after="0"/>
              <w:jc w:val="left"/>
              <w:rPr>
                <w:b/>
                <w:b/>
                <w:sz w:val="20"/>
              </w:rPr>
            </w:pPr>
            <w:r>
              <w:rPr>
                <w:rFonts w:eastAsia="Times New Roman" w:cs="Times New Roman"/>
                <w:b/>
                <w:kern w:val="0"/>
                <w:sz w:val="20"/>
                <w:lang w:eastAsia="en-US" w:bidi="ar-SA"/>
              </w:rPr>
              <w:t>Summary of activities</w:t>
            </w:r>
          </w:p>
          <w:p>
            <w:pPr>
              <w:pStyle w:val="Normal"/>
              <w:widowControl w:val="false"/>
              <w:spacing w:before="0" w:after="0"/>
              <w:jc w:val="left"/>
              <w:rPr>
                <w:b/>
                <w:b/>
                <w:sz w:val="20"/>
              </w:rPr>
            </w:pPr>
            <w:r>
              <w:rPr>
                <w:rFonts w:eastAsia="Times New Roman" w:cs="Times New Roman"/>
                <w:b/>
                <w:kern w:val="0"/>
                <w:sz w:val="20"/>
                <w:lang w:eastAsia="en-US" w:bidi="ar-SA"/>
              </w:rPr>
            </w:r>
          </w:p>
        </w:tc>
        <w:tc>
          <w:tcPr>
            <w:tcW w:w="1702" w:type="dxa"/>
            <w:tcBorders/>
          </w:tcPr>
          <w:p>
            <w:pPr>
              <w:pStyle w:val="Normal"/>
              <w:widowControl w:val="false"/>
              <w:spacing w:before="0" w:after="0"/>
              <w:jc w:val="center"/>
              <w:rPr>
                <w:b/>
                <w:b/>
                <w:sz w:val="20"/>
              </w:rPr>
            </w:pPr>
            <w:r>
              <w:rPr>
                <w:rFonts w:eastAsia="Times New Roman" w:cs="Times New Roman"/>
                <w:b/>
                <w:kern w:val="0"/>
                <w:sz w:val="20"/>
                <w:lang w:eastAsia="en-US" w:bidi="ar-SA"/>
              </w:rPr>
              <w:t>Funds approved (US $)</w:t>
            </w:r>
          </w:p>
        </w:tc>
      </w:tr>
      <w:tr>
        <w:trPr/>
        <w:tc>
          <w:tcPr>
            <w:tcW w:w="626" w:type="dxa"/>
            <w:tcBorders>
              <w:right w:val="nil"/>
            </w:tcBorders>
          </w:tcPr>
          <w:p>
            <w:pPr>
              <w:pStyle w:val="Normal"/>
              <w:widowControl w:val="false"/>
              <w:spacing w:before="0" w:after="0"/>
              <w:rPr>
                <w:sz w:val="20"/>
              </w:rPr>
            </w:pPr>
            <w:r>
              <w:rPr>
                <w:rFonts w:eastAsia="Times New Roman" w:cs="Times New Roman"/>
                <w:kern w:val="0"/>
                <w:sz w:val="20"/>
                <w:lang w:eastAsia="en-US" w:bidi="ar-SA"/>
              </w:rPr>
              <w:t>(a)</w:t>
            </w:r>
          </w:p>
        </w:tc>
        <w:tc>
          <w:tcPr>
            <w:tcW w:w="7032" w:type="dxa"/>
            <w:tcBorders>
              <w:left w:val="nil"/>
            </w:tcBorders>
          </w:tcPr>
          <w:p>
            <w:pPr>
              <w:pStyle w:val="Normal"/>
              <w:widowControl w:val="false"/>
              <w:spacing w:before="0" w:after="0"/>
              <w:ind w:left="-109" w:hanging="0"/>
              <w:rPr>
                <w:sz w:val="20"/>
              </w:rPr>
            </w:pPr>
            <w:r>
              <w:rPr>
                <w:rFonts w:eastAsia="Times New Roman" w:cs="Times New Roman"/>
                <w:kern w:val="0"/>
                <w:sz w:val="20"/>
                <w:lang w:eastAsia="en-US" w:bidi="ar-SA"/>
              </w:rPr>
              <w:t>Investment projects:</w:t>
            </w:r>
          </w:p>
        </w:tc>
        <w:tc>
          <w:tcPr>
            <w:tcW w:w="1702" w:type="dxa"/>
            <w:tcBorders/>
            <w:shd w:color="auto" w:fill="auto" w:val="clear"/>
          </w:tcPr>
          <w:p>
            <w:pPr>
              <w:pStyle w:val="Normal"/>
              <w:widowControl w:val="false"/>
              <w:spacing w:before="0" w:after="0"/>
              <w:jc w:val="right"/>
              <w:rPr>
                <w:sz w:val="20"/>
              </w:rPr>
            </w:pPr>
            <w:r>
              <w:rPr>
                <w:rFonts w:eastAsia="Times New Roman" w:cs="Times New Roman"/>
                <w:kern w:val="0"/>
                <w:sz w:val="20"/>
                <w:lang w:eastAsia="en-US" w:bidi="ar-SA"/>
              </w:rPr>
              <w:t>3,309,659</w:t>
            </w:r>
          </w:p>
        </w:tc>
      </w:tr>
      <w:tr>
        <w:trPr/>
        <w:tc>
          <w:tcPr>
            <w:tcW w:w="626" w:type="dxa"/>
            <w:tcBorders>
              <w:right w:val="nil"/>
            </w:tcBorders>
          </w:tcPr>
          <w:p>
            <w:pPr>
              <w:pStyle w:val="Normal"/>
              <w:widowControl w:val="false"/>
              <w:spacing w:before="0" w:after="0"/>
              <w:rPr>
                <w:sz w:val="20"/>
              </w:rPr>
            </w:pPr>
            <w:r>
              <w:rPr>
                <w:rFonts w:eastAsia="Times New Roman" w:cs="Times New Roman"/>
                <w:kern w:val="0"/>
                <w:sz w:val="20"/>
                <w:lang w:eastAsia="en-US" w:bidi="ar-SA"/>
              </w:rPr>
              <w:t>(b)</w:t>
            </w:r>
          </w:p>
        </w:tc>
        <w:tc>
          <w:tcPr>
            <w:tcW w:w="7032" w:type="dxa"/>
            <w:tcBorders>
              <w:left w:val="nil"/>
            </w:tcBorders>
          </w:tcPr>
          <w:p>
            <w:pPr>
              <w:pStyle w:val="Normal"/>
              <w:widowControl w:val="false"/>
              <w:spacing w:before="0" w:after="0"/>
              <w:ind w:left="-109" w:hanging="0"/>
              <w:rPr>
                <w:sz w:val="20"/>
              </w:rPr>
            </w:pPr>
            <w:r>
              <w:rPr>
                <w:rFonts w:eastAsia="Times New Roman" w:cs="Times New Roman"/>
                <w:kern w:val="0"/>
                <w:sz w:val="20"/>
                <w:lang w:eastAsia="en-US" w:bidi="ar-SA"/>
              </w:rPr>
              <w:t>Institutional strengthening:</w:t>
            </w:r>
          </w:p>
        </w:tc>
        <w:tc>
          <w:tcPr>
            <w:tcW w:w="1702" w:type="dxa"/>
            <w:tcBorders/>
            <w:shd w:color="auto" w:fill="FFFFFF" w:themeFill="background1" w:val="clear"/>
          </w:tcPr>
          <w:p>
            <w:pPr>
              <w:pStyle w:val="Normal"/>
              <w:widowControl w:val="false"/>
              <w:spacing w:before="0" w:after="0"/>
              <w:jc w:val="right"/>
              <w:rPr>
                <w:sz w:val="20"/>
              </w:rPr>
            </w:pPr>
            <w:r>
              <w:rPr>
                <w:rFonts w:eastAsia="Times New Roman" w:cs="Times New Roman"/>
                <w:kern w:val="0"/>
                <w:sz w:val="20"/>
                <w:lang w:eastAsia="en-US" w:bidi="ar-SA"/>
              </w:rPr>
              <w:t>491,332</w:t>
            </w:r>
          </w:p>
        </w:tc>
      </w:tr>
      <w:tr>
        <w:trPr/>
        <w:tc>
          <w:tcPr>
            <w:tcW w:w="626" w:type="dxa"/>
            <w:tcBorders>
              <w:right w:val="nil"/>
            </w:tcBorders>
          </w:tcPr>
          <w:p>
            <w:pPr>
              <w:pStyle w:val="Normal"/>
              <w:widowControl w:val="false"/>
              <w:spacing w:before="0" w:after="0"/>
              <w:rPr>
                <w:sz w:val="20"/>
              </w:rPr>
            </w:pPr>
            <w:r>
              <w:rPr>
                <w:rFonts w:eastAsia="Times New Roman" w:cs="Times New Roman"/>
                <w:kern w:val="0"/>
                <w:sz w:val="20"/>
                <w:lang w:eastAsia="en-US" w:bidi="ar-SA"/>
              </w:rPr>
              <w:t>(c)</w:t>
            </w:r>
          </w:p>
        </w:tc>
        <w:tc>
          <w:tcPr>
            <w:tcW w:w="7032" w:type="dxa"/>
            <w:tcBorders>
              <w:left w:val="nil"/>
            </w:tcBorders>
          </w:tcPr>
          <w:p>
            <w:pPr>
              <w:pStyle w:val="Normal"/>
              <w:widowControl w:val="false"/>
              <w:spacing w:before="0" w:after="0"/>
              <w:ind w:left="-109" w:hanging="0"/>
              <w:rPr>
                <w:sz w:val="20"/>
              </w:rPr>
            </w:pPr>
            <w:r>
              <w:rPr>
                <w:rFonts w:eastAsia="Times New Roman" w:cs="Times New Roman"/>
                <w:kern w:val="0"/>
                <w:sz w:val="20"/>
                <w:lang w:eastAsia="en-US" w:bidi="ar-SA"/>
              </w:rPr>
              <w:t>Project preparation, technical assistance, training and other non-investment projects:</w:t>
            </w:r>
          </w:p>
        </w:tc>
        <w:tc>
          <w:tcPr>
            <w:tcW w:w="1702" w:type="dxa"/>
            <w:tcBorders/>
            <w:shd w:color="auto" w:fill="FFFFFF" w:themeFill="background1" w:val="clear"/>
          </w:tcPr>
          <w:p>
            <w:pPr>
              <w:pStyle w:val="Normal"/>
              <w:widowControl w:val="false"/>
              <w:spacing w:before="0" w:after="0"/>
              <w:jc w:val="right"/>
              <w:rPr>
                <w:sz w:val="20"/>
              </w:rPr>
            </w:pPr>
            <w:r>
              <w:rPr>
                <w:rFonts w:eastAsia="Times New Roman" w:cs="Times New Roman"/>
                <w:kern w:val="0"/>
                <w:sz w:val="20"/>
                <w:lang w:eastAsia="en-US" w:bidi="ar-SA"/>
              </w:rPr>
              <w:t>579,600</w:t>
            </w:r>
          </w:p>
        </w:tc>
      </w:tr>
      <w:tr>
        <w:trPr/>
        <w:tc>
          <w:tcPr>
            <w:tcW w:w="7658" w:type="dxa"/>
            <w:gridSpan w:val="2"/>
            <w:tcBorders/>
          </w:tcPr>
          <w:p>
            <w:pPr>
              <w:pStyle w:val="Normal"/>
              <w:widowControl w:val="false"/>
              <w:tabs>
                <w:tab w:val="clear" w:pos="720"/>
                <w:tab w:val="right" w:pos="7560" w:leader="none"/>
              </w:tabs>
              <w:spacing w:before="0" w:after="0"/>
              <w:ind w:left="6480" w:right="-108" w:hanging="0"/>
              <w:jc w:val="left"/>
              <w:rPr>
                <w:sz w:val="20"/>
              </w:rPr>
            </w:pPr>
            <w:r>
              <w:rPr>
                <w:rFonts w:eastAsia="Times New Roman" w:cs="Times New Roman"/>
                <w:kern w:val="0"/>
                <w:sz w:val="20"/>
                <w:lang w:eastAsia="en-US" w:bidi="ar-SA"/>
              </w:rPr>
              <w:tab/>
              <w:t>Total:</w:t>
            </w:r>
          </w:p>
        </w:tc>
        <w:tc>
          <w:tcPr>
            <w:tcW w:w="1702" w:type="dxa"/>
            <w:tcBorders/>
            <w:shd w:color="auto" w:fill="auto" w:val="clear"/>
          </w:tcPr>
          <w:p>
            <w:pPr>
              <w:pStyle w:val="Normal"/>
              <w:widowControl w:val="false"/>
              <w:spacing w:before="0" w:after="0"/>
              <w:jc w:val="right"/>
              <w:rPr>
                <w:sz w:val="20"/>
                <w:highlight w:val="green"/>
              </w:rPr>
            </w:pPr>
            <w:r>
              <w:rPr>
                <w:rFonts w:eastAsia="Times New Roman" w:cs="Times New Roman"/>
                <w:kern w:val="0"/>
                <w:sz w:val="20"/>
                <w:lang w:eastAsia="en-US" w:bidi="ar-SA"/>
              </w:rPr>
              <w:t>4,380,591</w:t>
            </w:r>
          </w:p>
        </w:tc>
      </w:tr>
    </w:tbl>
    <w:p>
      <w:pPr>
        <w:pStyle w:val="Normal"/>
        <w:rPr/>
      </w:pPr>
      <w:r>
        <w:rPr/>
      </w:r>
    </w:p>
    <w:p>
      <w:pPr>
        <w:pStyle w:val="Normal"/>
        <w:keepNext w:val="true"/>
        <w:tabs>
          <w:tab w:val="clear" w:pos="720"/>
          <w:tab w:val="left" w:pos="2880" w:leader="none"/>
          <w:tab w:val="left" w:pos="5760" w:leader="none"/>
        </w:tabs>
        <w:spacing w:before="0" w:after="240"/>
        <w:rPr>
          <w:u w:val="single"/>
        </w:rPr>
      </w:pPr>
      <w:r>
        <w:rPr>
          <w:u w:val="single"/>
        </w:rPr>
        <w:t>Progress report</w:t>
      </w:r>
    </w:p>
    <w:p>
      <w:pPr>
        <w:pStyle w:val="Heading1"/>
        <w:numPr>
          <w:ilvl w:val="0"/>
          <w:numId w:val="70"/>
        </w:numPr>
        <w:rPr>
          <w:u w:val="single"/>
        </w:rPr>
      </w:pPr>
      <w:r>
        <w:rPr/>
        <w:t>The objective of phase V of the IS project for Bosnia and Herzegovina was to maintain zero consumption of non-HCFC ODS in parallel with the development of an accelerated phase-out schedule for HCFCs. Amendments to the “Decision of Council of Ministers of Bosnia and Herzegovina for implementation of the Montreal Protocol” adopted in August 2015 ban the import and consumption of pure HCFC-141b from 2015 and HCFC-141b contained in imported pre-blended polyols from 2016 resulting in zero consumption of HCFC-141b by 1 January 2016. The ban on the import and consumption of all other HCFCs will take effect on 1 January 2021. The national ozone unit (NOU) is responsible for monitoring the implementation of the HPMP, coordinating the promulgation and enforcement of policy and legislation, and developing appropriate activities. Funding provided through phase V of the IS project allowed smooth implementation of the HPMP and the ODS alternatives survey, which contribute to the ratification and implementation of the Kigali Amendment. The NOU operationalized the new legal procedures in cooperation with customs authorities, and in 2015 established a refrigeration and air-conditioning (RAC) sector association in cooperation with the Chamber of Foreign Trade.  The NOU also participated in HCFC consumption verification exercise for 2014 and 2015. Bosnia and Herzegovina was a member of the Implementation Committee in 2013 (Vice-President), 2014 (President), 2015 and 2016, and was also an active member of the Executive Committee in 2017.</w:t>
      </w:r>
    </w:p>
    <w:p>
      <w:pPr>
        <w:pStyle w:val="Normal"/>
        <w:widowControl w:val="false"/>
        <w:tabs>
          <w:tab w:val="clear" w:pos="720"/>
          <w:tab w:val="left" w:pos="2880" w:leader="none"/>
          <w:tab w:val="left" w:pos="5760" w:leader="none"/>
        </w:tabs>
        <w:spacing w:before="0" w:after="240"/>
        <w:rPr>
          <w:u w:val="single"/>
        </w:rPr>
      </w:pPr>
      <w:r>
        <w:rPr>
          <w:u w:val="single"/>
        </w:rPr>
        <w:t>Plan of action</w:t>
      </w:r>
    </w:p>
    <w:p>
      <w:pPr>
        <w:pStyle w:val="Heading1"/>
        <w:numPr>
          <w:ilvl w:val="0"/>
          <w:numId w:val="71"/>
        </w:numPr>
        <w:rPr>
          <w:u w:val="single"/>
        </w:rPr>
      </w:pPr>
      <w:r>
        <w:rPr/>
        <w:t>During phase VI of the IS project the NOU will build capacity to target the HCFCs consumption phase</w:t>
        <w:noBreakHyphen/>
        <w:t>out targets and enhance the ongoing regulatory efforts. The NOU will improve HCFCs control and track the promulgation and enforcement of policy and legislation specifically the additional restrictions on HCFCs; cooperate with the customs authorities in order to prevent illegal trade, and with the RAC Association to support activities in that sector. The Government of Bosnia and Herzegovina is committed, through its NOU, to ratify the Kigali Amendment and to initiate enabling activities for early actions.</w:t>
      </w:r>
    </w:p>
    <w:p>
      <w:pPr>
        <w:pStyle w:val="Normal"/>
        <w:spacing w:before="0" w:after="240"/>
        <w:rPr>
          <w:b/>
          <w:b/>
          <w:bCs/>
        </w:rPr>
      </w:pPr>
      <w:r>
        <w:rPr>
          <w:b/>
          <w:lang w:val="en-US"/>
        </w:rPr>
        <w:t>Serbia</w:t>
      </w:r>
      <w:r>
        <w:rPr>
          <w:b/>
          <w:bCs/>
        </w:rPr>
        <w:t xml:space="preserve">:  Renewal of institutional strengthening </w:t>
      </w:r>
    </w:p>
    <w:tbl>
      <w:tblPr>
        <w:tblStyle w:val="TableGrid"/>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6142"/>
        <w:gridCol w:w="1514"/>
        <w:gridCol w:w="1704"/>
      </w:tblGrid>
      <w:tr>
        <w:trPr>
          <w:tblHeader w:val="true"/>
          <w:trHeight w:val="278" w:hRule="atLeast"/>
        </w:trPr>
        <w:tc>
          <w:tcPr>
            <w:tcW w:w="7656" w:type="dxa"/>
            <w:gridSpan w:val="2"/>
            <w:tcBorders/>
          </w:tcPr>
          <w:p>
            <w:pPr>
              <w:pStyle w:val="Normal"/>
              <w:widowControl/>
              <w:spacing w:before="0" w:after="0"/>
              <w:rPr>
                <w:b/>
                <w:b/>
                <w:sz w:val="20"/>
              </w:rPr>
            </w:pPr>
            <w:r>
              <w:rPr>
                <w:rFonts w:eastAsia="Times New Roman" w:cs="Times New Roman"/>
                <w:b/>
                <w:kern w:val="0"/>
                <w:sz w:val="20"/>
                <w:lang w:eastAsia="en-US" w:bidi="ar-SA"/>
              </w:rPr>
              <w:t>Summary of the project and country profile</w:t>
            </w:r>
          </w:p>
        </w:tc>
        <w:tc>
          <w:tcPr>
            <w:tcW w:w="1704" w:type="dxa"/>
            <w:tcBorders/>
          </w:tcPr>
          <w:p>
            <w:pPr>
              <w:pStyle w:val="Normal"/>
              <w:widowControl/>
              <w:spacing w:before="0" w:after="0"/>
              <w:jc w:val="right"/>
              <w:rPr>
                <w:b/>
                <w:b/>
                <w:sz w:val="20"/>
              </w:rPr>
            </w:pPr>
            <w:r>
              <w:rPr>
                <w:rFonts w:eastAsia="Times New Roman" w:cs="Times New Roman"/>
                <w:b/>
                <w:kern w:val="0"/>
                <w:sz w:val="20"/>
                <w:lang w:eastAsia="en-US" w:bidi="ar-SA"/>
              </w:rPr>
            </w:r>
          </w:p>
        </w:tc>
      </w:tr>
      <w:tr>
        <w:trPr>
          <w:trHeight w:val="233" w:hRule="atLeast"/>
        </w:trPr>
        <w:tc>
          <w:tcPr>
            <w:tcW w:w="7656" w:type="dxa"/>
            <w:gridSpan w:val="2"/>
            <w:tcBorders/>
          </w:tcPr>
          <w:p>
            <w:pPr>
              <w:pStyle w:val="Normal"/>
              <w:widowControl/>
              <w:spacing w:before="0" w:after="0"/>
              <w:rPr>
                <w:sz w:val="20"/>
              </w:rPr>
            </w:pPr>
            <w:r>
              <w:rPr>
                <w:rFonts w:eastAsia="Times New Roman" w:cs="Times New Roman"/>
                <w:kern w:val="0"/>
                <w:sz w:val="20"/>
                <w:lang w:eastAsia="en-US" w:bidi="ar-SA"/>
              </w:rPr>
              <w:t>Implementing agency:</w:t>
            </w:r>
          </w:p>
        </w:tc>
        <w:tc>
          <w:tcPr>
            <w:tcW w:w="1704" w:type="dxa"/>
            <w:tcBorders/>
          </w:tcPr>
          <w:p>
            <w:pPr>
              <w:pStyle w:val="Normal"/>
              <w:widowControl/>
              <w:spacing w:before="0" w:after="0"/>
              <w:jc w:val="center"/>
              <w:rPr>
                <w:sz w:val="20"/>
              </w:rPr>
            </w:pPr>
            <w:r>
              <w:rPr>
                <w:rFonts w:eastAsia="Times New Roman" w:cs="Times New Roman"/>
                <w:kern w:val="0"/>
                <w:sz w:val="20"/>
                <w:lang w:eastAsia="en-US" w:bidi="ar-SA"/>
              </w:rPr>
              <w:t>UNIDO</w:t>
            </w:r>
          </w:p>
        </w:tc>
      </w:tr>
      <w:tr>
        <w:trPr>
          <w:trHeight w:val="233" w:hRule="atLeast"/>
        </w:trPr>
        <w:tc>
          <w:tcPr>
            <w:tcW w:w="7656" w:type="dxa"/>
            <w:gridSpan w:val="2"/>
            <w:tcBorders>
              <w:bottom w:val="nil"/>
            </w:tcBorders>
          </w:tcPr>
          <w:p>
            <w:pPr>
              <w:pStyle w:val="Normal"/>
              <w:widowControl/>
              <w:spacing w:before="0" w:after="0"/>
              <w:rPr>
                <w:sz w:val="20"/>
              </w:rPr>
            </w:pPr>
            <w:r>
              <w:rPr>
                <w:rFonts w:eastAsia="Times New Roman" w:cs="Times New Roman"/>
                <w:kern w:val="0"/>
                <w:sz w:val="20"/>
                <w:lang w:eastAsia="en-US" w:bidi="ar-SA"/>
              </w:rPr>
              <w:t>Amounts previously approved for institutional strengthening (US $):</w:t>
            </w:r>
          </w:p>
        </w:tc>
        <w:tc>
          <w:tcPr>
            <w:tcW w:w="1704" w:type="dxa"/>
            <w:tcBorders>
              <w:bottom w:val="nil"/>
            </w:tcBorders>
          </w:tcPr>
          <w:p>
            <w:pPr>
              <w:pStyle w:val="Normal"/>
              <w:widowControl/>
              <w:spacing w:before="0" w:after="0"/>
              <w:jc w:val="right"/>
              <w:rPr>
                <w:sz w:val="20"/>
              </w:rPr>
            </w:pPr>
            <w:r>
              <w:rPr>
                <w:rFonts w:eastAsia="Times New Roman" w:cs="Times New Roman"/>
                <w:kern w:val="0"/>
                <w:sz w:val="20"/>
                <w:lang w:eastAsia="en-US" w:bidi="ar-SA"/>
              </w:rPr>
            </w:r>
          </w:p>
        </w:tc>
      </w:tr>
      <w:tr>
        <w:trPr>
          <w:trHeight w:val="233" w:hRule="atLeast"/>
        </w:trPr>
        <w:tc>
          <w:tcPr>
            <w:tcW w:w="6142"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I:</w:t>
            </w:r>
          </w:p>
        </w:tc>
        <w:tc>
          <w:tcPr>
            <w:tcW w:w="1514"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Jul-98</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151,500</w:t>
            </w:r>
          </w:p>
        </w:tc>
      </w:tr>
      <w:tr>
        <w:trPr>
          <w:trHeight w:val="233" w:hRule="atLeast"/>
        </w:trPr>
        <w:tc>
          <w:tcPr>
            <w:tcW w:w="6142"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II:</w:t>
            </w:r>
          </w:p>
        </w:tc>
        <w:tc>
          <w:tcPr>
            <w:tcW w:w="1514"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Dec-04</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131,300</w:t>
            </w:r>
          </w:p>
        </w:tc>
      </w:tr>
      <w:tr>
        <w:trPr>
          <w:trHeight w:val="233" w:hRule="atLeast"/>
        </w:trPr>
        <w:tc>
          <w:tcPr>
            <w:tcW w:w="6142"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III:</w:t>
            </w:r>
          </w:p>
        </w:tc>
        <w:tc>
          <w:tcPr>
            <w:tcW w:w="1514"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Nov-09</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131,300</w:t>
            </w:r>
          </w:p>
        </w:tc>
      </w:tr>
      <w:tr>
        <w:trPr>
          <w:trHeight w:val="233" w:hRule="atLeast"/>
        </w:trPr>
        <w:tc>
          <w:tcPr>
            <w:tcW w:w="6142"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IV:</w:t>
            </w:r>
          </w:p>
        </w:tc>
        <w:tc>
          <w:tcPr>
            <w:tcW w:w="1514" w:type="dxa"/>
            <w:tcBorders>
              <w:top w:val="nil"/>
              <w:left w:val="nil"/>
              <w:bottom w:val="nil"/>
            </w:tcBorders>
            <w:shd w:color="auto" w:fill="FFFFFF" w:themeFill="background1" w:val="clear"/>
            <w:vAlign w:val="bottom"/>
          </w:tcPr>
          <w:p>
            <w:pPr>
              <w:pStyle w:val="Normal"/>
              <w:widowControl/>
              <w:tabs>
                <w:tab w:val="clear" w:pos="720"/>
                <w:tab w:val="left" w:pos="6840" w:leader="none"/>
              </w:tabs>
              <w:spacing w:before="0" w:after="0"/>
              <w:ind w:left="-108" w:hanging="0"/>
              <w:jc w:val="right"/>
              <w:rPr>
                <w:sz w:val="20"/>
              </w:rPr>
            </w:pPr>
            <w:r>
              <w:rPr>
                <w:rFonts w:eastAsia="Times New Roman" w:cs="Times New Roman"/>
                <w:kern w:val="0"/>
                <w:sz w:val="20"/>
                <w:lang w:eastAsia="en-US" w:bidi="ar-SA"/>
              </w:rPr>
              <w:t>Nov-11</w:t>
            </w:r>
          </w:p>
        </w:tc>
        <w:tc>
          <w:tcPr>
            <w:tcW w:w="1704" w:type="dxa"/>
            <w:tcBorders>
              <w:top w:val="nil"/>
              <w:bottom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131,300</w:t>
            </w:r>
          </w:p>
        </w:tc>
      </w:tr>
      <w:tr>
        <w:trPr>
          <w:trHeight w:val="233" w:hRule="atLeast"/>
        </w:trPr>
        <w:tc>
          <w:tcPr>
            <w:tcW w:w="6142" w:type="dxa"/>
            <w:tcBorders>
              <w:top w:val="nil"/>
              <w:bottom w:val="nil"/>
              <w:right w:val="nil"/>
            </w:tcBorders>
            <w:shd w:color="auto" w:fill="FFFFFF" w:themeFill="background1" w:val="clear"/>
            <w:vAlign w:val="bottom"/>
          </w:tcPr>
          <w:p>
            <w:pPr>
              <w:pStyle w:val="Normal"/>
              <w:widowControl/>
              <w:spacing w:before="0" w:after="0"/>
              <w:ind w:left="5249" w:right="-198" w:hanging="0"/>
              <w:jc w:val="left"/>
              <w:rPr>
                <w:sz w:val="20"/>
              </w:rPr>
            </w:pPr>
            <w:r>
              <w:rPr>
                <w:rFonts w:eastAsia="Times New Roman" w:cs="Times New Roman"/>
                <w:kern w:val="0"/>
                <w:sz w:val="20"/>
                <w:lang w:eastAsia="en-US" w:bidi="ar-SA"/>
              </w:rPr>
              <w:t>Phase V:</w:t>
            </w:r>
          </w:p>
        </w:tc>
        <w:tc>
          <w:tcPr>
            <w:tcW w:w="1514" w:type="dxa"/>
            <w:tcBorders>
              <w:top w:val="nil"/>
              <w:left w:val="nil"/>
              <w:bottom w:val="nil"/>
            </w:tcBorders>
            <w:shd w:color="auto" w:fill="FFFFFF" w:themeFill="background1" w:val="clear"/>
            <w:vAlign w:val="bottom"/>
          </w:tcPr>
          <w:p>
            <w:pPr>
              <w:pStyle w:val="Normal"/>
              <w:widowControl/>
              <w:tabs>
                <w:tab w:val="clear" w:pos="720"/>
                <w:tab w:val="left" w:pos="6840" w:leader="none"/>
              </w:tabs>
              <w:spacing w:before="0" w:after="0"/>
              <w:ind w:left="-108" w:hanging="0"/>
              <w:jc w:val="right"/>
              <w:rPr>
                <w:sz w:val="20"/>
              </w:rPr>
            </w:pPr>
            <w:r>
              <w:rPr>
                <w:rFonts w:eastAsia="Times New Roman" w:cs="Times New Roman"/>
                <w:kern w:val="0"/>
                <w:sz w:val="20"/>
                <w:lang w:eastAsia="en-US" w:bidi="ar-SA"/>
              </w:rPr>
              <w:t>Dec-13</w:t>
            </w:r>
          </w:p>
        </w:tc>
        <w:tc>
          <w:tcPr>
            <w:tcW w:w="1704" w:type="dxa"/>
            <w:tcBorders>
              <w:top w:val="nil"/>
              <w:bottom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131,300</w:t>
            </w:r>
          </w:p>
        </w:tc>
      </w:tr>
      <w:tr>
        <w:trPr>
          <w:trHeight w:val="233" w:hRule="atLeast"/>
        </w:trPr>
        <w:tc>
          <w:tcPr>
            <w:tcW w:w="7656" w:type="dxa"/>
            <w:gridSpan w:val="2"/>
            <w:tcBorders>
              <w:top w:val="nil"/>
              <w:bottom w:val="nil"/>
            </w:tcBorders>
            <w:shd w:color="auto" w:fill="auto" w:val="clear"/>
          </w:tcPr>
          <w:p>
            <w:pPr>
              <w:pStyle w:val="Normal"/>
              <w:widowControl/>
              <w:tabs>
                <w:tab w:val="clear" w:pos="720"/>
                <w:tab w:val="right" w:pos="7560" w:leader="none"/>
              </w:tabs>
              <w:spacing w:before="0" w:after="0"/>
              <w:ind w:left="6480" w:right="-108" w:hanging="0"/>
              <w:jc w:val="left"/>
              <w:rPr>
                <w:sz w:val="20"/>
              </w:rPr>
            </w:pPr>
            <w:r>
              <w:rPr>
                <w:rFonts w:eastAsia="Times New Roman" w:cs="Times New Roman"/>
                <w:kern w:val="0"/>
                <w:sz w:val="20"/>
                <w:lang w:eastAsia="en-US" w:bidi="ar-SA"/>
              </w:rPr>
              <w:tab/>
              <w:t>Total:</w:t>
            </w:r>
          </w:p>
        </w:tc>
        <w:tc>
          <w:tcPr>
            <w:tcW w:w="1704" w:type="dxa"/>
            <w:tcBorders>
              <w:top w:val="nil"/>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676,700</w:t>
            </w:r>
          </w:p>
        </w:tc>
      </w:tr>
      <w:tr>
        <w:trPr>
          <w:trHeight w:val="233" w:hRule="atLeast"/>
        </w:trPr>
        <w:tc>
          <w:tcPr>
            <w:tcW w:w="7656" w:type="dxa"/>
            <w:gridSpan w:val="2"/>
            <w:tcBorders/>
            <w:shd w:color="auto" w:fill="FFFFFF" w:themeFill="background1" w:val="clear"/>
          </w:tcPr>
          <w:p>
            <w:pPr>
              <w:pStyle w:val="Normal"/>
              <w:widowControl/>
              <w:spacing w:before="0" w:after="0"/>
              <w:jc w:val="left"/>
              <w:rPr>
                <w:sz w:val="20"/>
              </w:rPr>
            </w:pPr>
            <w:r>
              <w:rPr>
                <w:rFonts w:eastAsia="Times New Roman" w:cs="Times New Roman"/>
                <w:kern w:val="0"/>
                <w:sz w:val="20"/>
                <w:lang w:eastAsia="en-US" w:bidi="ar-SA"/>
              </w:rPr>
              <w:t>Amount requested for renewal (phase VI) (US $):</w:t>
            </w:r>
          </w:p>
        </w:tc>
        <w:tc>
          <w:tcPr>
            <w:tcW w:w="1704" w:type="dxa"/>
            <w:tcBorders/>
            <w:shd w:color="auto" w:fill="auto" w:val="clear"/>
          </w:tcPr>
          <w:p>
            <w:pPr>
              <w:pStyle w:val="Normal"/>
              <w:widowControl/>
              <w:spacing w:before="0" w:after="0"/>
              <w:jc w:val="right"/>
              <w:rPr>
                <w:sz w:val="20"/>
              </w:rPr>
            </w:pPr>
            <w:r>
              <w:rPr>
                <w:rFonts w:eastAsia="Times New Roman" w:cs="Times New Roman"/>
                <w:color w:val="000000"/>
                <w:kern w:val="0"/>
                <w:sz w:val="20"/>
                <w:lang w:eastAsia="en-US" w:bidi="ar-SA"/>
              </w:rPr>
              <w:t>168,064</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 xml:space="preserve">Amount recommended for approval for phase VI (US $): </w:t>
            </w:r>
          </w:p>
        </w:tc>
        <w:tc>
          <w:tcPr>
            <w:tcW w:w="1704" w:type="dxa"/>
            <w:tcBorders/>
            <w:shd w:color="auto" w:fill="auto" w:val="clear"/>
          </w:tcPr>
          <w:p>
            <w:pPr>
              <w:pStyle w:val="Normal"/>
              <w:widowControl/>
              <w:spacing w:before="0" w:after="0"/>
              <w:jc w:val="right"/>
              <w:rPr>
                <w:sz w:val="20"/>
              </w:rPr>
            </w:pPr>
            <w:r>
              <w:rPr>
                <w:rFonts w:eastAsia="Times New Roman" w:cs="Times New Roman"/>
                <w:color w:val="000000"/>
                <w:kern w:val="0"/>
                <w:sz w:val="20"/>
                <w:lang w:eastAsia="en-US" w:bidi="ar-SA"/>
              </w:rPr>
              <w:t>168,064</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Agency support costs (US $):</w:t>
            </w:r>
          </w:p>
        </w:tc>
        <w:tc>
          <w:tcPr>
            <w:tcW w:w="1704"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11,764</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Total cost of institutional strengthening phase VI to the Multilateral Fund (US $):</w:t>
            </w:r>
          </w:p>
        </w:tc>
        <w:tc>
          <w:tcPr>
            <w:tcW w:w="1704"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179,828</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Date of approval of country programme:</w:t>
            </w:r>
          </w:p>
        </w:tc>
        <w:tc>
          <w:tcPr>
            <w:tcW w:w="1704" w:type="dxa"/>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Date of approval of HCFC phase-out management plan:</w:t>
            </w:r>
          </w:p>
        </w:tc>
        <w:tc>
          <w:tcPr>
            <w:tcW w:w="1704" w:type="dxa"/>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2010</w:t>
            </w:r>
          </w:p>
        </w:tc>
      </w:tr>
      <w:tr>
        <w:trPr>
          <w:trHeight w:val="233" w:hRule="atLeast"/>
        </w:trPr>
        <w:tc>
          <w:tcPr>
            <w:tcW w:w="7656" w:type="dxa"/>
            <w:gridSpan w:val="2"/>
            <w:tcBorders>
              <w:bottom w:val="nil"/>
            </w:tcBorders>
          </w:tcPr>
          <w:p>
            <w:pPr>
              <w:pStyle w:val="Normal"/>
              <w:widowControl/>
              <w:spacing w:before="20" w:after="0"/>
              <w:jc w:val="left"/>
              <w:rPr>
                <w:sz w:val="20"/>
              </w:rPr>
            </w:pPr>
            <w:r>
              <w:rPr>
                <w:rFonts w:eastAsia="Times New Roman" w:cs="Times New Roman"/>
                <w:kern w:val="0"/>
                <w:sz w:val="20"/>
                <w:lang w:eastAsia="en-US" w:bidi="ar-SA"/>
              </w:rPr>
              <w:t>Baseline consumption of controlled substances (ODP tonnes):</w:t>
            </w:r>
          </w:p>
        </w:tc>
        <w:tc>
          <w:tcPr>
            <w:tcW w:w="1704" w:type="dxa"/>
            <w:tcBorders>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r>
          </w:p>
        </w:tc>
      </w:tr>
      <w:tr>
        <w:trPr>
          <w:trHeight w:val="233" w:hRule="atLeast"/>
        </w:trPr>
        <w:tc>
          <w:tcPr>
            <w:tcW w:w="7656" w:type="dxa"/>
            <w:gridSpan w:val="2"/>
            <w:tcBorders>
              <w:top w:val="nil"/>
              <w:bottom w:val="nil"/>
            </w:tcBorders>
          </w:tcPr>
          <w:p>
            <w:pPr>
              <w:pStyle w:val="Normal"/>
              <w:widowControl/>
              <w:spacing w:before="0" w:after="0"/>
              <w:ind w:left="360" w:hanging="360"/>
              <w:jc w:val="left"/>
              <w:rPr>
                <w:sz w:val="20"/>
              </w:rPr>
            </w:pPr>
            <w:r>
              <w:rPr>
                <w:rFonts w:eastAsia="Times New Roman" w:cs="Times New Roman"/>
                <w:kern w:val="0"/>
                <w:sz w:val="20"/>
                <w:lang w:eastAsia="en-US" w:bidi="ar-SA"/>
              </w:rPr>
              <w:t>Annex B, Group III (methyl chloroform) (average 1998-2000)</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0.0</w:t>
            </w:r>
          </w:p>
        </w:tc>
      </w:tr>
      <w:tr>
        <w:trPr>
          <w:trHeight w:val="233" w:hRule="atLeast"/>
        </w:trPr>
        <w:tc>
          <w:tcPr>
            <w:tcW w:w="7656" w:type="dxa"/>
            <w:gridSpan w:val="2"/>
            <w:tcBorders>
              <w:top w:val="nil"/>
              <w:bottom w:val="nil"/>
            </w:tcBorders>
          </w:tcPr>
          <w:p>
            <w:pPr>
              <w:pStyle w:val="Normal"/>
              <w:widowControl/>
              <w:spacing w:before="0" w:after="20"/>
              <w:ind w:left="360" w:hanging="360"/>
              <w:jc w:val="left"/>
              <w:rPr>
                <w:sz w:val="20"/>
              </w:rPr>
            </w:pPr>
            <w:r>
              <w:rPr>
                <w:rFonts w:eastAsia="Times New Roman" w:cs="Times New Roman"/>
                <w:kern w:val="0"/>
                <w:sz w:val="20"/>
                <w:lang w:eastAsia="en-US" w:bidi="ar-SA"/>
              </w:rPr>
              <w:t>Annex C, Group I (HCFCs) (average 2009-2010)</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8.4</w:t>
            </w:r>
          </w:p>
        </w:tc>
      </w:tr>
      <w:tr>
        <w:trPr>
          <w:trHeight w:val="233" w:hRule="atLeast"/>
        </w:trPr>
        <w:tc>
          <w:tcPr>
            <w:tcW w:w="7656" w:type="dxa"/>
            <w:gridSpan w:val="2"/>
            <w:tcBorders>
              <w:top w:val="nil"/>
            </w:tcBorders>
          </w:tcPr>
          <w:p>
            <w:pPr>
              <w:pStyle w:val="Normal"/>
              <w:widowControl/>
              <w:spacing w:before="0" w:after="20"/>
              <w:ind w:left="360" w:hanging="360"/>
              <w:jc w:val="left"/>
              <w:rPr>
                <w:sz w:val="20"/>
              </w:rPr>
            </w:pPr>
            <w:r>
              <w:rPr>
                <w:rFonts w:eastAsia="Times New Roman" w:cs="Times New Roman"/>
                <w:kern w:val="0"/>
                <w:sz w:val="20"/>
                <w:lang w:eastAsia="en-US" w:bidi="ar-SA"/>
              </w:rPr>
              <w:t>Annex E (methyl bromide) (average 1995-1998)</w:t>
            </w:r>
          </w:p>
        </w:tc>
        <w:tc>
          <w:tcPr>
            <w:tcW w:w="1704" w:type="dxa"/>
            <w:tcBorders>
              <w:top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8.3</w:t>
            </w:r>
          </w:p>
        </w:tc>
      </w:tr>
      <w:tr>
        <w:trPr>
          <w:trHeight w:val="233" w:hRule="atLeast"/>
        </w:trPr>
        <w:tc>
          <w:tcPr>
            <w:tcW w:w="7656" w:type="dxa"/>
            <w:gridSpan w:val="2"/>
            <w:tcBorders>
              <w:bottom w:val="nil"/>
            </w:tcBorders>
          </w:tcPr>
          <w:p>
            <w:pPr>
              <w:pStyle w:val="Normal"/>
              <w:widowControl/>
              <w:spacing w:before="20" w:after="0"/>
              <w:jc w:val="left"/>
              <w:rPr>
                <w:sz w:val="20"/>
              </w:rPr>
            </w:pPr>
            <w:r>
              <w:rPr>
                <w:rFonts w:eastAsia="Times New Roman" w:cs="Times New Roman"/>
                <w:kern w:val="0"/>
                <w:sz w:val="20"/>
                <w:lang w:eastAsia="en-US" w:bidi="ar-SA"/>
              </w:rPr>
              <w:t>Latest reported ODS consumption (2016) (ODP tonnes) as per Article 7:</w:t>
            </w:r>
          </w:p>
        </w:tc>
        <w:tc>
          <w:tcPr>
            <w:tcW w:w="1704" w:type="dxa"/>
            <w:tcBorders>
              <w:bottom w:val="nil"/>
            </w:tcBorders>
            <w:shd w:color="auto" w:fill="FFFFFF" w:themeFill="background1" w:val="clear"/>
          </w:tcPr>
          <w:p>
            <w:pPr>
              <w:pStyle w:val="Normal"/>
              <w:widowControl/>
              <w:spacing w:before="20" w:after="0"/>
              <w:jc w:val="right"/>
              <w:rPr>
                <w:sz w:val="20"/>
              </w:rPr>
            </w:pPr>
            <w:r>
              <w:rPr>
                <w:rFonts w:eastAsia="Times New Roman" w:cs="Times New Roman"/>
                <w:kern w:val="0"/>
                <w:sz w:val="20"/>
                <w:lang w:eastAsia="en-US" w:bidi="ar-SA"/>
              </w:rPr>
            </w:r>
          </w:p>
        </w:tc>
      </w:tr>
      <w:tr>
        <w:trPr>
          <w:trHeight w:val="233" w:hRule="atLeast"/>
        </w:trPr>
        <w:tc>
          <w:tcPr>
            <w:tcW w:w="7656" w:type="dxa"/>
            <w:gridSpan w:val="2"/>
            <w:tcBorders>
              <w:top w:val="nil"/>
              <w:bottom w:val="nil"/>
            </w:tcBorders>
          </w:tcPr>
          <w:p>
            <w:pPr>
              <w:pStyle w:val="Normal"/>
              <w:widowControl/>
              <w:spacing w:before="0" w:after="0"/>
              <w:ind w:left="360" w:hanging="360"/>
              <w:jc w:val="left"/>
              <w:rPr>
                <w:sz w:val="20"/>
              </w:rPr>
            </w:pPr>
            <w:r>
              <w:rPr>
                <w:rFonts w:eastAsia="Times New Roman" w:cs="Times New Roman"/>
                <w:kern w:val="0"/>
                <w:sz w:val="20"/>
                <w:lang w:eastAsia="en-US" w:bidi="ar-SA"/>
              </w:rPr>
              <w:t>Annex B, Group III (methyl chloroform)</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0.0</w:t>
            </w:r>
          </w:p>
        </w:tc>
      </w:tr>
      <w:tr>
        <w:trPr>
          <w:trHeight w:val="233" w:hRule="atLeast"/>
        </w:trPr>
        <w:tc>
          <w:tcPr>
            <w:tcW w:w="7656" w:type="dxa"/>
            <w:gridSpan w:val="2"/>
            <w:tcBorders>
              <w:top w:val="nil"/>
              <w:bottom w:val="nil"/>
            </w:tcBorders>
          </w:tcPr>
          <w:p>
            <w:pPr>
              <w:pStyle w:val="Normal"/>
              <w:widowControl/>
              <w:spacing w:before="0" w:after="0"/>
              <w:ind w:left="360" w:hanging="360"/>
              <w:jc w:val="left"/>
              <w:rPr>
                <w:sz w:val="20"/>
                <w:lang w:val="en-CA"/>
              </w:rPr>
            </w:pPr>
            <w:r>
              <w:rPr>
                <w:rFonts w:eastAsia="Times New Roman" w:cs="Times New Roman"/>
                <w:kern w:val="0"/>
                <w:sz w:val="20"/>
                <w:lang w:eastAsia="en-US" w:bidi="ar-SA"/>
              </w:rPr>
              <w:t>Annex C, Group I (HCFCs)</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6.4</w:t>
            </w:r>
          </w:p>
        </w:tc>
      </w:tr>
      <w:tr>
        <w:trPr>
          <w:trHeight w:val="233" w:hRule="atLeast"/>
        </w:trPr>
        <w:tc>
          <w:tcPr>
            <w:tcW w:w="7656" w:type="dxa"/>
            <w:gridSpan w:val="2"/>
            <w:tcBorders>
              <w:top w:val="nil"/>
              <w:bottom w:val="nil"/>
            </w:tcBorders>
          </w:tcPr>
          <w:p>
            <w:pPr>
              <w:pStyle w:val="Normal"/>
              <w:widowControl/>
              <w:spacing w:before="0" w:after="0"/>
              <w:ind w:left="360" w:hanging="360"/>
              <w:jc w:val="left"/>
              <w:rPr>
                <w:sz w:val="20"/>
                <w:lang w:val="en-CA"/>
              </w:rPr>
            </w:pPr>
            <w:r>
              <w:rPr>
                <w:rFonts w:eastAsia="Times New Roman" w:cs="Times New Roman"/>
                <w:kern w:val="0"/>
                <w:sz w:val="20"/>
                <w:lang w:val="en-CA" w:eastAsia="en-US" w:bidi="ar-SA"/>
              </w:rPr>
              <w:t>Annex E (methyl bromide)</w:t>
            </w:r>
          </w:p>
        </w:tc>
        <w:tc>
          <w:tcPr>
            <w:tcW w:w="1704"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0.0</w:t>
            </w:r>
          </w:p>
        </w:tc>
      </w:tr>
      <w:tr>
        <w:trPr>
          <w:trHeight w:val="233" w:hRule="atLeast"/>
        </w:trPr>
        <w:tc>
          <w:tcPr>
            <w:tcW w:w="7656" w:type="dxa"/>
            <w:gridSpan w:val="2"/>
            <w:tcBorders>
              <w:top w:val="nil"/>
            </w:tcBorders>
          </w:tcPr>
          <w:p>
            <w:pPr>
              <w:pStyle w:val="Normal"/>
              <w:widowControl/>
              <w:tabs>
                <w:tab w:val="clear" w:pos="720"/>
                <w:tab w:val="right" w:pos="7560" w:leader="none"/>
              </w:tabs>
              <w:spacing w:before="0" w:after="0"/>
              <w:ind w:left="6480" w:right="-108" w:hanging="0"/>
              <w:jc w:val="left"/>
              <w:rPr>
                <w:sz w:val="20"/>
              </w:rPr>
            </w:pPr>
            <w:r>
              <w:rPr>
                <w:rFonts w:eastAsia="Times New Roman" w:cs="Times New Roman"/>
                <w:kern w:val="0"/>
                <w:sz w:val="20"/>
                <w:lang w:eastAsia="en-US" w:bidi="ar-SA"/>
              </w:rPr>
              <w:tab/>
              <w:t>Total:</w:t>
            </w:r>
          </w:p>
        </w:tc>
        <w:tc>
          <w:tcPr>
            <w:tcW w:w="1704" w:type="dxa"/>
            <w:tcBorders>
              <w:top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6.4</w:t>
            </w:r>
          </w:p>
        </w:tc>
      </w:tr>
      <w:tr>
        <w:trPr>
          <w:trHeight w:val="233" w:hRule="atLeast"/>
        </w:trPr>
        <w:tc>
          <w:tcPr>
            <w:tcW w:w="7656" w:type="dxa"/>
            <w:gridSpan w:val="2"/>
            <w:tcBorders>
              <w:top w:val="nil"/>
            </w:tcBorders>
          </w:tcPr>
          <w:p>
            <w:pPr>
              <w:pStyle w:val="Normal"/>
              <w:widowControl/>
              <w:spacing w:before="0" w:after="0"/>
              <w:jc w:val="left"/>
              <w:rPr>
                <w:sz w:val="20"/>
              </w:rPr>
            </w:pPr>
            <w:r>
              <w:rPr>
                <w:rFonts w:eastAsia="Times New Roman" w:cs="Times New Roman"/>
                <w:kern w:val="0"/>
                <w:sz w:val="20"/>
                <w:lang w:eastAsia="en-US" w:bidi="ar-SA"/>
              </w:rPr>
              <w:t>Year of reported country programme implementation data:</w:t>
            </w:r>
          </w:p>
        </w:tc>
        <w:tc>
          <w:tcPr>
            <w:tcW w:w="1704" w:type="dxa"/>
            <w:tcBorders>
              <w:top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2016</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Amount approved for projects (as at July 2017) (US $):</w:t>
            </w:r>
          </w:p>
        </w:tc>
        <w:tc>
          <w:tcPr>
            <w:tcW w:w="1704" w:type="dxa"/>
            <w:tcBorders/>
            <w:shd w:color="auto" w:fill="auto" w:val="clear"/>
            <w:vAlign w:val="bottom"/>
          </w:tcPr>
          <w:p>
            <w:pPr>
              <w:pStyle w:val="Normal"/>
              <w:widowControl/>
              <w:spacing w:before="0" w:after="0"/>
              <w:jc w:val="right"/>
              <w:rPr>
                <w:sz w:val="20"/>
              </w:rPr>
            </w:pPr>
            <w:r>
              <w:rPr>
                <w:rFonts w:eastAsia="Times New Roman" w:cs="Times New Roman"/>
                <w:kern w:val="0"/>
                <w:sz w:val="20"/>
                <w:lang w:eastAsia="en-US" w:bidi="ar-SA"/>
              </w:rPr>
              <w:t>9,604,205</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Amount disbursed (as at December 2016) (US</w:t>
            </w:r>
            <w:r>
              <w:rPr>
                <w:rFonts w:eastAsia="Times New Roman" w:cs="Times New Roman"/>
                <w:kern w:val="0"/>
                <w:lang w:eastAsia="en-US" w:bidi="ar-SA"/>
              </w:rPr>
              <w:t> </w:t>
            </w:r>
            <w:r>
              <w:rPr>
                <w:rFonts w:eastAsia="Times New Roman" w:cs="Times New Roman"/>
                <w:kern w:val="0"/>
                <w:sz w:val="20"/>
                <w:lang w:eastAsia="en-US" w:bidi="ar-SA"/>
              </w:rPr>
              <w:t>$):</w:t>
            </w:r>
          </w:p>
        </w:tc>
        <w:tc>
          <w:tcPr>
            <w:tcW w:w="1704"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7,706,904</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ODS to be phased out (as at July 2017) (ODP tonnes):</w:t>
            </w:r>
          </w:p>
        </w:tc>
        <w:tc>
          <w:tcPr>
            <w:tcW w:w="1704" w:type="dxa"/>
            <w:tcBorders/>
            <w:shd w:color="auto" w:fill="auto" w:val="clear"/>
            <w:vAlign w:val="bottom"/>
          </w:tcPr>
          <w:p>
            <w:pPr>
              <w:pStyle w:val="Normal"/>
              <w:widowControl/>
              <w:spacing w:before="0" w:after="0"/>
              <w:jc w:val="right"/>
              <w:rPr>
                <w:sz w:val="20"/>
              </w:rPr>
            </w:pPr>
            <w:r>
              <w:rPr>
                <w:rFonts w:eastAsia="Times New Roman" w:cs="Times New Roman"/>
                <w:kern w:val="0"/>
                <w:sz w:val="20"/>
                <w:lang w:eastAsia="en-US" w:bidi="ar-SA"/>
              </w:rPr>
              <w:t>1,121.2</w:t>
            </w:r>
          </w:p>
        </w:tc>
      </w:tr>
      <w:tr>
        <w:trPr>
          <w:trHeight w:val="233" w:hRule="atLeast"/>
        </w:trPr>
        <w:tc>
          <w:tcPr>
            <w:tcW w:w="7656" w:type="dxa"/>
            <w:gridSpan w:val="2"/>
            <w:tcBorders/>
          </w:tcPr>
          <w:p>
            <w:pPr>
              <w:pStyle w:val="Normal"/>
              <w:widowControl/>
              <w:spacing w:before="0" w:after="0"/>
              <w:jc w:val="left"/>
              <w:rPr>
                <w:sz w:val="20"/>
              </w:rPr>
            </w:pPr>
            <w:r>
              <w:rPr>
                <w:rFonts w:eastAsia="Times New Roman" w:cs="Times New Roman"/>
                <w:kern w:val="0"/>
                <w:sz w:val="20"/>
                <w:lang w:eastAsia="en-US" w:bidi="ar-SA"/>
              </w:rPr>
              <w:t>ODS phased out (as at December 2016) (ODP tonnes):</w:t>
            </w:r>
          </w:p>
        </w:tc>
        <w:tc>
          <w:tcPr>
            <w:tcW w:w="1704"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1,118.4</w:t>
            </w:r>
          </w:p>
        </w:tc>
      </w:tr>
    </w:tbl>
    <w:p>
      <w:pPr>
        <w:pStyle w:val="Normal"/>
        <w:rPr/>
      </w:pPr>
      <w:r>
        <w:rPr/>
      </w:r>
    </w:p>
    <w:p>
      <w:pPr>
        <w:pStyle w:val="Heading1"/>
        <w:keepNext w:val="true"/>
        <w:keepLines/>
        <w:numPr>
          <w:ilvl w:val="0"/>
          <w:numId w:val="72"/>
        </w:numPr>
        <w:rPr/>
      </w:pPr>
      <w:r>
        <w:rPr/>
        <w:t>Summary of activities and funds approved by the Executive Committee:</w:t>
      </w:r>
    </w:p>
    <w:tbl>
      <w:tblPr>
        <w:tblStyle w:val="TableGrid"/>
        <w:tblW w:w="5000" w:type="pct"/>
        <w:jc w:val="left"/>
        <w:tblInd w:w="-5" w:type="dxa"/>
        <w:tblLayout w:type="fixed"/>
        <w:tblCellMar>
          <w:top w:w="0" w:type="dxa"/>
          <w:left w:w="108" w:type="dxa"/>
          <w:bottom w:w="0" w:type="dxa"/>
          <w:right w:w="108" w:type="dxa"/>
        </w:tblCellMar>
        <w:tblLook w:val="01e0" w:noHBand="0" w:noVBand="0" w:firstColumn="1" w:lastRow="1" w:lastColumn="1" w:firstRow="1"/>
      </w:tblPr>
      <w:tblGrid>
        <w:gridCol w:w="632"/>
        <w:gridCol w:w="7026"/>
        <w:gridCol w:w="1702"/>
      </w:tblGrid>
      <w:tr>
        <w:trPr/>
        <w:tc>
          <w:tcPr>
            <w:tcW w:w="7658" w:type="dxa"/>
            <w:gridSpan w:val="2"/>
            <w:tcBorders/>
          </w:tcPr>
          <w:p>
            <w:pPr>
              <w:pStyle w:val="Normal"/>
              <w:keepNext w:val="true"/>
              <w:keepLines/>
              <w:widowControl/>
              <w:spacing w:before="0" w:after="0"/>
              <w:jc w:val="left"/>
              <w:rPr>
                <w:b/>
                <w:b/>
                <w:sz w:val="20"/>
              </w:rPr>
            </w:pPr>
            <w:r>
              <w:rPr>
                <w:rFonts w:eastAsia="Times New Roman" w:cs="Times New Roman"/>
                <w:b/>
                <w:kern w:val="0"/>
                <w:sz w:val="20"/>
                <w:lang w:eastAsia="en-US" w:bidi="ar-SA"/>
              </w:rPr>
              <w:t>Summary of activities</w:t>
            </w:r>
          </w:p>
          <w:p>
            <w:pPr>
              <w:pStyle w:val="Normal"/>
              <w:keepNext w:val="true"/>
              <w:keepLines/>
              <w:widowControl/>
              <w:spacing w:before="0" w:after="0"/>
              <w:jc w:val="left"/>
              <w:rPr>
                <w:b/>
                <w:b/>
                <w:sz w:val="20"/>
              </w:rPr>
            </w:pPr>
            <w:r>
              <w:rPr>
                <w:rFonts w:eastAsia="Times New Roman" w:cs="Times New Roman"/>
                <w:b/>
                <w:kern w:val="0"/>
                <w:sz w:val="20"/>
                <w:lang w:eastAsia="en-US" w:bidi="ar-SA"/>
              </w:rPr>
            </w:r>
          </w:p>
        </w:tc>
        <w:tc>
          <w:tcPr>
            <w:tcW w:w="1702" w:type="dxa"/>
            <w:tcBorders/>
          </w:tcPr>
          <w:p>
            <w:pPr>
              <w:pStyle w:val="Normal"/>
              <w:keepNext w:val="true"/>
              <w:keepLines/>
              <w:widowControl/>
              <w:spacing w:before="0" w:after="0"/>
              <w:jc w:val="center"/>
              <w:rPr>
                <w:b/>
                <w:b/>
                <w:sz w:val="20"/>
              </w:rPr>
            </w:pPr>
            <w:r>
              <w:rPr>
                <w:rFonts w:eastAsia="Times New Roman" w:cs="Times New Roman"/>
                <w:b/>
                <w:kern w:val="0"/>
                <w:sz w:val="20"/>
                <w:lang w:eastAsia="en-US" w:bidi="ar-SA"/>
              </w:rPr>
              <w:t>Funds approved (US $)</w:t>
            </w:r>
          </w:p>
        </w:tc>
      </w:tr>
      <w:tr>
        <w:trPr/>
        <w:tc>
          <w:tcPr>
            <w:tcW w:w="632" w:type="dxa"/>
            <w:tcBorders>
              <w:right w:val="nil"/>
            </w:tcBorders>
          </w:tcPr>
          <w:p>
            <w:pPr>
              <w:pStyle w:val="Normal"/>
              <w:keepNext w:val="true"/>
              <w:keepLines/>
              <w:widowControl/>
              <w:spacing w:before="0" w:after="0"/>
              <w:ind w:left="360" w:hanging="360"/>
              <w:jc w:val="left"/>
              <w:rPr>
                <w:sz w:val="20"/>
              </w:rPr>
            </w:pPr>
            <w:r>
              <w:rPr>
                <w:rFonts w:eastAsia="Times New Roman" w:cs="Times New Roman"/>
                <w:kern w:val="0"/>
                <w:sz w:val="20"/>
                <w:lang w:eastAsia="en-US" w:bidi="ar-SA"/>
              </w:rPr>
              <w:t>(a)</w:t>
            </w:r>
          </w:p>
        </w:tc>
        <w:tc>
          <w:tcPr>
            <w:tcW w:w="7026" w:type="dxa"/>
            <w:tcBorders>
              <w:left w:val="nil"/>
            </w:tcBorders>
          </w:tcPr>
          <w:p>
            <w:pPr>
              <w:pStyle w:val="Normal"/>
              <w:keepNext w:val="true"/>
              <w:keepLines/>
              <w:widowControl/>
              <w:spacing w:before="0" w:after="0"/>
              <w:ind w:left="-109" w:hanging="0"/>
              <w:rPr>
                <w:sz w:val="20"/>
              </w:rPr>
            </w:pPr>
            <w:r>
              <w:rPr>
                <w:rFonts w:eastAsia="Times New Roman" w:cs="Times New Roman"/>
                <w:kern w:val="0"/>
                <w:sz w:val="20"/>
                <w:lang w:eastAsia="en-US" w:bidi="ar-SA"/>
              </w:rPr>
              <w:t>Investment projects:</w:t>
            </w:r>
          </w:p>
        </w:tc>
        <w:tc>
          <w:tcPr>
            <w:tcW w:w="1702" w:type="dxa"/>
            <w:tcBorders/>
            <w:shd w:color="auto" w:fill="auto" w:val="clear"/>
          </w:tcPr>
          <w:p>
            <w:pPr>
              <w:pStyle w:val="Normal"/>
              <w:keepNext w:val="true"/>
              <w:keepLines/>
              <w:widowControl/>
              <w:spacing w:before="0" w:after="0"/>
              <w:jc w:val="right"/>
              <w:rPr>
                <w:sz w:val="20"/>
              </w:rPr>
            </w:pPr>
            <w:r>
              <w:rPr>
                <w:rFonts w:eastAsia="Times New Roman" w:cs="Times New Roman"/>
                <w:kern w:val="0"/>
                <w:sz w:val="20"/>
                <w:lang w:eastAsia="en-US" w:bidi="ar-SA"/>
              </w:rPr>
              <w:t>7,125,743</w:t>
            </w:r>
          </w:p>
        </w:tc>
      </w:tr>
      <w:tr>
        <w:trPr/>
        <w:tc>
          <w:tcPr>
            <w:tcW w:w="632" w:type="dxa"/>
            <w:tcBorders>
              <w:right w:val="nil"/>
            </w:tcBorders>
          </w:tcPr>
          <w:p>
            <w:pPr>
              <w:pStyle w:val="Normal"/>
              <w:keepNext w:val="true"/>
              <w:keepLines/>
              <w:widowControl/>
              <w:spacing w:before="0" w:after="0"/>
              <w:rPr>
                <w:sz w:val="20"/>
              </w:rPr>
            </w:pPr>
            <w:r>
              <w:rPr>
                <w:rFonts w:eastAsia="Times New Roman" w:cs="Times New Roman"/>
                <w:kern w:val="0"/>
                <w:sz w:val="20"/>
                <w:lang w:eastAsia="en-US" w:bidi="ar-SA"/>
              </w:rPr>
              <w:t>(b)</w:t>
            </w:r>
          </w:p>
        </w:tc>
        <w:tc>
          <w:tcPr>
            <w:tcW w:w="7026" w:type="dxa"/>
            <w:tcBorders>
              <w:left w:val="nil"/>
            </w:tcBorders>
          </w:tcPr>
          <w:p>
            <w:pPr>
              <w:pStyle w:val="Normal"/>
              <w:keepNext w:val="true"/>
              <w:keepLines/>
              <w:widowControl/>
              <w:spacing w:before="0" w:after="0"/>
              <w:ind w:left="-109" w:hanging="0"/>
              <w:rPr>
                <w:sz w:val="20"/>
              </w:rPr>
            </w:pPr>
            <w:r>
              <w:rPr>
                <w:rFonts w:eastAsia="Times New Roman" w:cs="Times New Roman"/>
                <w:kern w:val="0"/>
                <w:sz w:val="20"/>
                <w:lang w:eastAsia="en-US" w:bidi="ar-SA"/>
              </w:rPr>
              <w:t>Institutional strengthening:</w:t>
            </w:r>
          </w:p>
        </w:tc>
        <w:tc>
          <w:tcPr>
            <w:tcW w:w="1702" w:type="dxa"/>
            <w:tcBorders/>
            <w:shd w:color="auto" w:fill="FFFFFF" w:themeFill="background1" w:val="clear"/>
          </w:tcPr>
          <w:p>
            <w:pPr>
              <w:pStyle w:val="Normal"/>
              <w:keepNext w:val="true"/>
              <w:keepLines/>
              <w:widowControl/>
              <w:spacing w:before="0" w:after="0"/>
              <w:jc w:val="right"/>
              <w:rPr>
                <w:sz w:val="20"/>
              </w:rPr>
            </w:pPr>
            <w:r>
              <w:rPr>
                <w:rFonts w:eastAsia="Times New Roman" w:cs="Times New Roman"/>
                <w:kern w:val="0"/>
                <w:sz w:val="20"/>
                <w:lang w:eastAsia="en-US" w:bidi="ar-SA"/>
              </w:rPr>
              <w:t>676,700</w:t>
            </w:r>
          </w:p>
        </w:tc>
      </w:tr>
      <w:tr>
        <w:trPr/>
        <w:tc>
          <w:tcPr>
            <w:tcW w:w="632" w:type="dxa"/>
            <w:tcBorders>
              <w:right w:val="nil"/>
            </w:tcBorders>
          </w:tcPr>
          <w:p>
            <w:pPr>
              <w:pStyle w:val="Normal"/>
              <w:keepNext w:val="true"/>
              <w:keepLines/>
              <w:widowControl/>
              <w:spacing w:before="0" w:after="0"/>
              <w:rPr>
                <w:sz w:val="20"/>
              </w:rPr>
            </w:pPr>
            <w:r>
              <w:rPr>
                <w:rFonts w:eastAsia="Times New Roman" w:cs="Times New Roman"/>
                <w:kern w:val="0"/>
                <w:sz w:val="20"/>
                <w:lang w:eastAsia="en-US" w:bidi="ar-SA"/>
              </w:rPr>
              <w:t>(c)</w:t>
            </w:r>
          </w:p>
        </w:tc>
        <w:tc>
          <w:tcPr>
            <w:tcW w:w="7026" w:type="dxa"/>
            <w:tcBorders>
              <w:left w:val="nil"/>
            </w:tcBorders>
          </w:tcPr>
          <w:p>
            <w:pPr>
              <w:pStyle w:val="Normal"/>
              <w:keepNext w:val="true"/>
              <w:keepLines/>
              <w:widowControl/>
              <w:spacing w:before="0" w:after="0"/>
              <w:ind w:left="-109" w:hanging="0"/>
              <w:rPr>
                <w:sz w:val="20"/>
              </w:rPr>
            </w:pPr>
            <w:r>
              <w:rPr>
                <w:rFonts w:eastAsia="Times New Roman" w:cs="Times New Roman"/>
                <w:kern w:val="0"/>
                <w:sz w:val="20"/>
                <w:lang w:eastAsia="en-US" w:bidi="ar-SA"/>
              </w:rPr>
              <w:t>Project preparation, technical assistance, training and other non-investment projects:</w:t>
            </w:r>
          </w:p>
        </w:tc>
        <w:tc>
          <w:tcPr>
            <w:tcW w:w="1702" w:type="dxa"/>
            <w:tcBorders/>
            <w:shd w:color="auto" w:fill="FFFFFF" w:themeFill="background1" w:val="clear"/>
          </w:tcPr>
          <w:p>
            <w:pPr>
              <w:pStyle w:val="Normal"/>
              <w:widowControl/>
              <w:spacing w:before="0" w:after="0"/>
              <w:jc w:val="right"/>
              <w:rPr>
                <w:sz w:val="20"/>
              </w:rPr>
            </w:pPr>
            <w:r>
              <w:rPr>
                <w:rFonts w:eastAsia="Times New Roman" w:cs="Times New Roman"/>
                <w:color w:val="000000"/>
                <w:kern w:val="0"/>
                <w:sz w:val="20"/>
                <w:lang w:eastAsia="en-US" w:bidi="ar-SA"/>
              </w:rPr>
              <w:t>1,801,762</w:t>
            </w:r>
          </w:p>
        </w:tc>
      </w:tr>
      <w:tr>
        <w:trPr/>
        <w:tc>
          <w:tcPr>
            <w:tcW w:w="7658" w:type="dxa"/>
            <w:gridSpan w:val="2"/>
            <w:tcBorders/>
          </w:tcPr>
          <w:p>
            <w:pPr>
              <w:pStyle w:val="Normal"/>
              <w:keepNext w:val="true"/>
              <w:keepLines/>
              <w:widowControl/>
              <w:tabs>
                <w:tab w:val="clear" w:pos="720"/>
                <w:tab w:val="right" w:pos="7560" w:leader="none"/>
              </w:tabs>
              <w:spacing w:before="0" w:after="0"/>
              <w:ind w:left="6480" w:right="-108" w:hanging="0"/>
              <w:jc w:val="left"/>
              <w:rPr>
                <w:sz w:val="20"/>
              </w:rPr>
            </w:pPr>
            <w:r>
              <w:rPr>
                <w:rFonts w:eastAsia="Times New Roman" w:cs="Times New Roman"/>
                <w:kern w:val="0"/>
                <w:sz w:val="20"/>
                <w:lang w:eastAsia="en-US" w:bidi="ar-SA"/>
              </w:rPr>
              <w:tab/>
              <w:t>Total:</w:t>
            </w:r>
          </w:p>
        </w:tc>
        <w:tc>
          <w:tcPr>
            <w:tcW w:w="1702" w:type="dxa"/>
            <w:tcBorders/>
            <w:shd w:color="auto" w:fill="auto" w:val="clear"/>
          </w:tcPr>
          <w:p>
            <w:pPr>
              <w:pStyle w:val="Normal"/>
              <w:keepNext w:val="true"/>
              <w:keepLines/>
              <w:widowControl/>
              <w:spacing w:before="0" w:after="0"/>
              <w:jc w:val="right"/>
              <w:rPr>
                <w:sz w:val="20"/>
              </w:rPr>
            </w:pPr>
            <w:r>
              <w:rPr>
                <w:rFonts w:eastAsia="Times New Roman" w:cs="Times New Roman"/>
                <w:kern w:val="0"/>
                <w:sz w:val="20"/>
                <w:lang w:eastAsia="en-US" w:bidi="ar-SA"/>
              </w:rPr>
              <w:t>9,604,205</w:t>
            </w:r>
          </w:p>
        </w:tc>
      </w:tr>
    </w:tbl>
    <w:p>
      <w:pPr>
        <w:pStyle w:val="Normal"/>
        <w:keepNext w:val="true"/>
        <w:keepLines/>
        <w:spacing w:before="0" w:after="240"/>
        <w:rPr/>
      </w:pPr>
      <w:r>
        <w:rPr/>
      </w:r>
    </w:p>
    <w:p>
      <w:pPr>
        <w:pStyle w:val="StyleHeader4Para4Left0Firstline0"/>
        <w:keepNext w:val="true"/>
        <w:widowControl/>
        <w:numPr>
          <w:ilvl w:val="0"/>
          <w:numId w:val="0"/>
        </w:numPr>
        <w:ind w:left="0" w:hanging="0"/>
        <w:rPr>
          <w:sz w:val="22"/>
          <w:u w:val="single"/>
        </w:rPr>
      </w:pPr>
      <w:r>
        <w:rPr>
          <w:sz w:val="22"/>
          <w:u w:val="single"/>
        </w:rPr>
        <w:t>Progress report</w:t>
      </w:r>
    </w:p>
    <w:p>
      <w:pPr>
        <w:pStyle w:val="Heading1"/>
        <w:numPr>
          <w:ilvl w:val="0"/>
          <w:numId w:val="73"/>
        </w:numPr>
        <w:rPr>
          <w:u w:val="single"/>
        </w:rPr>
      </w:pPr>
      <w:r>
        <w:rPr/>
        <w:t>The NOU became part of the Ministry of Environmental Protection following the administrative restructuring. The NOU continued its work and achieved increased visibility both at national and international level through involvement in the decision-making processes of the Montreal Protocol. In 2016 Serbia adopted a new regulation regarding HCFCs and HFCs on the training and certification of personnel and companies. The ODS alternatives survey was completed in 2016. Verification reports on HCFC consumption were carried on annual basis to ensure the quality of annual ODS data reporting. The NOU also carried out public awareness activities in cooperation with non-governmental organizations, including celebration of International Ozone Day, and was involved in the ECA regional network, and maintained close cooperation with national technical experts and the professional associations in refrigeration sector.</w:t>
      </w:r>
    </w:p>
    <w:p>
      <w:pPr>
        <w:pStyle w:val="Normal"/>
        <w:widowControl w:val="false"/>
        <w:tabs>
          <w:tab w:val="clear" w:pos="720"/>
          <w:tab w:val="left" w:pos="2880" w:leader="none"/>
          <w:tab w:val="left" w:pos="5760" w:leader="none"/>
        </w:tabs>
        <w:spacing w:before="0" w:after="240"/>
        <w:rPr>
          <w:u w:val="single"/>
        </w:rPr>
      </w:pPr>
      <w:r>
        <w:rPr>
          <w:u w:val="single"/>
        </w:rPr>
        <w:t>Plan of action</w:t>
      </w:r>
    </w:p>
    <w:p>
      <w:pPr>
        <w:pStyle w:val="Heading1"/>
        <w:numPr>
          <w:ilvl w:val="0"/>
          <w:numId w:val="74"/>
        </w:numPr>
        <w:rPr>
          <w:u w:val="single"/>
        </w:rPr>
      </w:pPr>
      <w:r>
        <w:rPr/>
        <w:t>Phase VI of institutional strengthening will continue to support NOU liaison with the HCFC consumption sector. The NOU will coordinate the submission of the 2018 tranche of the HPMP and ensure that HPMP activities are progressing in accordance with planned schedule; enabling activities with regard to the Kigali Amendment, and to discuss the Amendment with relevant officials in the Government. ODS regulations will be updated to introduce the ban for the import of equipment containing HCFCs, and legislation will be revised in line with European Union F</w:t>
        <w:noBreakHyphen/>
        <w:t xml:space="preserve">gas legislation. </w:t>
      </w:r>
    </w:p>
    <w:p>
      <w:pPr>
        <w:pStyle w:val="Normal"/>
        <w:rPr>
          <w:b/>
          <w:b/>
          <w:bCs/>
        </w:rPr>
      </w:pPr>
      <w:r>
        <w:rPr>
          <w:b/>
          <w:bCs/>
        </w:rPr>
        <w:t>Turkey:  Renewal of institutional strengthening</w:t>
      </w:r>
    </w:p>
    <w:p>
      <w:pPr>
        <w:pStyle w:val="Normal"/>
        <w:ind w:left="-180" w:hanging="0"/>
        <w:rPr>
          <w:b/>
          <w:b/>
          <w:bCs/>
        </w:rPr>
      </w:pPr>
      <w:r>
        <w:rPr>
          <w:b/>
          <w:bCs/>
        </w:rPr>
      </w:r>
    </w:p>
    <w:tbl>
      <w:tblPr>
        <w:tblStyle w:val="TableGrid40"/>
        <w:tblW w:w="5000" w:type="pct"/>
        <w:jc w:val="center"/>
        <w:tblInd w:w="0" w:type="dxa"/>
        <w:tblLayout w:type="fixed"/>
        <w:tblCellMar>
          <w:top w:w="0" w:type="dxa"/>
          <w:left w:w="108" w:type="dxa"/>
          <w:bottom w:w="0" w:type="dxa"/>
          <w:right w:w="108" w:type="dxa"/>
        </w:tblCellMar>
        <w:tblLook w:val="01e0" w:noHBand="0" w:noVBand="0" w:firstColumn="1" w:lastRow="1" w:lastColumn="1" w:firstRow="1"/>
      </w:tblPr>
      <w:tblGrid>
        <w:gridCol w:w="6289"/>
        <w:gridCol w:w="1401"/>
        <w:gridCol w:w="1670"/>
      </w:tblGrid>
      <w:tr>
        <w:trPr>
          <w:tblHeader w:val="true"/>
          <w:trHeight w:val="278" w:hRule="atLeast"/>
        </w:trPr>
        <w:tc>
          <w:tcPr>
            <w:tcW w:w="7690" w:type="dxa"/>
            <w:gridSpan w:val="2"/>
            <w:tcBorders/>
          </w:tcPr>
          <w:p>
            <w:pPr>
              <w:pStyle w:val="Normal"/>
              <w:widowControl/>
              <w:spacing w:before="0" w:after="0"/>
              <w:rPr>
                <w:b/>
                <w:b/>
                <w:sz w:val="20"/>
              </w:rPr>
            </w:pPr>
            <w:r>
              <w:rPr>
                <w:rFonts w:eastAsia="Times New Roman" w:cs="Times New Roman"/>
                <w:b/>
                <w:kern w:val="0"/>
                <w:sz w:val="20"/>
                <w:lang w:eastAsia="en-US" w:bidi="ar-SA"/>
              </w:rPr>
              <w:t>Summary of the project and country profile</w:t>
            </w:r>
          </w:p>
        </w:tc>
        <w:tc>
          <w:tcPr>
            <w:tcW w:w="1670" w:type="dxa"/>
            <w:tcBorders/>
          </w:tcPr>
          <w:p>
            <w:pPr>
              <w:pStyle w:val="Normal"/>
              <w:widowControl/>
              <w:spacing w:before="0" w:after="0"/>
              <w:jc w:val="right"/>
              <w:rPr>
                <w:b/>
                <w:b/>
                <w:sz w:val="20"/>
              </w:rPr>
            </w:pPr>
            <w:r>
              <w:rPr>
                <w:rFonts w:eastAsia="Times New Roman" w:cs="Times New Roman"/>
                <w:b/>
                <w:kern w:val="0"/>
                <w:sz w:val="20"/>
                <w:lang w:eastAsia="en-US" w:bidi="ar-SA"/>
              </w:rPr>
            </w:r>
          </w:p>
        </w:tc>
      </w:tr>
      <w:tr>
        <w:trPr>
          <w:trHeight w:val="233" w:hRule="atLeast"/>
        </w:trPr>
        <w:tc>
          <w:tcPr>
            <w:tcW w:w="7690" w:type="dxa"/>
            <w:gridSpan w:val="2"/>
            <w:tcBorders/>
          </w:tcPr>
          <w:p>
            <w:pPr>
              <w:pStyle w:val="Normal"/>
              <w:widowControl/>
              <w:spacing w:before="0" w:after="0"/>
              <w:rPr>
                <w:sz w:val="20"/>
              </w:rPr>
            </w:pPr>
            <w:r>
              <w:rPr>
                <w:rFonts w:eastAsia="Times New Roman" w:cs="Times New Roman"/>
                <w:kern w:val="0"/>
                <w:sz w:val="20"/>
                <w:lang w:eastAsia="en-US" w:bidi="ar-SA"/>
              </w:rPr>
              <w:t>Implementing agency:</w:t>
            </w:r>
          </w:p>
        </w:tc>
        <w:tc>
          <w:tcPr>
            <w:tcW w:w="1670" w:type="dxa"/>
            <w:tcBorders/>
          </w:tcPr>
          <w:p>
            <w:pPr>
              <w:pStyle w:val="Normal"/>
              <w:widowControl/>
              <w:spacing w:before="0" w:after="0"/>
              <w:jc w:val="center"/>
              <w:rPr>
                <w:sz w:val="20"/>
              </w:rPr>
            </w:pPr>
            <w:r>
              <w:rPr>
                <w:rFonts w:eastAsia="Times New Roman" w:cs="Times New Roman"/>
                <w:kern w:val="0"/>
                <w:sz w:val="20"/>
                <w:lang w:eastAsia="en-US" w:bidi="ar-SA"/>
              </w:rPr>
              <w:t>UNIDO</w:t>
            </w:r>
          </w:p>
        </w:tc>
      </w:tr>
      <w:tr>
        <w:trPr>
          <w:trHeight w:val="233" w:hRule="atLeast"/>
        </w:trPr>
        <w:tc>
          <w:tcPr>
            <w:tcW w:w="7690" w:type="dxa"/>
            <w:gridSpan w:val="2"/>
            <w:tcBorders>
              <w:bottom w:val="nil"/>
            </w:tcBorders>
          </w:tcPr>
          <w:p>
            <w:pPr>
              <w:pStyle w:val="Normal"/>
              <w:widowControl/>
              <w:spacing w:before="0" w:after="0"/>
              <w:rPr>
                <w:sz w:val="20"/>
              </w:rPr>
            </w:pPr>
            <w:r>
              <w:rPr>
                <w:rFonts w:eastAsia="Times New Roman" w:cs="Times New Roman"/>
                <w:kern w:val="0"/>
                <w:sz w:val="20"/>
                <w:lang w:eastAsia="en-US" w:bidi="ar-SA"/>
              </w:rPr>
              <w:t>Amounts previously approved for institutional strengthening (US $):</w:t>
            </w:r>
          </w:p>
        </w:tc>
        <w:tc>
          <w:tcPr>
            <w:tcW w:w="1670" w:type="dxa"/>
            <w:tcBorders>
              <w:bottom w:val="nil"/>
            </w:tcBorders>
          </w:tcPr>
          <w:p>
            <w:pPr>
              <w:pStyle w:val="Normal"/>
              <w:widowControl/>
              <w:spacing w:before="0" w:after="0"/>
              <w:jc w:val="right"/>
              <w:rPr>
                <w:sz w:val="20"/>
              </w:rPr>
            </w:pPr>
            <w:r>
              <w:rPr>
                <w:rFonts w:eastAsia="Times New Roman" w:cs="Times New Roman"/>
                <w:kern w:val="0"/>
                <w:sz w:val="20"/>
                <w:lang w:eastAsia="en-US" w:bidi="ar-SA"/>
              </w:rPr>
            </w:r>
          </w:p>
        </w:tc>
      </w:tr>
      <w:tr>
        <w:trPr>
          <w:trHeight w:val="233" w:hRule="atLeast"/>
        </w:trPr>
        <w:tc>
          <w:tcPr>
            <w:tcW w:w="6289" w:type="dxa"/>
            <w:tcBorders>
              <w:top w:val="nil"/>
              <w:bottom w:val="nil"/>
              <w:right w:val="nil"/>
            </w:tcBorders>
            <w:shd w:color="auto" w:fill="FFFFFF" w:themeFill="background1" w:val="clear"/>
            <w:vAlign w:val="bottom"/>
          </w:tcPr>
          <w:p>
            <w:pPr>
              <w:pStyle w:val="Normal"/>
              <w:widowControl/>
              <w:spacing w:before="0" w:after="0"/>
              <w:ind w:left="5364" w:right="-198" w:hanging="0"/>
              <w:jc w:val="left"/>
              <w:rPr>
                <w:sz w:val="20"/>
              </w:rPr>
            </w:pPr>
            <w:r>
              <w:rPr>
                <w:rFonts w:eastAsia="Times New Roman" w:cs="Times New Roman"/>
                <w:kern w:val="0"/>
                <w:sz w:val="20"/>
                <w:lang w:eastAsia="en-US" w:bidi="ar-SA"/>
              </w:rPr>
              <w:t>Phase I:</w:t>
            </w:r>
          </w:p>
        </w:tc>
        <w:tc>
          <w:tcPr>
            <w:tcW w:w="1401"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Oct-92</w:t>
            </w:r>
          </w:p>
        </w:tc>
        <w:tc>
          <w:tcPr>
            <w:tcW w:w="1670"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300,000</w:t>
            </w:r>
          </w:p>
        </w:tc>
      </w:tr>
      <w:tr>
        <w:trPr>
          <w:trHeight w:val="233" w:hRule="atLeast"/>
        </w:trPr>
        <w:tc>
          <w:tcPr>
            <w:tcW w:w="6289" w:type="dxa"/>
            <w:tcBorders>
              <w:top w:val="nil"/>
              <w:bottom w:val="nil"/>
              <w:right w:val="nil"/>
            </w:tcBorders>
            <w:shd w:color="auto" w:fill="FFFFFF" w:themeFill="background1" w:val="clear"/>
            <w:vAlign w:val="bottom"/>
          </w:tcPr>
          <w:p>
            <w:pPr>
              <w:pStyle w:val="Normal"/>
              <w:widowControl/>
              <w:spacing w:before="0" w:after="0"/>
              <w:ind w:left="5364" w:right="-198" w:hanging="0"/>
              <w:jc w:val="left"/>
              <w:rPr>
                <w:sz w:val="20"/>
              </w:rPr>
            </w:pPr>
            <w:r>
              <w:rPr>
                <w:rFonts w:eastAsia="Times New Roman" w:cs="Times New Roman"/>
                <w:kern w:val="0"/>
                <w:sz w:val="20"/>
                <w:lang w:eastAsia="en-US" w:bidi="ar-SA"/>
              </w:rPr>
              <w:t>Phase II:</w:t>
            </w:r>
          </w:p>
        </w:tc>
        <w:tc>
          <w:tcPr>
            <w:tcW w:w="1401" w:type="dxa"/>
            <w:tcBorders>
              <w:top w:val="nil"/>
              <w:left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Dec-00</w:t>
            </w:r>
          </w:p>
        </w:tc>
        <w:tc>
          <w:tcPr>
            <w:tcW w:w="1670"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200,000</w:t>
            </w:r>
          </w:p>
        </w:tc>
      </w:tr>
      <w:tr>
        <w:trPr>
          <w:trHeight w:val="233" w:hRule="atLeast"/>
        </w:trPr>
        <w:tc>
          <w:tcPr>
            <w:tcW w:w="6289" w:type="dxa"/>
            <w:tcBorders>
              <w:top w:val="nil"/>
              <w:bottom w:val="nil"/>
              <w:right w:val="nil"/>
            </w:tcBorders>
            <w:shd w:color="auto" w:fill="FFFFFF" w:themeFill="background1" w:val="clear"/>
            <w:vAlign w:val="bottom"/>
          </w:tcPr>
          <w:p>
            <w:pPr>
              <w:pStyle w:val="Normal"/>
              <w:widowControl/>
              <w:spacing w:before="0" w:after="0"/>
              <w:ind w:left="5364" w:right="-198" w:hanging="0"/>
              <w:jc w:val="left"/>
              <w:rPr>
                <w:sz w:val="20"/>
              </w:rPr>
            </w:pPr>
            <w:r>
              <w:rPr>
                <w:rFonts w:eastAsia="Times New Roman" w:cs="Times New Roman"/>
                <w:kern w:val="0"/>
                <w:sz w:val="20"/>
                <w:lang w:eastAsia="en-US" w:bidi="ar-SA"/>
              </w:rPr>
              <w:t>Phase III:</w:t>
            </w:r>
          </w:p>
        </w:tc>
        <w:tc>
          <w:tcPr>
            <w:tcW w:w="1401" w:type="dxa"/>
            <w:tcBorders>
              <w:top w:val="nil"/>
              <w:left w:val="nil"/>
              <w:bottom w:val="nil"/>
            </w:tcBorders>
            <w:shd w:color="auto" w:fill="FFFFFF" w:themeFill="background1" w:val="clear"/>
            <w:vAlign w:val="bottom"/>
          </w:tcPr>
          <w:p>
            <w:pPr>
              <w:pStyle w:val="Normal"/>
              <w:widowControl/>
              <w:tabs>
                <w:tab w:val="clear" w:pos="720"/>
                <w:tab w:val="left" w:pos="6840" w:leader="none"/>
              </w:tabs>
              <w:spacing w:before="0" w:after="0"/>
              <w:ind w:left="-108" w:hanging="0"/>
              <w:jc w:val="right"/>
              <w:rPr>
                <w:sz w:val="20"/>
              </w:rPr>
            </w:pPr>
            <w:r>
              <w:rPr>
                <w:rFonts w:eastAsia="Times New Roman" w:cs="Times New Roman"/>
                <w:kern w:val="0"/>
                <w:sz w:val="20"/>
                <w:lang w:eastAsia="en-US" w:bidi="ar-SA"/>
              </w:rPr>
              <w:t>Dec-04</w:t>
            </w:r>
          </w:p>
        </w:tc>
        <w:tc>
          <w:tcPr>
            <w:tcW w:w="1670" w:type="dxa"/>
            <w:tcBorders>
              <w:top w:val="nil"/>
              <w:bottom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260,000</w:t>
            </w:r>
          </w:p>
        </w:tc>
      </w:tr>
      <w:tr>
        <w:trPr>
          <w:trHeight w:val="233" w:hRule="atLeast"/>
        </w:trPr>
        <w:tc>
          <w:tcPr>
            <w:tcW w:w="6289" w:type="dxa"/>
            <w:tcBorders>
              <w:top w:val="nil"/>
              <w:bottom w:val="nil"/>
              <w:right w:val="nil"/>
            </w:tcBorders>
            <w:shd w:color="auto" w:fill="FFFFFF" w:themeFill="background1" w:val="clear"/>
            <w:vAlign w:val="bottom"/>
          </w:tcPr>
          <w:p>
            <w:pPr>
              <w:pStyle w:val="Normal"/>
              <w:widowControl/>
              <w:spacing w:before="0" w:after="0"/>
              <w:ind w:left="5364" w:right="-198" w:hanging="0"/>
              <w:jc w:val="left"/>
              <w:rPr>
                <w:sz w:val="20"/>
              </w:rPr>
            </w:pPr>
            <w:r>
              <w:rPr>
                <w:rFonts w:eastAsia="Times New Roman" w:cs="Times New Roman"/>
                <w:kern w:val="0"/>
                <w:sz w:val="20"/>
                <w:lang w:eastAsia="en-US" w:bidi="ar-SA"/>
              </w:rPr>
              <w:t>Phase IV:</w:t>
            </w:r>
          </w:p>
        </w:tc>
        <w:tc>
          <w:tcPr>
            <w:tcW w:w="1401" w:type="dxa"/>
            <w:tcBorders>
              <w:top w:val="nil"/>
              <w:left w:val="nil"/>
              <w:bottom w:val="nil"/>
            </w:tcBorders>
            <w:shd w:color="auto" w:fill="FFFFFF" w:themeFill="background1" w:val="clear"/>
            <w:vAlign w:val="bottom"/>
          </w:tcPr>
          <w:p>
            <w:pPr>
              <w:pStyle w:val="Normal"/>
              <w:widowControl/>
              <w:tabs>
                <w:tab w:val="clear" w:pos="720"/>
                <w:tab w:val="left" w:pos="6840" w:leader="none"/>
              </w:tabs>
              <w:spacing w:before="0" w:after="0"/>
              <w:ind w:left="-108" w:hanging="0"/>
              <w:jc w:val="right"/>
              <w:rPr>
                <w:sz w:val="20"/>
              </w:rPr>
            </w:pPr>
            <w:r>
              <w:rPr>
                <w:rFonts w:eastAsia="Times New Roman" w:cs="Times New Roman"/>
                <w:kern w:val="0"/>
                <w:sz w:val="20"/>
                <w:lang w:eastAsia="en-US" w:bidi="ar-SA"/>
              </w:rPr>
              <w:t>Jul-09</w:t>
            </w:r>
          </w:p>
        </w:tc>
        <w:tc>
          <w:tcPr>
            <w:tcW w:w="1670" w:type="dxa"/>
            <w:tcBorders>
              <w:top w:val="nil"/>
              <w:bottom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195,000</w:t>
            </w:r>
          </w:p>
        </w:tc>
      </w:tr>
      <w:tr>
        <w:trPr>
          <w:trHeight w:val="233" w:hRule="atLeast"/>
        </w:trPr>
        <w:tc>
          <w:tcPr>
            <w:tcW w:w="6289" w:type="dxa"/>
            <w:tcBorders>
              <w:top w:val="nil"/>
              <w:bottom w:val="nil"/>
              <w:right w:val="nil"/>
            </w:tcBorders>
            <w:shd w:color="auto" w:fill="FFFFFF" w:themeFill="background1" w:val="clear"/>
            <w:vAlign w:val="bottom"/>
          </w:tcPr>
          <w:p>
            <w:pPr>
              <w:pStyle w:val="Normal"/>
              <w:widowControl/>
              <w:spacing w:before="0" w:after="0"/>
              <w:ind w:left="5364" w:right="-198" w:hanging="0"/>
              <w:jc w:val="left"/>
              <w:rPr>
                <w:sz w:val="20"/>
              </w:rPr>
            </w:pPr>
            <w:r>
              <w:rPr>
                <w:rFonts w:eastAsia="Times New Roman" w:cs="Times New Roman"/>
                <w:kern w:val="0"/>
                <w:sz w:val="20"/>
                <w:lang w:eastAsia="en-US" w:bidi="ar-SA"/>
              </w:rPr>
              <w:t>Phase V:</w:t>
            </w:r>
          </w:p>
        </w:tc>
        <w:tc>
          <w:tcPr>
            <w:tcW w:w="1401" w:type="dxa"/>
            <w:tcBorders>
              <w:top w:val="nil"/>
              <w:left w:val="nil"/>
              <w:bottom w:val="nil"/>
            </w:tcBorders>
            <w:shd w:color="auto" w:fill="FFFFFF" w:themeFill="background1" w:val="clear"/>
            <w:vAlign w:val="bottom"/>
          </w:tcPr>
          <w:p>
            <w:pPr>
              <w:pStyle w:val="Normal"/>
              <w:widowControl/>
              <w:tabs>
                <w:tab w:val="clear" w:pos="720"/>
                <w:tab w:val="left" w:pos="6840" w:leader="none"/>
              </w:tabs>
              <w:spacing w:before="0" w:after="0"/>
              <w:ind w:left="-108" w:hanging="0"/>
              <w:jc w:val="right"/>
              <w:rPr>
                <w:sz w:val="20"/>
              </w:rPr>
            </w:pPr>
            <w:r>
              <w:rPr>
                <w:rFonts w:eastAsia="Times New Roman" w:cs="Times New Roman"/>
                <w:kern w:val="0"/>
                <w:sz w:val="20"/>
                <w:lang w:eastAsia="en-US" w:bidi="ar-SA"/>
              </w:rPr>
              <w:t>Jul-11</w:t>
            </w:r>
          </w:p>
        </w:tc>
        <w:tc>
          <w:tcPr>
            <w:tcW w:w="1670" w:type="dxa"/>
            <w:tcBorders>
              <w:top w:val="nil"/>
              <w:bottom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260,000</w:t>
            </w:r>
          </w:p>
        </w:tc>
      </w:tr>
      <w:tr>
        <w:trPr>
          <w:trHeight w:val="233" w:hRule="atLeast"/>
        </w:trPr>
        <w:tc>
          <w:tcPr>
            <w:tcW w:w="6289" w:type="dxa"/>
            <w:tcBorders>
              <w:top w:val="nil"/>
              <w:bottom w:val="nil"/>
              <w:right w:val="nil"/>
            </w:tcBorders>
            <w:shd w:color="auto" w:fill="FFFFFF" w:themeFill="background1" w:val="clear"/>
            <w:vAlign w:val="bottom"/>
          </w:tcPr>
          <w:p>
            <w:pPr>
              <w:pStyle w:val="Normal"/>
              <w:widowControl/>
              <w:spacing w:before="0" w:after="0"/>
              <w:ind w:left="5364" w:right="-198" w:hanging="0"/>
              <w:jc w:val="left"/>
              <w:rPr>
                <w:sz w:val="20"/>
              </w:rPr>
            </w:pPr>
            <w:r>
              <w:rPr>
                <w:rFonts w:eastAsia="Times New Roman" w:cs="Times New Roman"/>
                <w:kern w:val="0"/>
                <w:sz w:val="20"/>
                <w:lang w:eastAsia="en-US" w:bidi="ar-SA"/>
              </w:rPr>
              <w:t>Phase VI:</w:t>
            </w:r>
          </w:p>
        </w:tc>
        <w:tc>
          <w:tcPr>
            <w:tcW w:w="1401" w:type="dxa"/>
            <w:tcBorders>
              <w:top w:val="nil"/>
              <w:left w:val="nil"/>
              <w:bottom w:val="nil"/>
            </w:tcBorders>
            <w:shd w:color="auto" w:fill="FFFFFF" w:themeFill="background1" w:val="clear"/>
            <w:vAlign w:val="bottom"/>
          </w:tcPr>
          <w:p>
            <w:pPr>
              <w:pStyle w:val="Normal"/>
              <w:widowControl/>
              <w:tabs>
                <w:tab w:val="clear" w:pos="720"/>
                <w:tab w:val="left" w:pos="6840" w:leader="none"/>
              </w:tabs>
              <w:spacing w:before="0" w:after="0"/>
              <w:ind w:left="-108" w:hanging="0"/>
              <w:jc w:val="right"/>
              <w:rPr>
                <w:sz w:val="20"/>
              </w:rPr>
            </w:pPr>
            <w:r>
              <w:rPr>
                <w:rFonts w:eastAsia="Times New Roman" w:cs="Times New Roman"/>
                <w:kern w:val="0"/>
                <w:sz w:val="20"/>
                <w:lang w:eastAsia="en-US" w:bidi="ar-SA"/>
              </w:rPr>
              <w:t>Jul-13</w:t>
            </w:r>
          </w:p>
        </w:tc>
        <w:tc>
          <w:tcPr>
            <w:tcW w:w="1670" w:type="dxa"/>
            <w:tcBorders>
              <w:top w:val="nil"/>
              <w:bottom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260,000</w:t>
            </w:r>
          </w:p>
        </w:tc>
      </w:tr>
      <w:tr>
        <w:trPr>
          <w:trHeight w:val="233" w:hRule="atLeast"/>
        </w:trPr>
        <w:tc>
          <w:tcPr>
            <w:tcW w:w="6289" w:type="dxa"/>
            <w:tcBorders>
              <w:top w:val="nil"/>
              <w:bottom w:val="nil"/>
              <w:right w:val="nil"/>
            </w:tcBorders>
            <w:shd w:color="auto" w:fill="FFFFFF" w:themeFill="background1" w:val="clear"/>
            <w:vAlign w:val="bottom"/>
          </w:tcPr>
          <w:p>
            <w:pPr>
              <w:pStyle w:val="Normal"/>
              <w:widowControl/>
              <w:spacing w:before="0" w:after="0"/>
              <w:ind w:left="5364" w:right="-198" w:hanging="0"/>
              <w:jc w:val="left"/>
              <w:rPr>
                <w:sz w:val="20"/>
              </w:rPr>
            </w:pPr>
            <w:r>
              <w:rPr>
                <w:rFonts w:eastAsia="Times New Roman" w:cs="Times New Roman"/>
                <w:kern w:val="0"/>
                <w:sz w:val="20"/>
                <w:lang w:eastAsia="en-US" w:bidi="ar-SA"/>
              </w:rPr>
              <w:t>Phase VII:</w:t>
            </w:r>
          </w:p>
        </w:tc>
        <w:tc>
          <w:tcPr>
            <w:tcW w:w="1401" w:type="dxa"/>
            <w:tcBorders>
              <w:top w:val="nil"/>
              <w:left w:val="nil"/>
              <w:bottom w:val="nil"/>
            </w:tcBorders>
            <w:shd w:color="auto" w:fill="FFFFFF" w:themeFill="background1" w:val="clear"/>
            <w:vAlign w:val="bottom"/>
          </w:tcPr>
          <w:p>
            <w:pPr>
              <w:pStyle w:val="Normal"/>
              <w:widowControl/>
              <w:tabs>
                <w:tab w:val="clear" w:pos="720"/>
                <w:tab w:val="left" w:pos="6840" w:leader="none"/>
              </w:tabs>
              <w:spacing w:before="0" w:after="0"/>
              <w:ind w:left="-108" w:hanging="0"/>
              <w:jc w:val="right"/>
              <w:rPr>
                <w:sz w:val="20"/>
              </w:rPr>
            </w:pPr>
            <w:r>
              <w:rPr>
                <w:rFonts w:eastAsia="Times New Roman" w:cs="Times New Roman"/>
                <w:kern w:val="0"/>
                <w:sz w:val="20"/>
                <w:lang w:eastAsia="en-US" w:bidi="ar-SA"/>
              </w:rPr>
              <w:t>May-15</w:t>
            </w:r>
          </w:p>
        </w:tc>
        <w:tc>
          <w:tcPr>
            <w:tcW w:w="1670" w:type="dxa"/>
            <w:tcBorders>
              <w:top w:val="nil"/>
              <w:bottom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260,000</w:t>
            </w:r>
          </w:p>
        </w:tc>
      </w:tr>
      <w:tr>
        <w:trPr>
          <w:trHeight w:val="233" w:hRule="atLeast"/>
        </w:trPr>
        <w:tc>
          <w:tcPr>
            <w:tcW w:w="7690" w:type="dxa"/>
            <w:gridSpan w:val="2"/>
            <w:tcBorders>
              <w:top w:val="nil"/>
              <w:bottom w:val="nil"/>
            </w:tcBorders>
            <w:shd w:color="auto" w:fill="auto" w:val="clear"/>
          </w:tcPr>
          <w:p>
            <w:pPr>
              <w:pStyle w:val="Normal"/>
              <w:widowControl/>
              <w:tabs>
                <w:tab w:val="clear" w:pos="720"/>
                <w:tab w:val="right" w:pos="7560" w:leader="none"/>
              </w:tabs>
              <w:spacing w:before="0" w:after="0"/>
              <w:ind w:left="6480" w:right="-108" w:hanging="0"/>
              <w:jc w:val="left"/>
              <w:rPr>
                <w:sz w:val="20"/>
              </w:rPr>
            </w:pPr>
            <w:r>
              <w:rPr>
                <w:rFonts w:eastAsia="Times New Roman" w:cs="Times New Roman"/>
                <w:kern w:val="0"/>
                <w:sz w:val="20"/>
                <w:lang w:eastAsia="en-US" w:bidi="ar-SA"/>
              </w:rPr>
              <w:tab/>
              <w:t>Total:</w:t>
            </w:r>
          </w:p>
        </w:tc>
        <w:tc>
          <w:tcPr>
            <w:tcW w:w="1670" w:type="dxa"/>
            <w:tcBorders>
              <w:top w:val="nil"/>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1,735,000</w:t>
            </w:r>
          </w:p>
        </w:tc>
      </w:tr>
      <w:tr>
        <w:trPr>
          <w:trHeight w:val="233" w:hRule="atLeast"/>
        </w:trPr>
        <w:tc>
          <w:tcPr>
            <w:tcW w:w="7690" w:type="dxa"/>
            <w:gridSpan w:val="2"/>
            <w:tcBorders/>
            <w:shd w:color="auto" w:fill="FFFFFF" w:themeFill="background1" w:val="clear"/>
          </w:tcPr>
          <w:p>
            <w:pPr>
              <w:pStyle w:val="Normal"/>
              <w:widowControl/>
              <w:spacing w:before="0" w:after="0"/>
              <w:jc w:val="left"/>
              <w:rPr>
                <w:sz w:val="20"/>
              </w:rPr>
            </w:pPr>
            <w:r>
              <w:rPr>
                <w:rFonts w:eastAsia="Times New Roman" w:cs="Times New Roman"/>
                <w:kern w:val="0"/>
                <w:sz w:val="20"/>
                <w:lang w:eastAsia="en-US" w:bidi="ar-SA"/>
              </w:rPr>
              <w:t>Amount requested for renewal  phase VIII (US $):</w:t>
            </w:r>
          </w:p>
        </w:tc>
        <w:tc>
          <w:tcPr>
            <w:tcW w:w="1670" w:type="dxa"/>
            <w:tcBorders/>
            <w:shd w:color="auto" w:fill="auto" w:val="clear"/>
          </w:tcPr>
          <w:p>
            <w:pPr>
              <w:pStyle w:val="Normal"/>
              <w:widowControl/>
              <w:spacing w:before="0" w:after="0"/>
              <w:jc w:val="right"/>
              <w:rPr>
                <w:sz w:val="20"/>
              </w:rPr>
            </w:pPr>
            <w:r>
              <w:rPr>
                <w:rFonts w:eastAsia="Times New Roman" w:cs="Times New Roman"/>
                <w:color w:val="000000"/>
                <w:kern w:val="0"/>
                <w:sz w:val="20"/>
                <w:lang w:eastAsia="en-US" w:bidi="ar-SA"/>
              </w:rPr>
              <w:t>332,800</w:t>
            </w:r>
          </w:p>
        </w:tc>
      </w:tr>
      <w:tr>
        <w:trPr>
          <w:trHeight w:val="233" w:hRule="atLeast"/>
        </w:trPr>
        <w:tc>
          <w:tcPr>
            <w:tcW w:w="7690" w:type="dxa"/>
            <w:gridSpan w:val="2"/>
            <w:tcBorders/>
          </w:tcPr>
          <w:p>
            <w:pPr>
              <w:pStyle w:val="Normal"/>
              <w:widowControl/>
              <w:spacing w:before="0" w:after="0"/>
              <w:jc w:val="left"/>
              <w:rPr>
                <w:sz w:val="20"/>
              </w:rPr>
            </w:pPr>
            <w:r>
              <w:rPr>
                <w:rFonts w:eastAsia="Times New Roman" w:cs="Times New Roman"/>
                <w:kern w:val="0"/>
                <w:sz w:val="20"/>
                <w:lang w:eastAsia="en-US" w:bidi="ar-SA"/>
              </w:rPr>
              <w:t xml:space="preserve">Amount recommended for approval for phase VIII (US $): </w:t>
            </w:r>
          </w:p>
        </w:tc>
        <w:tc>
          <w:tcPr>
            <w:tcW w:w="1670" w:type="dxa"/>
            <w:tcBorders/>
            <w:shd w:color="auto" w:fill="auto" w:val="clear"/>
          </w:tcPr>
          <w:p>
            <w:pPr>
              <w:pStyle w:val="Normal"/>
              <w:widowControl/>
              <w:spacing w:before="0" w:after="0"/>
              <w:jc w:val="right"/>
              <w:rPr>
                <w:sz w:val="20"/>
              </w:rPr>
            </w:pPr>
            <w:r>
              <w:rPr>
                <w:rFonts w:eastAsia="Times New Roman" w:cs="Times New Roman"/>
                <w:color w:val="000000"/>
                <w:kern w:val="0"/>
                <w:sz w:val="20"/>
                <w:lang w:eastAsia="en-US" w:bidi="ar-SA"/>
              </w:rPr>
              <w:t>332,800</w:t>
            </w:r>
          </w:p>
        </w:tc>
      </w:tr>
      <w:tr>
        <w:trPr>
          <w:trHeight w:val="233" w:hRule="atLeast"/>
        </w:trPr>
        <w:tc>
          <w:tcPr>
            <w:tcW w:w="7690" w:type="dxa"/>
            <w:gridSpan w:val="2"/>
            <w:tcBorders/>
          </w:tcPr>
          <w:p>
            <w:pPr>
              <w:pStyle w:val="Normal"/>
              <w:widowControl/>
              <w:spacing w:before="0" w:after="0"/>
              <w:jc w:val="left"/>
              <w:rPr>
                <w:sz w:val="20"/>
              </w:rPr>
            </w:pPr>
            <w:r>
              <w:rPr>
                <w:rFonts w:eastAsia="Times New Roman" w:cs="Times New Roman"/>
                <w:kern w:val="0"/>
                <w:sz w:val="20"/>
                <w:lang w:eastAsia="en-US" w:bidi="ar-SA"/>
              </w:rPr>
              <w:t>Agency support costs (US $):</w:t>
            </w:r>
          </w:p>
        </w:tc>
        <w:tc>
          <w:tcPr>
            <w:tcW w:w="1670"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23,296</w:t>
            </w:r>
          </w:p>
        </w:tc>
      </w:tr>
      <w:tr>
        <w:trPr>
          <w:trHeight w:val="233" w:hRule="atLeast"/>
        </w:trPr>
        <w:tc>
          <w:tcPr>
            <w:tcW w:w="7690" w:type="dxa"/>
            <w:gridSpan w:val="2"/>
            <w:tcBorders/>
          </w:tcPr>
          <w:p>
            <w:pPr>
              <w:pStyle w:val="Normal"/>
              <w:widowControl/>
              <w:spacing w:before="0" w:after="0"/>
              <w:jc w:val="left"/>
              <w:rPr>
                <w:sz w:val="20"/>
              </w:rPr>
            </w:pPr>
            <w:r>
              <w:rPr>
                <w:rFonts w:eastAsia="Times New Roman" w:cs="Times New Roman"/>
                <w:kern w:val="0"/>
                <w:sz w:val="20"/>
                <w:lang w:eastAsia="en-US" w:bidi="ar-SA"/>
              </w:rPr>
              <w:t>Total cost of institutional strengthening phase VIII to the Multilateral Fund (US $):</w:t>
            </w:r>
          </w:p>
        </w:tc>
        <w:tc>
          <w:tcPr>
            <w:tcW w:w="1670"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356,096</w:t>
            </w:r>
          </w:p>
        </w:tc>
      </w:tr>
      <w:tr>
        <w:trPr>
          <w:trHeight w:val="233" w:hRule="atLeast"/>
        </w:trPr>
        <w:tc>
          <w:tcPr>
            <w:tcW w:w="7690" w:type="dxa"/>
            <w:gridSpan w:val="2"/>
            <w:tcBorders/>
          </w:tcPr>
          <w:p>
            <w:pPr>
              <w:pStyle w:val="Normal"/>
              <w:widowControl/>
              <w:spacing w:before="0" w:after="0"/>
              <w:jc w:val="left"/>
              <w:rPr>
                <w:sz w:val="20"/>
              </w:rPr>
            </w:pPr>
            <w:r>
              <w:rPr>
                <w:rFonts w:eastAsia="Times New Roman" w:cs="Times New Roman"/>
                <w:kern w:val="0"/>
                <w:sz w:val="20"/>
                <w:lang w:eastAsia="en-US" w:bidi="ar-SA"/>
              </w:rPr>
              <w:t>Date of approval of country programme:</w:t>
            </w:r>
          </w:p>
        </w:tc>
        <w:tc>
          <w:tcPr>
            <w:tcW w:w="1670" w:type="dxa"/>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1992</w:t>
            </w:r>
          </w:p>
        </w:tc>
      </w:tr>
      <w:tr>
        <w:trPr>
          <w:trHeight w:val="233" w:hRule="atLeast"/>
        </w:trPr>
        <w:tc>
          <w:tcPr>
            <w:tcW w:w="7690" w:type="dxa"/>
            <w:gridSpan w:val="2"/>
            <w:tcBorders/>
          </w:tcPr>
          <w:p>
            <w:pPr>
              <w:pStyle w:val="Normal"/>
              <w:widowControl/>
              <w:spacing w:before="0" w:after="0"/>
              <w:jc w:val="left"/>
              <w:rPr>
                <w:sz w:val="20"/>
              </w:rPr>
            </w:pPr>
            <w:r>
              <w:rPr>
                <w:rFonts w:eastAsia="Times New Roman" w:cs="Times New Roman"/>
                <w:kern w:val="0"/>
                <w:sz w:val="20"/>
                <w:lang w:eastAsia="en-US" w:bidi="ar-SA"/>
              </w:rPr>
              <w:t>Date of approval of HCFC phase-out management plan:</w:t>
            </w:r>
          </w:p>
        </w:tc>
        <w:tc>
          <w:tcPr>
            <w:tcW w:w="1670" w:type="dxa"/>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2012</w:t>
            </w:r>
          </w:p>
        </w:tc>
      </w:tr>
      <w:tr>
        <w:trPr>
          <w:trHeight w:val="233" w:hRule="atLeast"/>
        </w:trPr>
        <w:tc>
          <w:tcPr>
            <w:tcW w:w="7690" w:type="dxa"/>
            <w:gridSpan w:val="2"/>
            <w:tcBorders>
              <w:bottom w:val="nil"/>
            </w:tcBorders>
          </w:tcPr>
          <w:p>
            <w:pPr>
              <w:pStyle w:val="Normal"/>
              <w:widowControl/>
              <w:spacing w:before="20" w:after="0"/>
              <w:jc w:val="left"/>
              <w:rPr>
                <w:sz w:val="20"/>
              </w:rPr>
            </w:pPr>
            <w:r>
              <w:rPr>
                <w:rFonts w:eastAsia="Times New Roman" w:cs="Times New Roman"/>
                <w:kern w:val="0"/>
                <w:sz w:val="20"/>
                <w:lang w:eastAsia="en-US" w:bidi="ar-SA"/>
              </w:rPr>
              <w:t>Baseline consumption of controlled substances (ODP tonnes):</w:t>
            </w:r>
          </w:p>
        </w:tc>
        <w:tc>
          <w:tcPr>
            <w:tcW w:w="1670" w:type="dxa"/>
            <w:tcBorders>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r>
          </w:p>
        </w:tc>
      </w:tr>
      <w:tr>
        <w:trPr>
          <w:trHeight w:val="233" w:hRule="atLeast"/>
        </w:trPr>
        <w:tc>
          <w:tcPr>
            <w:tcW w:w="7690" w:type="dxa"/>
            <w:gridSpan w:val="2"/>
            <w:tcBorders>
              <w:top w:val="nil"/>
              <w:bottom w:val="nil"/>
            </w:tcBorders>
          </w:tcPr>
          <w:p>
            <w:pPr>
              <w:pStyle w:val="Normal"/>
              <w:widowControl/>
              <w:spacing w:before="0" w:after="0"/>
              <w:ind w:hanging="360"/>
              <w:jc w:val="left"/>
              <w:rPr>
                <w:sz w:val="20"/>
              </w:rPr>
            </w:pPr>
            <w:r>
              <w:rPr>
                <w:rFonts w:eastAsia="Times New Roman" w:cs="Times New Roman"/>
                <w:kern w:val="0"/>
                <w:sz w:val="20"/>
                <w:lang w:eastAsia="en-US" w:bidi="ar-SA"/>
              </w:rPr>
              <w:t>(d)</w:t>
              <w:tab/>
              <w:t>Annex B, Group III (methyl chloroform) (average 1998-2000)</w:t>
            </w:r>
          </w:p>
        </w:tc>
        <w:tc>
          <w:tcPr>
            <w:tcW w:w="1670"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37.4</w:t>
            </w:r>
          </w:p>
        </w:tc>
      </w:tr>
      <w:tr>
        <w:trPr>
          <w:trHeight w:val="233" w:hRule="atLeast"/>
        </w:trPr>
        <w:tc>
          <w:tcPr>
            <w:tcW w:w="7690" w:type="dxa"/>
            <w:gridSpan w:val="2"/>
            <w:tcBorders>
              <w:top w:val="nil"/>
              <w:bottom w:val="nil"/>
            </w:tcBorders>
          </w:tcPr>
          <w:p>
            <w:pPr>
              <w:pStyle w:val="Normal"/>
              <w:widowControl/>
              <w:spacing w:before="0" w:after="20"/>
              <w:ind w:hanging="360"/>
              <w:jc w:val="left"/>
              <w:rPr>
                <w:sz w:val="20"/>
              </w:rPr>
            </w:pPr>
            <w:r>
              <w:rPr>
                <w:rFonts w:eastAsia="Times New Roman" w:cs="Times New Roman"/>
                <w:kern w:val="0"/>
                <w:sz w:val="20"/>
                <w:lang w:eastAsia="en-US" w:bidi="ar-SA"/>
              </w:rPr>
              <w:t>(e)</w:t>
              <w:tab/>
              <w:t>Annex C, Group I (HCFCs) (average 2009-2010)</w:t>
            </w:r>
          </w:p>
        </w:tc>
        <w:tc>
          <w:tcPr>
            <w:tcW w:w="1670"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551.47</w:t>
            </w:r>
          </w:p>
        </w:tc>
      </w:tr>
      <w:tr>
        <w:trPr>
          <w:trHeight w:val="233" w:hRule="atLeast"/>
        </w:trPr>
        <w:tc>
          <w:tcPr>
            <w:tcW w:w="7690" w:type="dxa"/>
            <w:gridSpan w:val="2"/>
            <w:tcBorders>
              <w:top w:val="nil"/>
            </w:tcBorders>
          </w:tcPr>
          <w:p>
            <w:pPr>
              <w:pStyle w:val="Normal"/>
              <w:widowControl/>
              <w:spacing w:before="0" w:after="20"/>
              <w:ind w:hanging="360"/>
              <w:jc w:val="left"/>
              <w:rPr>
                <w:sz w:val="20"/>
              </w:rPr>
            </w:pPr>
            <w:r>
              <w:rPr>
                <w:rFonts w:eastAsia="Times New Roman" w:cs="Times New Roman"/>
                <w:kern w:val="0"/>
                <w:sz w:val="20"/>
                <w:lang w:eastAsia="en-US" w:bidi="ar-SA"/>
              </w:rPr>
              <w:t>(f)</w:t>
              <w:tab/>
              <w:t>Annex E (methyl bromide) (average 1995-1998)</w:t>
            </w:r>
          </w:p>
        </w:tc>
        <w:tc>
          <w:tcPr>
            <w:tcW w:w="1670" w:type="dxa"/>
            <w:tcBorders>
              <w:top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479.7</w:t>
            </w:r>
          </w:p>
        </w:tc>
      </w:tr>
      <w:tr>
        <w:trPr>
          <w:trHeight w:val="233" w:hRule="atLeast"/>
        </w:trPr>
        <w:tc>
          <w:tcPr>
            <w:tcW w:w="7690" w:type="dxa"/>
            <w:gridSpan w:val="2"/>
            <w:tcBorders>
              <w:bottom w:val="nil"/>
            </w:tcBorders>
          </w:tcPr>
          <w:p>
            <w:pPr>
              <w:pStyle w:val="Normal"/>
              <w:widowControl/>
              <w:spacing w:before="20" w:after="0"/>
              <w:jc w:val="left"/>
              <w:rPr>
                <w:sz w:val="20"/>
              </w:rPr>
            </w:pPr>
            <w:r>
              <w:rPr>
                <w:rFonts w:eastAsia="Times New Roman" w:cs="Times New Roman"/>
                <w:kern w:val="0"/>
                <w:sz w:val="20"/>
                <w:lang w:eastAsia="en-US" w:bidi="ar-SA"/>
              </w:rPr>
              <w:t>Latest reported ODS consumption (2016) (ODP tonnes) as per Article 7:</w:t>
            </w:r>
          </w:p>
        </w:tc>
        <w:tc>
          <w:tcPr>
            <w:tcW w:w="1670" w:type="dxa"/>
            <w:tcBorders>
              <w:bottom w:val="nil"/>
            </w:tcBorders>
            <w:shd w:color="auto" w:fill="FFFFFF" w:themeFill="background1" w:val="clear"/>
          </w:tcPr>
          <w:p>
            <w:pPr>
              <w:pStyle w:val="Normal"/>
              <w:widowControl/>
              <w:spacing w:before="20" w:after="0"/>
              <w:jc w:val="right"/>
              <w:rPr>
                <w:sz w:val="20"/>
              </w:rPr>
            </w:pPr>
            <w:r>
              <w:rPr>
                <w:rFonts w:eastAsia="Times New Roman" w:cs="Times New Roman"/>
                <w:kern w:val="0"/>
                <w:sz w:val="20"/>
                <w:lang w:eastAsia="en-US" w:bidi="ar-SA"/>
              </w:rPr>
            </w:r>
          </w:p>
        </w:tc>
      </w:tr>
      <w:tr>
        <w:trPr>
          <w:trHeight w:val="233" w:hRule="atLeast"/>
        </w:trPr>
        <w:tc>
          <w:tcPr>
            <w:tcW w:w="7690" w:type="dxa"/>
            <w:gridSpan w:val="2"/>
            <w:tcBorders>
              <w:top w:val="nil"/>
              <w:bottom w:val="nil"/>
            </w:tcBorders>
          </w:tcPr>
          <w:p>
            <w:pPr>
              <w:pStyle w:val="Normal"/>
              <w:widowControl/>
              <w:spacing w:before="0" w:after="0"/>
              <w:ind w:hanging="360"/>
              <w:jc w:val="left"/>
              <w:rPr>
                <w:sz w:val="20"/>
              </w:rPr>
            </w:pPr>
            <w:r>
              <w:rPr>
                <w:rFonts w:eastAsia="Times New Roman" w:cs="Times New Roman"/>
                <w:kern w:val="0"/>
                <w:sz w:val="20"/>
                <w:lang w:eastAsia="en-US" w:bidi="ar-SA"/>
              </w:rPr>
              <w:t>(d)</w:t>
              <w:tab/>
              <w:t>Annex B, Group III (methyl chloroform)</w:t>
            </w:r>
          </w:p>
        </w:tc>
        <w:tc>
          <w:tcPr>
            <w:tcW w:w="1670"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0.00</w:t>
            </w:r>
          </w:p>
        </w:tc>
      </w:tr>
      <w:tr>
        <w:trPr>
          <w:trHeight w:val="233" w:hRule="atLeast"/>
        </w:trPr>
        <w:tc>
          <w:tcPr>
            <w:tcW w:w="7690" w:type="dxa"/>
            <w:gridSpan w:val="2"/>
            <w:tcBorders>
              <w:top w:val="nil"/>
              <w:bottom w:val="nil"/>
            </w:tcBorders>
          </w:tcPr>
          <w:p>
            <w:pPr>
              <w:pStyle w:val="Normal"/>
              <w:widowControl/>
              <w:spacing w:before="0" w:after="0"/>
              <w:ind w:hanging="360"/>
              <w:jc w:val="left"/>
              <w:rPr>
                <w:sz w:val="20"/>
                <w:lang w:val="en-CA"/>
              </w:rPr>
            </w:pPr>
            <w:r>
              <w:rPr>
                <w:rFonts w:eastAsia="Times New Roman" w:cs="Times New Roman"/>
                <w:kern w:val="0"/>
                <w:sz w:val="20"/>
                <w:lang w:val="en-CA" w:eastAsia="en-US" w:bidi="ar-SA"/>
              </w:rPr>
              <w:t>(e)</w:t>
              <w:tab/>
            </w:r>
            <w:r>
              <w:rPr>
                <w:rFonts w:eastAsia="Times New Roman" w:cs="Times New Roman"/>
                <w:kern w:val="0"/>
                <w:sz w:val="20"/>
                <w:lang w:eastAsia="en-US" w:bidi="ar-SA"/>
              </w:rPr>
              <w:t>Annex C, Group I (HCFCs)</w:t>
            </w:r>
          </w:p>
        </w:tc>
        <w:tc>
          <w:tcPr>
            <w:tcW w:w="1670"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26.95</w:t>
            </w:r>
          </w:p>
        </w:tc>
      </w:tr>
      <w:tr>
        <w:trPr>
          <w:trHeight w:val="233" w:hRule="atLeast"/>
        </w:trPr>
        <w:tc>
          <w:tcPr>
            <w:tcW w:w="7690" w:type="dxa"/>
            <w:gridSpan w:val="2"/>
            <w:tcBorders>
              <w:top w:val="nil"/>
              <w:bottom w:val="nil"/>
            </w:tcBorders>
          </w:tcPr>
          <w:p>
            <w:pPr>
              <w:pStyle w:val="Normal"/>
              <w:widowControl/>
              <w:spacing w:before="0" w:after="0"/>
              <w:ind w:hanging="360"/>
              <w:jc w:val="left"/>
              <w:rPr>
                <w:sz w:val="20"/>
                <w:lang w:val="en-CA"/>
              </w:rPr>
            </w:pPr>
            <w:r>
              <w:rPr>
                <w:rFonts w:eastAsia="Times New Roman" w:cs="Times New Roman"/>
                <w:kern w:val="0"/>
                <w:sz w:val="20"/>
                <w:lang w:eastAsia="en-US" w:bidi="ar-SA"/>
              </w:rPr>
              <w:t>(f)</w:t>
              <w:tab/>
            </w:r>
            <w:r>
              <w:rPr>
                <w:rFonts w:eastAsia="Times New Roman" w:cs="Times New Roman"/>
                <w:kern w:val="0"/>
                <w:sz w:val="20"/>
                <w:lang w:val="en-CA" w:eastAsia="en-US" w:bidi="ar-SA"/>
              </w:rPr>
              <w:t>Annex E (methyl bromide)</w:t>
            </w:r>
          </w:p>
        </w:tc>
        <w:tc>
          <w:tcPr>
            <w:tcW w:w="1670" w:type="dxa"/>
            <w:tcBorders>
              <w:top w:val="nil"/>
              <w:bottom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0.00</w:t>
            </w:r>
          </w:p>
        </w:tc>
      </w:tr>
      <w:tr>
        <w:trPr>
          <w:trHeight w:val="233" w:hRule="atLeast"/>
        </w:trPr>
        <w:tc>
          <w:tcPr>
            <w:tcW w:w="7690" w:type="dxa"/>
            <w:gridSpan w:val="2"/>
            <w:tcBorders>
              <w:top w:val="nil"/>
            </w:tcBorders>
          </w:tcPr>
          <w:p>
            <w:pPr>
              <w:pStyle w:val="Normal"/>
              <w:widowControl/>
              <w:tabs>
                <w:tab w:val="clear" w:pos="720"/>
                <w:tab w:val="right" w:pos="7560" w:leader="none"/>
              </w:tabs>
              <w:spacing w:before="0" w:after="0"/>
              <w:ind w:left="6480" w:right="-108" w:hanging="0"/>
              <w:jc w:val="left"/>
              <w:rPr>
                <w:sz w:val="20"/>
              </w:rPr>
            </w:pPr>
            <w:r>
              <w:rPr>
                <w:rFonts w:eastAsia="Times New Roman" w:cs="Times New Roman"/>
                <w:kern w:val="0"/>
                <w:sz w:val="20"/>
                <w:lang w:eastAsia="en-US" w:bidi="ar-SA"/>
              </w:rPr>
              <w:tab/>
              <w:t>Total:</w:t>
            </w:r>
          </w:p>
        </w:tc>
        <w:tc>
          <w:tcPr>
            <w:tcW w:w="1670" w:type="dxa"/>
            <w:tcBorders>
              <w:top w:val="nil"/>
            </w:tcBorders>
            <w:shd w:color="auto" w:fill="FFFFFF" w:themeFill="background1" w:val="clear"/>
            <w:vAlign w:val="bottom"/>
          </w:tcPr>
          <w:p>
            <w:pPr>
              <w:pStyle w:val="Normal"/>
              <w:widowControl/>
              <w:spacing w:before="0" w:after="0"/>
              <w:jc w:val="right"/>
              <w:rPr>
                <w:sz w:val="20"/>
              </w:rPr>
            </w:pPr>
            <w:r>
              <w:rPr>
                <w:rFonts w:eastAsia="Times New Roman" w:cs="Times New Roman"/>
                <w:kern w:val="0"/>
                <w:sz w:val="20"/>
                <w:lang w:eastAsia="en-US" w:bidi="ar-SA"/>
              </w:rPr>
              <w:t>26.95</w:t>
            </w:r>
          </w:p>
        </w:tc>
      </w:tr>
      <w:tr>
        <w:trPr>
          <w:trHeight w:val="233" w:hRule="atLeast"/>
        </w:trPr>
        <w:tc>
          <w:tcPr>
            <w:tcW w:w="7690" w:type="dxa"/>
            <w:gridSpan w:val="2"/>
            <w:tcBorders>
              <w:top w:val="nil"/>
            </w:tcBorders>
          </w:tcPr>
          <w:p>
            <w:pPr>
              <w:pStyle w:val="Normal"/>
              <w:widowControl/>
              <w:spacing w:before="0" w:after="0"/>
              <w:jc w:val="left"/>
              <w:rPr>
                <w:sz w:val="20"/>
              </w:rPr>
            </w:pPr>
            <w:r>
              <w:rPr>
                <w:rFonts w:eastAsia="Times New Roman" w:cs="Times New Roman"/>
                <w:kern w:val="0"/>
                <w:sz w:val="20"/>
                <w:lang w:eastAsia="en-US" w:bidi="ar-SA"/>
              </w:rPr>
              <w:t>Year of reported country programme implementation data:</w:t>
            </w:r>
          </w:p>
        </w:tc>
        <w:tc>
          <w:tcPr>
            <w:tcW w:w="1670" w:type="dxa"/>
            <w:tcBorders>
              <w:top w:val="nil"/>
            </w:tcBorders>
            <w:shd w:color="auto" w:fill="FFFFFF" w:themeFill="background1" w:val="clear"/>
          </w:tcPr>
          <w:p>
            <w:pPr>
              <w:pStyle w:val="Normal"/>
              <w:widowControl/>
              <w:spacing w:before="0" w:after="0"/>
              <w:jc w:val="right"/>
              <w:rPr>
                <w:sz w:val="20"/>
              </w:rPr>
            </w:pPr>
            <w:r>
              <w:rPr>
                <w:rFonts w:eastAsia="Times New Roman" w:cs="Times New Roman"/>
                <w:kern w:val="0"/>
                <w:sz w:val="20"/>
                <w:lang w:eastAsia="en-US" w:bidi="ar-SA"/>
              </w:rPr>
              <w:t>2016</w:t>
            </w:r>
          </w:p>
        </w:tc>
      </w:tr>
      <w:tr>
        <w:trPr>
          <w:trHeight w:val="233" w:hRule="atLeast"/>
        </w:trPr>
        <w:tc>
          <w:tcPr>
            <w:tcW w:w="7690" w:type="dxa"/>
            <w:gridSpan w:val="2"/>
            <w:tcBorders/>
          </w:tcPr>
          <w:p>
            <w:pPr>
              <w:pStyle w:val="Normal"/>
              <w:widowControl/>
              <w:spacing w:before="0" w:after="0"/>
              <w:jc w:val="left"/>
              <w:rPr>
                <w:sz w:val="20"/>
              </w:rPr>
            </w:pPr>
            <w:r>
              <w:rPr>
                <w:rFonts w:eastAsia="Times New Roman" w:cs="Times New Roman"/>
                <w:kern w:val="0"/>
                <w:sz w:val="20"/>
                <w:lang w:eastAsia="en-US" w:bidi="ar-SA"/>
              </w:rPr>
              <w:t>Amount approved for projects (as at July 2017) (US $):</w:t>
            </w:r>
          </w:p>
        </w:tc>
        <w:tc>
          <w:tcPr>
            <w:tcW w:w="1670" w:type="dxa"/>
            <w:tcBorders/>
            <w:shd w:color="auto" w:fill="auto" w:val="clear"/>
            <w:vAlign w:val="bottom"/>
          </w:tcPr>
          <w:p>
            <w:pPr>
              <w:pStyle w:val="Normal"/>
              <w:widowControl/>
              <w:spacing w:before="0" w:after="0"/>
              <w:jc w:val="right"/>
              <w:rPr>
                <w:sz w:val="20"/>
              </w:rPr>
            </w:pPr>
            <w:r>
              <w:rPr>
                <w:rFonts w:eastAsia="Times New Roman" w:cs="Times New Roman"/>
                <w:kern w:val="0"/>
                <w:sz w:val="20"/>
                <w:lang w:eastAsia="en-US" w:bidi="ar-SA"/>
              </w:rPr>
              <w:t>54,140,961</w:t>
            </w:r>
          </w:p>
        </w:tc>
      </w:tr>
      <w:tr>
        <w:trPr>
          <w:trHeight w:val="233" w:hRule="atLeast"/>
        </w:trPr>
        <w:tc>
          <w:tcPr>
            <w:tcW w:w="7690" w:type="dxa"/>
            <w:gridSpan w:val="2"/>
            <w:tcBorders/>
          </w:tcPr>
          <w:p>
            <w:pPr>
              <w:pStyle w:val="Normal"/>
              <w:widowControl/>
              <w:spacing w:before="0" w:after="0"/>
              <w:jc w:val="left"/>
              <w:rPr>
                <w:sz w:val="20"/>
              </w:rPr>
            </w:pPr>
            <w:r>
              <w:rPr>
                <w:rFonts w:eastAsia="Times New Roman" w:cs="Times New Roman"/>
                <w:kern w:val="0"/>
                <w:sz w:val="20"/>
                <w:lang w:eastAsia="en-US" w:bidi="ar-SA"/>
              </w:rPr>
              <w:t>Amount disbursed (as at December 2016) (US</w:t>
            </w:r>
            <w:r>
              <w:rPr>
                <w:rFonts w:eastAsia="Times New Roman" w:cs="Times New Roman"/>
                <w:kern w:val="0"/>
                <w:lang w:eastAsia="en-US" w:bidi="ar-SA"/>
              </w:rPr>
              <w:t> </w:t>
            </w:r>
            <w:r>
              <w:rPr>
                <w:rFonts w:eastAsia="Times New Roman" w:cs="Times New Roman"/>
                <w:kern w:val="0"/>
                <w:sz w:val="20"/>
                <w:lang w:eastAsia="en-US" w:bidi="ar-SA"/>
              </w:rPr>
              <w:t>$):</w:t>
            </w:r>
          </w:p>
        </w:tc>
        <w:tc>
          <w:tcPr>
            <w:tcW w:w="1670" w:type="dxa"/>
            <w:tcBorders/>
            <w:shd w:color="auto" w:fill="auto" w:val="clear"/>
          </w:tcPr>
          <w:p>
            <w:pPr>
              <w:pStyle w:val="Normal"/>
              <w:widowControl/>
              <w:spacing w:before="0" w:after="0"/>
              <w:jc w:val="right"/>
              <w:rPr>
                <w:sz w:val="20"/>
              </w:rPr>
            </w:pPr>
            <w:r>
              <w:rPr>
                <w:rFonts w:eastAsia="Times New Roman" w:cs="Times New Roman"/>
                <w:kern w:val="0"/>
                <w:sz w:val="20"/>
                <w:lang w:eastAsia="en-US" w:bidi="ar-SA"/>
              </w:rPr>
              <w:t>47,183,603</w:t>
            </w:r>
          </w:p>
        </w:tc>
      </w:tr>
      <w:tr>
        <w:trPr>
          <w:trHeight w:val="233" w:hRule="atLeast"/>
        </w:trPr>
        <w:tc>
          <w:tcPr>
            <w:tcW w:w="7690" w:type="dxa"/>
            <w:gridSpan w:val="2"/>
            <w:tcBorders/>
          </w:tcPr>
          <w:p>
            <w:pPr>
              <w:pStyle w:val="Normal"/>
              <w:widowControl/>
              <w:spacing w:before="0" w:after="0"/>
              <w:jc w:val="left"/>
              <w:rPr>
                <w:sz w:val="20"/>
              </w:rPr>
            </w:pPr>
            <w:r>
              <w:rPr>
                <w:rFonts w:eastAsia="Times New Roman" w:cs="Times New Roman"/>
                <w:kern w:val="0"/>
                <w:sz w:val="20"/>
                <w:lang w:eastAsia="en-US" w:bidi="ar-SA"/>
              </w:rPr>
              <w:t>ODS to be phased out (as at July 2017) (ODP tonnes):</w:t>
            </w:r>
          </w:p>
        </w:tc>
        <w:tc>
          <w:tcPr>
            <w:tcW w:w="1670" w:type="dxa"/>
            <w:tcBorders/>
            <w:shd w:color="auto" w:fill="auto" w:val="clear"/>
            <w:vAlign w:val="bottom"/>
          </w:tcPr>
          <w:p>
            <w:pPr>
              <w:pStyle w:val="Normal"/>
              <w:widowControl/>
              <w:spacing w:before="0" w:after="0"/>
              <w:jc w:val="right"/>
              <w:rPr>
                <w:sz w:val="20"/>
              </w:rPr>
            </w:pPr>
            <w:r>
              <w:rPr>
                <w:rFonts w:eastAsia="Times New Roman" w:cs="Times New Roman"/>
                <w:kern w:val="0"/>
                <w:sz w:val="20"/>
                <w:lang w:eastAsia="en-US" w:bidi="ar-SA"/>
              </w:rPr>
              <w:t>4,937.0</w:t>
            </w:r>
          </w:p>
        </w:tc>
      </w:tr>
      <w:tr>
        <w:trPr>
          <w:trHeight w:val="233" w:hRule="atLeast"/>
        </w:trPr>
        <w:tc>
          <w:tcPr>
            <w:tcW w:w="7690" w:type="dxa"/>
            <w:gridSpan w:val="2"/>
            <w:tcBorders/>
          </w:tcPr>
          <w:p>
            <w:pPr>
              <w:pStyle w:val="Normal"/>
              <w:widowControl/>
              <w:spacing w:before="0" w:after="0"/>
              <w:jc w:val="left"/>
              <w:rPr>
                <w:sz w:val="20"/>
                <w:szCs w:val="20"/>
              </w:rPr>
            </w:pPr>
            <w:r>
              <w:rPr>
                <w:rFonts w:eastAsia="Times New Roman" w:cs="Times New Roman"/>
                <w:kern w:val="0"/>
                <w:sz w:val="20"/>
                <w:szCs w:val="20"/>
                <w:lang w:eastAsia="en-US" w:bidi="ar-SA"/>
              </w:rPr>
              <w:t>ODS phased out (as at December 2016) (ODP tonnes):</w:t>
            </w:r>
          </w:p>
        </w:tc>
        <w:tc>
          <w:tcPr>
            <w:tcW w:w="1670" w:type="dxa"/>
            <w:tcBorders/>
            <w:shd w:color="auto" w:fill="auto" w:val="clear"/>
          </w:tcPr>
          <w:p>
            <w:pPr>
              <w:pStyle w:val="Normal"/>
              <w:widowControl/>
              <w:spacing w:before="0" w:after="0"/>
              <w:jc w:val="right"/>
              <w:rPr>
                <w:sz w:val="20"/>
                <w:szCs w:val="20"/>
              </w:rPr>
            </w:pPr>
            <w:r>
              <w:rPr>
                <w:rFonts w:eastAsia="Times New Roman" w:cs="Times New Roman"/>
                <w:kern w:val="0"/>
                <w:sz w:val="20"/>
                <w:szCs w:val="20"/>
                <w:lang w:eastAsia="en-US" w:bidi="ar-SA"/>
              </w:rPr>
              <w:t>4,847.0</w:t>
            </w:r>
          </w:p>
        </w:tc>
      </w:tr>
    </w:tbl>
    <w:p>
      <w:pPr>
        <w:pStyle w:val="Normal"/>
        <w:rPr/>
      </w:pPr>
      <w:r>
        <w:rPr/>
      </w:r>
    </w:p>
    <w:p>
      <w:pPr>
        <w:pStyle w:val="Normal"/>
        <w:keepNext w:val="true"/>
        <w:keepLines/>
        <w:numPr>
          <w:ilvl w:val="0"/>
          <w:numId w:val="75"/>
        </w:numPr>
        <w:spacing w:before="0" w:after="240"/>
        <w:outlineLvl w:val="0"/>
        <w:rPr/>
      </w:pPr>
      <w:r>
        <w:rPr/>
        <w:t>Summary of activities and funds approved by the Executive Committee:</w:t>
      </w:r>
    </w:p>
    <w:tbl>
      <w:tblPr>
        <w:tblStyle w:val="TableGrid40"/>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620"/>
        <w:gridCol w:w="7120"/>
        <w:gridCol w:w="1620"/>
      </w:tblGrid>
      <w:tr>
        <w:trPr/>
        <w:tc>
          <w:tcPr>
            <w:tcW w:w="7740" w:type="dxa"/>
            <w:gridSpan w:val="2"/>
            <w:tcBorders/>
          </w:tcPr>
          <w:p>
            <w:pPr>
              <w:pStyle w:val="Normal"/>
              <w:keepNext w:val="true"/>
              <w:keepLines/>
              <w:widowControl/>
              <w:spacing w:before="0" w:after="0"/>
              <w:jc w:val="left"/>
              <w:rPr>
                <w:b/>
                <w:b/>
                <w:sz w:val="20"/>
              </w:rPr>
            </w:pPr>
            <w:r>
              <w:rPr>
                <w:rFonts w:eastAsia="Times New Roman" w:cs="Times New Roman"/>
                <w:b/>
                <w:kern w:val="0"/>
                <w:sz w:val="20"/>
                <w:lang w:eastAsia="en-US" w:bidi="ar-SA"/>
              </w:rPr>
              <w:t>Summary of activities</w:t>
            </w:r>
          </w:p>
          <w:p>
            <w:pPr>
              <w:pStyle w:val="Normal"/>
              <w:keepNext w:val="true"/>
              <w:keepLines/>
              <w:widowControl/>
              <w:spacing w:before="0" w:after="0"/>
              <w:jc w:val="left"/>
              <w:rPr>
                <w:b/>
                <w:b/>
                <w:sz w:val="20"/>
              </w:rPr>
            </w:pPr>
            <w:r>
              <w:rPr>
                <w:rFonts w:eastAsia="Times New Roman" w:cs="Times New Roman"/>
                <w:b/>
                <w:kern w:val="0"/>
                <w:sz w:val="20"/>
                <w:lang w:eastAsia="en-US" w:bidi="ar-SA"/>
              </w:rPr>
            </w:r>
          </w:p>
        </w:tc>
        <w:tc>
          <w:tcPr>
            <w:tcW w:w="1620" w:type="dxa"/>
            <w:tcBorders/>
          </w:tcPr>
          <w:p>
            <w:pPr>
              <w:pStyle w:val="Normal"/>
              <w:keepNext w:val="true"/>
              <w:keepLines/>
              <w:widowControl/>
              <w:spacing w:before="0" w:after="0"/>
              <w:jc w:val="center"/>
              <w:rPr>
                <w:b/>
                <w:b/>
                <w:sz w:val="20"/>
              </w:rPr>
            </w:pPr>
            <w:r>
              <w:rPr>
                <w:rFonts w:eastAsia="Times New Roman" w:cs="Times New Roman"/>
                <w:b/>
                <w:kern w:val="0"/>
                <w:sz w:val="20"/>
                <w:lang w:eastAsia="en-US" w:bidi="ar-SA"/>
              </w:rPr>
              <w:t>Funds approved (US $)</w:t>
            </w:r>
          </w:p>
        </w:tc>
      </w:tr>
      <w:tr>
        <w:trPr/>
        <w:tc>
          <w:tcPr>
            <w:tcW w:w="620" w:type="dxa"/>
            <w:tcBorders>
              <w:right w:val="nil"/>
            </w:tcBorders>
          </w:tcPr>
          <w:p>
            <w:pPr>
              <w:pStyle w:val="Normal"/>
              <w:keepNext w:val="true"/>
              <w:keepLines/>
              <w:widowControl/>
              <w:spacing w:before="0" w:after="0"/>
              <w:rPr>
                <w:sz w:val="20"/>
              </w:rPr>
            </w:pPr>
            <w:r>
              <w:rPr>
                <w:rFonts w:eastAsia="Times New Roman" w:cs="Times New Roman"/>
                <w:kern w:val="0"/>
                <w:sz w:val="20"/>
                <w:lang w:eastAsia="en-US" w:bidi="ar-SA"/>
              </w:rPr>
              <w:t>(a)</w:t>
            </w:r>
          </w:p>
        </w:tc>
        <w:tc>
          <w:tcPr>
            <w:tcW w:w="7120" w:type="dxa"/>
            <w:tcBorders>
              <w:left w:val="nil"/>
            </w:tcBorders>
          </w:tcPr>
          <w:p>
            <w:pPr>
              <w:pStyle w:val="Normal"/>
              <w:keepNext w:val="true"/>
              <w:keepLines/>
              <w:widowControl/>
              <w:spacing w:before="0" w:after="0"/>
              <w:ind w:left="-109" w:hanging="0"/>
              <w:rPr>
                <w:sz w:val="20"/>
              </w:rPr>
            </w:pPr>
            <w:r>
              <w:rPr>
                <w:rFonts w:eastAsia="Times New Roman" w:cs="Times New Roman"/>
                <w:kern w:val="0"/>
                <w:sz w:val="20"/>
                <w:lang w:eastAsia="en-US" w:bidi="ar-SA"/>
              </w:rPr>
              <w:t>Investment projects:</w:t>
            </w:r>
          </w:p>
        </w:tc>
        <w:tc>
          <w:tcPr>
            <w:tcW w:w="1620" w:type="dxa"/>
            <w:tcBorders/>
            <w:shd w:color="auto" w:fill="auto" w:val="clear"/>
          </w:tcPr>
          <w:p>
            <w:pPr>
              <w:pStyle w:val="Normal"/>
              <w:keepNext w:val="true"/>
              <w:keepLines/>
              <w:widowControl/>
              <w:spacing w:before="0" w:after="0"/>
              <w:jc w:val="right"/>
              <w:rPr>
                <w:sz w:val="20"/>
              </w:rPr>
            </w:pPr>
            <w:r>
              <w:rPr>
                <w:rFonts w:eastAsia="Times New Roman" w:cs="Times New Roman"/>
                <w:kern w:val="0"/>
                <w:sz w:val="20"/>
                <w:lang w:eastAsia="en-US" w:bidi="ar-SA"/>
              </w:rPr>
              <w:t>46,780,563</w:t>
            </w:r>
          </w:p>
        </w:tc>
      </w:tr>
      <w:tr>
        <w:trPr/>
        <w:tc>
          <w:tcPr>
            <w:tcW w:w="620" w:type="dxa"/>
            <w:tcBorders>
              <w:right w:val="nil"/>
            </w:tcBorders>
          </w:tcPr>
          <w:p>
            <w:pPr>
              <w:pStyle w:val="Normal"/>
              <w:keepNext w:val="true"/>
              <w:keepLines/>
              <w:widowControl/>
              <w:spacing w:before="0" w:after="0"/>
              <w:rPr>
                <w:sz w:val="20"/>
              </w:rPr>
            </w:pPr>
            <w:r>
              <w:rPr>
                <w:rFonts w:eastAsia="Times New Roman" w:cs="Times New Roman"/>
                <w:kern w:val="0"/>
                <w:sz w:val="20"/>
                <w:lang w:eastAsia="en-US" w:bidi="ar-SA"/>
              </w:rPr>
              <w:t>(b)</w:t>
            </w:r>
          </w:p>
        </w:tc>
        <w:tc>
          <w:tcPr>
            <w:tcW w:w="7120" w:type="dxa"/>
            <w:tcBorders>
              <w:left w:val="nil"/>
            </w:tcBorders>
          </w:tcPr>
          <w:p>
            <w:pPr>
              <w:pStyle w:val="Normal"/>
              <w:keepNext w:val="true"/>
              <w:keepLines/>
              <w:widowControl/>
              <w:spacing w:before="0" w:after="0"/>
              <w:ind w:left="-109" w:hanging="0"/>
              <w:rPr>
                <w:sz w:val="20"/>
              </w:rPr>
            </w:pPr>
            <w:r>
              <w:rPr>
                <w:rFonts w:eastAsia="Times New Roman" w:cs="Times New Roman"/>
                <w:kern w:val="0"/>
                <w:sz w:val="20"/>
                <w:lang w:eastAsia="en-US" w:bidi="ar-SA"/>
              </w:rPr>
              <w:t>Institutional strengthening:</w:t>
            </w:r>
          </w:p>
        </w:tc>
        <w:tc>
          <w:tcPr>
            <w:tcW w:w="1620" w:type="dxa"/>
            <w:tcBorders/>
            <w:shd w:color="auto" w:fill="FFFFFF" w:themeFill="background1" w:val="clear"/>
          </w:tcPr>
          <w:p>
            <w:pPr>
              <w:pStyle w:val="Normal"/>
              <w:keepNext w:val="true"/>
              <w:keepLines/>
              <w:widowControl/>
              <w:spacing w:before="0" w:after="0"/>
              <w:jc w:val="right"/>
              <w:rPr>
                <w:sz w:val="20"/>
              </w:rPr>
            </w:pPr>
            <w:r>
              <w:rPr>
                <w:rFonts w:eastAsia="Times New Roman" w:cs="Times New Roman"/>
                <w:kern w:val="0"/>
                <w:sz w:val="20"/>
                <w:lang w:eastAsia="en-US" w:bidi="ar-SA"/>
              </w:rPr>
              <w:t>1,735,000</w:t>
            </w:r>
          </w:p>
        </w:tc>
      </w:tr>
      <w:tr>
        <w:trPr/>
        <w:tc>
          <w:tcPr>
            <w:tcW w:w="620" w:type="dxa"/>
            <w:tcBorders>
              <w:right w:val="nil"/>
            </w:tcBorders>
          </w:tcPr>
          <w:p>
            <w:pPr>
              <w:pStyle w:val="Normal"/>
              <w:keepNext w:val="true"/>
              <w:keepLines/>
              <w:widowControl/>
              <w:spacing w:before="0" w:after="0"/>
              <w:rPr>
                <w:sz w:val="20"/>
              </w:rPr>
            </w:pPr>
            <w:r>
              <w:rPr>
                <w:rFonts w:eastAsia="Times New Roman" w:cs="Times New Roman"/>
                <w:kern w:val="0"/>
                <w:sz w:val="20"/>
                <w:lang w:eastAsia="en-US" w:bidi="ar-SA"/>
              </w:rPr>
              <w:t>(c)</w:t>
            </w:r>
          </w:p>
        </w:tc>
        <w:tc>
          <w:tcPr>
            <w:tcW w:w="7120" w:type="dxa"/>
            <w:tcBorders>
              <w:left w:val="nil"/>
            </w:tcBorders>
          </w:tcPr>
          <w:p>
            <w:pPr>
              <w:pStyle w:val="Normal"/>
              <w:keepNext w:val="true"/>
              <w:keepLines/>
              <w:widowControl/>
              <w:spacing w:before="0" w:after="0"/>
              <w:ind w:left="-109" w:hanging="0"/>
              <w:rPr>
                <w:sz w:val="20"/>
              </w:rPr>
            </w:pPr>
            <w:r>
              <w:rPr>
                <w:rFonts w:eastAsia="Times New Roman" w:cs="Times New Roman"/>
                <w:kern w:val="0"/>
                <w:sz w:val="20"/>
                <w:lang w:eastAsia="en-US" w:bidi="ar-SA"/>
              </w:rPr>
              <w:t>Project preparation, technical assistance, training and other non-investment projects:</w:t>
            </w:r>
          </w:p>
        </w:tc>
        <w:tc>
          <w:tcPr>
            <w:tcW w:w="1620" w:type="dxa"/>
            <w:tcBorders/>
            <w:shd w:color="auto" w:fill="FFFFFF" w:themeFill="background1" w:val="clear"/>
          </w:tcPr>
          <w:p>
            <w:pPr>
              <w:pStyle w:val="Normal"/>
              <w:widowControl/>
              <w:spacing w:before="0" w:after="0"/>
              <w:jc w:val="right"/>
              <w:rPr>
                <w:sz w:val="20"/>
              </w:rPr>
            </w:pPr>
            <w:r>
              <w:rPr>
                <w:rFonts w:eastAsia="Times New Roman" w:cs="Times New Roman"/>
                <w:color w:val="000000"/>
                <w:kern w:val="0"/>
                <w:sz w:val="20"/>
                <w:lang w:eastAsia="en-US" w:bidi="ar-SA"/>
              </w:rPr>
              <w:t>5,625,398</w:t>
            </w:r>
          </w:p>
        </w:tc>
      </w:tr>
      <w:tr>
        <w:trPr/>
        <w:tc>
          <w:tcPr>
            <w:tcW w:w="7740" w:type="dxa"/>
            <w:gridSpan w:val="2"/>
            <w:tcBorders/>
          </w:tcPr>
          <w:p>
            <w:pPr>
              <w:pStyle w:val="Normal"/>
              <w:keepNext w:val="true"/>
              <w:keepLines/>
              <w:widowControl/>
              <w:tabs>
                <w:tab w:val="clear" w:pos="720"/>
                <w:tab w:val="right" w:pos="7560" w:leader="none"/>
              </w:tabs>
              <w:spacing w:before="0" w:after="0"/>
              <w:ind w:left="6480" w:right="-108" w:hanging="0"/>
              <w:jc w:val="left"/>
              <w:rPr>
                <w:sz w:val="20"/>
              </w:rPr>
            </w:pPr>
            <w:r>
              <w:rPr>
                <w:rFonts w:eastAsia="Times New Roman" w:cs="Times New Roman"/>
                <w:kern w:val="0"/>
                <w:sz w:val="20"/>
                <w:lang w:eastAsia="en-US" w:bidi="ar-SA"/>
              </w:rPr>
              <w:tab/>
              <w:t>Total:</w:t>
            </w:r>
          </w:p>
        </w:tc>
        <w:tc>
          <w:tcPr>
            <w:tcW w:w="1620" w:type="dxa"/>
            <w:tcBorders/>
            <w:shd w:color="auto" w:fill="auto" w:val="clear"/>
          </w:tcPr>
          <w:p>
            <w:pPr>
              <w:pStyle w:val="Normal"/>
              <w:keepNext w:val="true"/>
              <w:keepLines/>
              <w:widowControl/>
              <w:spacing w:before="0" w:after="0"/>
              <w:jc w:val="right"/>
              <w:rPr>
                <w:sz w:val="20"/>
              </w:rPr>
            </w:pPr>
            <w:r>
              <w:rPr>
                <w:rFonts w:eastAsia="Times New Roman" w:cs="Times New Roman"/>
                <w:kern w:val="0"/>
                <w:sz w:val="20"/>
                <w:lang w:eastAsia="en-US" w:bidi="ar-SA"/>
              </w:rPr>
              <w:t>54,140,961</w:t>
            </w:r>
          </w:p>
        </w:tc>
      </w:tr>
    </w:tbl>
    <w:p>
      <w:pPr>
        <w:pStyle w:val="Normal"/>
        <w:keepNext w:val="true"/>
        <w:keepLines/>
        <w:rPr/>
      </w:pPr>
      <w:r>
        <w:rPr/>
      </w:r>
    </w:p>
    <w:p>
      <w:pPr>
        <w:pStyle w:val="Normal"/>
        <w:keepNext w:val="true"/>
        <w:tabs>
          <w:tab w:val="clear" w:pos="720"/>
          <w:tab w:val="left" w:pos="2880" w:leader="none"/>
          <w:tab w:val="left" w:pos="5760" w:leader="none"/>
        </w:tabs>
        <w:spacing w:before="0" w:after="240"/>
        <w:rPr>
          <w:u w:val="single"/>
        </w:rPr>
      </w:pPr>
      <w:r>
        <w:rPr>
          <w:u w:val="single"/>
        </w:rPr>
        <w:t>Progress report</w:t>
      </w:r>
    </w:p>
    <w:p>
      <w:pPr>
        <w:pStyle w:val="Normal"/>
        <w:keepNext w:val="true"/>
        <w:keepLines/>
        <w:numPr>
          <w:ilvl w:val="0"/>
          <w:numId w:val="76"/>
        </w:numPr>
        <w:spacing w:before="0" w:after="240"/>
        <w:outlineLvl w:val="0"/>
        <w:rPr>
          <w:u w:val="single"/>
        </w:rPr>
      </w:pPr>
      <w:r>
        <w:rPr/>
        <w:t>The NOU was strengthened with additional staff supported by the regular budget of the Ministry of Environment, as an additional in-kind contribution to the IS project, which will be maintained for phase VIII. An advisory Steering Committee was set up to enhance the functionality of the NOU. Activities focused on the new quota system for refrigeration servicing purpose and the country initiated regulatory actions to control HFC consumption to align Turkish legislation with similar European Union regulations, specifically the F</w:t>
        <w:noBreakHyphen/>
        <w:t>Gas Regulation. The NOU was involved in ECA regional network and participated in the information exchange activities within region related to the implementation of the ODS alternatives survey, HPMPs, and technical issues for controlling and phasing down HCFCs.</w:t>
      </w:r>
    </w:p>
    <w:p>
      <w:pPr>
        <w:pStyle w:val="Normal"/>
        <w:widowControl w:val="false"/>
        <w:tabs>
          <w:tab w:val="clear" w:pos="720"/>
          <w:tab w:val="left" w:pos="2880" w:leader="none"/>
          <w:tab w:val="left" w:pos="5760" w:leader="none"/>
        </w:tabs>
        <w:spacing w:before="0" w:after="240"/>
        <w:rPr>
          <w:u w:val="single"/>
        </w:rPr>
      </w:pPr>
      <w:r>
        <w:rPr>
          <w:u w:val="single"/>
        </w:rPr>
        <w:t>Plan of action</w:t>
      </w:r>
    </w:p>
    <w:p>
      <w:pPr>
        <w:pStyle w:val="Normal"/>
        <w:widowControl w:val="false"/>
        <w:numPr>
          <w:ilvl w:val="0"/>
          <w:numId w:val="77"/>
        </w:numPr>
        <w:spacing w:before="0" w:after="240"/>
        <w:outlineLvl w:val="0"/>
        <w:rPr>
          <w:b/>
          <w:b/>
        </w:rPr>
      </w:pPr>
      <w:r>
        <w:rPr/>
        <w:t>During phase VIII of the IS project, the NOU of Turkey plans to advance its contributions in the RAC sector and focus on activities including awareness raising, combating illegal trade, regional cooperation, and data collection and data reporting. Specifically, activities will address: training and support for the new generation of ODS alternatives; increased monitoring of ODS trade to combat the illegal trade; data collection and reporting of ODS; and, communication, networking and awareness activities. The NOU will also initiate actions in coordination with the Ministry of Foreign Affairs to start the process of ratification of the Kigali Amendment.</w:t>
      </w:r>
    </w:p>
    <w:p>
      <w:pPr>
        <w:pStyle w:val="Normal"/>
        <w:rPr>
          <w:b/>
          <w:b/>
        </w:rPr>
      </w:pPr>
      <w:r>
        <w:rPr>
          <w:b/>
        </w:rPr>
      </w:r>
    </w:p>
    <w:p>
      <w:pPr>
        <w:pStyle w:val="Title1"/>
        <w:spacing w:before="0" w:after="240"/>
        <w:jc w:val="both"/>
        <w:rPr>
          <w:lang w:val="en-US"/>
        </w:rPr>
      </w:pPr>
      <w:r>
        <w:rPr>
          <w:lang w:val="en-US"/>
        </w:rPr>
      </w:r>
    </w:p>
    <w:p>
      <w:pPr>
        <w:sectPr>
          <w:headerReference w:type="even" r:id="rId9"/>
          <w:headerReference w:type="default" r:id="rId10"/>
          <w:headerReference w:type="first" r:id="rId11"/>
          <w:footerReference w:type="even" r:id="rId12"/>
          <w:footerReference w:type="default" r:id="rId13"/>
          <w:footerReference w:type="first" r:id="rId14"/>
          <w:footnotePr>
            <w:numFmt w:val="decimal"/>
          </w:footnotePr>
          <w:type w:val="nextPage"/>
          <w:pgSz w:w="12240" w:h="15840"/>
          <w:pgMar w:left="1440" w:right="1440" w:gutter="0" w:header="720" w:top="777" w:footer="475" w:bottom="864"/>
          <w:pgNumType w:start="1" w:fmt="decimal"/>
          <w:formProt w:val="false"/>
          <w:titlePg/>
          <w:textDirection w:val="lrTb"/>
          <w:docGrid w:type="default" w:linePitch="100" w:charSpace="0"/>
        </w:sectPr>
        <w:pStyle w:val="Title1"/>
        <w:spacing w:before="0" w:after="240"/>
        <w:jc w:val="both"/>
        <w:rPr>
          <w:lang w:val="en-US"/>
        </w:rPr>
      </w:pPr>
      <w:r>
        <w:rPr>
          <w:lang w:val="en-US"/>
        </w:rPr>
      </w:r>
    </w:p>
    <w:p>
      <w:pPr>
        <w:pStyle w:val="Normal"/>
        <w:spacing w:before="0" w:after="240"/>
        <w:jc w:val="center"/>
        <w:rPr>
          <w:b/>
          <w:b/>
        </w:rPr>
      </w:pPr>
      <w:r>
        <w:rPr>
          <w:b/>
        </w:rPr>
        <w:t>Annex II</w:t>
      </w:r>
    </w:p>
    <w:p>
      <w:pPr>
        <w:pStyle w:val="Normal"/>
        <w:jc w:val="center"/>
        <w:rPr>
          <w:b/>
          <w:b/>
        </w:rPr>
      </w:pPr>
      <w:r>
        <w:rPr>
          <w:b/>
        </w:rPr>
        <w:t>DRAFT VIEWS EXPRESSED BY THE EXECUTIVE COMMITTEE ON RENEWAL OF INSTITUTIONAL STRENGTHENING PROJECTS SUBMITTED TO THE 80</w:t>
      </w:r>
      <w:r>
        <w:rPr>
          <w:b/>
          <w:vertAlign w:val="superscript"/>
        </w:rPr>
        <w:t>th</w:t>
      </w:r>
      <w:r>
        <w:rPr>
          <w:b/>
        </w:rPr>
        <w:t> MEETING</w:t>
      </w:r>
    </w:p>
    <w:p>
      <w:pPr>
        <w:pStyle w:val="Normal"/>
        <w:rPr>
          <w:lang w:val="en-CA"/>
        </w:rPr>
      </w:pPr>
      <w:r>
        <w:rPr>
          <w:lang w:val="en-CA"/>
        </w:rPr>
      </w:r>
    </w:p>
    <w:p>
      <w:pPr>
        <w:pStyle w:val="Normal"/>
        <w:spacing w:before="0" w:after="240"/>
        <w:rPr>
          <w:b/>
          <w:b/>
          <w:bCs/>
        </w:rPr>
      </w:pPr>
      <w:r>
        <w:rPr>
          <w:b/>
          <w:bCs/>
        </w:rPr>
        <w:t>Bosnia and Herzegovina</w:t>
      </w:r>
    </w:p>
    <w:p>
      <w:pPr>
        <w:pStyle w:val="Heading1"/>
        <w:keepNext w:val="true"/>
        <w:keepLines/>
        <w:numPr>
          <w:ilvl w:val="0"/>
          <w:numId w:val="78"/>
        </w:numPr>
        <w:rPr>
          <w:b/>
          <w:b/>
          <w:bCs/>
        </w:rPr>
      </w:pPr>
      <w:r>
        <w:rPr/>
        <w:t>The Executive Committee reviewed the report submitted with the request for the institutional strengthening (IS) project for Bosnia and Herzegovina (phase VI) and noted with appreciation that the country reported 2016 country programme implementation data to the Fund Secretariat and 2016 Article 7 data to the Ozone Secretariat indicating that the country is compliance with the Montreal Protocol. The Executive Committee acknowledged with appreciation that Bosnia and Herzegovina eliminated the consumption of HCFC-141b by 1 January 2016 and that within the framework of the IS project, the country has strengthened the capacity of the national ozone unit (NOU) to control HCFCs. The Executive Committee is pleased that the Government of Bosnia and Herzegovina is committed, through its NOU, to ratify the Kigali Amendment to the Montreal Protocol and that the ratification process is included in the work plan of Council of Ministers for the year 2017.</w:t>
      </w:r>
    </w:p>
    <w:p>
      <w:pPr>
        <w:pStyle w:val="Normal"/>
        <w:spacing w:before="0" w:after="240"/>
        <w:rPr>
          <w:b/>
          <w:b/>
          <w:lang w:val="en-US"/>
        </w:rPr>
      </w:pPr>
      <w:r>
        <w:rPr>
          <w:b/>
          <w:lang w:val="en-US"/>
        </w:rPr>
        <w:t>Serbia</w:t>
      </w:r>
    </w:p>
    <w:p>
      <w:pPr>
        <w:pStyle w:val="Heading1"/>
        <w:keepNext w:val="true"/>
        <w:keepLines/>
        <w:numPr>
          <w:ilvl w:val="0"/>
          <w:numId w:val="79"/>
        </w:numPr>
        <w:rPr>
          <w:b/>
          <w:b/>
          <w:lang w:val="en-US"/>
        </w:rPr>
      </w:pPr>
      <w:r>
        <w:rPr/>
        <w:t>The Executive Committee reviewed the report submitted with the request for the IS project for Serbia (phase VI) and noted with appreciation that Serbia is in compliance with the Montreal Protocol’s phase</w:t>
        <w:noBreakHyphen/>
        <w:t>out targets and reporting obligations and has achieved the annual HCFCs consumption targets set in its HCFC phase</w:t>
        <w:noBreakHyphen/>
        <w:t>out management plan (HPMP) Agreement with the Executive Committee. The Executive Committee also noted that the NOU of Serbia continued its work during the restructuring process of the Ministry of Environment, and achieved greater visibility both nationally and internationally. The Executive Committee acknowledged that Serbia was an active a member of the Europe and Central Asia (ECA) regional network and played an important role in the technical information exchange in the region by hosting international refrigeration conferences and exhibitions on the annual basis. The Executive Committee is pleased that the Government of Serbia is committed, through its NOU, to take early actions towards the ratification of the Kigali Amendment.</w:t>
      </w:r>
    </w:p>
    <w:p>
      <w:pPr>
        <w:pStyle w:val="Normal"/>
        <w:spacing w:before="0" w:after="240"/>
        <w:rPr>
          <w:b/>
          <w:b/>
          <w:bCs/>
        </w:rPr>
      </w:pPr>
      <w:r>
        <w:rPr>
          <w:b/>
          <w:bCs/>
        </w:rPr>
        <w:t>Turkey</w:t>
      </w:r>
    </w:p>
    <w:p>
      <w:pPr>
        <w:pStyle w:val="Heading1"/>
        <w:widowControl w:val="false"/>
        <w:numPr>
          <w:ilvl w:val="0"/>
          <w:numId w:val="80"/>
        </w:numPr>
        <w:rPr>
          <w:rFonts w:eastAsia="Calibri"/>
          <w:color w:val="000000" w:themeColor="text1"/>
        </w:rPr>
      </w:pPr>
      <w:r>
        <w:rPr>
          <w:rFonts w:eastAsia="Calibri"/>
          <w:color w:val="000000" w:themeColor="text1"/>
        </w:rPr>
        <w:t xml:space="preserve">The Executive Committee reviewed the report submitted with the request for the IS project for </w:t>
      </w:r>
      <w:r>
        <w:rPr/>
        <w:t xml:space="preserve">Turkey (phase VIII) and noted with appreciation that Turkey is in compliance with its ODS data reporting obligations and achieved the HCFC consumption phase-out targets set in the HPMP Agreement with the Executive Committee. The Executive Committee noted the strengthening of the NOU with additional staff from the Ministry of Environment and Urbanization, and that the NOU has increased its visibility. The Executive Committee acknowledged that Turkey is an active a member of the ECA regional ozone network and has played an important role in promoting HCFC alternatives for the refrigeration and air-conditioning sector in the region, and encouraged the NOU to continue its awareness campaigns on ODS alternatives. </w:t>
      </w:r>
      <w:r>
        <w:rPr>
          <w:rFonts w:eastAsia="Calibri"/>
          <w:color w:val="000000" w:themeColor="text1"/>
        </w:rPr>
        <w:t xml:space="preserve">The Executive Committee acknowledged the efforts of the Government of Turkey, and is therefore hopeful that, within the next two years, Turkey will continue the implementation of its HPMP and IS project with success. </w:t>
      </w:r>
    </w:p>
    <w:p>
      <w:pPr>
        <w:pStyle w:val="Normal"/>
        <w:rPr/>
      </w:pPr>
      <w:r>
        <w:rPr/>
      </w:r>
    </w:p>
    <w:tbl>
      <w:tblPr>
        <w:tblStyle w:val="TableGrid"/>
        <w:tblW w:w="93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870"/>
        <w:gridCol w:w="1870"/>
        <w:gridCol w:w="1870"/>
        <w:gridCol w:w="1870"/>
        <w:gridCol w:w="1870"/>
      </w:tblGrid>
      <w:tr>
        <w:trPr/>
        <w:tc>
          <w:tcPr>
            <w:tcW w:w="1870" w:type="dxa"/>
            <w:tcBorders>
              <w:top w:val="nil"/>
              <w:left w:val="nil"/>
              <w:bottom w:val="nil"/>
              <w:right w:val="nil"/>
            </w:tcBorders>
          </w:tcPr>
          <w:p>
            <w:pPr>
              <w:pStyle w:val="Normal"/>
              <w:widowControl/>
              <w:spacing w:before="0" w:after="0"/>
              <w:rPr>
                <w:lang w:val="en-CA"/>
              </w:rPr>
            </w:pPr>
            <w:r>
              <w:rPr>
                <w:rFonts w:eastAsia="Times New Roman" w:cs="Times New Roman"/>
                <w:kern w:val="0"/>
                <w:lang w:val="en-CA" w:eastAsia="en-US" w:bidi="ar-SA"/>
              </w:rPr>
            </w:r>
          </w:p>
        </w:tc>
        <w:tc>
          <w:tcPr>
            <w:tcW w:w="1870" w:type="dxa"/>
            <w:tcBorders>
              <w:top w:val="nil"/>
              <w:left w:val="nil"/>
              <w:bottom w:val="nil"/>
              <w:right w:val="nil"/>
            </w:tcBorders>
          </w:tcPr>
          <w:p>
            <w:pPr>
              <w:pStyle w:val="Normal"/>
              <w:widowControl/>
              <w:spacing w:before="0" w:after="0"/>
              <w:rPr>
                <w:lang w:val="en-CA"/>
              </w:rPr>
            </w:pPr>
            <w:r>
              <w:rPr>
                <w:rFonts w:eastAsia="Times New Roman" w:cs="Times New Roman"/>
                <w:kern w:val="0"/>
                <w:lang w:val="en-CA" w:eastAsia="en-US" w:bidi="ar-SA"/>
              </w:rPr>
            </w:r>
          </w:p>
        </w:tc>
        <w:tc>
          <w:tcPr>
            <w:tcW w:w="1870" w:type="dxa"/>
            <w:tcBorders>
              <w:top w:val="nil"/>
              <w:left w:val="nil"/>
              <w:right w:val="nil"/>
            </w:tcBorders>
          </w:tcPr>
          <w:p>
            <w:pPr>
              <w:pStyle w:val="Normal"/>
              <w:widowControl/>
              <w:spacing w:before="0" w:after="0"/>
              <w:rPr>
                <w:lang w:val="en-CA"/>
              </w:rPr>
            </w:pPr>
            <w:r>
              <w:rPr>
                <w:rFonts w:eastAsia="Times New Roman" w:cs="Times New Roman"/>
                <w:kern w:val="0"/>
                <w:lang w:val="en-CA" w:eastAsia="en-US" w:bidi="ar-SA"/>
              </w:rPr>
            </w:r>
          </w:p>
        </w:tc>
        <w:tc>
          <w:tcPr>
            <w:tcW w:w="1870" w:type="dxa"/>
            <w:tcBorders>
              <w:top w:val="nil"/>
              <w:left w:val="nil"/>
              <w:bottom w:val="nil"/>
              <w:right w:val="nil"/>
            </w:tcBorders>
          </w:tcPr>
          <w:p>
            <w:pPr>
              <w:pStyle w:val="Normal"/>
              <w:widowControl/>
              <w:spacing w:before="0" w:after="0"/>
              <w:rPr>
                <w:lang w:val="en-CA"/>
              </w:rPr>
            </w:pPr>
            <w:r>
              <w:rPr>
                <w:rFonts w:eastAsia="Times New Roman" w:cs="Times New Roman"/>
                <w:kern w:val="0"/>
                <w:lang w:val="en-CA" w:eastAsia="en-US" w:bidi="ar-SA"/>
              </w:rPr>
            </w:r>
          </w:p>
        </w:tc>
        <w:tc>
          <w:tcPr>
            <w:tcW w:w="1870" w:type="dxa"/>
            <w:tcBorders>
              <w:top w:val="nil"/>
              <w:left w:val="nil"/>
              <w:bottom w:val="nil"/>
              <w:right w:val="nil"/>
            </w:tcBorders>
          </w:tcPr>
          <w:p>
            <w:pPr>
              <w:pStyle w:val="Normal"/>
              <w:widowControl/>
              <w:spacing w:before="0" w:after="0"/>
              <w:rPr>
                <w:lang w:val="en-CA"/>
              </w:rPr>
            </w:pPr>
            <w:r>
              <w:rPr>
                <w:rFonts w:eastAsia="Times New Roman" w:cs="Times New Roman"/>
                <w:kern w:val="0"/>
                <w:lang w:val="en-CA" w:eastAsia="en-US" w:bidi="ar-SA"/>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rFonts w:ascii="Times New Roman" w:hAnsi="Times New Roman"/>
          <w:b/>
          <w:b/>
          <w:bCs/>
          <w:u w:val="single"/>
          <w:lang w:val="en-GB"/>
        </w:rPr>
      </w:pPr>
      <w:bookmarkStart w:id="1" w:name="_GoBack1"/>
      <w:bookmarkEnd w:id="1"/>
      <w:r>
        <w:rPr/>
        <w:drawing>
          <wp:inline distT="0" distB="0" distL="0" distR="0">
            <wp:extent cx="1205230" cy="1107440"/>
            <wp:effectExtent l="0" t="0" r="0" b="0"/>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15"/>
                    <a:stretch>
                      <a:fillRect/>
                    </a:stretch>
                  </pic:blipFill>
                  <pic:spPr bwMode="auto">
                    <a:xfrm>
                      <a:off x="0" y="0"/>
                      <a:ext cx="1205230" cy="1107440"/>
                    </a:xfrm>
                    <a:prstGeom prst="rect">
                      <a:avLst/>
                    </a:prstGeom>
                  </pic:spPr>
                </pic:pic>
              </a:graphicData>
            </a:graphic>
          </wp:inline>
        </w:drawing>
      </w:r>
    </w:p>
    <w:p>
      <w:pPr>
        <w:pStyle w:val="Normal"/>
        <w:jc w:val="center"/>
        <w:rPr>
          <w:rFonts w:ascii="Times New Roman" w:hAnsi="Times New Roman"/>
          <w:b/>
          <w:b/>
          <w:bCs/>
          <w:u w:val="single"/>
          <w:lang w:val="en-GB"/>
        </w:rPr>
      </w:pPr>
      <w:r>
        <w:rPr>
          <w:b/>
          <w:bCs/>
          <w:u w:val="single"/>
          <w:lang w:val="en-GB"/>
        </w:rPr>
      </w:r>
    </w:p>
    <w:p>
      <w:pPr>
        <w:pStyle w:val="Normal"/>
        <w:jc w:val="center"/>
        <w:rPr>
          <w:rFonts w:ascii="Times New Roman" w:hAnsi="Times New Roman"/>
          <w:b/>
          <w:b/>
          <w:bCs/>
          <w:u w:val="single"/>
          <w:lang w:val="en-GB"/>
        </w:rPr>
      </w:pPr>
      <w:r>
        <w:rPr>
          <w:b/>
          <w:bCs/>
          <w:u w:val="single"/>
          <w:lang w:val="en-GB"/>
        </w:rPr>
      </w:r>
    </w:p>
    <w:p>
      <w:pPr>
        <w:pStyle w:val="Normal"/>
        <w:rPr>
          <w:rFonts w:ascii="Times New Roman" w:hAnsi="Times New Roman"/>
          <w:b/>
          <w:b/>
          <w:bCs/>
          <w:u w:val="single"/>
          <w:lang w:val="en-GB"/>
        </w:rPr>
      </w:pPr>
      <w:r>
        <w:rPr>
          <w:b/>
          <w:bCs/>
          <w:u w:val="single"/>
          <w:lang w:val="en-GB"/>
        </w:rPr>
      </w:r>
    </w:p>
    <w:p>
      <w:pPr>
        <w:pStyle w:val="Normal"/>
        <w:jc w:val="center"/>
        <w:rPr>
          <w:rFonts w:ascii="Times New Roman" w:hAnsi="Times New Roman"/>
          <w:b/>
          <w:b/>
          <w:bCs/>
          <w:u w:val="single"/>
          <w:lang w:val="en-GB"/>
        </w:rPr>
      </w:pPr>
      <w:r>
        <w:rPr>
          <w:b/>
          <w:bCs/>
          <w:u w:val="single"/>
          <w:lang w:val="en-GB"/>
        </w:rPr>
      </w:r>
    </w:p>
    <w:p>
      <w:pPr>
        <w:pStyle w:val="Normal"/>
        <w:jc w:val="center"/>
        <w:rPr>
          <w:rFonts w:ascii="Times New Roman" w:hAnsi="Times New Roman"/>
          <w:b/>
          <w:b/>
          <w:bCs/>
          <w:u w:val="single"/>
          <w:lang w:val="en-GB"/>
        </w:rPr>
      </w:pPr>
      <w:r>
        <w:rPr>
          <w:b/>
          <w:bCs/>
          <w:u w:val="single"/>
          <w:lang w:val="en-GB"/>
        </w:rPr>
      </w:r>
    </w:p>
    <w:p>
      <w:pPr>
        <w:pStyle w:val="Normal"/>
        <w:jc w:val="center"/>
        <w:rPr>
          <w:rFonts w:ascii="Times New Roman" w:hAnsi="Times New Roman"/>
          <w:lang w:val="en-GB"/>
        </w:rPr>
      </w:pPr>
      <w:r>
        <w:rPr>
          <w:b/>
          <w:bCs/>
          <w:u w:val="single"/>
          <w:lang w:val="en-GB"/>
        </w:rPr>
        <w:t>UNITED NATIONS INDUSTRIAL DEVELOPMENT ORGANIZATION</w:t>
      </w:r>
    </w:p>
    <w:p>
      <w:pPr>
        <w:pStyle w:val="Normal"/>
        <w:jc w:val="center"/>
        <w:rPr>
          <w:rFonts w:ascii="Times New Roman" w:hAnsi="Times New Roman"/>
          <w:lang w:val="en-GB"/>
        </w:rPr>
      </w:pPr>
      <w:r>
        <w:rPr>
          <w:lang w:val="en-GB"/>
        </w:rPr>
      </w:r>
    </w:p>
    <w:p>
      <w:pPr>
        <w:pStyle w:val="Normal"/>
        <w:jc w:val="center"/>
        <w:rPr>
          <w:rFonts w:ascii="Times New Roman" w:hAnsi="Times New Roman"/>
          <w:lang w:val="en-GB"/>
        </w:rPr>
      </w:pPr>
      <w:r>
        <w:rPr>
          <w:lang w:val="en-GB"/>
        </w:rPr>
        <w:t>80</w:t>
      </w:r>
      <w:r>
        <w:rPr>
          <w:vertAlign w:val="superscript"/>
          <w:lang w:val="en-GB"/>
        </w:rPr>
        <w:t>th</w:t>
      </w:r>
      <w:r>
        <w:rPr>
          <w:lang w:val="en-GB"/>
        </w:rPr>
        <w:t xml:space="preserve"> Executive Committee of the</w:t>
      </w:r>
    </w:p>
    <w:p>
      <w:pPr>
        <w:pStyle w:val="Normal"/>
        <w:jc w:val="center"/>
        <w:rPr>
          <w:rFonts w:ascii="Times New Roman" w:hAnsi="Times New Roman"/>
          <w:lang w:val="en-GB"/>
        </w:rPr>
      </w:pPr>
      <w:r>
        <w:rPr>
          <w:lang w:val="en-GB"/>
        </w:rPr>
        <w:t>Multilateral Fund for the Implementation of the Montreal Protocol</w:t>
      </w:r>
    </w:p>
    <w:p>
      <w:pPr>
        <w:pStyle w:val="Normal"/>
        <w:rPr>
          <w:rFonts w:ascii="Times New Roman" w:hAnsi="Times New Roman"/>
          <w:lang w:val="en-GB"/>
        </w:rPr>
      </w:pPr>
      <w:r>
        <w:rPr>
          <w:lang w:val="en-GB"/>
        </w:rPr>
      </w:r>
    </w:p>
    <w:p>
      <w:pPr>
        <w:pStyle w:val="Normal"/>
        <w:rPr>
          <w:rFonts w:ascii="Times New Roman" w:hAnsi="Times New Roman"/>
          <w:lang w:val="en-GB"/>
        </w:rPr>
      </w:pPr>
      <w:r>
        <w:rPr>
          <w:lang w:val="en-GB"/>
        </w:rPr>
      </w:r>
    </w:p>
    <w:p>
      <w:pPr>
        <w:pStyle w:val="Normal"/>
        <w:ind w:firstLine="6480"/>
        <w:rPr>
          <w:rFonts w:ascii="Times New Roman" w:hAnsi="Times New Roman"/>
          <w:lang w:val="en-GB"/>
        </w:rPr>
      </w:pPr>
      <w:r>
        <w:rPr>
          <w:lang w:val="en-GB"/>
        </w:rPr>
        <w:t xml:space="preserve"> </w:t>
      </w:r>
    </w:p>
    <w:p>
      <w:pPr>
        <w:pStyle w:val="Normal"/>
        <w:rPr>
          <w:rFonts w:ascii="Times New Roman" w:hAnsi="Times New Roman"/>
          <w:lang w:val="en-GB"/>
        </w:rPr>
      </w:pPr>
      <w:r>
        <w:rPr>
          <w:lang w:val="en-GB"/>
        </w:rPr>
      </w:r>
    </w:p>
    <w:p>
      <w:pPr>
        <w:pStyle w:val="Normal"/>
        <w:rPr>
          <w:rFonts w:ascii="Times New Roman" w:hAnsi="Times New Roman"/>
          <w:lang w:val="en-GB"/>
        </w:rPr>
      </w:pPr>
      <w:r>
        <w:rPr>
          <w:lang w:val="en-GB"/>
        </w:rPr>
      </w:r>
    </w:p>
    <w:p>
      <w:pPr>
        <w:pStyle w:val="Normal"/>
        <w:rPr>
          <w:rFonts w:ascii="Times New Roman" w:hAnsi="Times New Roman"/>
          <w:lang w:val="en-GB"/>
        </w:rPr>
      </w:pPr>
      <w:r>
        <w:rPr>
          <w:lang w:val="en-GB"/>
        </w:rPr>
      </w:r>
    </w:p>
    <w:p>
      <w:pPr>
        <w:pStyle w:val="Normal"/>
        <w:rPr>
          <w:rFonts w:ascii="Times New Roman" w:hAnsi="Times New Roman"/>
          <w:lang w:val="en-GB"/>
        </w:rPr>
      </w:pPr>
      <w:r>
        <w:rPr>
          <w:lang w:val="en-GB"/>
        </w:rPr>
        <w:t xml:space="preserve"> </w:t>
      </w:r>
    </w:p>
    <w:p>
      <w:pPr>
        <w:pStyle w:val="Normal"/>
        <w:rPr>
          <w:rFonts w:ascii="Times New Roman" w:hAnsi="Times New Roman"/>
          <w:lang w:val="en-GB"/>
        </w:rPr>
      </w:pPr>
      <w:r>
        <w:rPr>
          <w:lang w:val="en-GB"/>
        </w:rPr>
      </w:r>
    </w:p>
    <w:p>
      <w:pPr>
        <w:pStyle w:val="Normal"/>
        <w:rPr>
          <w:rFonts w:ascii="Times New Roman" w:hAnsi="Times New Roman"/>
          <w:lang w:val="en-GB"/>
        </w:rPr>
      </w:pPr>
      <w:r>
        <w:rPr>
          <w:lang w:val="en-GB"/>
        </w:rPr>
      </w:r>
    </w:p>
    <w:p>
      <w:pPr>
        <w:pStyle w:val="Normal"/>
        <w:rPr>
          <w:rFonts w:ascii="Times New Roman" w:hAnsi="Times New Roman"/>
          <w:lang w:val="en-GB"/>
        </w:rPr>
      </w:pPr>
      <w:r>
        <w:rPr>
          <w:lang w:val="en-GB"/>
        </w:rPr>
      </w:r>
    </w:p>
    <w:p>
      <w:pPr>
        <w:pStyle w:val="Normal"/>
        <w:rPr>
          <w:rFonts w:ascii="Times New Roman" w:hAnsi="Times New Roman"/>
          <w:lang w:val="en-GB"/>
        </w:rPr>
      </w:pPr>
      <w:r>
        <w:rPr>
          <w:lang w:val="en-GB"/>
        </w:rPr>
      </w:r>
    </w:p>
    <w:p>
      <w:pPr>
        <w:pStyle w:val="Normal"/>
        <w:rPr>
          <w:rFonts w:ascii="Times New Roman" w:hAnsi="Times New Roman"/>
          <w:lang w:val="en-GB"/>
        </w:rPr>
      </w:pPr>
      <w:r>
        <w:rPr>
          <w:lang w:val="en-GB"/>
        </w:rPr>
      </w:r>
    </w:p>
    <w:p>
      <w:pPr>
        <w:pStyle w:val="Normal"/>
        <w:jc w:val="center"/>
        <w:rPr>
          <w:rFonts w:ascii="Times New Roman" w:hAnsi="Times New Roman"/>
          <w:b/>
          <w:b/>
          <w:bCs/>
          <w:color w:val="00B0F0"/>
          <w:lang w:val="en-GB"/>
        </w:rPr>
      </w:pPr>
      <w:r>
        <w:rPr>
          <w:b/>
          <w:bCs/>
          <w:color w:val="00B0F0"/>
          <w:lang w:val="en-GB"/>
        </w:rPr>
        <w:t>UNIDO Work Programme</w:t>
      </w:r>
    </w:p>
    <w:p>
      <w:pPr>
        <w:pStyle w:val="Normal"/>
        <w:rPr>
          <w:rFonts w:ascii="Times New Roman" w:hAnsi="Times New Roman"/>
          <w:lang w:val="en-GB"/>
        </w:rPr>
      </w:pPr>
      <w:r>
        <w:rPr>
          <w:lang w:val="en-GB"/>
        </w:rPr>
      </w:r>
    </w:p>
    <w:p>
      <w:pPr>
        <w:pStyle w:val="Normal"/>
        <w:jc w:val="center"/>
        <w:rPr>
          <w:rFonts w:ascii="Times New Roman" w:hAnsi="Times New Roman"/>
          <w:b/>
          <w:b/>
          <w:bCs/>
          <w:lang w:val="en-GB"/>
        </w:rPr>
      </w:pPr>
      <w:r>
        <w:rPr>
          <w:b/>
          <w:bCs/>
          <w:lang w:val="en-GB"/>
        </w:rPr>
        <w:t>80</w:t>
      </w:r>
      <w:r>
        <w:rPr>
          <w:b/>
          <w:bCs/>
          <w:vertAlign w:val="superscript"/>
          <w:lang w:val="en-GB"/>
        </w:rPr>
        <w:t>th</w:t>
      </w:r>
      <w:r>
        <w:rPr>
          <w:b/>
          <w:bCs/>
          <w:lang w:val="en-GB"/>
        </w:rPr>
        <w:t xml:space="preserve"> Meeting of the Executive Committee</w:t>
      </w:r>
    </w:p>
    <w:p>
      <w:pPr>
        <w:pStyle w:val="Normal"/>
        <w:rPr>
          <w:rFonts w:ascii="Times New Roman" w:hAnsi="Times New Roman"/>
          <w:lang w:val="en-GB"/>
        </w:rPr>
      </w:pPr>
      <w:r>
        <w:rPr>
          <w:lang w:val="en-GB"/>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spacing w:lineRule="auto" w:line="276"/>
        <w:jc w:val="both"/>
        <w:rPr>
          <w:rFonts w:ascii="Times New Roman" w:hAnsi="Times New Roman"/>
          <w:b/>
          <w:b/>
          <w:color w:val="00B0F0"/>
        </w:rPr>
      </w:pPr>
      <w:r>
        <w:rPr>
          <w:b/>
          <w:color w:val="00B0F0"/>
        </w:rPr>
        <w:t>Introduction</w:t>
      </w:r>
    </w:p>
    <w:p>
      <w:pPr>
        <w:pStyle w:val="Normal"/>
        <w:spacing w:lineRule="auto" w:line="276"/>
        <w:jc w:val="both"/>
        <w:rPr>
          <w:rFonts w:ascii="Times New Roman" w:hAnsi="Times New Roman"/>
          <w:lang w:val="en-GB"/>
        </w:rPr>
      </w:pPr>
      <w:r>
        <w:rPr>
          <w:lang w:val="en-GB"/>
        </w:rPr>
      </w:r>
    </w:p>
    <w:p>
      <w:pPr>
        <w:pStyle w:val="Normal"/>
        <w:spacing w:lineRule="auto" w:line="276"/>
        <w:jc w:val="both"/>
        <w:rPr>
          <w:rFonts w:ascii="Times New Roman" w:hAnsi="Times New Roman"/>
          <w:lang w:val="en-GB"/>
        </w:rPr>
      </w:pPr>
      <w:r>
        <w:rPr>
          <w:lang w:val="en-GB"/>
        </w:rPr>
        <w:t>The UNIDO Work Programme for the consideration of the 80</w:t>
      </w:r>
      <w:r>
        <w:rPr>
          <w:vertAlign w:val="superscript"/>
          <w:lang w:val="en-GB"/>
        </w:rPr>
        <w:t>th</w:t>
      </w:r>
      <w:r>
        <w:rPr>
          <w:lang w:val="en-GB"/>
        </w:rPr>
        <w:t xml:space="preserve"> Meeting of the Executive Committee (ExCom) of the Multilateral Fund (MLF) has been prepared following the Government requests as well as based on ongoing and planned activities.  The Work Programme will support the implementation of UNIDO’s three year Rolling Business Plan 2017-2019.</w:t>
      </w:r>
    </w:p>
    <w:p>
      <w:pPr>
        <w:pStyle w:val="Annotationtext"/>
        <w:spacing w:lineRule="auto" w:line="276"/>
        <w:jc w:val="both"/>
        <w:rPr>
          <w:rFonts w:ascii="Times New Roman" w:hAnsi="Times New Roman"/>
          <w:sz w:val="24"/>
          <w:szCs w:val="24"/>
          <w:highlight w:val="yellow"/>
          <w:lang w:val="en-GB"/>
        </w:rPr>
      </w:pPr>
      <w:r>
        <w:rPr>
          <w:sz w:val="24"/>
          <w:szCs w:val="24"/>
          <w:highlight w:val="yellow"/>
          <w:lang w:val="en-GB"/>
        </w:rPr>
      </w:r>
    </w:p>
    <w:p>
      <w:pPr>
        <w:pStyle w:val="Annotationtext"/>
        <w:spacing w:lineRule="auto" w:line="276"/>
        <w:jc w:val="both"/>
        <w:rPr>
          <w:rFonts w:ascii="Times New Roman" w:hAnsi="Times New Roman"/>
          <w:sz w:val="24"/>
          <w:szCs w:val="24"/>
          <w:lang w:val="en-GB"/>
        </w:rPr>
      </w:pPr>
      <w:r>
        <w:rPr>
          <w:sz w:val="24"/>
          <w:szCs w:val="24"/>
          <w:lang w:val="en-GB"/>
        </w:rPr>
        <w:t>The 80</w:t>
      </w:r>
      <w:r>
        <w:rPr>
          <w:sz w:val="24"/>
          <w:szCs w:val="24"/>
          <w:vertAlign w:val="superscript"/>
          <w:lang w:val="en-GB"/>
        </w:rPr>
        <w:t>th</w:t>
      </w:r>
      <w:r>
        <w:rPr>
          <w:sz w:val="24"/>
          <w:szCs w:val="24"/>
          <w:lang w:val="en-GB"/>
        </w:rPr>
        <w:t xml:space="preserve"> UNIDO WPA is addressing preparatory assistance, institutional strengthening, verification report and enabling activities requests.</w:t>
      </w:r>
    </w:p>
    <w:p>
      <w:pPr>
        <w:pStyle w:val="Normal"/>
        <w:spacing w:lineRule="auto" w:line="276"/>
        <w:jc w:val="both"/>
        <w:rPr>
          <w:rFonts w:ascii="Times New Roman" w:hAnsi="Times New Roman"/>
          <w:lang w:val="en-GB"/>
        </w:rPr>
      </w:pPr>
      <w:r>
        <w:rPr>
          <w:lang w:val="en-GB"/>
        </w:rPr>
        <w:t>Preparatory assistance requests are submitted for stand-alone investment projects in the refrigeration manufacturing sector at seven companies in five countries (Ecuador, Lebanon, Mexico, Morocco and Vietnam) in line with the Executive Committee Decision 78/3 (g), to facilitate the analysis of ICCs and IOCs associated with the phase-down on HFCs.</w:t>
      </w:r>
    </w:p>
    <w:p>
      <w:pPr>
        <w:pStyle w:val="Normal"/>
        <w:spacing w:lineRule="auto" w:line="276"/>
        <w:rPr>
          <w:rFonts w:ascii="Times New Roman" w:hAnsi="Times New Roman"/>
          <w:lang w:val="en-GB"/>
        </w:rPr>
      </w:pPr>
      <w:r>
        <w:rPr>
          <w:lang w:val="en-GB"/>
        </w:rPr>
      </w:r>
    </w:p>
    <w:p>
      <w:pPr>
        <w:pStyle w:val="Normal"/>
        <w:spacing w:lineRule="auto" w:line="276"/>
        <w:jc w:val="both"/>
        <w:rPr>
          <w:rFonts w:ascii="Times New Roman" w:hAnsi="Times New Roman"/>
          <w:lang w:val="en-GB"/>
        </w:rPr>
      </w:pPr>
      <w:r>
        <w:rPr>
          <w:lang w:val="en-GB"/>
        </w:rPr>
        <w:t>Institutional strengthening extension requests are submitted based on the country requests for Bosnia and Herzegovina, Serbia and Turkey.</w:t>
      </w:r>
    </w:p>
    <w:p>
      <w:pPr>
        <w:pStyle w:val="Normal"/>
        <w:spacing w:lineRule="auto" w:line="276"/>
        <w:jc w:val="both"/>
        <w:rPr>
          <w:rFonts w:ascii="Times New Roman" w:hAnsi="Times New Roman"/>
          <w:lang w:val="en-GB"/>
        </w:rPr>
      </w:pPr>
      <w:r>
        <w:rPr>
          <w:lang w:val="en-GB"/>
        </w:rPr>
      </w:r>
    </w:p>
    <w:p>
      <w:pPr>
        <w:pStyle w:val="Normal"/>
        <w:spacing w:lineRule="auto" w:line="276"/>
        <w:jc w:val="both"/>
        <w:rPr>
          <w:rFonts w:ascii="Times New Roman" w:hAnsi="Times New Roman"/>
          <w:lang w:val="en-GB"/>
        </w:rPr>
      </w:pPr>
      <w:r>
        <w:rPr>
          <w:lang w:val="en-GB"/>
        </w:rPr>
        <w:t xml:space="preserve">Verification Report related funding is required in line with the </w:t>
      </w:r>
      <w:r>
        <w:rPr/>
        <w:t xml:space="preserve">Decision 79/26 </w:t>
      </w:r>
      <w:r>
        <w:rPr>
          <w:lang w:val="en-GB"/>
        </w:rPr>
        <w:t>for Oman and Sudan.</w:t>
      </w:r>
    </w:p>
    <w:p>
      <w:pPr>
        <w:pStyle w:val="Normal"/>
        <w:spacing w:lineRule="auto" w:line="276"/>
        <w:jc w:val="both"/>
        <w:rPr>
          <w:rFonts w:ascii="Times New Roman" w:hAnsi="Times New Roman"/>
          <w:lang w:val="en-GB"/>
        </w:rPr>
      </w:pPr>
      <w:r>
        <w:rPr>
          <w:lang w:val="en-GB"/>
        </w:rPr>
      </w:r>
    </w:p>
    <w:p>
      <w:pPr>
        <w:pStyle w:val="Normal"/>
        <w:spacing w:lineRule="auto" w:line="276"/>
        <w:jc w:val="both"/>
        <w:rPr>
          <w:rFonts w:ascii="Times New Roman" w:hAnsi="Times New Roman"/>
          <w:lang w:val="en-GB"/>
        </w:rPr>
      </w:pPr>
      <w:r>
        <w:rPr>
          <w:lang w:val="en-GB"/>
        </w:rPr>
        <w:t xml:space="preserve">Requests for funding of enabling activities are submitted in line with </w:t>
      </w:r>
      <w:r>
        <w:rPr/>
        <w:t>Decision 79/46 in</w:t>
      </w:r>
      <w:r>
        <w:rPr>
          <w:lang w:val="en-GB"/>
        </w:rPr>
        <w:t xml:space="preserve"> Albania, Armenia, Bosnia and Herzegovina, Burkina Faso, Cameroon, Chile, Gambia, FYR Macedonia, Mexico, Montenegro, Serbia, Somalia, Sudan, Tunisia, Turkey, Uruguay and Vietnam. UNIDO is the only implementing agency in all the countries, except Chile, Mexico, Sudan, Tunisia and Uruguay where in line with the countries’ requests; activities will be shared with other implementing agencies as per the table shown in Section 1. Since UNIDO is the lead implementing agency of Mexico and Tunisia, the proposal is submitted as part of UNIDO’s WPA. Detailed description of tasks and budget distribution between the agencies is included in the project concept. For Chile and Uruguay, however, the submission is made as part of UNDP’s WPA to the 80</w:t>
      </w:r>
      <w:r>
        <w:rPr>
          <w:vertAlign w:val="superscript"/>
          <w:lang w:val="en-GB"/>
        </w:rPr>
        <w:t>th</w:t>
      </w:r>
      <w:r>
        <w:rPr>
          <w:lang w:val="en-GB"/>
        </w:rPr>
        <w:t xml:space="preserve"> Meeting of the ExCom.</w:t>
      </w:r>
    </w:p>
    <w:p>
      <w:pPr>
        <w:pStyle w:val="Normal"/>
        <w:spacing w:lineRule="auto" w:line="276"/>
        <w:jc w:val="both"/>
        <w:rPr>
          <w:rFonts w:ascii="Times New Roman" w:hAnsi="Times New Roman"/>
          <w:lang w:val="en-GB"/>
        </w:rPr>
      </w:pPr>
      <w:r>
        <w:rPr>
          <w:lang w:val="en-GB"/>
        </w:rPr>
      </w:r>
    </w:p>
    <w:p>
      <w:pPr>
        <w:pStyle w:val="Normal"/>
        <w:spacing w:lineRule="auto" w:line="276"/>
        <w:jc w:val="both"/>
        <w:rPr>
          <w:rFonts w:ascii="Times New Roman" w:hAnsi="Times New Roman"/>
          <w:lang w:val="en-GB"/>
        </w:rPr>
      </w:pPr>
      <w:r>
        <w:rPr>
          <w:lang w:val="en-GB"/>
        </w:rPr>
        <w:t>The UNIDO Work Programme Amendment for the consideration of the 80</w:t>
      </w:r>
      <w:r>
        <w:rPr>
          <w:vertAlign w:val="superscript"/>
          <w:lang w:val="en-GB"/>
        </w:rPr>
        <w:t>th</w:t>
      </w:r>
      <w:r>
        <w:rPr>
          <w:lang w:val="en-GB"/>
        </w:rPr>
        <w:t xml:space="preserve"> ExCom Meeting comprises the following sections:</w:t>
      </w:r>
    </w:p>
    <w:p>
      <w:pPr>
        <w:pStyle w:val="Normal"/>
        <w:spacing w:lineRule="auto" w:line="276"/>
        <w:jc w:val="both"/>
        <w:rPr>
          <w:rFonts w:ascii="Times New Roman" w:hAnsi="Times New Roman"/>
          <w:lang w:val="en-GB"/>
        </w:rPr>
      </w:pPr>
      <w:r>
        <w:rPr>
          <w:lang w:val="en-GB"/>
        </w:rPr>
      </w:r>
    </w:p>
    <w:p>
      <w:pPr>
        <w:pStyle w:val="Heading8"/>
        <w:numPr>
          <w:ilvl w:val="0"/>
          <w:numId w:val="33"/>
        </w:numPr>
        <w:spacing w:lineRule="auto" w:line="276"/>
        <w:rPr>
          <w:rFonts w:ascii="Times New Roman" w:hAnsi="Times New Roman" w:cs="Times New Roman"/>
          <w:b w:val="false"/>
          <w:b w:val="false"/>
        </w:rPr>
      </w:pPr>
      <w:r>
        <w:rPr>
          <w:rFonts w:cs="Times New Roman"/>
          <w:color w:val="00B0F0"/>
          <w:lang w:val="en-GB"/>
        </w:rPr>
        <w:t>Section 1</w:t>
      </w:r>
      <w:r>
        <w:rPr>
          <w:rFonts w:cs="Times New Roman"/>
          <w:lang w:val="en-GB"/>
        </w:rPr>
        <w:t xml:space="preserve">: </w:t>
      </w:r>
      <w:r>
        <w:rPr>
          <w:rFonts w:cs="Times New Roman"/>
          <w:b w:val="false"/>
        </w:rPr>
        <w:t>Consolidated list</w:t>
      </w:r>
      <w:r>
        <w:rPr>
          <w:rFonts w:cs="Times New Roman"/>
        </w:rPr>
        <w:t xml:space="preserve"> </w:t>
      </w:r>
      <w:r>
        <w:rPr>
          <w:rFonts w:cs="Times New Roman"/>
          <w:b w:val="false"/>
        </w:rPr>
        <w:t>of activities foreseen for the above requests</w:t>
      </w:r>
      <w:r>
        <w:rPr>
          <w:rFonts w:cs="Times New Roman"/>
          <w:b w:val="false"/>
          <w:lang w:val="en-GB"/>
        </w:rPr>
        <w:t xml:space="preserve"> </w:t>
      </w:r>
      <w:r>
        <w:rPr>
          <w:rFonts w:cs="Times New Roman"/>
          <w:b w:val="false"/>
        </w:rPr>
        <w:t>by project types and country;</w:t>
      </w:r>
    </w:p>
    <w:p>
      <w:pPr>
        <w:pStyle w:val="ListParagraph"/>
        <w:numPr>
          <w:ilvl w:val="0"/>
          <w:numId w:val="33"/>
        </w:numPr>
        <w:spacing w:lineRule="auto" w:line="276"/>
        <w:jc w:val="both"/>
        <w:rPr>
          <w:rFonts w:ascii="Times New Roman" w:hAnsi="Times New Roman"/>
          <w:b/>
          <w:b/>
        </w:rPr>
      </w:pPr>
      <w:r>
        <w:rPr>
          <w:b/>
          <w:color w:val="00B0F0"/>
          <w:lang w:val="en-GB"/>
        </w:rPr>
        <w:t>Section 2</w:t>
      </w:r>
      <w:r>
        <w:rPr>
          <w:b/>
          <w:lang w:val="en-GB"/>
        </w:rPr>
        <w:t xml:space="preserve">: </w:t>
      </w:r>
      <w:r>
        <w:rPr>
          <w:lang w:val="en-GB"/>
        </w:rPr>
        <w:t>Project concepts indicating details and funding requirements.</w:t>
      </w:r>
    </w:p>
    <w:p>
      <w:pPr>
        <w:pStyle w:val="Normal"/>
        <w:spacing w:lineRule="auto" w:line="276"/>
        <w:jc w:val="both"/>
        <w:rPr>
          <w:rFonts w:ascii="Times New Roman" w:hAnsi="Times New Roman"/>
          <w:lang w:val="en-GB"/>
        </w:rPr>
      </w:pPr>
      <w:r>
        <w:rPr>
          <w:lang w:val="en-GB"/>
        </w:rPr>
      </w:r>
    </w:p>
    <w:p>
      <w:pPr>
        <w:pStyle w:val="Normal"/>
        <w:spacing w:lineRule="auto" w:line="276"/>
        <w:jc w:val="both"/>
        <w:rPr>
          <w:rFonts w:ascii="Times New Roman" w:hAnsi="Times New Roman"/>
          <w:lang w:val="en-GB"/>
        </w:rPr>
      </w:pPr>
      <w:r>
        <w:rPr>
          <w:lang w:val="en-GB"/>
        </w:rPr>
        <w:t>Funding is requested as follows:</w:t>
      </w:r>
    </w:p>
    <w:p>
      <w:pPr>
        <w:pStyle w:val="Normal"/>
        <w:spacing w:lineRule="auto" w:line="276"/>
        <w:jc w:val="both"/>
        <w:rPr>
          <w:rFonts w:ascii="Times New Roman" w:hAnsi="Times New Roman"/>
          <w:lang w:val="en-GB"/>
        </w:rPr>
      </w:pPr>
      <w:r>
        <w:rPr>
          <w:lang w:val="en-GB"/>
        </w:rPr>
      </w:r>
    </w:p>
    <w:p>
      <w:pPr>
        <w:pStyle w:val="ListParagraph"/>
        <w:numPr>
          <w:ilvl w:val="0"/>
          <w:numId w:val="2"/>
        </w:numPr>
        <w:spacing w:lineRule="auto" w:line="276"/>
        <w:jc w:val="both"/>
        <w:rPr>
          <w:rFonts w:ascii="Times New Roman" w:hAnsi="Times New Roman"/>
          <w:lang w:val="en-GB"/>
        </w:rPr>
      </w:pPr>
      <w:r>
        <w:rPr>
          <w:lang w:val="en-GB"/>
        </w:rPr>
        <w:t>Preparatory assistance funding for stand-alone investment projects amounting to US$ 224,700 (including US$ 14,700 representing 7.0 % A.S.C);</w:t>
      </w:r>
    </w:p>
    <w:p>
      <w:pPr>
        <w:pStyle w:val="ListParagraph"/>
        <w:numPr>
          <w:ilvl w:val="0"/>
          <w:numId w:val="2"/>
        </w:numPr>
        <w:spacing w:lineRule="auto" w:line="276"/>
        <w:jc w:val="both"/>
        <w:rPr>
          <w:rFonts w:ascii="Times New Roman" w:hAnsi="Times New Roman"/>
          <w:lang w:val="en-GB"/>
        </w:rPr>
      </w:pPr>
      <w:r>
        <w:rPr>
          <w:lang w:val="en-GB"/>
        </w:rPr>
        <w:t>Institutional strengthening projects amounting to US$ 627,155 (including US$ 41,029 representing 7.0 % A.S.C);</w:t>
      </w:r>
    </w:p>
    <w:p>
      <w:pPr>
        <w:pStyle w:val="ListParagraph"/>
        <w:numPr>
          <w:ilvl w:val="0"/>
          <w:numId w:val="2"/>
        </w:numPr>
        <w:spacing w:lineRule="auto" w:line="276"/>
        <w:jc w:val="both"/>
        <w:rPr>
          <w:rFonts w:ascii="Times New Roman" w:hAnsi="Times New Roman"/>
          <w:lang w:val="en-GB"/>
        </w:rPr>
      </w:pPr>
      <w:r>
        <w:rPr>
          <w:lang w:val="en-GB"/>
        </w:rPr>
        <w:t>Verification Report funding amounting to US$ 65,400 (including US$ 5,400 representing 9.0 % A.S.C);</w:t>
      </w:r>
    </w:p>
    <w:p>
      <w:pPr>
        <w:pStyle w:val="ListParagraph"/>
        <w:numPr>
          <w:ilvl w:val="0"/>
          <w:numId w:val="2"/>
        </w:numPr>
        <w:spacing w:lineRule="auto" w:line="276"/>
        <w:jc w:val="both"/>
        <w:rPr>
          <w:rFonts w:ascii="Times New Roman" w:hAnsi="Times New Roman"/>
          <w:lang w:val="en-GB"/>
        </w:rPr>
      </w:pPr>
      <w:r>
        <w:rPr>
          <w:lang w:val="en-GB"/>
        </w:rPr>
        <w:t>Enabling activities funding amounting to US$ 2,546,240 (including US$ 210,240   representing 9.0 % A.S.C).</w:t>
      </w:r>
    </w:p>
    <w:p>
      <w:pPr>
        <w:pStyle w:val="Normal"/>
        <w:shd w:val="clear" w:color="auto" w:fill="FFFFFF"/>
        <w:spacing w:lineRule="auto" w:line="276"/>
        <w:jc w:val="both"/>
        <w:rPr>
          <w:rFonts w:ascii="Times New Roman" w:hAnsi="Times New Roman"/>
          <w:lang w:val="en-GB"/>
        </w:rPr>
      </w:pPr>
      <w:r>
        <w:rPr>
          <w:lang w:val="en-GB"/>
        </w:rPr>
      </w:r>
    </w:p>
    <w:p>
      <w:pPr>
        <w:pStyle w:val="Normal"/>
        <w:spacing w:lineRule="auto" w:line="276"/>
        <w:ind w:left="360" w:hanging="0"/>
        <w:jc w:val="both"/>
        <w:rPr>
          <w:rFonts w:ascii="Times New Roman" w:hAnsi="Times New Roman"/>
          <w:b/>
          <w:b/>
          <w:lang w:val="en-GB"/>
        </w:rPr>
      </w:pPr>
      <w:r>
        <w:rPr>
          <w:b/>
          <w:lang w:val="en-GB"/>
        </w:rPr>
      </w:r>
    </w:p>
    <w:p>
      <w:pPr>
        <w:pStyle w:val="Normal"/>
        <w:spacing w:lineRule="auto" w:line="276"/>
        <w:jc w:val="both"/>
        <w:rPr>
          <w:rFonts w:ascii="Times New Roman" w:hAnsi="Times New Roman"/>
          <w:b/>
          <w:b/>
          <w:lang w:val="en-GB"/>
        </w:rPr>
      </w:pPr>
      <w:r>
        <w:rPr>
          <w:b/>
          <w:lang w:val="en-GB"/>
        </w:rPr>
        <w:t>Total: US$ 3,463,495 (including US$ 271,369 agency support cost).</w:t>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pStyle w:val="Normal"/>
        <w:jc w:val="both"/>
        <w:rPr>
          <w:rFonts w:ascii="Times New Roman" w:hAnsi="Times New Roman"/>
          <w:b/>
          <w:b/>
          <w:lang w:val="en-GB"/>
        </w:rPr>
      </w:pPr>
      <w:r>
        <w:rPr>
          <w:b/>
          <w:lang w:val="en-GB"/>
        </w:rPr>
      </w:r>
    </w:p>
    <w:p>
      <w:pPr>
        <w:sectPr>
          <w:headerReference w:type="even" r:id="rId16"/>
          <w:headerReference w:type="default" r:id="rId17"/>
          <w:headerReference w:type="first" r:id="rId18"/>
          <w:footerReference w:type="even" r:id="rId19"/>
          <w:footerReference w:type="default" r:id="rId20"/>
          <w:footerReference w:type="first" r:id="rId21"/>
          <w:footnotePr>
            <w:numFmt w:val="decimal"/>
          </w:footnotePr>
          <w:type w:val="nextPage"/>
          <w:pgSz w:w="12240" w:h="15840"/>
          <w:pgMar w:left="1440" w:right="1440" w:gutter="0" w:header="720" w:top="777" w:footer="475" w:bottom="864"/>
          <w:pgNumType w:start="1" w:fmt="decimal"/>
          <w:formProt w:val="false"/>
          <w:titlePg/>
          <w:textDirection w:val="lrTb"/>
          <w:docGrid w:type="default" w:linePitch="100" w:charSpace="0"/>
        </w:sectPr>
        <w:pStyle w:val="Normal"/>
        <w:jc w:val="both"/>
        <w:rPr>
          <w:rFonts w:ascii="Times New Roman" w:hAnsi="Times New Roman"/>
          <w:b/>
          <w:b/>
          <w:lang w:val="en-GB"/>
        </w:rPr>
      </w:pPr>
      <w:r>
        <w:rPr>
          <w:b/>
          <w:lang w:val="en-GB"/>
        </w:rPr>
      </w:r>
    </w:p>
    <w:p>
      <w:pPr>
        <w:pStyle w:val="Normal"/>
        <w:jc w:val="center"/>
        <w:rPr>
          <w:rFonts w:ascii="Times New Roman" w:hAnsi="Times New Roman"/>
          <w:b/>
          <w:b/>
          <w:color w:val="00B0F0"/>
        </w:rPr>
      </w:pPr>
      <w:r>
        <w:rPr>
          <w:b/>
          <w:color w:val="00B0F0"/>
        </w:rPr>
        <w:t>SECTION 1</w:t>
      </w:r>
    </w:p>
    <w:p>
      <w:pPr>
        <w:pStyle w:val="Normal"/>
        <w:widowControl/>
        <w:spacing w:lineRule="auto" w:line="276" w:before="0" w:after="200"/>
        <w:ind w:right="-900" w:hanging="0"/>
        <w:rPr>
          <w:rFonts w:ascii="Times New Roman" w:hAnsi="Times New Roman"/>
          <w:b/>
          <w:b/>
          <w:color w:val="00B0F0"/>
        </w:rPr>
      </w:pPr>
      <w:r>
        <w:rPr>
          <w:b/>
          <w:color w:val="00B0F0"/>
        </w:rPr>
      </w:r>
    </w:p>
    <w:tbl>
      <w:tblPr>
        <w:tblW w:w="14859" w:type="dxa"/>
        <w:jc w:val="left"/>
        <w:tblInd w:w="93" w:type="dxa"/>
        <w:tblLayout w:type="fixed"/>
        <w:tblCellMar>
          <w:top w:w="0" w:type="dxa"/>
          <w:left w:w="108" w:type="dxa"/>
          <w:bottom w:w="0" w:type="dxa"/>
          <w:right w:w="108" w:type="dxa"/>
        </w:tblCellMar>
        <w:tblLook w:val="04a0" w:noHBand="0" w:noVBand="1" w:firstColumn="1" w:lastRow="0" w:lastColumn="0" w:firstRow="1"/>
      </w:tblPr>
      <w:tblGrid>
        <w:gridCol w:w="1270"/>
        <w:gridCol w:w="952"/>
        <w:gridCol w:w="645"/>
        <w:gridCol w:w="1075"/>
        <w:gridCol w:w="1410"/>
        <w:gridCol w:w="3236"/>
        <w:gridCol w:w="1009"/>
        <w:gridCol w:w="952"/>
        <w:gridCol w:w="1008"/>
        <w:gridCol w:w="761"/>
        <w:gridCol w:w="674"/>
        <w:gridCol w:w="1866"/>
      </w:tblGrid>
      <w:tr>
        <w:trPr>
          <w:tblHeader w:val="true"/>
          <w:trHeight w:val="510" w:hRule="atLeast"/>
          <w:cantSplit w:val="true"/>
        </w:trPr>
        <w:tc>
          <w:tcPr>
            <w:tcW w:w="1270"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Country</w:t>
            </w:r>
          </w:p>
        </w:tc>
        <w:tc>
          <w:tcPr>
            <w:tcW w:w="952"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MLF HCFC Status</w:t>
            </w:r>
          </w:p>
        </w:tc>
        <w:tc>
          <w:tcPr>
            <w:tcW w:w="645"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Type</w:t>
            </w:r>
          </w:p>
        </w:tc>
        <w:tc>
          <w:tcPr>
            <w:tcW w:w="1075"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Substance</w:t>
            </w:r>
          </w:p>
        </w:tc>
        <w:tc>
          <w:tcPr>
            <w:tcW w:w="1410"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Sector and Sub-Sector</w:t>
            </w:r>
          </w:p>
        </w:tc>
        <w:tc>
          <w:tcPr>
            <w:tcW w:w="3236"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Title of Project</w:t>
            </w:r>
          </w:p>
        </w:tc>
        <w:tc>
          <w:tcPr>
            <w:tcW w:w="1009" w:type="dxa"/>
            <w:tcBorders>
              <w:top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Total amount</w:t>
            </w:r>
          </w:p>
        </w:tc>
        <w:tc>
          <w:tcPr>
            <w:tcW w:w="952"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A.S.C.</w:t>
            </w:r>
          </w:p>
        </w:tc>
        <w:tc>
          <w:tcPr>
            <w:tcW w:w="1008"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Total (incl ASC) USD</w:t>
            </w:r>
          </w:p>
        </w:tc>
        <w:tc>
          <w:tcPr>
            <w:tcW w:w="761"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A.S.C. %</w:t>
            </w:r>
          </w:p>
        </w:tc>
        <w:tc>
          <w:tcPr>
            <w:tcW w:w="674"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P.D.</w:t>
            </w:r>
          </w:p>
        </w:tc>
        <w:tc>
          <w:tcPr>
            <w:tcW w:w="1866" w:type="dxa"/>
            <w:vMerge w:val="restart"/>
            <w:tcBorders>
              <w:top w:val="single" w:sz="8" w:space="0" w:color="000000"/>
              <w:left w:val="single" w:sz="8" w:space="0" w:color="000000"/>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Remarks</w:t>
            </w:r>
          </w:p>
        </w:tc>
      </w:tr>
      <w:tr>
        <w:trPr>
          <w:trHeight w:val="315" w:hRule="atLeast"/>
        </w:trPr>
        <w:tc>
          <w:tcPr>
            <w:tcW w:w="1270"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952"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645"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1075"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1410"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323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1009" w:type="dxa"/>
            <w:tcBorders>
              <w:bottom w:val="single" w:sz="8" w:space="0" w:color="000000"/>
              <w:right w:val="single" w:sz="8" w:space="0" w:color="000000"/>
            </w:tcBorders>
            <w:shd w:color="000000" w:fill="FFFFFF"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USD</w:t>
            </w:r>
          </w:p>
        </w:tc>
        <w:tc>
          <w:tcPr>
            <w:tcW w:w="952"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1008"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761"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67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c>
          <w:tcPr>
            <w:tcW w:w="186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sz w:val="20"/>
                <w:szCs w:val="20"/>
              </w:rPr>
            </w:pPr>
            <w:r>
              <w:rPr>
                <w:b/>
                <w:bCs/>
                <w:color w:val="000000"/>
                <w:sz w:val="20"/>
                <w:szCs w:val="20"/>
              </w:rPr>
            </w:r>
          </w:p>
        </w:tc>
      </w:tr>
      <w:tr>
        <w:trPr>
          <w:trHeight w:val="315" w:hRule="atLeast"/>
        </w:trPr>
        <w:tc>
          <w:tcPr>
            <w:tcW w:w="14858" w:type="dxa"/>
            <w:gridSpan w:val="12"/>
            <w:tcBorders>
              <w:top w:val="single" w:sz="8" w:space="0" w:color="000000"/>
              <w:left w:val="single" w:sz="8" w:space="0" w:color="000000"/>
              <w:bottom w:val="single" w:sz="8" w:space="0" w:color="000000"/>
              <w:right w:val="single" w:sz="8" w:space="0" w:color="000000"/>
            </w:tcBorders>
            <w:shd w:color="000000" w:fill="B7DEE8"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Preparatory Assistance for Demonstration Projects - Based on Executive Committee Decision 78/3 (g)</w:t>
            </w:r>
          </w:p>
        </w:tc>
      </w:tr>
      <w:tr>
        <w:trPr>
          <w:trHeight w:val="1290"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Ecuador</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PRP</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HFC-134a</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REF-Manufacturing</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Project preparation for HFC-related projects in the manufacturing sector at Ecasa enterprise to gain experience in ICCs and IOCs associated with the phase-down of HFCs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2,100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32,100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12</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154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Ecuador</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PRP</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HFC-134a</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REF-Manufacturing</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Project preparation for HFC-related projects in the manufacturing sector at Induglob (former Indurama) enterprise to gain experience in ICCs and IOCs associated with the phase-down of HFCs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2,100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32,100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12</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154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Lebanon</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PRP</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HFC-134a</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REF-Manufacturing</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Project preparation for HFC-related projects in the manufacturing sector at Lematic Industries to gain experience in ICCs and IOCs associated with the phase-down of HFCs in domestic refrigeration</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2,100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32,100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12</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1290"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Mexico</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PRP</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HFC-134a</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REF-Manufacturing</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Project preparation for HFC-related projects in the manufacturing sector at Fersa enterprise to gain experience in ICCs and IOCs associated with the phase-down of HFCs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2,100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32,100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12</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250"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Mexico</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PRP</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HFC-134a</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REF-Manufacturing</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Project preparation for HFC-related projects in the manufacturing sector at Imbera enterprise to gain experience in ICCs and IOCs associated with the phase-down of HFCs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2,100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32,100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12</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1290"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Morocco</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PRP</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HFC-134a</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REF-Manufacturing</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Project preparation for HFC-related project in the manufacturing sector at Manar enterprise to gain experience in ICCs and IOCs associated with the phase-down of HFCs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2,100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32,100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12</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00" w:hRule="atLeast"/>
        </w:trPr>
        <w:tc>
          <w:tcPr>
            <w:tcW w:w="1270"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Viet Nam</w:t>
            </w:r>
          </w:p>
        </w:tc>
        <w:tc>
          <w:tcPr>
            <w:tcW w:w="952"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PRP</w:t>
            </w:r>
          </w:p>
        </w:tc>
        <w:tc>
          <w:tcPr>
            <w:tcW w:w="1075" w:type="dxa"/>
            <w:tcBorders>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HFC-134a/</w:t>
            </w:r>
          </w:p>
        </w:tc>
        <w:tc>
          <w:tcPr>
            <w:tcW w:w="1410"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REF-Manufacturing</w:t>
            </w:r>
          </w:p>
        </w:tc>
        <w:tc>
          <w:tcPr>
            <w:tcW w:w="323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Project preparation for HFC-related projects in the manufacturing sector at Nagakawa Vietnam Company to gain experience in ICCs and IOCs associated with the phase-down of HFCs</w:t>
            </w:r>
          </w:p>
        </w:tc>
        <w:tc>
          <w:tcPr>
            <w:tcW w:w="1009"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30,000</w:t>
            </w:r>
          </w:p>
        </w:tc>
        <w:tc>
          <w:tcPr>
            <w:tcW w:w="952"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2,100</w:t>
            </w:r>
          </w:p>
        </w:tc>
        <w:tc>
          <w:tcPr>
            <w:tcW w:w="1008"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32,100</w:t>
            </w:r>
          </w:p>
        </w:tc>
        <w:tc>
          <w:tcPr>
            <w:tcW w:w="761"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12</w:t>
            </w:r>
          </w:p>
        </w:tc>
        <w:tc>
          <w:tcPr>
            <w:tcW w:w="186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1140" w:hRule="atLeast"/>
        </w:trPr>
        <w:tc>
          <w:tcPr>
            <w:tcW w:w="1270"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952"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645"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HFC-404a</w:t>
            </w:r>
          </w:p>
        </w:tc>
        <w:tc>
          <w:tcPr>
            <w:tcW w:w="1410"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3236"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1009"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952"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1008"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761"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67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c>
          <w:tcPr>
            <w:tcW w:w="1866"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sz w:val="20"/>
                <w:szCs w:val="20"/>
              </w:rPr>
            </w:pPr>
            <w:r>
              <w:rPr>
                <w:color w:val="000000"/>
                <w:sz w:val="20"/>
                <w:szCs w:val="20"/>
              </w:rPr>
            </w:r>
          </w:p>
        </w:tc>
      </w:tr>
      <w:tr>
        <w:trPr>
          <w:trHeight w:val="315" w:hRule="atLeast"/>
        </w:trPr>
        <w:tc>
          <w:tcPr>
            <w:tcW w:w="8588" w:type="dxa"/>
            <w:gridSpan w:val="6"/>
            <w:tcBorders>
              <w:top w:val="single" w:sz="8" w:space="0" w:color="000000"/>
              <w:left w:val="single" w:sz="8" w:space="0" w:color="000000"/>
              <w:bottom w:val="single" w:sz="8" w:space="0" w:color="000000"/>
              <w:right w:val="single" w:sz="8" w:space="0" w:color="000000"/>
            </w:tcBorders>
            <w:shd w:color="000000" w:fill="E4DFEC"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SUBTOTAL</w:t>
            </w:r>
          </w:p>
        </w:tc>
        <w:tc>
          <w:tcPr>
            <w:tcW w:w="1009" w:type="dxa"/>
            <w:tcBorders>
              <w:bottom w:val="single" w:sz="8" w:space="0" w:color="000000"/>
            </w:tcBorders>
            <w:shd w:color="000000" w:fill="E4DFE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210,000</w:t>
            </w:r>
          </w:p>
        </w:tc>
        <w:tc>
          <w:tcPr>
            <w:tcW w:w="952" w:type="dxa"/>
            <w:tcBorders>
              <w:left w:val="single" w:sz="8" w:space="0" w:color="000000"/>
              <w:bottom w:val="single" w:sz="8" w:space="0" w:color="000000"/>
            </w:tcBorders>
            <w:shd w:color="000000" w:fill="E4DFE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14,700</w:t>
            </w:r>
          </w:p>
        </w:tc>
        <w:tc>
          <w:tcPr>
            <w:tcW w:w="1008" w:type="dxa"/>
            <w:tcBorders>
              <w:left w:val="single" w:sz="8" w:space="0" w:color="000000"/>
              <w:bottom w:val="single" w:sz="8" w:space="0" w:color="000000"/>
              <w:right w:val="single" w:sz="8" w:space="0" w:color="000000"/>
            </w:tcBorders>
            <w:shd w:color="000000" w:fill="E4DFE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224,700</w:t>
            </w:r>
          </w:p>
        </w:tc>
        <w:tc>
          <w:tcPr>
            <w:tcW w:w="3301" w:type="dxa"/>
            <w:gridSpan w:val="3"/>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b/>
                <w:b/>
                <w:bCs/>
                <w:color w:val="000000"/>
                <w:sz w:val="20"/>
                <w:szCs w:val="20"/>
              </w:rPr>
            </w:pPr>
            <w:r>
              <w:rPr>
                <w:b/>
                <w:bCs/>
                <w:color w:val="000000"/>
                <w:sz w:val="20"/>
                <w:szCs w:val="20"/>
              </w:rPr>
              <w:t> </w:t>
            </w:r>
          </w:p>
        </w:tc>
      </w:tr>
      <w:tr>
        <w:trPr>
          <w:trHeight w:val="315" w:hRule="atLeast"/>
        </w:trPr>
        <w:tc>
          <w:tcPr>
            <w:tcW w:w="14858" w:type="dxa"/>
            <w:gridSpan w:val="12"/>
            <w:tcBorders>
              <w:top w:val="single" w:sz="8" w:space="0" w:color="000000"/>
              <w:left w:val="single" w:sz="8" w:space="0" w:color="000000"/>
              <w:bottom w:val="single" w:sz="8" w:space="0" w:color="000000"/>
              <w:right w:val="single" w:sz="8" w:space="0" w:color="000000"/>
            </w:tcBorders>
            <w:shd w:color="000000" w:fill="B7DEE8"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Institutional Strengthening</w:t>
            </w:r>
          </w:p>
        </w:tc>
      </w:tr>
      <w:tr>
        <w:trPr>
          <w:trHeight w:val="52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Bosnia and Herzegovina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All</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Institutional strengthening</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122,026</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8,542</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130,568</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24</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Serbia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All</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Institutional strengthening</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131,300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9,191</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140,491</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24</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Turkey</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All</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Institutional strengthening</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332,800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23,296</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356,096</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24</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8588" w:type="dxa"/>
            <w:gridSpan w:val="6"/>
            <w:tcBorders>
              <w:top w:val="single" w:sz="8" w:space="0" w:color="000000"/>
              <w:left w:val="single" w:sz="8" w:space="0" w:color="000000"/>
              <w:bottom w:val="single" w:sz="8" w:space="0" w:color="000000"/>
              <w:right w:val="single" w:sz="8" w:space="0" w:color="000000"/>
            </w:tcBorders>
            <w:shd w:color="000000" w:fill="E4DFEC"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SUBTOTAL</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586,126</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41,029</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627,155</w:t>
            </w:r>
          </w:p>
        </w:tc>
        <w:tc>
          <w:tcPr>
            <w:tcW w:w="3301" w:type="dxa"/>
            <w:gridSpan w:val="3"/>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b/>
                <w:b/>
                <w:bCs/>
                <w:color w:val="000000"/>
                <w:sz w:val="20"/>
                <w:szCs w:val="20"/>
              </w:rPr>
            </w:pPr>
            <w:r>
              <w:rPr>
                <w:b/>
                <w:bCs/>
                <w:color w:val="000000"/>
                <w:sz w:val="20"/>
                <w:szCs w:val="20"/>
              </w:rPr>
              <w:t> </w:t>
            </w:r>
          </w:p>
        </w:tc>
      </w:tr>
      <w:tr>
        <w:trPr>
          <w:trHeight w:val="315" w:hRule="atLeast"/>
        </w:trPr>
        <w:tc>
          <w:tcPr>
            <w:tcW w:w="14858" w:type="dxa"/>
            <w:gridSpan w:val="12"/>
            <w:tcBorders>
              <w:left w:val="single" w:sz="8" w:space="0" w:color="000000"/>
              <w:bottom w:val="single" w:sz="8" w:space="0" w:color="000000"/>
              <w:right w:val="single" w:sz="8" w:space="0" w:color="000000"/>
            </w:tcBorders>
            <w:shd w:color="000000" w:fill="B7DEE8"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Verification Reports</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Oman</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HCFC-22</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Verification report</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2,700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32,700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24</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Sudan</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HCFC-22</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Verification report</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2,700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32,700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24</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8588" w:type="dxa"/>
            <w:gridSpan w:val="6"/>
            <w:tcBorders>
              <w:top w:val="single" w:sz="8" w:space="0" w:color="000000"/>
              <w:left w:val="single" w:sz="8" w:space="0" w:color="000000"/>
              <w:bottom w:val="single" w:sz="8" w:space="0" w:color="000000"/>
              <w:right w:val="single" w:sz="8" w:space="0" w:color="000000"/>
            </w:tcBorders>
            <w:shd w:color="000000" w:fill="E4DFEC"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SUBTOTAL</w:t>
            </w:r>
          </w:p>
        </w:tc>
        <w:tc>
          <w:tcPr>
            <w:tcW w:w="1009" w:type="dxa"/>
            <w:tcBorders>
              <w:bottom w:val="single" w:sz="8" w:space="0" w:color="000000"/>
            </w:tcBorders>
            <w:shd w:color="000000" w:fill="E4DFE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60,000</w:t>
            </w:r>
          </w:p>
        </w:tc>
        <w:tc>
          <w:tcPr>
            <w:tcW w:w="952" w:type="dxa"/>
            <w:tcBorders>
              <w:left w:val="single" w:sz="8" w:space="0" w:color="000000"/>
              <w:bottom w:val="single" w:sz="8" w:space="0" w:color="000000"/>
            </w:tcBorders>
            <w:shd w:color="auto" w:fill="auto"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5,400</w:t>
            </w:r>
          </w:p>
        </w:tc>
        <w:tc>
          <w:tcPr>
            <w:tcW w:w="1008"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65,400</w:t>
            </w:r>
          </w:p>
        </w:tc>
        <w:tc>
          <w:tcPr>
            <w:tcW w:w="3301" w:type="dxa"/>
            <w:gridSpan w:val="3"/>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b/>
                <w:b/>
                <w:bCs/>
                <w:color w:val="000000"/>
                <w:sz w:val="20"/>
                <w:szCs w:val="20"/>
              </w:rPr>
            </w:pPr>
            <w:r>
              <w:rPr>
                <w:b/>
                <w:bCs/>
                <w:color w:val="000000"/>
                <w:sz w:val="20"/>
                <w:szCs w:val="20"/>
              </w:rPr>
              <w:t> </w:t>
            </w:r>
          </w:p>
        </w:tc>
      </w:tr>
      <w:tr>
        <w:trPr>
          <w:trHeight w:val="315" w:hRule="atLeast"/>
        </w:trPr>
        <w:tc>
          <w:tcPr>
            <w:tcW w:w="14858" w:type="dxa"/>
            <w:gridSpan w:val="12"/>
            <w:tcBorders>
              <w:left w:val="single" w:sz="8" w:space="0" w:color="000000"/>
              <w:bottom w:val="single" w:sz="8" w:space="0" w:color="000000"/>
              <w:right w:val="single" w:sz="8" w:space="0" w:color="000000"/>
            </w:tcBorders>
            <w:shd w:color="000000" w:fill="B7DEE8"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Enabling Activities</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Albania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95,000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8,550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103,550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Armenia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13,500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163,500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52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Bosnia and Herzegovina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95,000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8,550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103,550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Burkina Faso</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13,500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163,500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Cameroon</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13,500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163,500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1290"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Chile</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86,000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7,740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93,740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 cooperation with UNDP and UN Environment. Concept is submitted by UNDP.</w:t>
            </w:r>
          </w:p>
        </w:tc>
      </w:tr>
      <w:tr>
        <w:trPr>
          <w:trHeight w:val="52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Congo (Republic of)</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13,500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163,500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Gambia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95,000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8,550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103,550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52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FYR Macedonia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95,000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8,550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103,550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780"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Mexico</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220,000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19,800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239,800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 cooperation with UNEP. Concept is submitted by UNIDO.</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Montenegro</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4,500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54,500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Serbia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13,500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163,500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Somalia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13,500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163,500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52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Sudan</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75,000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6,750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81,750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 cooperation with UNEP</w:t>
            </w:r>
          </w:p>
        </w:tc>
      </w:tr>
      <w:tr>
        <w:trPr>
          <w:trHeight w:val="780"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Tunisia</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75,000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6,750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81,750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 cooperation with Italy. Concept is submitted by UNIDO</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Turkey</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22,500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272,500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780"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Uruguay</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4,500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54,500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In cooperation with UNDP. Concept is submitted by UNDP.</w:t>
            </w:r>
          </w:p>
        </w:tc>
      </w:tr>
      <w:tr>
        <w:trPr>
          <w:trHeight w:val="315" w:hRule="atLeast"/>
        </w:trPr>
        <w:tc>
          <w:tcPr>
            <w:tcW w:w="1270"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Vietnam</w:t>
            </w:r>
          </w:p>
        </w:tc>
        <w:tc>
          <w:tcPr>
            <w:tcW w:w="952"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Non-LVC</w:t>
            </w:r>
          </w:p>
        </w:tc>
        <w:tc>
          <w:tcPr>
            <w:tcW w:w="64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TAS</w:t>
            </w:r>
          </w:p>
        </w:tc>
        <w:tc>
          <w:tcPr>
            <w:tcW w:w="1075"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141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SEV</w:t>
            </w:r>
          </w:p>
        </w:tc>
        <w:tc>
          <w:tcPr>
            <w:tcW w:w="323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Enabling activities</w:t>
            </w:r>
          </w:p>
        </w:tc>
        <w:tc>
          <w:tcPr>
            <w:tcW w:w="1009"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250,000</w:t>
            </w:r>
          </w:p>
        </w:tc>
        <w:tc>
          <w:tcPr>
            <w:tcW w:w="952"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22,500</w:t>
            </w:r>
          </w:p>
        </w:tc>
        <w:tc>
          <w:tcPr>
            <w:tcW w:w="1008"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272,500</w:t>
            </w:r>
          </w:p>
        </w:tc>
        <w:tc>
          <w:tcPr>
            <w:tcW w:w="761"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9%</w:t>
            </w:r>
          </w:p>
        </w:tc>
        <w:tc>
          <w:tcPr>
            <w:tcW w:w="674" w:type="dxa"/>
            <w:tcBorders>
              <w:bottom w:val="single" w:sz="8" w:space="0" w:color="000000"/>
              <w:right w:val="single" w:sz="8" w:space="0" w:color="000000"/>
            </w:tcBorders>
            <w:shd w:color="auto" w:fill="auto" w:val="clear"/>
            <w:vAlign w:val="center"/>
          </w:tcPr>
          <w:p>
            <w:pPr>
              <w:pStyle w:val="Normal"/>
              <w:widowControl w:val="false"/>
              <w:jc w:val="right"/>
              <w:rPr>
                <w:rFonts w:ascii="Times New Roman" w:hAnsi="Times New Roman"/>
                <w:color w:val="000000"/>
                <w:sz w:val="20"/>
                <w:szCs w:val="20"/>
              </w:rPr>
            </w:pPr>
            <w:r>
              <w:rPr>
                <w:color w:val="000000"/>
                <w:sz w:val="20"/>
                <w:szCs w:val="20"/>
              </w:rPr>
              <w:t>18</w:t>
            </w:r>
          </w:p>
        </w:tc>
        <w:tc>
          <w:tcPr>
            <w:tcW w:w="186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sz w:val="20"/>
                <w:szCs w:val="20"/>
              </w:rPr>
            </w:pPr>
            <w:r>
              <w:rPr>
                <w:color w:val="000000"/>
                <w:sz w:val="20"/>
                <w:szCs w:val="20"/>
              </w:rPr>
              <w:t> </w:t>
            </w:r>
          </w:p>
        </w:tc>
      </w:tr>
      <w:tr>
        <w:trPr>
          <w:trHeight w:val="315" w:hRule="atLeast"/>
        </w:trPr>
        <w:tc>
          <w:tcPr>
            <w:tcW w:w="8588" w:type="dxa"/>
            <w:gridSpan w:val="6"/>
            <w:tcBorders>
              <w:top w:val="single" w:sz="8" w:space="0" w:color="000000"/>
              <w:left w:val="single" w:sz="8" w:space="0" w:color="000000"/>
              <w:bottom w:val="single" w:sz="8" w:space="0" w:color="000000"/>
              <w:right w:val="single" w:sz="8" w:space="0" w:color="000000"/>
            </w:tcBorders>
            <w:shd w:color="000000" w:fill="E4DFEC"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SUBTOTAL</w:t>
            </w:r>
          </w:p>
        </w:tc>
        <w:tc>
          <w:tcPr>
            <w:tcW w:w="1009" w:type="dxa"/>
            <w:tcBorders>
              <w:bottom w:val="single" w:sz="8" w:space="0" w:color="000000"/>
              <w:right w:val="single" w:sz="8" w:space="0" w:color="000000"/>
            </w:tcBorders>
            <w:shd w:color="000000" w:fill="E4DFE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2,336,000</w:t>
            </w:r>
          </w:p>
        </w:tc>
        <w:tc>
          <w:tcPr>
            <w:tcW w:w="952" w:type="dxa"/>
            <w:tcBorders>
              <w:bottom w:val="single" w:sz="8" w:space="0" w:color="000000"/>
              <w:right w:val="single" w:sz="8" w:space="0" w:color="000000"/>
            </w:tcBorders>
            <w:shd w:color="000000" w:fill="E4DFE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210,240</w:t>
            </w:r>
          </w:p>
        </w:tc>
        <w:tc>
          <w:tcPr>
            <w:tcW w:w="1008" w:type="dxa"/>
            <w:tcBorders>
              <w:bottom w:val="single" w:sz="8" w:space="0" w:color="000000"/>
              <w:right w:val="single" w:sz="8" w:space="0" w:color="000000"/>
            </w:tcBorders>
            <w:shd w:color="000000" w:fill="E4DFE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2,546,240</w:t>
            </w:r>
          </w:p>
        </w:tc>
        <w:tc>
          <w:tcPr>
            <w:tcW w:w="3301" w:type="dxa"/>
            <w:gridSpan w:val="3"/>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b/>
                <w:b/>
                <w:bCs/>
                <w:color w:val="000000"/>
                <w:sz w:val="20"/>
                <w:szCs w:val="20"/>
              </w:rPr>
            </w:pPr>
            <w:r>
              <w:rPr>
                <w:b/>
                <w:bCs/>
                <w:color w:val="000000"/>
                <w:sz w:val="20"/>
                <w:szCs w:val="20"/>
              </w:rPr>
              <w:t> </w:t>
            </w:r>
          </w:p>
        </w:tc>
      </w:tr>
      <w:tr>
        <w:trPr>
          <w:trHeight w:val="315" w:hRule="atLeast"/>
        </w:trPr>
        <w:tc>
          <w:tcPr>
            <w:tcW w:w="8588" w:type="dxa"/>
            <w:gridSpan w:val="6"/>
            <w:tcBorders>
              <w:top w:val="single" w:sz="8" w:space="0" w:color="000000"/>
              <w:left w:val="single" w:sz="8" w:space="0" w:color="000000"/>
              <w:bottom w:val="single" w:sz="8" w:space="0" w:color="000000"/>
              <w:right w:val="single" w:sz="8" w:space="0" w:color="000000"/>
            </w:tcBorders>
            <w:shd w:color="000000" w:fill="99FFCC" w:val="clear"/>
            <w:vAlign w:val="center"/>
          </w:tcPr>
          <w:p>
            <w:pPr>
              <w:pStyle w:val="Normal"/>
              <w:widowControl w:val="false"/>
              <w:jc w:val="center"/>
              <w:rPr>
                <w:rFonts w:ascii="Times New Roman" w:hAnsi="Times New Roman"/>
                <w:b/>
                <w:b/>
                <w:bCs/>
                <w:color w:val="000000"/>
                <w:sz w:val="20"/>
                <w:szCs w:val="20"/>
              </w:rPr>
            </w:pPr>
            <w:r>
              <w:rPr>
                <w:b/>
                <w:bCs/>
                <w:color w:val="000000"/>
                <w:sz w:val="20"/>
                <w:szCs w:val="20"/>
              </w:rPr>
              <w:t>GRAND TOTAL</w:t>
            </w:r>
          </w:p>
        </w:tc>
        <w:tc>
          <w:tcPr>
            <w:tcW w:w="1009" w:type="dxa"/>
            <w:tcBorders>
              <w:bottom w:val="single" w:sz="8" w:space="0" w:color="000000"/>
              <w:right w:val="single" w:sz="8" w:space="0" w:color="000000"/>
            </w:tcBorders>
            <w:shd w:color="000000" w:fill="99FFC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3,192,126</w:t>
            </w:r>
          </w:p>
        </w:tc>
        <w:tc>
          <w:tcPr>
            <w:tcW w:w="952" w:type="dxa"/>
            <w:tcBorders>
              <w:bottom w:val="single" w:sz="8" w:space="0" w:color="000000"/>
              <w:right w:val="single" w:sz="8" w:space="0" w:color="000000"/>
            </w:tcBorders>
            <w:shd w:color="000000" w:fill="99FFC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271,369</w:t>
            </w:r>
          </w:p>
        </w:tc>
        <w:tc>
          <w:tcPr>
            <w:tcW w:w="1008" w:type="dxa"/>
            <w:tcBorders>
              <w:bottom w:val="single" w:sz="8" w:space="0" w:color="000000"/>
              <w:right w:val="single" w:sz="8" w:space="0" w:color="000000"/>
            </w:tcBorders>
            <w:shd w:color="000000" w:fill="99FFCC" w:val="clear"/>
            <w:vAlign w:val="center"/>
          </w:tcPr>
          <w:p>
            <w:pPr>
              <w:pStyle w:val="Normal"/>
              <w:widowControl w:val="false"/>
              <w:jc w:val="right"/>
              <w:rPr>
                <w:rFonts w:ascii="Times New Roman" w:hAnsi="Times New Roman"/>
                <w:b/>
                <w:b/>
                <w:bCs/>
                <w:color w:val="000000"/>
                <w:sz w:val="20"/>
                <w:szCs w:val="20"/>
              </w:rPr>
            </w:pPr>
            <w:r>
              <w:rPr>
                <w:b/>
                <w:bCs/>
                <w:color w:val="000000"/>
                <w:sz w:val="20"/>
                <w:szCs w:val="20"/>
              </w:rPr>
              <w:t>3,463,495</w:t>
            </w:r>
          </w:p>
        </w:tc>
        <w:tc>
          <w:tcPr>
            <w:tcW w:w="3301" w:type="dxa"/>
            <w:gridSpan w:val="3"/>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b/>
                <w:b/>
                <w:bCs/>
                <w:color w:val="000000"/>
                <w:sz w:val="20"/>
                <w:szCs w:val="20"/>
              </w:rPr>
            </w:pPr>
            <w:r>
              <w:rPr>
                <w:b/>
                <w:bCs/>
                <w:color w:val="000000"/>
                <w:sz w:val="20"/>
                <w:szCs w:val="20"/>
              </w:rPr>
              <w:t> </w:t>
            </w:r>
          </w:p>
        </w:tc>
      </w:tr>
    </w:tbl>
    <w:p>
      <w:pPr>
        <w:sectPr>
          <w:headerReference w:type="even" r:id="rId22"/>
          <w:headerReference w:type="default" r:id="rId23"/>
          <w:footerReference w:type="even" r:id="rId24"/>
          <w:footerReference w:type="default" r:id="rId25"/>
          <w:footnotePr>
            <w:numFmt w:val="decimal"/>
          </w:footnotePr>
          <w:type w:val="nextPage"/>
          <w:pgSz w:w="12240" w:h="15840"/>
          <w:pgMar w:left="1440" w:right="1440" w:gutter="0" w:header="720" w:top="777" w:footer="475" w:bottom="864"/>
          <w:pgNumType w:fmt="decimal"/>
          <w:formProt w:val="false"/>
          <w:textDirection w:val="lrTb"/>
          <w:docGrid w:type="default" w:linePitch="100" w:charSpace="0"/>
        </w:sectPr>
      </w:pPr>
    </w:p>
    <w:p>
      <w:pPr>
        <w:pStyle w:val="Normal"/>
        <w:widowControl/>
        <w:spacing w:lineRule="auto" w:line="276" w:before="0" w:after="200"/>
        <w:rPr>
          <w:rFonts w:ascii="Times New Roman" w:hAnsi="Times New Roman"/>
          <w:b/>
          <w:b/>
          <w:color w:val="00B0F0"/>
        </w:rPr>
      </w:pPr>
      <w:r>
        <w:rPr>
          <w:b/>
          <w:color w:val="00B0F0"/>
        </w:rPr>
      </w:r>
    </w:p>
    <w:p>
      <w:pPr>
        <w:pStyle w:val="Normal"/>
        <w:jc w:val="center"/>
        <w:rPr>
          <w:rFonts w:ascii="Times New Roman" w:hAnsi="Times New Roman"/>
          <w:b/>
          <w:b/>
          <w:color w:val="00B0F0"/>
        </w:rPr>
      </w:pPr>
      <w:r>
        <w:rPr>
          <w:b/>
          <w:color w:val="00B0F0"/>
        </w:rPr>
        <w:t>SECTION 2</w:t>
      </w:r>
    </w:p>
    <w:p>
      <w:pPr>
        <w:pStyle w:val="Normal"/>
        <w:jc w:val="center"/>
        <w:rPr>
          <w:rFonts w:ascii="Times New Roman" w:hAnsi="Times New Roman"/>
          <w:b/>
          <w:b/>
        </w:rPr>
      </w:pPr>
      <w:r>
        <w:rPr>
          <w:b/>
        </w:rPr>
      </w:r>
    </w:p>
    <w:p>
      <w:pPr>
        <w:pStyle w:val="Normal"/>
        <w:jc w:val="center"/>
        <w:rPr>
          <w:rFonts w:ascii="Times New Roman" w:hAnsi="Times New Roman"/>
          <w:b/>
          <w:b/>
        </w:rPr>
      </w:pPr>
      <w:r>
        <w:rPr>
          <w:b/>
        </w:rPr>
      </w:r>
    </w:p>
    <w:p>
      <w:pPr>
        <w:pStyle w:val="Normal"/>
        <w:rPr>
          <w:rFonts w:ascii="Times New Roman" w:hAnsi="Times New Roman"/>
          <w:lang w:val="en-CA"/>
        </w:rPr>
      </w:pPr>
      <w:r>
        <w:rPr>
          <w:lang w:val="en-CA"/>
        </w:rPr>
      </w:r>
    </w:p>
    <w:p>
      <w:pPr>
        <w:pStyle w:val="Normal"/>
        <w:jc w:val="center"/>
        <w:rPr>
          <w:rFonts w:ascii="Times New Roman" w:hAnsi="Times New Roman"/>
          <w:b/>
          <w:b/>
        </w:rPr>
      </w:pPr>
      <w:r>
        <w:rPr>
          <w:b/>
        </w:rPr>
        <w:t>Project Concept</w:t>
      </w:r>
    </w:p>
    <w:p>
      <w:pPr>
        <w:pStyle w:val="Normal"/>
        <w:tabs>
          <w:tab w:val="clear" w:pos="720"/>
          <w:tab w:val="left" w:pos="1418" w:leader="none"/>
        </w:tabs>
        <w:rPr>
          <w:rFonts w:ascii="Times New Roman" w:hAnsi="Times New Roman"/>
        </w:rPr>
      </w:pPr>
      <w:r>
        <w:rPr/>
      </w:r>
    </w:p>
    <w:p>
      <w:pPr>
        <w:pStyle w:val="Normal"/>
        <w:tabs>
          <w:tab w:val="clear" w:pos="720"/>
          <w:tab w:val="left" w:pos="2790" w:leader="none"/>
        </w:tabs>
        <w:rPr>
          <w:rFonts w:ascii="Times New Roman" w:hAnsi="Times New Roman"/>
        </w:rPr>
      </w:pPr>
      <w:r>
        <w:rPr>
          <w:b/>
        </w:rPr>
        <w:t>Country:</w:t>
        <w:tab/>
        <w:t>Ecuad</w:t>
      </w:r>
      <w:r>
        <w:rPr>
          <w:b/>
          <w:bCs/>
        </w:rPr>
        <w:t>or</w:t>
      </w:r>
    </w:p>
    <w:p>
      <w:pPr>
        <w:pStyle w:val="Normal"/>
        <w:rPr>
          <w:rFonts w:ascii="Times New Roman" w:hAnsi="Times New Roman"/>
        </w:rPr>
      </w:pPr>
      <w:r>
        <w:rPr/>
      </w:r>
    </w:p>
    <w:p>
      <w:pPr>
        <w:pStyle w:val="Normal"/>
        <w:widowControl/>
        <w:tabs>
          <w:tab w:val="clear" w:pos="720"/>
          <w:tab w:val="left" w:pos="2790" w:leader="none"/>
        </w:tabs>
        <w:ind w:left="2790" w:hanging="2790"/>
        <w:jc w:val="both"/>
        <w:rPr>
          <w:rFonts w:ascii="Times New Roman" w:hAnsi="Times New Roman"/>
        </w:rPr>
      </w:pPr>
      <w:r>
        <w:rPr>
          <w:b/>
        </w:rPr>
        <w:t>Title:</w:t>
        <w:tab/>
      </w:r>
      <w:r>
        <w:rPr/>
        <w:t xml:space="preserve">Project preparation for HFC-related projects in the manufacturing sector at </w:t>
      </w:r>
      <w:r>
        <w:rPr>
          <w:rFonts w:eastAsia="MS Mincho"/>
          <w:lang w:eastAsia="ja-JP"/>
        </w:rPr>
        <w:t xml:space="preserve">ECASA </w:t>
      </w:r>
      <w:r>
        <w:rPr/>
        <w:t>to gain experience in ICCs and IOCs associated with the phase-down of HFCs</w:t>
      </w:r>
    </w:p>
    <w:p>
      <w:pPr>
        <w:pStyle w:val="Normal"/>
        <w:widowControl/>
        <w:ind w:left="1418" w:hanging="1418"/>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Project Duration:</w:t>
      </w:r>
      <w:r>
        <w:rPr/>
        <w:tab/>
        <w:t>12 months</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b/>
          <w:b/>
        </w:rPr>
      </w:pPr>
      <w:r>
        <w:rPr>
          <w:b/>
        </w:rPr>
        <w:t>Project Budget:</w:t>
        <w:tab/>
      </w:r>
      <w:r>
        <w:rPr/>
        <w:t>US$ 30,000</w:t>
      </w:r>
      <w:r>
        <w:rPr>
          <w:b/>
        </w:rPr>
        <w:t xml:space="preserve"> </w:t>
      </w:r>
      <w:r>
        <w:rPr/>
        <w:t>(</w:t>
      </w:r>
      <w:r>
        <w:rPr>
          <w:lang w:val="en-GB"/>
        </w:rPr>
        <w:t xml:space="preserve">excl. 7% Agency Support Costs) </w:t>
      </w:r>
    </w:p>
    <w:p>
      <w:pPr>
        <w:pStyle w:val="Normal"/>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Implementing Agency:</w:t>
      </w:r>
      <w:r>
        <w:rPr/>
        <w:tab/>
        <w:t>UNIDO</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rPr>
      </w:pPr>
      <w:r>
        <w:rPr>
          <w:b/>
        </w:rPr>
        <w:t>Coordinating Agency:</w:t>
        <w:tab/>
      </w:r>
      <w:r>
        <w:rPr>
          <w:lang w:val="en-GB"/>
        </w:rPr>
        <w:t>MIPRO</w:t>
      </w:r>
      <w:r>
        <w:rPr/>
        <w:t xml:space="preserve"> - </w:t>
      </w:r>
      <w:r>
        <w:rPr>
          <w:lang w:val="en-GB"/>
        </w:rPr>
        <w:t>National Ozone Unit</w:t>
      </w:r>
    </w:p>
    <w:p>
      <w:pPr>
        <w:pStyle w:val="Normal"/>
        <w:spacing w:lineRule="exact" w:line="19"/>
        <w:rPr>
          <w:rFonts w:ascii="Times New Roman" w:hAnsi="Times New Roman"/>
        </w:rPr>
      </w:pPr>
      <w:r>
        <w:rPr/>
        <mc:AlternateContent>
          <mc:Choice Requires="wps">
            <w:drawing>
              <wp:anchor behindDoc="1" distT="0" distB="6350" distL="0" distR="2540" simplePos="0" locked="0" layoutInCell="0" allowOverlap="1" relativeHeight="15" wp14:anchorId="079D95A3">
                <wp:simplePos x="0" y="0"/>
                <wp:positionH relativeFrom="page">
                  <wp:posOffset>914400</wp:posOffset>
                </wp:positionH>
                <wp:positionV relativeFrom="paragraph">
                  <wp:posOffset>635</wp:posOffset>
                </wp:positionV>
                <wp:extent cx="5731510" cy="12065"/>
                <wp:effectExtent l="0" t="635" r="0" b="0"/>
                <wp:wrapNone/>
                <wp:docPr id="4" name="Rectangle 5"/>
                <a:graphic xmlns:a="http://schemas.openxmlformats.org/drawingml/2006/main">
                  <a:graphicData uri="http://schemas.microsoft.com/office/word/2010/wordprocessingShape">
                    <wps:wsp>
                      <wps:cNvSpPr/>
                      <wps:spPr>
                        <a:xfrm>
                          <a:off x="0" y="0"/>
                          <a:ext cx="5731560" cy="1224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5" path="m0,0l-2147483645,0l-2147483645,-2147483646l0,-2147483646xe" fillcolor="black" stroked="f" o:allowincell="f" style="position:absolute;margin-left:72pt;margin-top:0pt;width:451.25pt;height:0.9pt;mso-wrap-style:none;v-text-anchor:middle;mso-position-horizontal-relative:page" wp14:anchorId="079D95A3">
                <v:fill o:detectmouseclick="t" type="solid" color2="white"/>
                <v:stroke color="#3465a4" joinstyle="round" endcap="flat"/>
                <w10:wrap type="none"/>
              </v:rect>
            </w:pict>
          </mc:Fallback>
        </mc:AlternateContent>
      </w:r>
    </w:p>
    <w:p>
      <w:pPr>
        <w:pStyle w:val="Normal"/>
        <w:ind w:left="720" w:hanging="0"/>
        <w:rPr>
          <w:rFonts w:ascii="Times New Roman" w:hAnsi="Times New Roman"/>
        </w:rPr>
      </w:pPr>
      <w:r>
        <w:rPr/>
      </w:r>
    </w:p>
    <w:p>
      <w:pPr>
        <w:pStyle w:val="Normal"/>
        <w:tabs>
          <w:tab w:val="clear" w:pos="720"/>
          <w:tab w:val="center" w:pos="4513" w:leader="none"/>
        </w:tabs>
        <w:rPr>
          <w:rFonts w:ascii="Times New Roman" w:hAnsi="Times New Roman"/>
          <w:b/>
          <w:b/>
          <w:bCs/>
          <w:lang w:val="en-GB"/>
        </w:rPr>
      </w:pPr>
      <w:r>
        <w:rPr/>
        <w:tab/>
      </w:r>
      <w:r>
        <w:rPr>
          <w:b/>
          <w:bCs/>
          <w:lang w:val="en-GB"/>
        </w:rPr>
        <w:t>Project Summary</w:t>
      </w:r>
    </w:p>
    <w:p>
      <w:pPr>
        <w:pStyle w:val="Normal"/>
        <w:jc w:val="center"/>
        <w:rPr>
          <w:rFonts w:ascii="Times New Roman" w:hAnsi="Times New Roman"/>
          <w:b/>
          <w:b/>
        </w:rPr>
      </w:pPr>
      <w:r>
        <w:rPr>
          <w:b/>
        </w:rPr>
      </w:r>
    </w:p>
    <w:p>
      <w:pPr>
        <w:pStyle w:val="Normal"/>
        <w:widowControl/>
        <w:jc w:val="both"/>
        <w:rPr>
          <w:rFonts w:ascii="Times New Roman" w:hAnsi="Times New Roman"/>
          <w:lang w:val="en-GB"/>
        </w:rPr>
      </w:pPr>
      <w:r>
        <w:rPr/>
        <w:t>T</w:t>
      </w:r>
      <w:r>
        <w:rPr>
          <w:lang w:val="en-GB"/>
        </w:rPr>
        <w:t>he Executive Committee has decided in Decision 78/3 (g) “</w:t>
      </w:r>
      <w:r>
        <w:rPr>
          <w:i/>
          <w:lang w:val="en-GB"/>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Pr>
          <w:lang w:val="en-GB"/>
        </w:rPr>
        <w:t>”</w:t>
      </w:r>
    </w:p>
    <w:p>
      <w:pPr>
        <w:pStyle w:val="Normal"/>
        <w:widowControl/>
        <w:jc w:val="both"/>
        <w:rPr>
          <w:rFonts w:ascii="Times New Roman" w:hAnsi="Times New Roman"/>
          <w:lang w:val="en-GB"/>
        </w:rPr>
      </w:pPr>
      <w:r>
        <w:rPr>
          <w:lang w:val="en-GB"/>
        </w:rPr>
      </w:r>
    </w:p>
    <w:p>
      <w:pPr>
        <w:pStyle w:val="Normal"/>
        <w:widowControl/>
        <w:jc w:val="both"/>
        <w:rPr>
          <w:rFonts w:ascii="Times New Roman" w:hAnsi="Times New Roman"/>
          <w:lang w:val="en-GB"/>
        </w:rPr>
      </w:pPr>
      <w:r>
        <w:rPr>
          <w:lang w:val="en-GB"/>
        </w:rPr>
        <w:t>In response to that above decision, UNIDO has received an official request from the Government of Ecuador for the preparation of a project in the manufacturing sector in order to convert from HFCs to low-GWP alternatives and to gain relevant experience in the associated ICCs and IOCs.</w:t>
      </w:r>
    </w:p>
    <w:p>
      <w:pPr>
        <w:pStyle w:val="Normal"/>
        <w:tabs>
          <w:tab w:val="clear" w:pos="720"/>
          <w:tab w:val="left" w:pos="-1440" w:leader="none"/>
        </w:tabs>
        <w:jc w:val="both"/>
        <w:rPr>
          <w:rFonts w:ascii="Times New Roman" w:hAnsi="Times New Roman"/>
          <w:lang w:val="en-GB"/>
        </w:rPr>
      </w:pPr>
      <w:r>
        <w:rPr>
          <w:lang w:val="en-GB"/>
        </w:rPr>
      </w:r>
    </w:p>
    <w:p>
      <w:pPr>
        <w:pStyle w:val="Normal"/>
        <w:widowControl/>
        <w:jc w:val="both"/>
        <w:rPr>
          <w:rFonts w:ascii="Times New Roman" w:hAnsi="Times New Roman" w:eastAsia="MS Mincho"/>
          <w:lang w:eastAsia="ja-JP"/>
        </w:rPr>
      </w:pPr>
      <w:r>
        <w:rPr>
          <w:lang w:val="en-GB"/>
        </w:rPr>
        <w:t>Ecuador</w:t>
      </w:r>
      <w:r>
        <w:rPr>
          <w:rFonts w:eastAsia="MS Mincho"/>
          <w:lang w:eastAsia="ja-JP"/>
        </w:rPr>
        <w:t xml:space="preserve"> is planning to ratify the Kigali Amendment as soon as possible.</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widowControl/>
        <w:jc w:val="both"/>
        <w:rPr>
          <w:rFonts w:ascii="Times New Roman" w:hAnsi="Times New Roman" w:eastAsia="MS Mincho"/>
          <w:lang w:eastAsia="ja-JP"/>
        </w:rPr>
      </w:pPr>
      <w:r>
        <w:rPr>
          <w:rFonts w:eastAsia="MS Mincho"/>
          <w:lang w:eastAsia="ja-JP"/>
        </w:rPr>
        <w:t>ECASA is willing to initiate early actions and convert from HFCs to low-GWP alternatives in the domestic and commercial refrigeration sectors, where alternative technology is mature and readily available, in order to gain experience in ICCs and IOCs.</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rPr>
          <w:rFonts w:ascii="Times New Roman" w:hAnsi="Times New Roman" w:eastAsia="MS Mincho"/>
          <w:lang w:eastAsia="ja-JP"/>
        </w:rPr>
      </w:pPr>
      <w:r>
        <w:rPr>
          <w:rFonts w:eastAsia="MS Mincho"/>
          <w:lang w:eastAsia="ja-JP"/>
        </w:rPr>
        <w:t>The strategy followed by Ecuador is based on the following criteria and priorities:</w:t>
      </w:r>
    </w:p>
    <w:p>
      <w:pPr>
        <w:pStyle w:val="Normal"/>
        <w:rPr>
          <w:rFonts w:ascii="Times New Roman" w:hAnsi="Times New Roman" w:eastAsia="MS Mincho"/>
          <w:lang w:eastAsia="ja-JP"/>
        </w:rPr>
      </w:pPr>
      <w:r>
        <w:rPr>
          <w:rFonts w:eastAsia="MS Mincho"/>
          <w:lang w:eastAsia="ja-JP"/>
        </w:rPr>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Application of well-known, affordable, available and widely used replacement alternatives and related technologies, while supporting efforts for identification and selection of such alternatives.</w:t>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To start phasing-down HFCs in those HFC consuming manufacturing sectors, where low-GWP and mature alternatives are available.</w:t>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 xml:space="preserve">Through adoption of appropriate alternative technologies, limit climate and adverse environmental impact of converted enterprises and comply with safety, economic and sustainability requirements. </w:t>
      </w:r>
    </w:p>
    <w:p>
      <w:pPr>
        <w:pStyle w:val="Normal"/>
        <w:widowControl/>
        <w:jc w:val="both"/>
        <w:rPr>
          <w:rFonts w:ascii="Times New Roman" w:hAnsi="Times New Roman" w:eastAsia="MS Mincho"/>
          <w:b/>
          <w:b/>
          <w:lang w:eastAsia="ja-JP"/>
        </w:rPr>
      </w:pPr>
      <w:r>
        <w:rPr>
          <w:rFonts w:eastAsia="MS Mincho"/>
          <w:b/>
          <w:lang w:eastAsia="ja-JP"/>
        </w:rPr>
      </w:r>
    </w:p>
    <w:p>
      <w:pPr>
        <w:pStyle w:val="Normal"/>
        <w:widowControl/>
        <w:jc w:val="both"/>
        <w:rPr>
          <w:rFonts w:ascii="Times New Roman" w:hAnsi="Times New Roman" w:eastAsia="MS Mincho"/>
          <w:b/>
          <w:b/>
          <w:lang w:eastAsia="ja-JP"/>
        </w:rPr>
      </w:pPr>
      <w:r>
        <w:rPr>
          <w:rFonts w:eastAsia="MS Mincho"/>
          <w:b/>
          <w:lang w:eastAsia="ja-JP"/>
        </w:rPr>
        <w:t>Background of ECASA</w:t>
      </w:r>
    </w:p>
    <w:p>
      <w:pPr>
        <w:pStyle w:val="Normal"/>
        <w:spacing w:beforeAutospacing="1" w:after="240"/>
        <w:jc w:val="both"/>
        <w:rPr>
          <w:rFonts w:ascii="Times New Roman" w:hAnsi="Times New Roman" w:eastAsia="MS Mincho"/>
          <w:lang w:eastAsia="ja-JP"/>
        </w:rPr>
      </w:pPr>
      <w:r>
        <w:rPr>
          <w:rFonts w:eastAsia="MS Mincho"/>
          <w:lang w:eastAsia="ja-JP"/>
        </w:rPr>
        <w:t>Ecasa is 100% Ecuadorian-owned enterprise located in Quito. ECASA manufactures self-contained domestic refrigeration, vertical and horizontal coolers, typically used to cool soda, water, juices, beer, milk, dairy products. Each of them, with different temperature range.</w:t>
      </w:r>
    </w:p>
    <w:p>
      <w:pPr>
        <w:pStyle w:val="Normal"/>
        <w:jc w:val="both"/>
        <w:rPr>
          <w:rFonts w:ascii="Times New Roman" w:hAnsi="Times New Roman" w:eastAsia="MS Mincho"/>
          <w:lang w:eastAsia="ja-JP"/>
        </w:rPr>
      </w:pPr>
      <w:r>
        <w:rPr>
          <w:rFonts w:eastAsia="MS Mincho"/>
          <w:lang w:eastAsia="ja-JP"/>
        </w:rPr>
        <w:t xml:space="preserve">ECASA uses metal mechanical process for cabinets with cyclopentane insulation. Ecasa phased out the HCFC-141b, in the premixed polyol, through the premixed polyol with cyclopentane. ECASA is importing the premixed polyol from PUMEX. The refrigerants used by this enterprise are R134a and HFC-404A. </w:t>
      </w:r>
    </w:p>
    <w:p>
      <w:pPr>
        <w:pStyle w:val="Normal"/>
        <w:rPr>
          <w:rFonts w:ascii="Times New Roman" w:hAnsi="Times New Roman" w:eastAsia="MS Mincho"/>
          <w:lang w:eastAsia="ja-JP"/>
        </w:rPr>
      </w:pPr>
      <w:r>
        <w:rPr>
          <w:rFonts w:eastAsia="MS Mincho"/>
          <w:lang w:eastAsia="ja-JP"/>
        </w:rPr>
      </w:r>
    </w:p>
    <w:tbl>
      <w:tblPr>
        <w:tblStyle w:val="TableGrid"/>
        <w:tblW w:w="964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07"/>
        <w:gridCol w:w="5040"/>
      </w:tblGrid>
      <w:tr>
        <w:trPr/>
        <w:tc>
          <w:tcPr>
            <w:tcW w:w="4607" w:type="dxa"/>
            <w:tcBorders/>
          </w:tcPr>
          <w:p>
            <w:pPr>
              <w:pStyle w:val="Normal"/>
              <w:widowControl w:val="false"/>
              <w:spacing w:before="0" w:after="0"/>
              <w:jc w:val="center"/>
              <w:rPr>
                <w:rFonts w:ascii="Times New Roman" w:hAnsi="Times New Roman" w:eastAsia="MS Mincho"/>
                <w:b/>
                <w:b/>
                <w:lang w:eastAsia="ja-JP"/>
              </w:rPr>
            </w:pPr>
            <w:r>
              <w:rPr>
                <w:rFonts w:eastAsia="MS Mincho"/>
                <w:b/>
                <w:kern w:val="0"/>
                <w:lang w:val="en-US" w:eastAsia="ja-JP" w:bidi="ar-SA"/>
              </w:rPr>
              <w:t>Item</w:t>
            </w:r>
          </w:p>
        </w:tc>
        <w:tc>
          <w:tcPr>
            <w:tcW w:w="5040" w:type="dxa"/>
            <w:tcBorders/>
          </w:tcPr>
          <w:p>
            <w:pPr>
              <w:pStyle w:val="Normal"/>
              <w:widowControl w:val="false"/>
              <w:spacing w:before="0" w:after="0"/>
              <w:jc w:val="center"/>
              <w:rPr>
                <w:rFonts w:ascii="Times New Roman" w:hAnsi="Times New Roman" w:eastAsia="MS Mincho"/>
                <w:b/>
                <w:b/>
                <w:lang w:eastAsia="ja-JP"/>
              </w:rPr>
            </w:pPr>
            <w:r>
              <w:rPr>
                <w:rFonts w:eastAsia="MS Mincho"/>
                <w:b/>
                <w:kern w:val="0"/>
                <w:lang w:val="en-US" w:eastAsia="ja-JP" w:bidi="ar-SA"/>
              </w:rPr>
              <w:t>Ecasa</w:t>
            </w:r>
          </w:p>
        </w:tc>
      </w:tr>
      <w:tr>
        <w:trPr/>
        <w:tc>
          <w:tcPr>
            <w:tcW w:w="4607"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Number of units produced in 2016</w:t>
            </w:r>
          </w:p>
          <w:p>
            <w:pPr>
              <w:pStyle w:val="Normal"/>
              <w:widowControl w:val="false"/>
              <w:spacing w:before="0" w:after="0"/>
              <w:jc w:val="left"/>
              <w:rPr>
                <w:rFonts w:ascii="Times New Roman" w:hAnsi="Times New Roman" w:eastAsia="MS Mincho"/>
                <w:lang w:eastAsia="ja-JP"/>
              </w:rPr>
            </w:pPr>
            <w:r>
              <w:rPr>
                <w:rFonts w:eastAsia="MS Mincho"/>
                <w:kern w:val="0"/>
                <w:lang w:val="en-US" w:eastAsia="en-US" w:bidi="ar-SA"/>
              </w:rPr>
            </w:r>
          </w:p>
        </w:tc>
        <w:tc>
          <w:tcPr>
            <w:tcW w:w="5040"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xml:space="preserve">56,590 units produced with R-134a </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6,587 units produced with R-404A</w:t>
            </w:r>
          </w:p>
          <w:p>
            <w:pPr>
              <w:pStyle w:val="Normal"/>
              <w:widowControl w:val="false"/>
              <w:spacing w:before="0" w:after="0"/>
              <w:ind w:left="720" w:hanging="0"/>
              <w:jc w:val="left"/>
              <w:rPr>
                <w:rFonts w:ascii="Times New Roman" w:hAnsi="Times New Roman" w:eastAsia="MS Mincho"/>
                <w:lang w:eastAsia="ja-JP"/>
              </w:rPr>
            </w:pPr>
            <w:r>
              <w:rPr>
                <w:rFonts w:eastAsia="MS Mincho"/>
                <w:kern w:val="0"/>
                <w:lang w:val="en-US" w:eastAsia="ja-JP" w:bidi="ar-SA"/>
              </w:rPr>
              <w:t>Average per unit 115 gr of R-134a</w:t>
            </w:r>
          </w:p>
          <w:p>
            <w:pPr>
              <w:pStyle w:val="Normal"/>
              <w:widowControl w:val="false"/>
              <w:spacing w:before="0" w:after="0"/>
              <w:ind w:left="720" w:hanging="0"/>
              <w:jc w:val="left"/>
              <w:rPr>
                <w:rFonts w:ascii="Times New Roman" w:hAnsi="Times New Roman" w:eastAsia="MS Mincho"/>
                <w:lang w:eastAsia="ja-JP"/>
              </w:rPr>
            </w:pPr>
            <w:r>
              <w:rPr>
                <w:rFonts w:eastAsia="MS Mincho"/>
                <w:kern w:val="0"/>
                <w:lang w:val="en-US" w:eastAsia="ja-JP" w:bidi="ar-SA"/>
              </w:rPr>
              <w:t>Average per unit 330 gr of R-404A</w:t>
            </w:r>
          </w:p>
        </w:tc>
      </w:tr>
      <w:tr>
        <w:trPr/>
        <w:tc>
          <w:tcPr>
            <w:tcW w:w="4607"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HFC consumption in 2016</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xml:space="preserve">R-134a </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R-404A</w:t>
            </w:r>
          </w:p>
        </w:tc>
        <w:tc>
          <w:tcPr>
            <w:tcW w:w="5040"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en-US" w:bidi="ar-SA"/>
              </w:rPr>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xml:space="preserve">6.50 tons of R-134a </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2.17 tons of R-404A</w:t>
            </w:r>
          </w:p>
        </w:tc>
      </w:tr>
    </w:tbl>
    <w:p>
      <w:pPr>
        <w:pStyle w:val="Normal"/>
        <w:rPr>
          <w:rFonts w:ascii="Times New Roman" w:hAnsi="Times New Roman" w:eastAsia="MS Mincho"/>
          <w:lang w:eastAsia="ja-JP"/>
        </w:rPr>
      </w:pPr>
      <w:r>
        <w:rPr>
          <w:rFonts w:eastAsia="MS Mincho"/>
          <w:lang w:eastAsia="ja-JP"/>
        </w:rPr>
      </w:r>
    </w:p>
    <w:p>
      <w:pPr>
        <w:pStyle w:val="Normal"/>
        <w:rPr>
          <w:rFonts w:ascii="Times New Roman" w:hAnsi="Times New Roman" w:eastAsia="MS Mincho"/>
          <w:lang w:eastAsia="ja-JP"/>
        </w:rPr>
      </w:pPr>
      <w:r>
        <w:rPr>
          <w:rFonts w:eastAsia="MS Mincho"/>
          <w:lang w:eastAsia="ja-JP"/>
        </w:rPr>
        <w:t>In the framework of the proposed project, it is planned that the R134a based products will be converted to R600a.</w:t>
      </w:r>
    </w:p>
    <w:p>
      <w:pPr>
        <w:pStyle w:val="Normal"/>
        <w:spacing w:beforeAutospacing="1" w:after="240"/>
        <w:jc w:val="both"/>
        <w:rPr>
          <w:rFonts w:ascii="Times New Roman" w:hAnsi="Times New Roman" w:eastAsia="MS Mincho"/>
          <w:b/>
          <w:b/>
          <w:lang w:eastAsia="ja-JP"/>
        </w:rPr>
      </w:pPr>
      <w:r>
        <w:rPr>
          <w:rFonts w:eastAsia="MS Mincho"/>
          <w:b/>
          <w:lang w:eastAsia="ja-JP"/>
        </w:rPr>
        <w:t>Standards compliance for the use of hydrocarbons as refrigerant</w:t>
      </w:r>
    </w:p>
    <w:p>
      <w:pPr>
        <w:pStyle w:val="Normal"/>
        <w:spacing w:beforeAutospacing="1" w:after="240"/>
        <w:jc w:val="both"/>
        <w:rPr>
          <w:rFonts w:ascii="Times New Roman" w:hAnsi="Times New Roman" w:eastAsia="MS Mincho"/>
          <w:lang w:eastAsia="ja-JP"/>
        </w:rPr>
      </w:pPr>
      <w:r>
        <w:rPr>
          <w:rFonts w:eastAsia="MS Mincho"/>
          <w:lang w:eastAsia="ja-JP"/>
        </w:rPr>
        <w:t>For R600a refrigerant, the recommended charge limit is 150 grams, according to standard IEC 60335-2-89. The manufacturing facility for R600a is special to prevent explosions of refrigerant.</w:t>
      </w:r>
    </w:p>
    <w:p>
      <w:pPr>
        <w:pStyle w:val="Normal"/>
        <w:widowControl/>
        <w:spacing w:before="0" w:after="0"/>
        <w:contextualSpacing/>
        <w:jc w:val="both"/>
        <w:rPr>
          <w:rFonts w:ascii="Times New Roman" w:hAnsi="Times New Roman"/>
          <w:b/>
          <w:b/>
        </w:rPr>
      </w:pPr>
      <w:r>
        <w:rPr>
          <w:b/>
        </w:rPr>
        <w:t>Funding Requirements</w:t>
      </w:r>
    </w:p>
    <w:p>
      <w:pPr>
        <w:pStyle w:val="Normal"/>
        <w:widowControl/>
        <w:spacing w:before="0" w:after="0"/>
        <w:contextualSpacing/>
        <w:jc w:val="both"/>
        <w:rPr>
          <w:rFonts w:ascii="Times New Roman" w:hAnsi="Times New Roman"/>
        </w:rPr>
      </w:pPr>
      <w:r>
        <w:rPr/>
        <w:t>The preparatory funds are requested for UNIDO, as follows:</w:t>
      </w:r>
    </w:p>
    <w:p>
      <w:pPr>
        <w:pStyle w:val="Normal"/>
        <w:widowControl/>
        <w:spacing w:before="0" w:after="0"/>
        <w:ind w:left="720" w:hanging="0"/>
        <w:contextualSpacing/>
        <w:jc w:val="both"/>
        <w:rPr>
          <w:rFonts w:ascii="Times New Roman" w:hAnsi="Times New Roman"/>
        </w:rPr>
      </w:pPr>
      <w:r>
        <w:rPr/>
        <w:t xml:space="preserve"> </w:t>
      </w:r>
    </w:p>
    <w:tbl>
      <w:tblPr>
        <w:tblW w:w="925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7985"/>
        <w:gridCol w:w="1270"/>
      </w:tblGrid>
      <w:tr>
        <w:trPr>
          <w:trHeight w:val="360" w:hRule="atLeast"/>
        </w:trPr>
        <w:tc>
          <w:tcPr>
            <w:tcW w:w="79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Activities</w:t>
            </w:r>
          </w:p>
        </w:tc>
        <w:tc>
          <w:tcPr>
            <w:tcW w:w="127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Cost US$</w:t>
            </w:r>
          </w:p>
        </w:tc>
      </w:tr>
      <w:tr>
        <w:trPr>
          <w:trHeight w:val="360" w:hRule="atLeast"/>
        </w:trPr>
        <w:tc>
          <w:tcPr>
            <w:tcW w:w="7985"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Local activities (national expert, local travel costs, coordination meetings etc.)</w:t>
            </w:r>
          </w:p>
        </w:tc>
        <w:tc>
          <w:tcPr>
            <w:tcW w:w="1270"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6,000</w:t>
            </w:r>
          </w:p>
        </w:tc>
      </w:tr>
      <w:tr>
        <w:trPr>
          <w:trHeight w:val="360" w:hRule="atLeast"/>
        </w:trPr>
        <w:tc>
          <w:tcPr>
            <w:tcW w:w="7985"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consultant (project preparation and development)</w:t>
            </w:r>
          </w:p>
        </w:tc>
        <w:tc>
          <w:tcPr>
            <w:tcW w:w="1270"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18,000</w:t>
            </w:r>
          </w:p>
        </w:tc>
      </w:tr>
      <w:tr>
        <w:trPr>
          <w:trHeight w:val="360" w:hRule="atLeast"/>
        </w:trPr>
        <w:tc>
          <w:tcPr>
            <w:tcW w:w="7985"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travel costs (staff)</w:t>
            </w:r>
          </w:p>
        </w:tc>
        <w:tc>
          <w:tcPr>
            <w:tcW w:w="1270"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6,000</w:t>
            </w:r>
          </w:p>
        </w:tc>
      </w:tr>
      <w:tr>
        <w:trPr>
          <w:trHeight w:val="360" w:hRule="atLeast"/>
        </w:trPr>
        <w:tc>
          <w:tcPr>
            <w:tcW w:w="7985"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b/>
                <w:b/>
                <w:color w:val="000000"/>
              </w:rPr>
            </w:pPr>
            <w:r>
              <w:rPr>
                <w:b/>
                <w:color w:val="000000"/>
              </w:rPr>
              <w:t>TOTAL</w:t>
            </w:r>
          </w:p>
        </w:tc>
        <w:tc>
          <w:tcPr>
            <w:tcW w:w="1270"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b/>
                <w:b/>
                <w:color w:val="000000"/>
              </w:rPr>
            </w:pPr>
            <w:r>
              <w:rPr>
                <w:b/>
                <w:color w:val="000000"/>
              </w:rPr>
              <w:t>30,000</w:t>
            </w:r>
          </w:p>
        </w:tc>
      </w:tr>
    </w:tbl>
    <w:p>
      <w:pPr>
        <w:pStyle w:val="Normal"/>
        <w:ind w:left="720" w:hanging="0"/>
        <w:jc w:val="both"/>
        <w:rPr>
          <w:rFonts w:ascii="Times New Roman" w:hAnsi="Times New Roman"/>
        </w:rPr>
      </w:pPr>
      <w:r>
        <w:rPr/>
      </w:r>
    </w:p>
    <w:p>
      <w:pPr>
        <w:pStyle w:val="Normal"/>
        <w:widowControl/>
        <w:spacing w:before="0" w:after="0"/>
        <w:contextualSpacing/>
        <w:jc w:val="both"/>
        <w:rPr>
          <w:rFonts w:ascii="Times New Roman" w:hAnsi="Times New Roman"/>
          <w:b/>
          <w:b/>
        </w:rPr>
      </w:pPr>
      <w:r>
        <w:rPr>
          <w:b/>
        </w:rPr>
        <w:t>Activities to be undertaken to develop the umbrella project</w:t>
      </w:r>
    </w:p>
    <w:p>
      <w:pPr>
        <w:pStyle w:val="Normal"/>
        <w:jc w:val="both"/>
        <w:rPr>
          <w:rFonts w:ascii="Times New Roman" w:hAnsi="Times New Roman"/>
          <w:color w:val="000000"/>
        </w:rPr>
      </w:pPr>
      <w:r>
        <w:rPr>
          <w:color w:val="000000"/>
        </w:rPr>
      </w:r>
    </w:p>
    <w:p>
      <w:pPr>
        <w:pStyle w:val="Normal"/>
        <w:widowControl/>
        <w:numPr>
          <w:ilvl w:val="0"/>
          <w:numId w:val="4"/>
        </w:numPr>
        <w:spacing w:before="120" w:after="0"/>
        <w:contextualSpacing/>
        <w:jc w:val="both"/>
        <w:rPr>
          <w:rFonts w:ascii="Times New Roman" w:hAnsi="Times New Roman"/>
          <w:color w:val="000000"/>
        </w:rPr>
      </w:pPr>
      <w:r>
        <w:rPr>
          <w:color w:val="000000"/>
        </w:rPr>
        <w:t>Detailed data collection, verification and validation at the enterprises</w:t>
      </w:r>
    </w:p>
    <w:p>
      <w:pPr>
        <w:pStyle w:val="Normal"/>
        <w:widowControl/>
        <w:numPr>
          <w:ilvl w:val="0"/>
          <w:numId w:val="4"/>
        </w:numPr>
        <w:spacing w:before="120" w:after="0"/>
        <w:contextualSpacing/>
        <w:jc w:val="both"/>
        <w:rPr>
          <w:rFonts w:ascii="Times New Roman" w:hAnsi="Times New Roman"/>
          <w:color w:val="000000"/>
        </w:rPr>
      </w:pPr>
      <w:r>
        <w:rPr>
          <w:color w:val="000000"/>
        </w:rPr>
        <w:t>Technology review of available, mature alternatives and discussion with the enterprises and the Government on the selection of a suitable low-GWP alternatives</w:t>
      </w:r>
    </w:p>
    <w:p>
      <w:pPr>
        <w:pStyle w:val="Normal"/>
        <w:widowControl/>
        <w:numPr>
          <w:ilvl w:val="0"/>
          <w:numId w:val="4"/>
        </w:numPr>
        <w:spacing w:before="120" w:after="0"/>
        <w:contextualSpacing/>
        <w:jc w:val="both"/>
        <w:rPr>
          <w:rFonts w:ascii="Times New Roman" w:hAnsi="Times New Roman"/>
          <w:color w:val="000000"/>
        </w:rPr>
      </w:pPr>
      <w:r>
        <w:rPr>
          <w:color w:val="000000"/>
        </w:rPr>
        <w:t>Cost assessment of conversion (ICC and IOC)</w:t>
      </w:r>
    </w:p>
    <w:p>
      <w:pPr>
        <w:pStyle w:val="Normal"/>
        <w:widowControl/>
        <w:numPr>
          <w:ilvl w:val="0"/>
          <w:numId w:val="4"/>
        </w:numPr>
        <w:spacing w:before="120" w:after="0"/>
        <w:contextualSpacing/>
        <w:jc w:val="both"/>
        <w:rPr>
          <w:rFonts w:ascii="Times New Roman" w:hAnsi="Times New Roman"/>
          <w:color w:val="000000"/>
        </w:rPr>
      </w:pPr>
      <w:r>
        <w:rPr>
          <w:color w:val="000000"/>
        </w:rPr>
        <w:t>Evaluation of the climate co-benefits of the selected alternative and possible interventions and related costs for additional climate benefits</w:t>
      </w:r>
    </w:p>
    <w:p>
      <w:pPr>
        <w:pStyle w:val="Normal"/>
        <w:widowControl/>
        <w:numPr>
          <w:ilvl w:val="0"/>
          <w:numId w:val="4"/>
        </w:numPr>
        <w:tabs>
          <w:tab w:val="clear" w:pos="720"/>
          <w:tab w:val="left" w:pos="1068" w:leader="none"/>
        </w:tabs>
        <w:spacing w:lineRule="atLeast" w:line="240" w:before="120" w:after="0"/>
        <w:contextualSpacing/>
        <w:jc w:val="both"/>
        <w:rPr>
          <w:rFonts w:ascii="Times New Roman" w:hAnsi="Times New Roman"/>
        </w:rPr>
      </w:pPr>
      <w:r>
        <w:rPr>
          <w:color w:val="000000"/>
        </w:rPr>
        <w:t xml:space="preserve"> </w:t>
      </w:r>
      <w:r>
        <w:rPr>
          <w:color w:val="000000"/>
        </w:rPr>
        <w:t>Preparation, review, endorsement and submission of the project document</w:t>
      </w:r>
    </w:p>
    <w:p>
      <w:pPr>
        <w:pStyle w:val="Normal"/>
        <w:widowControl/>
        <w:spacing w:lineRule="auto" w:line="276" w:before="0" w:after="200"/>
        <w:jc w:val="center"/>
        <w:rPr>
          <w:rFonts w:ascii="Times New Roman" w:hAnsi="Times New Roman"/>
        </w:rPr>
      </w:pPr>
      <w:r>
        <w:rPr/>
      </w:r>
    </w:p>
    <w:p>
      <w:pPr>
        <w:pStyle w:val="Normal"/>
        <w:widowControl/>
        <w:spacing w:lineRule="auto" w:line="276" w:before="0" w:after="200"/>
        <w:jc w:val="center"/>
        <w:rPr>
          <w:rFonts w:ascii="Times New Roman" w:hAnsi="Times New Roman"/>
        </w:rPr>
      </w:pPr>
      <w:r>
        <w:rPr/>
      </w:r>
    </w:p>
    <w:p>
      <w:pPr>
        <w:pStyle w:val="Normal"/>
        <w:widowControl/>
        <w:spacing w:lineRule="auto" w:line="276" w:before="0" w:after="200"/>
        <w:rPr>
          <w:rFonts w:ascii="Times New Roman" w:hAnsi="Times New Roman"/>
          <w:b/>
          <w:b/>
        </w:rPr>
      </w:pPr>
      <w:r>
        <w:rPr>
          <w:b/>
        </w:rPr>
      </w:r>
      <w:r>
        <w:br w:type="page"/>
      </w:r>
    </w:p>
    <w:p>
      <w:pPr>
        <w:pStyle w:val="Normal"/>
        <w:jc w:val="center"/>
        <w:rPr>
          <w:rFonts w:ascii="Times New Roman" w:hAnsi="Times New Roman"/>
          <w:b/>
          <w:b/>
        </w:rPr>
      </w:pPr>
      <w:r>
        <w:rPr>
          <w:b/>
        </w:rPr>
        <w:t>Project Concept</w:t>
      </w:r>
    </w:p>
    <w:p>
      <w:pPr>
        <w:pStyle w:val="Normal"/>
        <w:tabs>
          <w:tab w:val="clear" w:pos="720"/>
          <w:tab w:val="left" w:pos="1418" w:leader="none"/>
        </w:tabs>
        <w:rPr>
          <w:rFonts w:ascii="Times New Roman" w:hAnsi="Times New Roman"/>
        </w:rPr>
      </w:pPr>
      <w:r>
        <w:rPr/>
      </w:r>
    </w:p>
    <w:p>
      <w:pPr>
        <w:pStyle w:val="Normal"/>
        <w:tabs>
          <w:tab w:val="clear" w:pos="720"/>
          <w:tab w:val="left" w:pos="2790" w:leader="none"/>
        </w:tabs>
        <w:rPr>
          <w:rFonts w:ascii="Times New Roman" w:hAnsi="Times New Roman"/>
        </w:rPr>
      </w:pPr>
      <w:r>
        <w:rPr>
          <w:b/>
        </w:rPr>
        <w:t>Country:</w:t>
        <w:tab/>
        <w:t>Ecuad</w:t>
      </w:r>
      <w:r>
        <w:rPr>
          <w:b/>
          <w:bCs/>
        </w:rPr>
        <w:t>or</w:t>
      </w:r>
    </w:p>
    <w:p>
      <w:pPr>
        <w:pStyle w:val="Normal"/>
        <w:rPr>
          <w:rFonts w:ascii="Times New Roman" w:hAnsi="Times New Roman"/>
        </w:rPr>
      </w:pPr>
      <w:r>
        <w:rPr/>
      </w:r>
    </w:p>
    <w:p>
      <w:pPr>
        <w:pStyle w:val="Normal"/>
        <w:widowControl/>
        <w:tabs>
          <w:tab w:val="clear" w:pos="720"/>
          <w:tab w:val="left" w:pos="2790" w:leader="none"/>
        </w:tabs>
        <w:ind w:left="2790" w:hanging="2790"/>
        <w:jc w:val="both"/>
        <w:rPr>
          <w:rFonts w:ascii="Times New Roman" w:hAnsi="Times New Roman"/>
        </w:rPr>
      </w:pPr>
      <w:r>
        <w:rPr>
          <w:b/>
        </w:rPr>
        <w:t>Title:</w:t>
        <w:tab/>
      </w:r>
      <w:r>
        <w:rPr/>
        <w:t xml:space="preserve">Project preparation for HFC-related project in the manufacturing sector at </w:t>
      </w:r>
      <w:r>
        <w:rPr>
          <w:rFonts w:eastAsia="MS Mincho"/>
          <w:lang w:eastAsia="ja-JP"/>
        </w:rPr>
        <w:t>Induglob</w:t>
      </w:r>
      <w:r>
        <w:rPr>
          <w:rFonts w:eastAsia="MS Mincho"/>
          <w:b/>
          <w:lang w:eastAsia="ja-JP"/>
        </w:rPr>
        <w:t xml:space="preserve"> </w:t>
      </w:r>
      <w:r>
        <w:rPr/>
        <w:t>to gain experience in ICCs and IOCs associated with the phase-down of HFCs</w:t>
      </w:r>
    </w:p>
    <w:p>
      <w:pPr>
        <w:pStyle w:val="Normal"/>
        <w:widowControl/>
        <w:ind w:left="1418" w:hanging="1418"/>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Project Duration:</w:t>
      </w:r>
      <w:r>
        <w:rPr/>
        <w:tab/>
        <w:t>12 months</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b/>
          <w:b/>
        </w:rPr>
      </w:pPr>
      <w:r>
        <w:rPr>
          <w:b/>
        </w:rPr>
        <w:t>Project Budget:</w:t>
        <w:tab/>
      </w:r>
      <w:r>
        <w:rPr/>
        <w:t>US$ 30,000</w:t>
      </w:r>
      <w:r>
        <w:rPr>
          <w:b/>
        </w:rPr>
        <w:t xml:space="preserve"> </w:t>
      </w:r>
      <w:r>
        <w:rPr/>
        <w:t>(</w:t>
      </w:r>
      <w:r>
        <w:rPr>
          <w:lang w:val="en-GB"/>
        </w:rPr>
        <w:t xml:space="preserve">excl. 7% Agency Support Costs) </w:t>
      </w:r>
    </w:p>
    <w:p>
      <w:pPr>
        <w:pStyle w:val="Normal"/>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Implementing Agency:</w:t>
      </w:r>
      <w:r>
        <w:rPr/>
        <w:tab/>
        <w:t>UNIDO</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rPr>
      </w:pPr>
      <w:r>
        <w:rPr>
          <w:b/>
        </w:rPr>
        <w:t>Coordinating Agency:</w:t>
        <w:tab/>
      </w:r>
      <w:r>
        <w:rPr>
          <w:lang w:val="en-GB"/>
        </w:rPr>
        <w:t>MIPRO</w:t>
      </w:r>
      <w:r>
        <w:rPr/>
        <w:t xml:space="preserve"> - </w:t>
      </w:r>
      <w:r>
        <w:rPr>
          <w:lang w:val="en-GB"/>
        </w:rPr>
        <w:t>National Ozone Unit</w:t>
      </w:r>
    </w:p>
    <w:p>
      <w:pPr>
        <w:pStyle w:val="Normal"/>
        <w:spacing w:lineRule="exact" w:line="19"/>
        <w:rPr>
          <w:rFonts w:ascii="Times New Roman" w:hAnsi="Times New Roman"/>
        </w:rPr>
      </w:pPr>
      <w:r>
        <w:rPr/>
        <mc:AlternateContent>
          <mc:Choice Requires="wps">
            <w:drawing>
              <wp:anchor behindDoc="1" distT="0" distB="6350" distL="0" distR="2540" simplePos="0" locked="0" layoutInCell="0" allowOverlap="1" relativeHeight="16" wp14:anchorId="77473329">
                <wp:simplePos x="0" y="0"/>
                <wp:positionH relativeFrom="page">
                  <wp:posOffset>914400</wp:posOffset>
                </wp:positionH>
                <wp:positionV relativeFrom="paragraph">
                  <wp:posOffset>635</wp:posOffset>
                </wp:positionV>
                <wp:extent cx="5731510" cy="12065"/>
                <wp:effectExtent l="0" t="635" r="0" b="0"/>
                <wp:wrapNone/>
                <wp:docPr id="5" name="Rectangle 10"/>
                <a:graphic xmlns:a="http://schemas.openxmlformats.org/drawingml/2006/main">
                  <a:graphicData uri="http://schemas.microsoft.com/office/word/2010/wordprocessingShape">
                    <wps:wsp>
                      <wps:cNvSpPr/>
                      <wps:spPr>
                        <a:xfrm>
                          <a:off x="0" y="0"/>
                          <a:ext cx="5731560" cy="1224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10" path="m0,0l-2147483645,0l-2147483645,-2147483646l0,-2147483646xe" fillcolor="black" stroked="f" o:allowincell="f" style="position:absolute;margin-left:72pt;margin-top:0pt;width:451.25pt;height:0.9pt;mso-wrap-style:none;v-text-anchor:middle;mso-position-horizontal-relative:page" wp14:anchorId="77473329">
                <v:fill o:detectmouseclick="t" type="solid" color2="white"/>
                <v:stroke color="#3465a4" joinstyle="round" endcap="flat"/>
                <w10:wrap type="none"/>
              </v:rect>
            </w:pict>
          </mc:Fallback>
        </mc:AlternateContent>
      </w:r>
    </w:p>
    <w:p>
      <w:pPr>
        <w:pStyle w:val="Normal"/>
        <w:ind w:left="720" w:hanging="0"/>
        <w:rPr>
          <w:rFonts w:ascii="Times New Roman" w:hAnsi="Times New Roman"/>
        </w:rPr>
      </w:pPr>
      <w:r>
        <w:rPr/>
      </w:r>
    </w:p>
    <w:p>
      <w:pPr>
        <w:pStyle w:val="Normal"/>
        <w:tabs>
          <w:tab w:val="clear" w:pos="720"/>
          <w:tab w:val="center" w:pos="4513" w:leader="none"/>
        </w:tabs>
        <w:rPr>
          <w:rFonts w:ascii="Times New Roman" w:hAnsi="Times New Roman"/>
          <w:b/>
          <w:b/>
          <w:bCs/>
          <w:lang w:val="en-GB"/>
        </w:rPr>
      </w:pPr>
      <w:r>
        <w:rPr/>
        <w:tab/>
      </w:r>
      <w:r>
        <w:rPr>
          <w:b/>
          <w:bCs/>
          <w:lang w:val="en-GB"/>
        </w:rPr>
        <w:t>Project Summary</w:t>
      </w:r>
    </w:p>
    <w:p>
      <w:pPr>
        <w:pStyle w:val="Normal"/>
        <w:jc w:val="center"/>
        <w:rPr>
          <w:rFonts w:ascii="Times New Roman" w:hAnsi="Times New Roman"/>
          <w:b/>
          <w:b/>
        </w:rPr>
      </w:pPr>
      <w:r>
        <w:rPr>
          <w:b/>
        </w:rPr>
      </w:r>
    </w:p>
    <w:p>
      <w:pPr>
        <w:pStyle w:val="Normal"/>
        <w:widowControl/>
        <w:jc w:val="both"/>
        <w:rPr>
          <w:rFonts w:ascii="Times New Roman" w:hAnsi="Times New Roman"/>
          <w:lang w:val="en-GB"/>
        </w:rPr>
      </w:pPr>
      <w:r>
        <w:rPr/>
        <w:t>T</w:t>
      </w:r>
      <w:r>
        <w:rPr>
          <w:lang w:val="en-GB"/>
        </w:rPr>
        <w:t>he Executive Committee has decided in Decision 78/3 (g) “</w:t>
      </w:r>
      <w:r>
        <w:rPr>
          <w:i/>
          <w:lang w:val="en-GB"/>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Pr>
          <w:lang w:val="en-GB"/>
        </w:rPr>
        <w:t>”</w:t>
      </w:r>
    </w:p>
    <w:p>
      <w:pPr>
        <w:pStyle w:val="Normal"/>
        <w:widowControl/>
        <w:jc w:val="both"/>
        <w:rPr>
          <w:rFonts w:ascii="Times New Roman" w:hAnsi="Times New Roman"/>
          <w:lang w:val="en-GB"/>
        </w:rPr>
      </w:pPr>
      <w:r>
        <w:rPr>
          <w:lang w:val="en-GB"/>
        </w:rPr>
      </w:r>
    </w:p>
    <w:p>
      <w:pPr>
        <w:pStyle w:val="Normal"/>
        <w:widowControl/>
        <w:jc w:val="both"/>
        <w:rPr>
          <w:rFonts w:ascii="Times New Roman" w:hAnsi="Times New Roman"/>
          <w:lang w:val="en-GB"/>
        </w:rPr>
      </w:pPr>
      <w:r>
        <w:rPr>
          <w:lang w:val="en-GB"/>
        </w:rPr>
        <w:t>In response to that above decision, UNIDO has received an official request from the Government of Ecuador for the preparation of a project in the manufacturing sector in order to convert from HFCs to low-GWP alternatives and to gain relevant experience in the associated ICCs and IOCs.</w:t>
      </w:r>
    </w:p>
    <w:p>
      <w:pPr>
        <w:pStyle w:val="Normal"/>
        <w:tabs>
          <w:tab w:val="clear" w:pos="720"/>
          <w:tab w:val="left" w:pos="-1440" w:leader="none"/>
        </w:tabs>
        <w:jc w:val="both"/>
        <w:rPr>
          <w:rFonts w:ascii="Times New Roman" w:hAnsi="Times New Roman"/>
          <w:lang w:val="en-GB"/>
        </w:rPr>
      </w:pPr>
      <w:r>
        <w:rPr>
          <w:lang w:val="en-GB"/>
        </w:rPr>
      </w:r>
    </w:p>
    <w:p>
      <w:pPr>
        <w:pStyle w:val="Normal"/>
        <w:widowControl/>
        <w:jc w:val="both"/>
        <w:rPr>
          <w:rFonts w:ascii="Times New Roman" w:hAnsi="Times New Roman" w:eastAsia="MS Mincho"/>
          <w:lang w:eastAsia="ja-JP"/>
        </w:rPr>
      </w:pPr>
      <w:r>
        <w:rPr>
          <w:lang w:val="en-GB"/>
        </w:rPr>
        <w:t>Ecuador</w:t>
      </w:r>
      <w:r>
        <w:rPr>
          <w:rFonts w:eastAsia="MS Mincho"/>
          <w:lang w:eastAsia="ja-JP"/>
        </w:rPr>
        <w:t xml:space="preserve"> is planning to ratify the Kigali Amendment as soon as possible.</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widowControl/>
        <w:jc w:val="both"/>
        <w:rPr>
          <w:rFonts w:ascii="Times New Roman" w:hAnsi="Times New Roman" w:eastAsia="MS Mincho"/>
          <w:lang w:eastAsia="ja-JP"/>
        </w:rPr>
      </w:pPr>
      <w:r>
        <w:rPr>
          <w:rFonts w:eastAsia="MS Mincho"/>
          <w:lang w:eastAsia="ja-JP"/>
        </w:rPr>
        <w:t>Induglob (former Indurama) is willing to initiate early actions and convert from HFCs to low-GWP alternatives in the domestic and commercial refrigeration sectors, where alternative technology is mature and readily available, in order to gain experience in ICCs and IOCs.</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rPr>
          <w:rFonts w:ascii="Times New Roman" w:hAnsi="Times New Roman" w:eastAsia="MS Mincho"/>
          <w:lang w:eastAsia="ja-JP"/>
        </w:rPr>
      </w:pPr>
      <w:r>
        <w:rPr>
          <w:rFonts w:eastAsia="MS Mincho"/>
          <w:lang w:eastAsia="ja-JP"/>
        </w:rPr>
        <w:t>The strategy followed by Ecuador is based on the following criteria and priorities:</w:t>
      </w:r>
    </w:p>
    <w:p>
      <w:pPr>
        <w:pStyle w:val="Normal"/>
        <w:rPr>
          <w:rFonts w:ascii="Times New Roman" w:hAnsi="Times New Roman" w:eastAsia="MS Mincho"/>
          <w:lang w:eastAsia="ja-JP"/>
        </w:rPr>
      </w:pPr>
      <w:r>
        <w:rPr>
          <w:rFonts w:eastAsia="MS Mincho"/>
          <w:lang w:eastAsia="ja-JP"/>
        </w:rPr>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Application of well-known, affordable, available and widely used replacement alternatives and related technologies, while supporting efforts for identification and selection of such alternatives.</w:t>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To start phasing-down HFCs in those HFC consuming manufacturing sectors, where low-GWP and mature alternatives are available.</w:t>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 xml:space="preserve">Through adoption of appropriate alternative technologies, limit climate and adverse environmental impact of converted enterprises and comply with safety, economic and sustainability requirements. </w:t>
      </w:r>
    </w:p>
    <w:p>
      <w:pPr>
        <w:pStyle w:val="Normal"/>
        <w:widowControl/>
        <w:spacing w:lineRule="auto" w:line="276" w:before="0" w:after="200"/>
        <w:rPr>
          <w:rFonts w:ascii="Times New Roman" w:hAnsi="Times New Roman" w:eastAsia="MS Mincho"/>
          <w:lang w:eastAsia="ja-JP"/>
        </w:rPr>
      </w:pPr>
      <w:r>
        <w:rPr>
          <w:rFonts w:eastAsia="MS Mincho"/>
          <w:lang w:eastAsia="ja-JP"/>
        </w:rPr>
      </w:r>
      <w:r>
        <w:br w:type="page"/>
      </w:r>
    </w:p>
    <w:p>
      <w:pPr>
        <w:pStyle w:val="Normal"/>
        <w:widowControl/>
        <w:jc w:val="both"/>
        <w:rPr>
          <w:rFonts w:ascii="Times New Roman" w:hAnsi="Times New Roman" w:eastAsia="MS Mincho"/>
          <w:b/>
          <w:b/>
          <w:lang w:eastAsia="ja-JP"/>
        </w:rPr>
      </w:pPr>
      <w:r>
        <w:rPr>
          <w:rFonts w:eastAsia="MS Mincho"/>
          <w:b/>
          <w:lang w:eastAsia="ja-JP"/>
        </w:rPr>
        <w:t>Background of Induglob (former Indurama)</w:t>
      </w:r>
    </w:p>
    <w:p>
      <w:pPr>
        <w:pStyle w:val="Normal"/>
        <w:spacing w:beforeAutospacing="1" w:after="240"/>
        <w:jc w:val="both"/>
        <w:rPr>
          <w:rFonts w:ascii="Times New Roman" w:hAnsi="Times New Roman" w:eastAsia="MS Mincho"/>
          <w:lang w:eastAsia="ja-JP"/>
        </w:rPr>
      </w:pPr>
      <w:r>
        <w:rPr>
          <w:rFonts w:eastAsia="MS Mincho"/>
          <w:lang w:eastAsia="ja-JP"/>
        </w:rPr>
        <w:t>Induglob</w:t>
      </w:r>
      <w:r>
        <w:rPr>
          <w:rFonts w:eastAsia="MS Mincho"/>
          <w:b/>
          <w:lang w:eastAsia="ja-JP"/>
        </w:rPr>
        <w:t xml:space="preserve"> </w:t>
      </w:r>
      <w:r>
        <w:rPr>
          <w:rFonts w:eastAsia="MS Mincho"/>
          <w:lang w:eastAsia="ja-JP"/>
        </w:rPr>
        <w:t>is</w:t>
      </w:r>
      <w:r>
        <w:rPr>
          <w:rFonts w:eastAsia="MS Mincho"/>
          <w:b/>
          <w:lang w:eastAsia="ja-JP"/>
        </w:rPr>
        <w:t xml:space="preserve"> </w:t>
      </w:r>
      <w:r>
        <w:rPr>
          <w:rFonts w:eastAsia="MS Mincho"/>
          <w:lang w:eastAsia="ja-JP"/>
        </w:rPr>
        <w:t>100% Ecuadorian-owned enterprise located in Cuenca, southwest of Ecuador.</w:t>
      </w:r>
    </w:p>
    <w:p>
      <w:pPr>
        <w:pStyle w:val="Normal"/>
        <w:spacing w:beforeAutospacing="1" w:after="240"/>
        <w:jc w:val="both"/>
        <w:rPr>
          <w:rFonts w:ascii="Times New Roman" w:hAnsi="Times New Roman" w:eastAsia="MS Mincho"/>
          <w:lang w:eastAsia="ja-JP"/>
        </w:rPr>
      </w:pPr>
      <w:r>
        <w:rPr>
          <w:rFonts w:eastAsia="MS Mincho"/>
          <w:lang w:eastAsia="ja-JP"/>
        </w:rPr>
        <w:t>Induglob manufactures self-contained domestic refrigeration, vertical and horizontal coolers, typically used to cool soda, water, juices, beer, milk, dairy products. Each of them, with different temperature range.</w:t>
      </w:r>
    </w:p>
    <w:p>
      <w:pPr>
        <w:pStyle w:val="Normal"/>
        <w:jc w:val="both"/>
        <w:rPr>
          <w:rFonts w:ascii="Times New Roman" w:hAnsi="Times New Roman" w:eastAsia="MS Mincho"/>
          <w:lang w:eastAsia="ja-JP"/>
        </w:rPr>
      </w:pPr>
      <w:r>
        <w:rPr>
          <w:rFonts w:eastAsia="MS Mincho"/>
          <w:lang w:eastAsia="ja-JP"/>
        </w:rPr>
        <w:t xml:space="preserve">Induglob uses metal mechanical process for cabinets with cyclopentane insulation. The production line was successfully converted by UNIDO from HCFC-141b to cyclopentane. The refrigerant used are R134a. </w:t>
      </w:r>
    </w:p>
    <w:p>
      <w:pPr>
        <w:pStyle w:val="Normal"/>
        <w:jc w:val="both"/>
        <w:rPr>
          <w:rFonts w:ascii="Times New Roman" w:hAnsi="Times New Roman" w:eastAsia="MS Mincho"/>
          <w:lang w:eastAsia="ja-JP"/>
        </w:rPr>
      </w:pPr>
      <w:r>
        <w:rPr>
          <w:rFonts w:eastAsia="MS Mincho"/>
          <w:lang w:eastAsia="ja-JP"/>
        </w:rPr>
      </w:r>
    </w:p>
    <w:tbl>
      <w:tblPr>
        <w:tblStyle w:val="TableGrid"/>
        <w:tblW w:w="847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338"/>
        <w:gridCol w:w="4139"/>
      </w:tblGrid>
      <w:tr>
        <w:trPr/>
        <w:tc>
          <w:tcPr>
            <w:tcW w:w="4338" w:type="dxa"/>
            <w:tcBorders/>
          </w:tcPr>
          <w:p>
            <w:pPr>
              <w:pStyle w:val="Normal"/>
              <w:widowControl w:val="false"/>
              <w:spacing w:before="0" w:after="0"/>
              <w:jc w:val="both"/>
              <w:rPr>
                <w:rFonts w:ascii="Times New Roman" w:hAnsi="Times New Roman" w:eastAsia="MS Mincho"/>
                <w:b/>
                <w:b/>
                <w:lang w:eastAsia="ja-JP"/>
              </w:rPr>
            </w:pPr>
            <w:r>
              <w:rPr>
                <w:rFonts w:eastAsia="MS Mincho"/>
                <w:b/>
                <w:kern w:val="0"/>
                <w:lang w:val="en-US" w:eastAsia="ja-JP" w:bidi="ar-SA"/>
              </w:rPr>
              <w:t>Item</w:t>
            </w:r>
          </w:p>
        </w:tc>
        <w:tc>
          <w:tcPr>
            <w:tcW w:w="4139" w:type="dxa"/>
            <w:tcBorders/>
          </w:tcPr>
          <w:p>
            <w:pPr>
              <w:pStyle w:val="Normal"/>
              <w:widowControl w:val="false"/>
              <w:spacing w:before="0" w:after="0"/>
              <w:jc w:val="both"/>
              <w:rPr>
                <w:rFonts w:ascii="Times New Roman" w:hAnsi="Times New Roman" w:eastAsia="MS Mincho"/>
                <w:b/>
                <w:b/>
                <w:lang w:eastAsia="ja-JP"/>
              </w:rPr>
            </w:pPr>
            <w:r>
              <w:rPr>
                <w:rFonts w:eastAsia="MS Mincho"/>
                <w:b/>
                <w:kern w:val="0"/>
                <w:lang w:val="en-US" w:eastAsia="ja-JP" w:bidi="ar-SA"/>
              </w:rPr>
              <w:t>Induglob</w:t>
            </w:r>
          </w:p>
        </w:tc>
      </w:tr>
      <w:tr>
        <w:trPr/>
        <w:tc>
          <w:tcPr>
            <w:tcW w:w="4338" w:type="dxa"/>
            <w:tcBorders/>
          </w:tcPr>
          <w:p>
            <w:pPr>
              <w:pStyle w:val="Normal"/>
              <w:widowControl w:val="false"/>
              <w:spacing w:before="0" w:after="0"/>
              <w:jc w:val="both"/>
              <w:rPr>
                <w:rFonts w:ascii="Times New Roman" w:hAnsi="Times New Roman" w:eastAsia="MS Mincho"/>
                <w:lang w:eastAsia="ja-JP"/>
              </w:rPr>
            </w:pPr>
            <w:r>
              <w:rPr>
                <w:rFonts w:eastAsia="MS Mincho"/>
                <w:kern w:val="0"/>
                <w:lang w:val="en-US" w:eastAsia="ja-JP" w:bidi="ar-SA"/>
              </w:rPr>
              <w:t>Number of units produced in 2016</w:t>
            </w:r>
          </w:p>
          <w:p>
            <w:pPr>
              <w:pStyle w:val="Normal"/>
              <w:widowControl w:val="false"/>
              <w:spacing w:before="0" w:after="0"/>
              <w:jc w:val="both"/>
              <w:rPr>
                <w:rFonts w:ascii="Times New Roman" w:hAnsi="Times New Roman" w:eastAsia="MS Mincho"/>
                <w:lang w:eastAsia="ja-JP"/>
              </w:rPr>
            </w:pPr>
            <w:r>
              <w:rPr>
                <w:rFonts w:eastAsia="MS Mincho"/>
                <w:kern w:val="0"/>
                <w:lang w:val="en-US" w:eastAsia="en-US" w:bidi="ar-SA"/>
              </w:rPr>
            </w:r>
          </w:p>
        </w:tc>
        <w:tc>
          <w:tcPr>
            <w:tcW w:w="4139" w:type="dxa"/>
            <w:tcBorders/>
          </w:tcPr>
          <w:p>
            <w:pPr>
              <w:pStyle w:val="Normal"/>
              <w:widowControl w:val="false"/>
              <w:spacing w:before="0" w:after="0"/>
              <w:jc w:val="both"/>
              <w:rPr>
                <w:rFonts w:ascii="Times New Roman" w:hAnsi="Times New Roman" w:eastAsia="MS Mincho"/>
                <w:lang w:eastAsia="ja-JP"/>
              </w:rPr>
            </w:pPr>
            <w:r>
              <w:rPr>
                <w:rFonts w:eastAsia="MS Mincho"/>
                <w:kern w:val="0"/>
                <w:lang w:val="en-US" w:eastAsia="ja-JP" w:bidi="ar-SA"/>
              </w:rPr>
              <w:t xml:space="preserve">158,578 units produced </w:t>
            </w:r>
          </w:p>
          <w:p>
            <w:pPr>
              <w:pStyle w:val="Normal"/>
              <w:widowControl w:val="false"/>
              <w:spacing w:before="0" w:after="0"/>
              <w:jc w:val="both"/>
              <w:rPr>
                <w:rFonts w:ascii="Times New Roman" w:hAnsi="Times New Roman" w:eastAsia="MS Mincho"/>
                <w:lang w:eastAsia="ja-JP"/>
              </w:rPr>
            </w:pPr>
            <w:r>
              <w:rPr>
                <w:rFonts w:eastAsia="MS Mincho"/>
                <w:kern w:val="0"/>
                <w:lang w:val="en-US" w:eastAsia="ja-JP" w:bidi="ar-SA"/>
              </w:rPr>
              <w:t>Average per unit 115 gr of HFC-134a</w:t>
            </w:r>
          </w:p>
        </w:tc>
      </w:tr>
      <w:tr>
        <w:trPr/>
        <w:tc>
          <w:tcPr>
            <w:tcW w:w="4338" w:type="dxa"/>
            <w:tcBorders/>
          </w:tcPr>
          <w:p>
            <w:pPr>
              <w:pStyle w:val="Normal"/>
              <w:widowControl w:val="false"/>
              <w:spacing w:before="0" w:after="0"/>
              <w:jc w:val="both"/>
              <w:rPr>
                <w:rFonts w:ascii="Times New Roman" w:hAnsi="Times New Roman" w:eastAsia="MS Mincho"/>
                <w:lang w:eastAsia="ja-JP"/>
              </w:rPr>
            </w:pPr>
            <w:r>
              <w:rPr>
                <w:rFonts w:eastAsia="MS Mincho"/>
                <w:kern w:val="0"/>
                <w:lang w:val="en-US" w:eastAsia="ja-JP" w:bidi="ar-SA"/>
              </w:rPr>
              <w:t>HFC-134a consumption in 2016</w:t>
            </w:r>
          </w:p>
        </w:tc>
        <w:tc>
          <w:tcPr>
            <w:tcW w:w="4139" w:type="dxa"/>
            <w:tcBorders/>
          </w:tcPr>
          <w:p>
            <w:pPr>
              <w:pStyle w:val="Normal"/>
              <w:widowControl w:val="false"/>
              <w:spacing w:before="0" w:after="0"/>
              <w:jc w:val="both"/>
              <w:rPr>
                <w:rFonts w:ascii="Times New Roman" w:hAnsi="Times New Roman" w:eastAsia="MS Mincho"/>
                <w:lang w:eastAsia="ja-JP"/>
              </w:rPr>
            </w:pPr>
            <w:r>
              <w:rPr>
                <w:rFonts w:eastAsia="MS Mincho"/>
                <w:kern w:val="0"/>
                <w:lang w:val="en-US" w:eastAsia="ja-JP" w:bidi="ar-SA"/>
              </w:rPr>
              <w:t xml:space="preserve">18.23 tons </w:t>
            </w:r>
          </w:p>
        </w:tc>
      </w:tr>
    </w:tbl>
    <w:p>
      <w:pPr>
        <w:pStyle w:val="Normal"/>
        <w:jc w:val="both"/>
        <w:rPr>
          <w:rFonts w:ascii="Times New Roman" w:hAnsi="Times New Roman" w:eastAsia="MS Mincho"/>
          <w:lang w:eastAsia="ja-JP"/>
        </w:rPr>
      </w:pPr>
      <w:r>
        <w:rPr>
          <w:rFonts w:eastAsia="MS Mincho"/>
          <w:lang w:eastAsia="ja-JP"/>
        </w:rPr>
      </w:r>
    </w:p>
    <w:p>
      <w:pPr>
        <w:pStyle w:val="Normal"/>
        <w:jc w:val="both"/>
        <w:rPr>
          <w:rFonts w:ascii="Times New Roman" w:hAnsi="Times New Roman" w:eastAsia="MS Mincho"/>
          <w:lang w:eastAsia="ja-JP"/>
        </w:rPr>
      </w:pPr>
      <w:r>
        <w:rPr>
          <w:rFonts w:eastAsia="MS Mincho"/>
          <w:lang w:eastAsia="ja-JP"/>
        </w:rPr>
        <w:t>In the framework of the proposed project, it is planned that the R134a based products will be converted to R600a.</w:t>
      </w:r>
    </w:p>
    <w:p>
      <w:pPr>
        <w:pStyle w:val="Normal"/>
        <w:spacing w:beforeAutospacing="1" w:after="240"/>
        <w:jc w:val="both"/>
        <w:rPr>
          <w:rFonts w:ascii="Times New Roman" w:hAnsi="Times New Roman" w:eastAsia="MS Mincho"/>
          <w:b/>
          <w:b/>
          <w:lang w:eastAsia="ja-JP"/>
        </w:rPr>
      </w:pPr>
      <w:r>
        <w:rPr>
          <w:rFonts w:eastAsia="MS Mincho"/>
          <w:b/>
          <w:lang w:eastAsia="ja-JP"/>
        </w:rPr>
        <w:t>Standards compliance for the use of hydrocarbons as refrigerant</w:t>
      </w:r>
    </w:p>
    <w:p>
      <w:pPr>
        <w:pStyle w:val="Normal"/>
        <w:spacing w:beforeAutospacing="1" w:after="240"/>
        <w:jc w:val="both"/>
        <w:rPr>
          <w:rFonts w:ascii="Times New Roman" w:hAnsi="Times New Roman" w:eastAsia="MS Mincho"/>
          <w:lang w:eastAsia="ja-JP"/>
        </w:rPr>
      </w:pPr>
      <w:r>
        <w:rPr>
          <w:rFonts w:eastAsia="MS Mincho"/>
          <w:lang w:eastAsia="ja-JP"/>
        </w:rPr>
        <w:t>For R600a refrigerant, the recommended charge limit is 150 grams, according to standard IEC 60335-2-89. The manufacturing facility for R600a is special to prevent explosions of refrigerant.</w:t>
      </w:r>
    </w:p>
    <w:p>
      <w:pPr>
        <w:pStyle w:val="Normal"/>
        <w:widowControl/>
        <w:spacing w:before="0" w:after="0"/>
        <w:contextualSpacing/>
        <w:jc w:val="both"/>
        <w:rPr>
          <w:rFonts w:ascii="Times New Roman" w:hAnsi="Times New Roman"/>
          <w:b/>
          <w:b/>
        </w:rPr>
      </w:pPr>
      <w:r>
        <w:rPr>
          <w:b/>
        </w:rPr>
        <w:t>Funding Requirements</w:t>
      </w:r>
    </w:p>
    <w:p>
      <w:pPr>
        <w:pStyle w:val="Normal"/>
        <w:widowControl/>
        <w:spacing w:before="0" w:after="0"/>
        <w:contextualSpacing/>
        <w:jc w:val="both"/>
        <w:rPr>
          <w:rFonts w:ascii="Times New Roman" w:hAnsi="Times New Roman"/>
          <w:b/>
          <w:b/>
        </w:rPr>
      </w:pPr>
      <w:r>
        <w:rPr>
          <w:b/>
        </w:rPr>
      </w:r>
    </w:p>
    <w:p>
      <w:pPr>
        <w:pStyle w:val="Normal"/>
        <w:widowControl/>
        <w:spacing w:before="0" w:after="0"/>
        <w:contextualSpacing/>
        <w:jc w:val="both"/>
        <w:rPr>
          <w:rFonts w:ascii="Times New Roman" w:hAnsi="Times New Roman"/>
        </w:rPr>
      </w:pPr>
      <w:r>
        <w:rPr/>
        <w:t>The preparatory funds are requested for UNIDO, as follows:</w:t>
      </w:r>
    </w:p>
    <w:p>
      <w:pPr>
        <w:pStyle w:val="Normal"/>
        <w:widowControl/>
        <w:spacing w:before="0" w:after="0"/>
        <w:ind w:left="720" w:hanging="0"/>
        <w:contextualSpacing/>
        <w:jc w:val="both"/>
        <w:rPr>
          <w:rFonts w:ascii="Times New Roman" w:hAnsi="Times New Roman"/>
        </w:rPr>
      </w:pPr>
      <w:r>
        <w:rPr/>
        <w:t xml:space="preserve"> </w:t>
      </w:r>
    </w:p>
    <w:tbl>
      <w:tblPr>
        <w:tblW w:w="7847"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400"/>
        <w:gridCol w:w="1446"/>
      </w:tblGrid>
      <w:tr>
        <w:trPr>
          <w:trHeight w:val="360" w:hRule="atLeast"/>
        </w:trPr>
        <w:tc>
          <w:tcPr>
            <w:tcW w:w="64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b/>
                <w:b/>
                <w:color w:val="000000"/>
              </w:rPr>
            </w:pPr>
            <w:r>
              <w:rPr>
                <w:b/>
                <w:color w:val="000000"/>
              </w:rPr>
              <w:t>Activities</w:t>
            </w:r>
          </w:p>
        </w:tc>
        <w:tc>
          <w:tcPr>
            <w:tcW w:w="144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b/>
                <w:b/>
                <w:color w:val="000000"/>
              </w:rPr>
            </w:pPr>
            <w:r>
              <w:rPr>
                <w:b/>
                <w:color w:val="000000"/>
              </w:rPr>
              <w:t>Cost US$</w:t>
            </w:r>
          </w:p>
        </w:tc>
      </w:tr>
      <w:tr>
        <w:trPr>
          <w:trHeight w:val="360" w:hRule="atLeast"/>
        </w:trPr>
        <w:tc>
          <w:tcPr>
            <w:tcW w:w="640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Local activities (national expert, local travel costs, coordination meetings etc.)</w:t>
            </w:r>
          </w:p>
        </w:tc>
        <w:tc>
          <w:tcPr>
            <w:tcW w:w="1446"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6,000</w:t>
            </w:r>
          </w:p>
        </w:tc>
      </w:tr>
      <w:tr>
        <w:trPr>
          <w:trHeight w:val="360" w:hRule="atLeast"/>
        </w:trPr>
        <w:tc>
          <w:tcPr>
            <w:tcW w:w="640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International consultant (project preparation and development)</w:t>
            </w:r>
          </w:p>
        </w:tc>
        <w:tc>
          <w:tcPr>
            <w:tcW w:w="1446"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18,000</w:t>
            </w:r>
          </w:p>
        </w:tc>
      </w:tr>
      <w:tr>
        <w:trPr>
          <w:trHeight w:val="360" w:hRule="atLeast"/>
        </w:trPr>
        <w:tc>
          <w:tcPr>
            <w:tcW w:w="640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International travel costs (staff)</w:t>
            </w:r>
          </w:p>
        </w:tc>
        <w:tc>
          <w:tcPr>
            <w:tcW w:w="1446"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6,000</w:t>
            </w:r>
          </w:p>
        </w:tc>
      </w:tr>
      <w:tr>
        <w:trPr>
          <w:trHeight w:val="360" w:hRule="atLeast"/>
        </w:trPr>
        <w:tc>
          <w:tcPr>
            <w:tcW w:w="640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b/>
                <w:b/>
                <w:color w:val="000000"/>
              </w:rPr>
            </w:pPr>
            <w:r>
              <w:rPr>
                <w:b/>
                <w:color w:val="000000"/>
              </w:rPr>
              <w:t>TOTAL</w:t>
            </w:r>
          </w:p>
        </w:tc>
        <w:tc>
          <w:tcPr>
            <w:tcW w:w="1446"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b/>
                <w:b/>
                <w:color w:val="000000"/>
              </w:rPr>
            </w:pPr>
            <w:r>
              <w:rPr>
                <w:b/>
                <w:color w:val="000000"/>
              </w:rPr>
              <w:t>30,000</w:t>
            </w:r>
          </w:p>
        </w:tc>
      </w:tr>
    </w:tbl>
    <w:p>
      <w:pPr>
        <w:pStyle w:val="Normal"/>
        <w:ind w:left="720" w:hanging="0"/>
        <w:jc w:val="both"/>
        <w:rPr>
          <w:rFonts w:ascii="Times New Roman" w:hAnsi="Times New Roman"/>
        </w:rPr>
      </w:pPr>
      <w:r>
        <w:rPr/>
      </w:r>
    </w:p>
    <w:p>
      <w:pPr>
        <w:pStyle w:val="Normal"/>
        <w:widowControl/>
        <w:spacing w:before="0" w:after="0"/>
        <w:contextualSpacing/>
        <w:jc w:val="both"/>
        <w:rPr>
          <w:rFonts w:ascii="Times New Roman" w:hAnsi="Times New Roman"/>
          <w:b/>
          <w:b/>
        </w:rPr>
      </w:pPr>
      <w:r>
        <w:rPr>
          <w:b/>
        </w:rPr>
        <w:t>Activities to be undertaken to develop the umbrella project</w:t>
      </w:r>
    </w:p>
    <w:p>
      <w:pPr>
        <w:pStyle w:val="Normal"/>
        <w:jc w:val="both"/>
        <w:rPr>
          <w:rFonts w:ascii="Times New Roman" w:hAnsi="Times New Roman"/>
          <w:color w:val="000000"/>
        </w:rPr>
      </w:pPr>
      <w:r>
        <w:rPr>
          <w:color w:val="000000"/>
        </w:rPr>
      </w:r>
    </w:p>
    <w:p>
      <w:pPr>
        <w:pStyle w:val="Normal"/>
        <w:widowControl/>
        <w:numPr>
          <w:ilvl w:val="0"/>
          <w:numId w:val="4"/>
        </w:numPr>
        <w:spacing w:before="120" w:after="0"/>
        <w:contextualSpacing/>
        <w:jc w:val="both"/>
        <w:rPr>
          <w:rFonts w:ascii="Times New Roman" w:hAnsi="Times New Roman"/>
          <w:color w:val="000000"/>
        </w:rPr>
      </w:pPr>
      <w:r>
        <w:rPr>
          <w:color w:val="000000"/>
        </w:rPr>
        <w:t>Detailed data collection, verification and validation at Induglob</w:t>
      </w:r>
    </w:p>
    <w:p>
      <w:pPr>
        <w:pStyle w:val="Normal"/>
        <w:widowControl/>
        <w:numPr>
          <w:ilvl w:val="0"/>
          <w:numId w:val="4"/>
        </w:numPr>
        <w:spacing w:before="120" w:after="0"/>
        <w:contextualSpacing/>
        <w:jc w:val="both"/>
        <w:rPr>
          <w:rFonts w:ascii="Times New Roman" w:hAnsi="Times New Roman"/>
          <w:color w:val="000000"/>
        </w:rPr>
      </w:pPr>
      <w:r>
        <w:rPr>
          <w:color w:val="000000"/>
        </w:rPr>
        <w:t>Technology review of available, mature alternatives and discussion with the enterprise and the Government on the selection of a suitable low-GWP alternatives</w:t>
      </w:r>
    </w:p>
    <w:p>
      <w:pPr>
        <w:pStyle w:val="Normal"/>
        <w:widowControl/>
        <w:numPr>
          <w:ilvl w:val="0"/>
          <w:numId w:val="4"/>
        </w:numPr>
        <w:spacing w:before="120" w:after="0"/>
        <w:contextualSpacing/>
        <w:jc w:val="both"/>
        <w:rPr>
          <w:rFonts w:ascii="Times New Roman" w:hAnsi="Times New Roman"/>
          <w:color w:val="000000"/>
        </w:rPr>
      </w:pPr>
      <w:r>
        <w:rPr>
          <w:color w:val="000000"/>
        </w:rPr>
        <w:t>Cost assessment of conversion (ICC and IOC)</w:t>
      </w:r>
    </w:p>
    <w:p>
      <w:pPr>
        <w:pStyle w:val="Normal"/>
        <w:widowControl/>
        <w:numPr>
          <w:ilvl w:val="0"/>
          <w:numId w:val="4"/>
        </w:numPr>
        <w:spacing w:before="120" w:after="0"/>
        <w:contextualSpacing/>
        <w:jc w:val="both"/>
        <w:rPr>
          <w:rFonts w:ascii="Times New Roman" w:hAnsi="Times New Roman"/>
          <w:color w:val="000000"/>
        </w:rPr>
      </w:pPr>
      <w:r>
        <w:rPr>
          <w:color w:val="000000"/>
        </w:rPr>
        <w:t>Evaluation of the climate co-benefits of the selected alternative and possible interventions and related costs for additional climate benefits</w:t>
      </w:r>
    </w:p>
    <w:p>
      <w:pPr>
        <w:pStyle w:val="Normal"/>
        <w:widowControl/>
        <w:numPr>
          <w:ilvl w:val="0"/>
          <w:numId w:val="4"/>
        </w:numPr>
        <w:tabs>
          <w:tab w:val="clear" w:pos="720"/>
          <w:tab w:val="left" w:pos="1068" w:leader="none"/>
        </w:tabs>
        <w:spacing w:lineRule="atLeast" w:line="240" w:before="120" w:after="0"/>
        <w:contextualSpacing/>
        <w:jc w:val="both"/>
        <w:rPr>
          <w:rFonts w:ascii="Times New Roman" w:hAnsi="Times New Roman"/>
        </w:rPr>
      </w:pPr>
      <w:r>
        <w:rPr>
          <w:color w:val="000000"/>
        </w:rPr>
        <w:t xml:space="preserve"> </w:t>
      </w:r>
      <w:r>
        <w:rPr>
          <w:color w:val="000000"/>
        </w:rPr>
        <w:t>Preparation, review, endorsement and submission of the project document</w:t>
      </w:r>
      <w:r>
        <w:br w:type="page"/>
      </w:r>
    </w:p>
    <w:p>
      <w:pPr>
        <w:pStyle w:val="Normal"/>
        <w:widowControl/>
        <w:spacing w:lineRule="auto" w:line="276" w:before="0" w:after="200"/>
        <w:jc w:val="center"/>
        <w:rPr>
          <w:rFonts w:ascii="Times New Roman" w:hAnsi="Times New Roman"/>
          <w:b/>
          <w:b/>
        </w:rPr>
      </w:pPr>
      <w:r>
        <w:rPr>
          <w:b/>
        </w:rPr>
        <w:t>PROJECT CONCEPT</w:t>
      </w:r>
    </w:p>
    <w:p>
      <w:pPr>
        <w:pStyle w:val="Normal"/>
        <w:tabs>
          <w:tab w:val="clear" w:pos="720"/>
          <w:tab w:val="left" w:pos="1418" w:leader="none"/>
        </w:tabs>
        <w:rPr>
          <w:rFonts w:ascii="Times New Roman" w:hAnsi="Times New Roman"/>
        </w:rPr>
      </w:pPr>
      <w:r>
        <w:rPr/>
      </w:r>
    </w:p>
    <w:p>
      <w:pPr>
        <w:pStyle w:val="Normal"/>
        <w:tabs>
          <w:tab w:val="clear" w:pos="720"/>
          <w:tab w:val="left" w:pos="2790" w:leader="none"/>
        </w:tabs>
        <w:rPr>
          <w:rFonts w:ascii="Times New Roman" w:hAnsi="Times New Roman"/>
        </w:rPr>
      </w:pPr>
      <w:r>
        <w:rPr>
          <w:b/>
        </w:rPr>
        <w:t>Country:</w:t>
        <w:tab/>
      </w:r>
      <w:r>
        <w:rPr>
          <w:b/>
          <w:bCs/>
        </w:rPr>
        <w:t>Lebanon</w:t>
      </w:r>
    </w:p>
    <w:p>
      <w:pPr>
        <w:pStyle w:val="Normal"/>
        <w:rPr>
          <w:rFonts w:ascii="Times New Roman" w:hAnsi="Times New Roman"/>
        </w:rPr>
      </w:pPr>
      <w:r>
        <w:rPr/>
      </w:r>
    </w:p>
    <w:p>
      <w:pPr>
        <w:pStyle w:val="Normal"/>
        <w:widowControl/>
        <w:tabs>
          <w:tab w:val="clear" w:pos="720"/>
          <w:tab w:val="left" w:pos="2790" w:leader="none"/>
        </w:tabs>
        <w:ind w:left="2790" w:hanging="2790"/>
        <w:jc w:val="both"/>
        <w:rPr>
          <w:rFonts w:ascii="Times New Roman" w:hAnsi="Times New Roman"/>
        </w:rPr>
      </w:pPr>
      <w:r>
        <w:rPr>
          <w:b/>
        </w:rPr>
        <w:t>Title:</w:t>
        <w:tab/>
      </w:r>
      <w:r>
        <w:rPr/>
        <w:t>Project preparation for HFC-related project in the manufacturing sector at Lematic Industries to gain experience in ICCs and IOCs associated with the phase-down of HFCs in domestic refrigeration</w:t>
      </w:r>
    </w:p>
    <w:p>
      <w:pPr>
        <w:pStyle w:val="Normal"/>
        <w:widowControl/>
        <w:ind w:left="1418" w:hanging="1418"/>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Project Duration:</w:t>
      </w:r>
      <w:r>
        <w:rPr/>
        <w:tab/>
        <w:t>12 months</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b/>
          <w:b/>
        </w:rPr>
      </w:pPr>
      <w:r>
        <w:rPr>
          <w:b/>
        </w:rPr>
        <w:t>Project Budget:</w:t>
        <w:tab/>
      </w:r>
      <w:r>
        <w:rPr/>
        <w:t>US$ 30,000</w:t>
      </w:r>
      <w:r>
        <w:rPr>
          <w:b/>
        </w:rPr>
        <w:t xml:space="preserve"> </w:t>
      </w:r>
      <w:r>
        <w:rPr/>
        <w:t>(</w:t>
      </w:r>
      <w:r>
        <w:rPr>
          <w:lang w:val="en-GB"/>
        </w:rPr>
        <w:t xml:space="preserve">excl. 7.0% Agency Support Costs) </w:t>
      </w:r>
    </w:p>
    <w:p>
      <w:pPr>
        <w:pStyle w:val="Normal"/>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Implementing Agency:</w:t>
      </w:r>
      <w:r>
        <w:rPr/>
        <w:tab/>
        <w:t>UNIDO</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rPr>
      </w:pPr>
      <w:r>
        <w:rPr>
          <w:b/>
        </w:rPr>
        <w:t>Coordinating Agency:</w:t>
        <w:tab/>
      </w:r>
      <w:r>
        <w:rPr>
          <w:lang w:val="en-GB"/>
        </w:rPr>
        <w:t>National Ozone Unit</w:t>
      </w:r>
    </w:p>
    <w:p>
      <w:pPr>
        <w:pStyle w:val="Normal"/>
        <w:spacing w:lineRule="exact" w:line="19"/>
        <w:rPr>
          <w:rFonts w:ascii="Times New Roman" w:hAnsi="Times New Roman"/>
        </w:rPr>
      </w:pPr>
      <w:r>
        <w:rPr/>
      </w:r>
    </w:p>
    <w:p>
      <w:pPr>
        <w:pStyle w:val="Normal"/>
        <w:ind w:left="720" w:hanging="0"/>
        <w:rPr>
          <w:rFonts w:ascii="Times New Roman" w:hAnsi="Times New Roman"/>
        </w:rPr>
      </w:pPr>
      <w:r>
        <w:rPr/>
        <mc:AlternateContent>
          <mc:Choice Requires="wps">
            <w:drawing>
              <wp:anchor behindDoc="0" distT="0" distB="28575" distL="0" distR="9525" simplePos="0" locked="0" layoutInCell="0" allowOverlap="1" relativeHeight="9" wp14:anchorId="0A1A2EF9">
                <wp:simplePos x="0" y="0"/>
                <wp:positionH relativeFrom="column">
                  <wp:posOffset>28575</wp:posOffset>
                </wp:positionH>
                <wp:positionV relativeFrom="paragraph">
                  <wp:posOffset>150495</wp:posOffset>
                </wp:positionV>
                <wp:extent cx="5934075" cy="9525"/>
                <wp:effectExtent l="5080" t="5080" r="5080" b="5080"/>
                <wp:wrapNone/>
                <wp:docPr id="6" name="Straight Connector 13"/>
                <a:graphic xmlns:a="http://schemas.openxmlformats.org/drawingml/2006/main">
                  <a:graphicData uri="http://schemas.microsoft.com/office/word/2010/wordprocessingShape">
                    <wps:wsp>
                      <wps:cNvSpPr/>
                      <wps:spPr>
                        <a:xfrm>
                          <a:off x="0" y="0"/>
                          <a:ext cx="5934240" cy="9360"/>
                        </a:xfrm>
                        <a:prstGeom prst="line">
                          <a:avLst/>
                        </a:prstGeom>
                        <a:ln>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2.25pt,11.85pt" to="469.45pt,12.55pt" ID="Straight Connector 13" stroked="t" o:allowincell="f" style="position:absolute" wp14:anchorId="0A1A2EF9">
                <v:stroke color="black" weight="9360" joinstyle="round" endcap="flat"/>
                <v:fill o:detectmouseclick="t" on="false"/>
                <w10:wrap type="none"/>
              </v:line>
            </w:pict>
          </mc:Fallback>
        </mc:AlternateContent>
      </w:r>
    </w:p>
    <w:p>
      <w:pPr>
        <w:pStyle w:val="Normal"/>
        <w:tabs>
          <w:tab w:val="clear" w:pos="720"/>
          <w:tab w:val="center" w:pos="4513" w:leader="none"/>
        </w:tabs>
        <w:rPr>
          <w:rFonts w:ascii="Times New Roman" w:hAnsi="Times New Roman"/>
        </w:rPr>
      </w:pPr>
      <w:r>
        <w:rPr/>
        <w:tab/>
      </w:r>
    </w:p>
    <w:p>
      <w:pPr>
        <w:pStyle w:val="Normal"/>
        <w:tabs>
          <w:tab w:val="clear" w:pos="720"/>
          <w:tab w:val="center" w:pos="4513" w:leader="none"/>
        </w:tabs>
        <w:jc w:val="center"/>
        <w:rPr>
          <w:rFonts w:ascii="Times New Roman" w:hAnsi="Times New Roman"/>
          <w:b/>
          <w:b/>
          <w:bCs/>
          <w:lang w:val="en-GB"/>
        </w:rPr>
      </w:pPr>
      <w:r>
        <w:rPr>
          <w:b/>
          <w:bCs/>
          <w:lang w:val="en-GB"/>
        </w:rPr>
        <w:t>Project Summary</w:t>
      </w:r>
    </w:p>
    <w:p>
      <w:pPr>
        <w:pStyle w:val="Normal"/>
        <w:jc w:val="center"/>
        <w:rPr>
          <w:rFonts w:ascii="Times New Roman" w:hAnsi="Times New Roman"/>
          <w:b/>
          <w:b/>
        </w:rPr>
      </w:pPr>
      <w:r>
        <w:rPr>
          <w:b/>
        </w:rPr>
      </w:r>
    </w:p>
    <w:p>
      <w:pPr>
        <w:pStyle w:val="Normal"/>
        <w:widowControl/>
        <w:jc w:val="both"/>
        <w:rPr>
          <w:rFonts w:ascii="Times New Roman" w:hAnsi="Times New Roman"/>
          <w:lang w:val="en-GB"/>
        </w:rPr>
      </w:pPr>
      <w:r>
        <w:rPr/>
        <w:t>T</w:t>
      </w:r>
      <w:r>
        <w:rPr>
          <w:lang w:val="en-GB"/>
        </w:rPr>
        <w:t>he Executive Committee has decided in Decision 78/3 (g) “</w:t>
      </w:r>
      <w:r>
        <w:rPr>
          <w:i/>
          <w:lang w:val="en-GB"/>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Pr>
          <w:lang w:val="en-GB"/>
        </w:rPr>
        <w:t>”</w:t>
      </w:r>
    </w:p>
    <w:p>
      <w:pPr>
        <w:pStyle w:val="Normal"/>
        <w:widowControl/>
        <w:jc w:val="both"/>
        <w:rPr>
          <w:rFonts w:ascii="Times New Roman" w:hAnsi="Times New Roman"/>
          <w:lang w:val="en-GB"/>
        </w:rPr>
      </w:pPr>
      <w:r>
        <w:rPr>
          <w:lang w:val="en-GB"/>
        </w:rPr>
      </w:r>
    </w:p>
    <w:p>
      <w:pPr>
        <w:pStyle w:val="Normal"/>
        <w:widowControl/>
        <w:jc w:val="both"/>
        <w:rPr>
          <w:rFonts w:ascii="Times New Roman" w:hAnsi="Times New Roman"/>
          <w:lang w:val="en-GB"/>
        </w:rPr>
      </w:pPr>
      <w:r>
        <w:rPr>
          <w:lang w:val="en-GB"/>
        </w:rPr>
        <w:t>In response to that above decision, UNIDO has received an official request from the Government of Lebanon for the preparation of an investment project in the domestic refrigeration sector in order to convert from HFC-134a to R-600a (isobutane) to gain relevant experience in actual ICCs and IOCs.</w:t>
      </w:r>
    </w:p>
    <w:p>
      <w:pPr>
        <w:pStyle w:val="Normal"/>
        <w:tabs>
          <w:tab w:val="clear" w:pos="720"/>
          <w:tab w:val="left" w:pos="-1440" w:leader="none"/>
        </w:tabs>
        <w:jc w:val="both"/>
        <w:rPr>
          <w:rFonts w:ascii="Times New Roman" w:hAnsi="Times New Roman"/>
          <w:lang w:val="en-GB"/>
        </w:rPr>
      </w:pPr>
      <w:r>
        <w:rPr>
          <w:lang w:val="en-GB"/>
        </w:rPr>
      </w:r>
    </w:p>
    <w:p>
      <w:pPr>
        <w:pStyle w:val="Normal"/>
        <w:widowControl/>
        <w:jc w:val="both"/>
        <w:rPr>
          <w:rFonts w:ascii="Times New Roman" w:hAnsi="Times New Roman" w:eastAsia="MS Mincho"/>
          <w:lang w:eastAsia="ja-JP"/>
        </w:rPr>
      </w:pPr>
      <w:r>
        <w:rPr>
          <w:rFonts w:eastAsia="MS Mincho"/>
          <w:lang w:eastAsia="ja-JP"/>
        </w:rPr>
        <w:t>Lebanon is planning for a quick ratification of the Kigali Amendment by the end of 2017.</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widowControl/>
        <w:jc w:val="both"/>
        <w:rPr>
          <w:rFonts w:ascii="Times New Roman" w:hAnsi="Times New Roman" w:eastAsia="MS Mincho"/>
          <w:lang w:eastAsia="ja-JP"/>
        </w:rPr>
      </w:pPr>
      <w:r>
        <w:rPr>
          <w:rFonts w:eastAsia="MS Mincho"/>
          <w:lang w:eastAsia="ja-JP"/>
        </w:rPr>
        <w:t>The enterprise, Lematic Industries, has been identified, being willing to initiate early actions and convert from HFC-134a to R-600a in the domestic refrigeration sector, where alternative technology is mature and readily available, in order to gain experience in ICCs and IOCs.</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jc w:val="both"/>
        <w:rPr>
          <w:rFonts w:ascii="Times New Roman" w:hAnsi="Times New Roman" w:eastAsia="MS Mincho"/>
          <w:lang w:eastAsia="ja-JP"/>
        </w:rPr>
      </w:pPr>
      <w:r>
        <w:rPr>
          <w:rFonts w:eastAsia="MS Mincho"/>
          <w:lang w:eastAsia="ja-JP"/>
        </w:rPr>
        <w:t>The strategy followed by Lebanon is based on the following criteria and priorities:</w:t>
      </w:r>
    </w:p>
    <w:p>
      <w:pPr>
        <w:pStyle w:val="Normal"/>
        <w:jc w:val="both"/>
        <w:rPr>
          <w:rFonts w:ascii="Times New Roman" w:hAnsi="Times New Roman" w:eastAsia="MS Mincho"/>
          <w:lang w:eastAsia="ja-JP"/>
        </w:rPr>
      </w:pPr>
      <w:r>
        <w:rPr>
          <w:rFonts w:eastAsia="MS Mincho"/>
          <w:lang w:eastAsia="ja-JP"/>
        </w:rPr>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Application of well-known, affordable, available and widely used replacement alternatives and related technologies, while supporting efforts for identification and selection of such alternatives.</w:t>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To start phasing-down HFCs in those HFC consuming manufacturing sectors, where low-GWP and mature alternatives are available.</w:t>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 xml:space="preserve">Through adoption of appropriate alternative technologies, limit climate and adverse environmental impact of converted enterprises and comply with safety, economic and sustainability requirements. </w:t>
      </w:r>
    </w:p>
    <w:p>
      <w:pPr>
        <w:pStyle w:val="Heading1"/>
        <w:jc w:val="both"/>
        <w:rPr>
          <w:rFonts w:ascii="Times New Roman" w:hAnsi="Times New Roman" w:cs="Times New Roman"/>
          <w:color w:val="auto"/>
          <w:sz w:val="24"/>
          <w:szCs w:val="24"/>
        </w:rPr>
      </w:pPr>
      <w:bookmarkStart w:id="2" w:name="_Toc326068725"/>
      <w:r>
        <w:rPr>
          <w:rFonts w:cs="Times New Roman"/>
          <w:color w:val="auto"/>
          <w:sz w:val="24"/>
          <w:szCs w:val="24"/>
        </w:rPr>
        <w:t>Background</w:t>
      </w:r>
      <w:bookmarkEnd w:id="2"/>
      <w:r>
        <w:rPr>
          <w:rFonts w:cs="Times New Roman"/>
          <w:color w:val="auto"/>
          <w:sz w:val="24"/>
          <w:szCs w:val="24"/>
        </w:rPr>
        <w:t xml:space="preserve"> </w:t>
      </w:r>
    </w:p>
    <w:p>
      <w:pPr>
        <w:pStyle w:val="Normal"/>
        <w:jc w:val="both"/>
        <w:rPr>
          <w:rFonts w:ascii="Times New Roman" w:hAnsi="Times New Roman"/>
        </w:rPr>
      </w:pPr>
      <w:r>
        <w:rPr/>
      </w:r>
    </w:p>
    <w:tbl>
      <w:tblPr>
        <w:tblW w:w="5000" w:type="pct"/>
        <w:jc w:val="center"/>
        <w:tblInd w:w="0" w:type="dxa"/>
        <w:tblLayout w:type="fixed"/>
        <w:tblCellMar>
          <w:top w:w="0" w:type="dxa"/>
          <w:left w:w="0" w:type="dxa"/>
          <w:bottom w:w="0" w:type="dxa"/>
          <w:right w:w="0" w:type="dxa"/>
        </w:tblCellMar>
        <w:tblLook w:val="04a0" w:noHBand="0" w:noVBand="1" w:firstColumn="1" w:lastRow="0" w:lastColumn="0" w:firstRow="1"/>
      </w:tblPr>
      <w:tblGrid>
        <w:gridCol w:w="9360"/>
      </w:tblGrid>
      <w:tr>
        <w:trPr/>
        <w:tc>
          <w:tcPr>
            <w:tcW w:w="9360" w:type="dxa"/>
            <w:tcBorders/>
          </w:tcPr>
          <w:tbl>
            <w:tblPr>
              <w:tblW w:w="5000" w:type="pct"/>
              <w:jc w:val="center"/>
              <w:tblInd w:w="0" w:type="dxa"/>
              <w:tblLayout w:type="fixed"/>
              <w:tblCellMar>
                <w:top w:w="0" w:type="dxa"/>
                <w:left w:w="0" w:type="dxa"/>
                <w:bottom w:w="0" w:type="dxa"/>
                <w:right w:w="0" w:type="dxa"/>
              </w:tblCellMar>
              <w:tblLook w:val="04a0" w:noHBand="0" w:noVBand="1" w:firstColumn="1" w:lastRow="0" w:lastColumn="0" w:firstRow="1"/>
            </w:tblPr>
            <w:tblGrid>
              <w:gridCol w:w="4859"/>
              <w:gridCol w:w="4500"/>
            </w:tblGrid>
            <w:tr>
              <w:trPr/>
              <w:tc>
                <w:tcPr>
                  <w:tcW w:w="9359" w:type="dxa"/>
                  <w:gridSpan w:val="2"/>
                  <w:tcBorders/>
                  <w:vAlign w:val="center"/>
                </w:tcPr>
                <w:p>
                  <w:pPr>
                    <w:pStyle w:val="Normal"/>
                    <w:widowControl w:val="false"/>
                    <w:spacing w:beforeAutospacing="1" w:after="0"/>
                    <w:jc w:val="both"/>
                    <w:rPr>
                      <w:rFonts w:ascii="Times New Roman" w:hAnsi="Times New Roman"/>
                    </w:rPr>
                  </w:pPr>
                  <w:r>
                    <w:rPr/>
                    <w:t xml:space="preserve">Lematic is a 100% Lebanese company that is specialized in the production of household appliances and appliance industries. Lematic is now one of the major producers of appliances and equipment as a result of steady international growth over the last 50 years. </w:t>
                  </w:r>
                </w:p>
              </w:tc>
            </w:tr>
            <w:tr>
              <w:trPr/>
              <w:tc>
                <w:tcPr>
                  <w:tcW w:w="4859" w:type="dxa"/>
                  <w:tcBorders/>
                  <w:vAlign w:val="center"/>
                </w:tcPr>
                <w:p>
                  <w:pPr>
                    <w:pStyle w:val="Normal"/>
                    <w:widowControl w:val="false"/>
                    <w:spacing w:beforeAutospacing="1" w:after="0"/>
                    <w:jc w:val="both"/>
                    <w:rPr>
                      <w:rFonts w:ascii="Times New Roman" w:hAnsi="Times New Roman"/>
                    </w:rPr>
                  </w:pPr>
                  <w:r>
                    <w:rPr/>
                    <w:t xml:space="preserve">Lematic products are world leader in design and among the most competitive in the market. The range of household domestic and industrial appliances has resulted in the reputation for manufacturing top quality products. </w:t>
                  </w:r>
                </w:p>
              </w:tc>
              <w:tc>
                <w:tcPr>
                  <w:tcW w:w="4500" w:type="dxa"/>
                  <w:tcBorders/>
                  <w:vAlign w:val="center"/>
                </w:tcPr>
                <w:p>
                  <w:pPr>
                    <w:pStyle w:val="Normal"/>
                    <w:widowControl w:val="false"/>
                    <w:spacing w:beforeAutospacing="1" w:after="0"/>
                    <w:jc w:val="both"/>
                    <w:rPr>
                      <w:rFonts w:ascii="Times New Roman" w:hAnsi="Times New Roman"/>
                    </w:rPr>
                  </w:pPr>
                  <w:r>
                    <w:rPr/>
                    <w:drawing>
                      <wp:anchor behindDoc="0" distT="0" distB="0" distL="114300" distR="114300" simplePos="0" locked="0" layoutInCell="1" allowOverlap="1" relativeHeight="10">
                        <wp:simplePos x="0" y="0"/>
                        <wp:positionH relativeFrom="column">
                          <wp:posOffset>266700</wp:posOffset>
                        </wp:positionH>
                        <wp:positionV relativeFrom="paragraph">
                          <wp:posOffset>44450</wp:posOffset>
                        </wp:positionV>
                        <wp:extent cx="2828925" cy="1295400"/>
                        <wp:effectExtent l="0" t="0" r="0" b="0"/>
                        <wp:wrapSquare wrapText="bothSides"/>
                        <wp:docPr id="7" name="Picture 6" descr="http://www.lematicltd.com/images/profile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http://www.lematicltd.com/images/profileimg1.jpg"/>
                                <pic:cNvPicPr>
                                  <a:picLocks noChangeAspect="1" noChangeArrowheads="1"/>
                                </pic:cNvPicPr>
                              </pic:nvPicPr>
                              <pic:blipFill>
                                <a:blip r:embed="rId26"/>
                                <a:stretch>
                                  <a:fillRect/>
                                </a:stretch>
                              </pic:blipFill>
                              <pic:spPr bwMode="auto">
                                <a:xfrm>
                                  <a:off x="0" y="0"/>
                                  <a:ext cx="2828925" cy="1295400"/>
                                </a:xfrm>
                                <a:prstGeom prst="rect">
                                  <a:avLst/>
                                </a:prstGeom>
                              </pic:spPr>
                            </pic:pic>
                          </a:graphicData>
                        </a:graphic>
                      </wp:anchor>
                    </w:drawing>
                  </w:r>
                </w:p>
              </w:tc>
            </w:tr>
            <w:tr>
              <w:trPr>
                <w:trHeight w:val="150" w:hRule="exact"/>
              </w:trPr>
              <w:tc>
                <w:tcPr>
                  <w:tcW w:w="9359" w:type="dxa"/>
                  <w:gridSpan w:val="2"/>
                  <w:tcBorders/>
                  <w:vAlign w:val="center"/>
                </w:tcPr>
                <w:p>
                  <w:pPr>
                    <w:pStyle w:val="Normal"/>
                    <w:widowControl w:val="false"/>
                    <w:jc w:val="both"/>
                    <w:rPr>
                      <w:rFonts w:ascii="Times New Roman" w:hAnsi="Times New Roman"/>
                    </w:rPr>
                  </w:pPr>
                  <w:r>
                    <w:rPr/>
                  </w:r>
                </w:p>
              </w:tc>
            </w:tr>
            <w:tr>
              <w:trPr/>
              <w:tc>
                <w:tcPr>
                  <w:tcW w:w="9359" w:type="dxa"/>
                  <w:gridSpan w:val="2"/>
                  <w:tcBorders/>
                  <w:vAlign w:val="center"/>
                </w:tcPr>
                <w:p>
                  <w:pPr>
                    <w:pStyle w:val="Normal"/>
                    <w:widowControl w:val="false"/>
                    <w:spacing w:beforeAutospacing="1" w:after="0"/>
                    <w:jc w:val="both"/>
                    <w:rPr>
                      <w:rFonts w:ascii="Times New Roman" w:hAnsi="Times New Roman"/>
                    </w:rPr>
                  </w:pPr>
                  <w:r>
                    <w:rPr/>
                    <w:t>The company began operation in the 1940s, has accumulated considerable experience, especially in the technology and production of all types of refrigeration and air-conditioning appliances.</w:t>
                  </w:r>
                </w:p>
              </w:tc>
            </w:tr>
          </w:tbl>
          <w:p>
            <w:pPr>
              <w:pStyle w:val="Normal"/>
              <w:widowControl w:val="false"/>
              <w:jc w:val="both"/>
              <w:rPr>
                <w:rFonts w:ascii="Times New Roman" w:hAnsi="Times New Roman"/>
              </w:rPr>
            </w:pPr>
            <w:r>
              <w:rPr/>
            </w:r>
          </w:p>
        </w:tc>
      </w:tr>
      <w:tr>
        <w:trPr>
          <w:trHeight w:val="150" w:hRule="exact"/>
        </w:trPr>
        <w:tc>
          <w:tcPr>
            <w:tcW w:w="9360" w:type="dxa"/>
            <w:tcBorders/>
          </w:tcPr>
          <w:p>
            <w:pPr>
              <w:pStyle w:val="Normal"/>
              <w:widowControl w:val="false"/>
              <w:rPr>
                <w:rFonts w:ascii="Times New Roman" w:hAnsi="Times New Roman"/>
              </w:rPr>
            </w:pPr>
            <w:r>
              <w:rPr/>
            </w:r>
          </w:p>
        </w:tc>
      </w:tr>
      <w:tr>
        <w:trPr/>
        <w:tc>
          <w:tcPr>
            <w:tcW w:w="9360" w:type="dxa"/>
            <w:tcBorders/>
            <w:vAlign w:val="center"/>
          </w:tcPr>
          <w:tbl>
            <w:tblPr>
              <w:tblW w:w="5000" w:type="pct"/>
              <w:jc w:val="center"/>
              <w:tblInd w:w="0" w:type="dxa"/>
              <w:tblLayout w:type="fixed"/>
              <w:tblCellMar>
                <w:top w:w="0" w:type="dxa"/>
                <w:left w:w="0" w:type="dxa"/>
                <w:bottom w:w="0" w:type="dxa"/>
                <w:right w:w="0" w:type="dxa"/>
              </w:tblCellMar>
              <w:tblLook w:val="04a0" w:noHBand="0" w:noVBand="1" w:firstColumn="1" w:lastRow="0" w:lastColumn="0" w:firstRow="1"/>
            </w:tblPr>
            <w:tblGrid>
              <w:gridCol w:w="5955"/>
              <w:gridCol w:w="3404"/>
            </w:tblGrid>
            <w:tr>
              <w:trPr/>
              <w:tc>
                <w:tcPr>
                  <w:tcW w:w="5955" w:type="dxa"/>
                  <w:tcBorders/>
                  <w:vAlign w:val="center"/>
                </w:tcPr>
                <w:p>
                  <w:pPr>
                    <w:pStyle w:val="Normal"/>
                    <w:widowControl w:val="false"/>
                    <w:spacing w:beforeAutospacing="1" w:afterAutospacing="1"/>
                    <w:jc w:val="both"/>
                    <w:rPr>
                      <w:rFonts w:ascii="Times New Roman" w:hAnsi="Times New Roman"/>
                    </w:rPr>
                  </w:pPr>
                  <w:r>
                    <w:rPr/>
                    <w:t xml:space="preserve">Lematic has several factories located in Lebanon, Saudi Arabia and Syria, over 1800 employees and annual sales exceeding half a million units/per year. </w:t>
                  </w:r>
                </w:p>
                <w:p>
                  <w:pPr>
                    <w:pStyle w:val="Normal"/>
                    <w:widowControl w:val="false"/>
                    <w:spacing w:beforeAutospacing="1" w:afterAutospacing="1"/>
                    <w:jc w:val="both"/>
                    <w:rPr>
                      <w:rFonts w:ascii="Times New Roman" w:hAnsi="Times New Roman"/>
                    </w:rPr>
                  </w:pPr>
                  <w:r>
                    <w:rPr/>
                    <w:t xml:space="preserve">Lematic’s expertise also extends to the establishment of appliance industries in the countries where often little manufacturing activity exists specially in the Middle East, Africa, Central Asia and South America. </w:t>
                  </w:r>
                </w:p>
                <w:p>
                  <w:pPr>
                    <w:pStyle w:val="Normal"/>
                    <w:widowControl w:val="false"/>
                    <w:spacing w:beforeAutospacing="1" w:after="0"/>
                    <w:jc w:val="both"/>
                    <w:rPr>
                      <w:rFonts w:ascii="Times New Roman" w:hAnsi="Times New Roman"/>
                    </w:rPr>
                  </w:pPr>
                  <w:r>
                    <w:rPr/>
                    <w:t xml:space="preserve">Lematic takes full responsibility for complex, logistical tasks such as design, construction, installation and commissioning up to optimum production so that maximum efficiency and profitability is achieved. </w:t>
                  </w:r>
                </w:p>
              </w:tc>
              <w:tc>
                <w:tcPr>
                  <w:tcW w:w="3404" w:type="dxa"/>
                  <w:tcBorders/>
                  <w:vAlign w:val="center"/>
                </w:tcPr>
                <w:p>
                  <w:pPr>
                    <w:pStyle w:val="Normal"/>
                    <w:widowControl w:val="false"/>
                    <w:spacing w:beforeAutospacing="1" w:after="0"/>
                    <w:jc w:val="right"/>
                    <w:rPr>
                      <w:rFonts w:ascii="Times New Roman" w:hAnsi="Times New Roman"/>
                    </w:rPr>
                  </w:pPr>
                  <w:r>
                    <w:rPr/>
                    <w:drawing>
                      <wp:inline distT="0" distB="0" distL="0" distR="0">
                        <wp:extent cx="1743075" cy="2647950"/>
                        <wp:effectExtent l="0" t="0" r="0" b="0"/>
                        <wp:docPr id="8" name="Picture 15" descr="http://www.lematicltd.com/images/profile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5" descr="http://www.lematicltd.com/images/profileimg.jpg"/>
                                <pic:cNvPicPr>
                                  <a:picLocks noChangeAspect="1" noChangeArrowheads="1"/>
                                </pic:cNvPicPr>
                              </pic:nvPicPr>
                              <pic:blipFill>
                                <a:blip r:embed="rId27"/>
                                <a:stretch>
                                  <a:fillRect/>
                                </a:stretch>
                              </pic:blipFill>
                              <pic:spPr bwMode="auto">
                                <a:xfrm>
                                  <a:off x="0" y="0"/>
                                  <a:ext cx="1743075" cy="2647950"/>
                                </a:xfrm>
                                <a:prstGeom prst="rect">
                                  <a:avLst/>
                                </a:prstGeom>
                              </pic:spPr>
                            </pic:pic>
                          </a:graphicData>
                        </a:graphic>
                      </wp:inline>
                    </w:drawing>
                  </w:r>
                </w:p>
              </w:tc>
            </w:tr>
          </w:tbl>
          <w:p>
            <w:pPr>
              <w:pStyle w:val="Normal"/>
              <w:widowControl w:val="false"/>
              <w:jc w:val="center"/>
              <w:rPr>
                <w:rFonts w:ascii="Times New Roman" w:hAnsi="Times New Roman"/>
              </w:rPr>
            </w:pPr>
            <w:r>
              <w:rPr/>
            </w:r>
          </w:p>
        </w:tc>
      </w:tr>
      <w:tr>
        <w:trPr/>
        <w:tc>
          <w:tcPr>
            <w:tcW w:w="9360" w:type="dxa"/>
            <w:tcBorders/>
            <w:vAlign w:val="center"/>
          </w:tcPr>
          <w:p>
            <w:pPr>
              <w:pStyle w:val="Normal"/>
              <w:widowControl w:val="false"/>
              <w:spacing w:beforeAutospacing="1" w:afterAutospacing="1"/>
              <w:jc w:val="both"/>
              <w:rPr>
                <w:rFonts w:ascii="Times New Roman" w:hAnsi="Times New Roman"/>
              </w:rPr>
            </w:pPr>
            <w:r>
              <w:rPr/>
              <w:t xml:space="preserve">Lematic subsequently offers a complete service package since the company believes that an ongoing commitment is of a great importance to the plant operation. These services range from engineering support to the supply of raw materials, semi-finished components and spare parts as well as the coordination of all the support facilities needed for any type of projects. </w:t>
            </w:r>
          </w:p>
          <w:p>
            <w:pPr>
              <w:pStyle w:val="Normal"/>
              <w:widowControl w:val="false"/>
              <w:spacing w:beforeAutospacing="1" w:after="0"/>
              <w:jc w:val="both"/>
              <w:rPr>
                <w:rFonts w:ascii="Times New Roman" w:hAnsi="Times New Roman"/>
              </w:rPr>
            </w:pPr>
            <w:r>
              <w:rPr/>
              <w:t xml:space="preserve">Lematic produces products branded as Concorde such as: </w:t>
            </w:r>
          </w:p>
        </w:tc>
      </w:tr>
    </w:tbl>
    <w:p>
      <w:pPr>
        <w:pStyle w:val="Normal"/>
        <w:jc w:val="both"/>
        <w:rPr>
          <w:rFonts w:ascii="Times New Roman" w:hAnsi="Times New Roman"/>
          <w:bCs/>
        </w:rPr>
      </w:pPr>
      <w:r>
        <w:rPr>
          <w:bCs/>
        </w:rPr>
      </w:r>
    </w:p>
    <w:p>
      <w:pPr>
        <w:pStyle w:val="Normal"/>
        <w:numPr>
          <w:ilvl w:val="0"/>
          <w:numId w:val="6"/>
        </w:numPr>
        <w:jc w:val="both"/>
        <w:rPr>
          <w:rFonts w:ascii="Times New Roman" w:hAnsi="Times New Roman"/>
          <w:bCs/>
        </w:rPr>
      </w:pPr>
      <w:r>
        <w:rPr>
          <w:bCs/>
        </w:rPr>
        <w:t xml:space="preserve">Refrigerators: </w:t>
      </w:r>
    </w:p>
    <w:p>
      <w:pPr>
        <w:pStyle w:val="ListParagraph"/>
        <w:numPr>
          <w:ilvl w:val="0"/>
          <w:numId w:val="7"/>
        </w:numPr>
        <w:ind w:left="1440" w:hanging="360"/>
        <w:jc w:val="both"/>
        <w:rPr>
          <w:rFonts w:ascii="Times New Roman" w:hAnsi="Times New Roman"/>
          <w:bCs/>
        </w:rPr>
      </w:pPr>
      <w:r>
        <w:rPr>
          <w:bCs/>
        </w:rPr>
        <w:t xml:space="preserve">Side by Side </w:t>
      </w:r>
    </w:p>
    <w:p>
      <w:pPr>
        <w:pStyle w:val="ListParagraph"/>
        <w:numPr>
          <w:ilvl w:val="0"/>
          <w:numId w:val="7"/>
        </w:numPr>
        <w:ind w:left="1440" w:hanging="360"/>
        <w:jc w:val="both"/>
        <w:rPr>
          <w:rFonts w:ascii="Times New Roman" w:hAnsi="Times New Roman"/>
          <w:bCs/>
        </w:rPr>
      </w:pPr>
      <w:r>
        <w:rPr>
          <w:bCs/>
        </w:rPr>
        <w:t xml:space="preserve">NoFrost Two Doors </w:t>
      </w:r>
    </w:p>
    <w:p>
      <w:pPr>
        <w:pStyle w:val="ListParagraph"/>
        <w:numPr>
          <w:ilvl w:val="0"/>
          <w:numId w:val="7"/>
        </w:numPr>
        <w:ind w:left="1440" w:hanging="360"/>
        <w:jc w:val="both"/>
        <w:rPr>
          <w:rFonts w:ascii="Times New Roman" w:hAnsi="Times New Roman"/>
          <w:bCs/>
        </w:rPr>
      </w:pPr>
      <w:r>
        <w:rPr>
          <w:bCs/>
        </w:rPr>
        <w:t xml:space="preserve">DeFrost Two Doors </w:t>
      </w:r>
    </w:p>
    <w:p>
      <w:pPr>
        <w:pStyle w:val="ListParagraph"/>
        <w:numPr>
          <w:ilvl w:val="0"/>
          <w:numId w:val="7"/>
        </w:numPr>
        <w:ind w:left="1440" w:hanging="360"/>
        <w:jc w:val="both"/>
        <w:rPr>
          <w:rFonts w:ascii="Times New Roman" w:hAnsi="Times New Roman"/>
          <w:bCs/>
        </w:rPr>
      </w:pPr>
      <w:r>
        <w:rPr>
          <w:bCs/>
        </w:rPr>
        <w:t xml:space="preserve">Single Door </w:t>
      </w:r>
    </w:p>
    <w:p>
      <w:pPr>
        <w:pStyle w:val="Normal"/>
        <w:numPr>
          <w:ilvl w:val="0"/>
          <w:numId w:val="6"/>
        </w:numPr>
        <w:jc w:val="both"/>
        <w:rPr>
          <w:rFonts w:ascii="Times New Roman" w:hAnsi="Times New Roman"/>
          <w:bCs/>
        </w:rPr>
      </w:pPr>
      <w:r>
        <w:rPr>
          <w:bCs/>
        </w:rPr>
        <w:t xml:space="preserve"> </w:t>
      </w:r>
      <w:r>
        <w:rPr>
          <w:bCs/>
        </w:rPr>
        <w:t xml:space="preserve">Freezers: </w:t>
      </w:r>
    </w:p>
    <w:p>
      <w:pPr>
        <w:pStyle w:val="ListParagraph"/>
        <w:numPr>
          <w:ilvl w:val="0"/>
          <w:numId w:val="8"/>
        </w:numPr>
        <w:jc w:val="both"/>
        <w:rPr>
          <w:rFonts w:ascii="Times New Roman" w:hAnsi="Times New Roman"/>
          <w:bCs/>
        </w:rPr>
      </w:pPr>
      <w:r>
        <w:rPr>
          <w:bCs/>
        </w:rPr>
        <w:t xml:space="preserve">Chest Freezers </w:t>
      </w:r>
    </w:p>
    <w:p>
      <w:pPr>
        <w:pStyle w:val="ListParagraph"/>
        <w:numPr>
          <w:ilvl w:val="0"/>
          <w:numId w:val="8"/>
        </w:numPr>
        <w:jc w:val="both"/>
        <w:rPr>
          <w:rFonts w:ascii="Times New Roman" w:hAnsi="Times New Roman"/>
          <w:bCs/>
        </w:rPr>
      </w:pPr>
      <w:r>
        <w:rPr>
          <w:bCs/>
        </w:rPr>
        <w:t xml:space="preserve">Vertical Freezers </w:t>
      </w:r>
    </w:p>
    <w:p>
      <w:pPr>
        <w:pStyle w:val="Normal"/>
        <w:numPr>
          <w:ilvl w:val="0"/>
          <w:numId w:val="6"/>
        </w:numPr>
        <w:jc w:val="both"/>
        <w:rPr>
          <w:rFonts w:ascii="Times New Roman" w:hAnsi="Times New Roman"/>
          <w:bCs/>
        </w:rPr>
      </w:pPr>
      <w:r>
        <w:rPr>
          <w:bCs/>
        </w:rPr>
        <w:t xml:space="preserve"> </w:t>
      </w:r>
      <w:r>
        <w:rPr>
          <w:bCs/>
        </w:rPr>
        <w:t xml:space="preserve">Coolers: </w:t>
      </w:r>
    </w:p>
    <w:p>
      <w:pPr>
        <w:pStyle w:val="ListParagraph"/>
        <w:numPr>
          <w:ilvl w:val="0"/>
          <w:numId w:val="9"/>
        </w:numPr>
        <w:jc w:val="both"/>
        <w:rPr>
          <w:rFonts w:ascii="Times New Roman" w:hAnsi="Times New Roman"/>
          <w:bCs/>
        </w:rPr>
      </w:pPr>
      <w:r>
        <w:rPr>
          <w:bCs/>
        </w:rPr>
        <w:t xml:space="preserve">Chest Bottle Cooler </w:t>
      </w:r>
    </w:p>
    <w:p>
      <w:pPr>
        <w:pStyle w:val="ListParagraph"/>
        <w:numPr>
          <w:ilvl w:val="0"/>
          <w:numId w:val="9"/>
        </w:numPr>
        <w:jc w:val="both"/>
        <w:rPr>
          <w:rFonts w:ascii="Times New Roman" w:hAnsi="Times New Roman"/>
          <w:bCs/>
        </w:rPr>
      </w:pPr>
      <w:r>
        <w:rPr>
          <w:bCs/>
        </w:rPr>
        <w:t xml:space="preserve">Vertical Bottle Cooler </w:t>
      </w:r>
    </w:p>
    <w:p>
      <w:pPr>
        <w:pStyle w:val="Normal"/>
        <w:jc w:val="both"/>
        <w:rPr>
          <w:rFonts w:ascii="Times New Roman" w:hAnsi="Times New Roman"/>
          <w:b/>
          <w:b/>
        </w:rPr>
      </w:pPr>
      <w:r>
        <w:rPr>
          <w:b/>
        </w:rPr>
      </w:r>
    </w:p>
    <w:p>
      <w:pPr>
        <w:pStyle w:val="Normal"/>
        <w:jc w:val="both"/>
        <w:rPr>
          <w:rFonts w:ascii="Times New Roman" w:hAnsi="Times New Roman"/>
          <w:b/>
          <w:b/>
        </w:rPr>
      </w:pPr>
      <w:r>
        <w:rPr>
          <w:b/>
        </w:rPr>
      </w:r>
    </w:p>
    <w:p>
      <w:pPr>
        <w:pStyle w:val="Normal"/>
        <w:jc w:val="both"/>
        <w:rPr>
          <w:rFonts w:ascii="Times New Roman" w:hAnsi="Times New Roman"/>
          <w:bCs/>
        </w:rPr>
      </w:pPr>
      <w:r>
        <w:rPr>
          <w:bCs/>
        </w:rPr>
        <w:t xml:space="preserve">In year 2000, Lematic has received assistance under the Montreal Protocol in the refrigeration production sector through the conversion of the insulation foam blowing system, redesign of the refrigeration system prototype, performance testing, trial manufacturing and adaptation, reliability tests, and HFC 134a recovery/recycling at the repairing line within the plant only. The adopted alternatives were: </w:t>
      </w:r>
    </w:p>
    <w:p>
      <w:pPr>
        <w:pStyle w:val="Normal"/>
        <w:jc w:val="both"/>
        <w:rPr>
          <w:rFonts w:ascii="Times New Roman" w:hAnsi="Times New Roman"/>
          <w:bCs/>
        </w:rPr>
      </w:pPr>
      <w:r>
        <w:rPr>
          <w:bCs/>
        </w:rPr>
      </w:r>
    </w:p>
    <w:p>
      <w:pPr>
        <w:pStyle w:val="ListParagraph"/>
        <w:numPr>
          <w:ilvl w:val="0"/>
          <w:numId w:val="10"/>
        </w:numPr>
        <w:tabs>
          <w:tab w:val="left" w:pos="720" w:leader="none"/>
        </w:tabs>
        <w:jc w:val="both"/>
        <w:rPr>
          <w:rFonts w:ascii="Times New Roman" w:hAnsi="Times New Roman"/>
          <w:bCs/>
        </w:rPr>
      </w:pPr>
      <w:r>
        <w:rPr>
          <w:bCs/>
        </w:rPr>
        <w:t>Refrigerant: HFC-134a</w:t>
      </w:r>
    </w:p>
    <w:p>
      <w:pPr>
        <w:pStyle w:val="ListParagraph"/>
        <w:numPr>
          <w:ilvl w:val="0"/>
          <w:numId w:val="10"/>
        </w:numPr>
        <w:tabs>
          <w:tab w:val="left" w:pos="720" w:leader="none"/>
        </w:tabs>
        <w:jc w:val="both"/>
        <w:rPr>
          <w:rFonts w:ascii="Times New Roman" w:hAnsi="Times New Roman"/>
          <w:bCs/>
        </w:rPr>
      </w:pPr>
      <w:r>
        <w:rPr>
          <w:bCs/>
        </w:rPr>
        <w:t>Blowing Agent: Hydrocarbons   (Pentane)</w:t>
      </w:r>
    </w:p>
    <w:p>
      <w:pPr>
        <w:pStyle w:val="Normal"/>
        <w:widowControl/>
        <w:spacing w:before="0" w:after="0"/>
        <w:contextualSpacing/>
        <w:jc w:val="both"/>
        <w:rPr>
          <w:rFonts w:ascii="Times New Roman" w:hAnsi="Times New Roman"/>
          <w:b/>
          <w:b/>
        </w:rPr>
      </w:pPr>
      <w:r>
        <w:rPr>
          <w:b/>
        </w:rPr>
      </w:r>
    </w:p>
    <w:p>
      <w:pPr>
        <w:pStyle w:val="Normal"/>
        <w:widowControl/>
        <w:spacing w:before="0" w:after="0"/>
        <w:contextualSpacing/>
        <w:jc w:val="both"/>
        <w:rPr>
          <w:rFonts w:ascii="Times New Roman" w:hAnsi="Times New Roman"/>
          <w:b/>
          <w:b/>
        </w:rPr>
      </w:pPr>
      <w:r>
        <w:rPr>
          <w:b/>
        </w:rPr>
        <w:t>Funding Requirements</w:t>
      </w:r>
    </w:p>
    <w:p>
      <w:pPr>
        <w:pStyle w:val="Normal"/>
        <w:widowControl/>
        <w:spacing w:before="0" w:after="0"/>
        <w:contextualSpacing/>
        <w:jc w:val="both"/>
        <w:rPr>
          <w:rFonts w:ascii="Times New Roman" w:hAnsi="Times New Roman"/>
        </w:rPr>
      </w:pPr>
      <w:r>
        <w:rPr/>
        <w:t>The preparatory funds are requested for UNIDO, as follows:</w:t>
      </w:r>
    </w:p>
    <w:p>
      <w:pPr>
        <w:pStyle w:val="Normal"/>
        <w:widowControl/>
        <w:spacing w:before="0" w:after="0"/>
        <w:ind w:left="720" w:hanging="0"/>
        <w:contextualSpacing/>
        <w:jc w:val="both"/>
        <w:rPr>
          <w:rFonts w:ascii="Times New Roman" w:hAnsi="Times New Roman"/>
        </w:rPr>
      </w:pPr>
      <w:r>
        <w:rPr/>
        <w:t xml:space="preserve"> </w:t>
      </w:r>
    </w:p>
    <w:tbl>
      <w:tblPr>
        <w:tblW w:w="704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030"/>
        <w:gridCol w:w="1011"/>
      </w:tblGrid>
      <w:tr>
        <w:trPr>
          <w:trHeight w:val="360" w:hRule="atLeast"/>
        </w:trPr>
        <w:tc>
          <w:tcPr>
            <w:tcW w:w="60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Activities</w:t>
            </w:r>
          </w:p>
        </w:tc>
        <w:tc>
          <w:tcPr>
            <w:tcW w:w="101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Cost</w:t>
            </w:r>
          </w:p>
          <w:p>
            <w:pPr>
              <w:pStyle w:val="Normal"/>
              <w:widowControl w:val="false"/>
              <w:jc w:val="center"/>
              <w:rPr>
                <w:rFonts w:ascii="Times New Roman" w:hAnsi="Times New Roman"/>
                <w:b/>
                <w:b/>
                <w:color w:val="000000"/>
              </w:rPr>
            </w:pPr>
            <w:r>
              <w:rPr>
                <w:b/>
                <w:color w:val="000000"/>
              </w:rPr>
              <w:t>US$</w:t>
            </w:r>
          </w:p>
        </w:tc>
      </w:tr>
      <w:tr>
        <w:trPr>
          <w:trHeight w:val="360" w:hRule="atLeast"/>
        </w:trPr>
        <w:tc>
          <w:tcPr>
            <w:tcW w:w="603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Local activities (national expert, local travel costs, coordination meetings etc.)</w:t>
            </w:r>
          </w:p>
        </w:tc>
        <w:tc>
          <w:tcPr>
            <w:tcW w:w="1011"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15,000</w:t>
            </w:r>
          </w:p>
        </w:tc>
      </w:tr>
      <w:tr>
        <w:trPr>
          <w:trHeight w:val="360" w:hRule="atLeast"/>
        </w:trPr>
        <w:tc>
          <w:tcPr>
            <w:tcW w:w="603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consultant (project preparation and development)</w:t>
            </w:r>
          </w:p>
        </w:tc>
        <w:tc>
          <w:tcPr>
            <w:tcW w:w="1011"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10,000</w:t>
            </w:r>
          </w:p>
        </w:tc>
      </w:tr>
      <w:tr>
        <w:trPr>
          <w:trHeight w:val="360" w:hRule="atLeast"/>
        </w:trPr>
        <w:tc>
          <w:tcPr>
            <w:tcW w:w="603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travel costs (staff)</w:t>
            </w:r>
          </w:p>
        </w:tc>
        <w:tc>
          <w:tcPr>
            <w:tcW w:w="1011"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5,000</w:t>
            </w:r>
          </w:p>
        </w:tc>
      </w:tr>
      <w:tr>
        <w:trPr>
          <w:trHeight w:val="360" w:hRule="atLeast"/>
        </w:trPr>
        <w:tc>
          <w:tcPr>
            <w:tcW w:w="603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b/>
                <w:b/>
                <w:color w:val="000000"/>
              </w:rPr>
            </w:pPr>
            <w:r>
              <w:rPr>
                <w:b/>
                <w:color w:val="000000"/>
              </w:rPr>
              <w:t>TOTAL</w:t>
            </w:r>
          </w:p>
        </w:tc>
        <w:tc>
          <w:tcPr>
            <w:tcW w:w="1011"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b/>
                <w:b/>
                <w:color w:val="000000"/>
              </w:rPr>
            </w:pPr>
            <w:r>
              <w:rPr>
                <w:b/>
                <w:color w:val="000000"/>
              </w:rPr>
              <w:t>30,000</w:t>
            </w:r>
          </w:p>
        </w:tc>
      </w:tr>
    </w:tbl>
    <w:p>
      <w:pPr>
        <w:pStyle w:val="Normal"/>
        <w:ind w:left="720" w:hanging="0"/>
        <w:jc w:val="both"/>
        <w:rPr>
          <w:rFonts w:ascii="Times New Roman" w:hAnsi="Times New Roman"/>
        </w:rPr>
      </w:pPr>
      <w:r>
        <w:rPr/>
      </w:r>
    </w:p>
    <w:p>
      <w:pPr>
        <w:pStyle w:val="Normal"/>
        <w:widowControl/>
        <w:spacing w:before="0" w:after="0"/>
        <w:contextualSpacing/>
        <w:jc w:val="both"/>
        <w:rPr>
          <w:rFonts w:ascii="Times New Roman" w:hAnsi="Times New Roman"/>
          <w:b/>
          <w:b/>
        </w:rPr>
      </w:pPr>
      <w:r>
        <w:rPr>
          <w:b/>
        </w:rPr>
        <w:t>Activities to be undertaken to develop the umbrella project</w:t>
      </w:r>
    </w:p>
    <w:p>
      <w:pPr>
        <w:pStyle w:val="Normal"/>
        <w:jc w:val="both"/>
        <w:rPr>
          <w:rFonts w:ascii="Times New Roman" w:hAnsi="Times New Roman"/>
          <w:color w:val="000000"/>
        </w:rPr>
      </w:pPr>
      <w:r>
        <w:rPr>
          <w:color w:val="000000"/>
        </w:rPr>
      </w:r>
    </w:p>
    <w:p>
      <w:pPr>
        <w:pStyle w:val="Normal"/>
        <w:widowControl/>
        <w:numPr>
          <w:ilvl w:val="0"/>
          <w:numId w:val="4"/>
        </w:numPr>
        <w:spacing w:before="120" w:after="0"/>
        <w:contextualSpacing/>
        <w:jc w:val="both"/>
        <w:rPr>
          <w:rFonts w:ascii="Times New Roman" w:hAnsi="Times New Roman"/>
          <w:color w:val="000000"/>
        </w:rPr>
      </w:pPr>
      <w:r>
        <w:rPr>
          <w:color w:val="000000"/>
        </w:rPr>
        <w:t>Detailed data collection, verification and validation Lematic Industries.</w:t>
      </w:r>
    </w:p>
    <w:p>
      <w:pPr>
        <w:pStyle w:val="Normal"/>
        <w:widowControl/>
        <w:numPr>
          <w:ilvl w:val="0"/>
          <w:numId w:val="4"/>
        </w:numPr>
        <w:spacing w:before="120" w:after="0"/>
        <w:contextualSpacing/>
        <w:jc w:val="both"/>
        <w:rPr>
          <w:rFonts w:ascii="Times New Roman" w:hAnsi="Times New Roman"/>
          <w:color w:val="000000"/>
        </w:rPr>
      </w:pPr>
      <w:r>
        <w:rPr>
          <w:color w:val="000000"/>
        </w:rPr>
        <w:t>Cost assessment of conversion (ICC and IOC).</w:t>
      </w:r>
    </w:p>
    <w:p>
      <w:pPr>
        <w:pStyle w:val="Normal"/>
        <w:widowControl/>
        <w:numPr>
          <w:ilvl w:val="0"/>
          <w:numId w:val="4"/>
        </w:numPr>
        <w:spacing w:before="120" w:after="0"/>
        <w:contextualSpacing/>
        <w:jc w:val="both"/>
        <w:rPr>
          <w:rFonts w:ascii="Times New Roman" w:hAnsi="Times New Roman"/>
          <w:color w:val="000000"/>
        </w:rPr>
      </w:pPr>
      <w:r>
        <w:rPr>
          <w:color w:val="000000"/>
        </w:rPr>
        <w:t xml:space="preserve">Evaluation of the climate co-benefits of the selected alternative and possible interventions and related costs for additional climate benefits </w:t>
      </w:r>
    </w:p>
    <w:p>
      <w:pPr>
        <w:pStyle w:val="Normal"/>
        <w:widowControl/>
        <w:numPr>
          <w:ilvl w:val="0"/>
          <w:numId w:val="4"/>
        </w:numPr>
        <w:tabs>
          <w:tab w:val="clear" w:pos="720"/>
          <w:tab w:val="left" w:pos="1068" w:leader="none"/>
        </w:tabs>
        <w:spacing w:lineRule="atLeast" w:line="240" w:before="120" w:after="0"/>
        <w:contextualSpacing/>
        <w:jc w:val="both"/>
        <w:rPr>
          <w:rFonts w:ascii="Times New Roman" w:hAnsi="Times New Roman"/>
        </w:rPr>
      </w:pPr>
      <w:r>
        <w:rPr>
          <w:color w:val="000000"/>
        </w:rPr>
        <w:t>Preparation, review, endorsement and submission of the project document</w:t>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r>
    </w:p>
    <w:p>
      <w:pPr>
        <w:pStyle w:val="Normal"/>
        <w:widowControl/>
        <w:spacing w:lineRule="auto" w:line="276" w:before="0" w:after="200"/>
        <w:rPr>
          <w:rFonts w:ascii="Times New Roman" w:hAnsi="Times New Roman"/>
          <w:b/>
          <w:b/>
        </w:rPr>
      </w:pPr>
      <w:r>
        <w:rPr>
          <w:b/>
        </w:rPr>
      </w:r>
    </w:p>
    <w:p>
      <w:pPr>
        <w:pStyle w:val="Normal"/>
        <w:widowControl/>
        <w:spacing w:lineRule="auto" w:line="276" w:before="0" w:after="200"/>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t>PROJECT CONCEPT</w:t>
      </w:r>
    </w:p>
    <w:p>
      <w:pPr>
        <w:pStyle w:val="Normal"/>
        <w:tabs>
          <w:tab w:val="clear" w:pos="720"/>
          <w:tab w:val="left" w:pos="2790" w:leader="none"/>
        </w:tabs>
        <w:rPr>
          <w:rFonts w:ascii="Times New Roman" w:hAnsi="Times New Roman"/>
        </w:rPr>
      </w:pPr>
      <w:r>
        <w:rPr>
          <w:b/>
        </w:rPr>
        <w:t>Country:</w:t>
        <w:tab/>
      </w:r>
      <w:r>
        <w:rPr>
          <w:b/>
          <w:bCs/>
        </w:rPr>
        <w:t>Mexico</w:t>
      </w:r>
    </w:p>
    <w:p>
      <w:pPr>
        <w:pStyle w:val="Normal"/>
        <w:rPr>
          <w:rFonts w:ascii="Times New Roman" w:hAnsi="Times New Roman"/>
        </w:rPr>
      </w:pPr>
      <w:r>
        <w:rPr/>
      </w:r>
    </w:p>
    <w:p>
      <w:pPr>
        <w:pStyle w:val="Normal"/>
        <w:widowControl/>
        <w:tabs>
          <w:tab w:val="clear" w:pos="720"/>
          <w:tab w:val="left" w:pos="2790" w:leader="none"/>
        </w:tabs>
        <w:ind w:left="2790" w:hanging="2790"/>
        <w:jc w:val="both"/>
        <w:rPr>
          <w:rFonts w:ascii="Times New Roman" w:hAnsi="Times New Roman"/>
        </w:rPr>
      </w:pPr>
      <w:r>
        <w:rPr>
          <w:b/>
        </w:rPr>
        <w:t>Title:</w:t>
        <w:tab/>
      </w:r>
      <w:r>
        <w:rPr/>
        <w:t>Project preparation for HFC-related project in the manufacturing sector at Fersa enterprise to gain experience in ICCs and IOCs associated with the phase-down of HFCs</w:t>
      </w:r>
    </w:p>
    <w:p>
      <w:pPr>
        <w:pStyle w:val="Normal"/>
        <w:widowControl/>
        <w:ind w:left="1418" w:hanging="1418"/>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Project Duration:</w:t>
      </w:r>
      <w:r>
        <w:rPr/>
        <w:tab/>
        <w:t>12 months</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b/>
          <w:b/>
        </w:rPr>
      </w:pPr>
      <w:r>
        <w:rPr>
          <w:b/>
        </w:rPr>
        <w:t>Project Budget:</w:t>
        <w:tab/>
      </w:r>
      <w:r>
        <w:rPr/>
        <w:t>US$ 30,000</w:t>
      </w:r>
      <w:r>
        <w:rPr>
          <w:b/>
        </w:rPr>
        <w:t xml:space="preserve"> </w:t>
      </w:r>
      <w:r>
        <w:rPr/>
        <w:t>(</w:t>
      </w:r>
      <w:r>
        <w:rPr>
          <w:lang w:val="en-GB"/>
        </w:rPr>
        <w:t xml:space="preserve">excl. 7.0% Agency Support Costs) </w:t>
      </w:r>
    </w:p>
    <w:p>
      <w:pPr>
        <w:pStyle w:val="Normal"/>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Implementing Agency:</w:t>
      </w:r>
      <w:r>
        <w:rPr/>
        <w:tab/>
        <w:t>UNIDO</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rPr>
      </w:pPr>
      <w:r>
        <w:rPr>
          <w:b/>
        </w:rPr>
        <w:t>Coordinating Agency:</w:t>
        <w:tab/>
      </w:r>
      <w:r>
        <w:rPr>
          <w:lang w:val="en-GB"/>
        </w:rPr>
        <w:t>SEMARNAT</w:t>
      </w:r>
      <w:r>
        <w:rPr/>
        <w:t xml:space="preserve"> - </w:t>
      </w:r>
      <w:r>
        <w:rPr>
          <w:lang w:val="en-GB"/>
        </w:rPr>
        <w:t>National Ozone Unit</w:t>
      </w:r>
    </w:p>
    <w:p>
      <w:pPr>
        <w:pStyle w:val="Normal"/>
        <w:spacing w:lineRule="exact" w:line="19"/>
        <w:rPr>
          <w:rFonts w:ascii="Times New Roman" w:hAnsi="Times New Roman"/>
        </w:rPr>
      </w:pPr>
      <w:r>
        <w:rPr/>
      </w:r>
    </w:p>
    <w:p>
      <w:pPr>
        <w:pStyle w:val="Normal"/>
        <w:ind w:left="720" w:hanging="0"/>
        <w:rPr>
          <w:rFonts w:ascii="Times New Roman" w:hAnsi="Times New Roman"/>
        </w:rPr>
      </w:pPr>
      <w:r>
        <w:rPr/>
        <mc:AlternateContent>
          <mc:Choice Requires="wps">
            <w:drawing>
              <wp:anchor behindDoc="0" distT="0" distB="19050" distL="0" distR="23495" simplePos="0" locked="0" layoutInCell="0" allowOverlap="1" relativeHeight="13" wp14:anchorId="68C6EF40">
                <wp:simplePos x="0" y="0"/>
                <wp:positionH relativeFrom="column">
                  <wp:posOffset>17780</wp:posOffset>
                </wp:positionH>
                <wp:positionV relativeFrom="paragraph">
                  <wp:posOffset>154305</wp:posOffset>
                </wp:positionV>
                <wp:extent cx="5996305" cy="0"/>
                <wp:effectExtent l="5080" t="5080" r="5080" b="5080"/>
                <wp:wrapNone/>
                <wp:docPr id="9" name="Straight Connector 7"/>
                <a:graphic xmlns:a="http://schemas.openxmlformats.org/drawingml/2006/main">
                  <a:graphicData uri="http://schemas.microsoft.com/office/word/2010/wordprocessingShape">
                    <wps:wsp>
                      <wps:cNvSpPr/>
                      <wps:spPr>
                        <a:xfrm>
                          <a:off x="0" y="0"/>
                          <a:ext cx="5996160" cy="0"/>
                        </a:xfrm>
                        <a:prstGeom prst="line">
                          <a:avLst/>
                        </a:prstGeom>
                        <a:ln>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4pt,12.15pt" to="473.5pt,12.15pt" ID="Straight Connector 7" stroked="t" o:allowincell="f" style="position:absolute" wp14:anchorId="68C6EF40">
                <v:stroke color="black" weight="9360" joinstyle="round" endcap="flat"/>
                <v:fill o:detectmouseclick="t" on="false"/>
                <w10:wrap type="none"/>
              </v:line>
            </w:pict>
          </mc:Fallback>
        </mc:AlternateContent>
      </w:r>
    </w:p>
    <w:p>
      <w:pPr>
        <w:pStyle w:val="Normal"/>
        <w:tabs>
          <w:tab w:val="clear" w:pos="720"/>
          <w:tab w:val="center" w:pos="4513" w:leader="none"/>
        </w:tabs>
        <w:rPr>
          <w:rFonts w:ascii="Times New Roman" w:hAnsi="Times New Roman"/>
        </w:rPr>
      </w:pPr>
      <w:r>
        <w:rPr/>
        <w:tab/>
      </w:r>
    </w:p>
    <w:p>
      <w:pPr>
        <w:pStyle w:val="Normal"/>
        <w:tabs>
          <w:tab w:val="clear" w:pos="720"/>
          <w:tab w:val="center" w:pos="4513" w:leader="none"/>
        </w:tabs>
        <w:jc w:val="center"/>
        <w:rPr>
          <w:rFonts w:ascii="Times New Roman" w:hAnsi="Times New Roman"/>
          <w:b/>
          <w:b/>
          <w:bCs/>
          <w:lang w:val="en-GB"/>
        </w:rPr>
      </w:pPr>
      <w:r>
        <w:rPr>
          <w:b/>
          <w:bCs/>
          <w:lang w:val="en-GB"/>
        </w:rPr>
        <w:t>Project Summary</w:t>
      </w:r>
    </w:p>
    <w:p>
      <w:pPr>
        <w:pStyle w:val="Normal"/>
        <w:jc w:val="center"/>
        <w:rPr>
          <w:rFonts w:ascii="Times New Roman" w:hAnsi="Times New Roman"/>
          <w:b/>
          <w:b/>
        </w:rPr>
      </w:pPr>
      <w:r>
        <w:rPr>
          <w:b/>
        </w:rPr>
      </w:r>
    </w:p>
    <w:p>
      <w:pPr>
        <w:pStyle w:val="Normal"/>
        <w:widowControl/>
        <w:jc w:val="both"/>
        <w:rPr>
          <w:rFonts w:ascii="Times New Roman" w:hAnsi="Times New Roman"/>
          <w:lang w:val="en-GB"/>
        </w:rPr>
      </w:pPr>
      <w:r>
        <w:rPr/>
        <w:t>T</w:t>
      </w:r>
      <w:r>
        <w:rPr>
          <w:lang w:val="en-GB"/>
        </w:rPr>
        <w:t>he Executive Committee has decided in Decision 78/3 (g) “</w:t>
      </w:r>
      <w:r>
        <w:rPr>
          <w:i/>
          <w:lang w:val="en-GB"/>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Pr>
          <w:lang w:val="en-GB"/>
        </w:rPr>
        <w:t>”</w:t>
      </w:r>
    </w:p>
    <w:p>
      <w:pPr>
        <w:pStyle w:val="Normal"/>
        <w:widowControl/>
        <w:jc w:val="both"/>
        <w:rPr>
          <w:rFonts w:ascii="Times New Roman" w:hAnsi="Times New Roman"/>
          <w:lang w:val="en-GB"/>
        </w:rPr>
      </w:pPr>
      <w:r>
        <w:rPr>
          <w:lang w:val="en-GB"/>
        </w:rPr>
      </w:r>
    </w:p>
    <w:p>
      <w:pPr>
        <w:pStyle w:val="Normal"/>
        <w:widowControl/>
        <w:jc w:val="both"/>
        <w:rPr>
          <w:rFonts w:ascii="Times New Roman" w:hAnsi="Times New Roman"/>
          <w:lang w:val="en-GB"/>
        </w:rPr>
      </w:pPr>
      <w:r>
        <w:rPr>
          <w:lang w:val="en-GB"/>
        </w:rPr>
        <w:t xml:space="preserve">In response to that above decision, UNIDO has received an official request from the Government of Mexico for the preparation of an investment project in the manufacturing sector in order to convert from HFCs to low-GWP alternatives and to gain relevant experience in the commercialization of </w:t>
      </w:r>
      <w:r>
        <w:rPr>
          <w:rFonts w:eastAsia="MS Mincho"/>
          <w:lang w:eastAsia="ja-JP"/>
        </w:rPr>
        <w:t>low-GWP alternatives and</w:t>
      </w:r>
      <w:r>
        <w:rPr>
          <w:lang w:val="en-GB"/>
        </w:rPr>
        <w:t xml:space="preserve"> the associated ICCs and IOCs.</w:t>
      </w:r>
    </w:p>
    <w:p>
      <w:pPr>
        <w:pStyle w:val="Normal"/>
        <w:tabs>
          <w:tab w:val="clear" w:pos="720"/>
          <w:tab w:val="left" w:pos="-1440" w:leader="none"/>
        </w:tabs>
        <w:jc w:val="both"/>
        <w:rPr>
          <w:rFonts w:ascii="Times New Roman" w:hAnsi="Times New Roman"/>
          <w:lang w:val="en-GB"/>
        </w:rPr>
      </w:pPr>
      <w:r>
        <w:rPr>
          <w:lang w:val="en-GB"/>
        </w:rPr>
      </w:r>
    </w:p>
    <w:p>
      <w:pPr>
        <w:pStyle w:val="Normal"/>
        <w:widowControl/>
        <w:jc w:val="both"/>
        <w:rPr>
          <w:rFonts w:ascii="Times New Roman" w:hAnsi="Times New Roman" w:eastAsia="MS Mincho"/>
          <w:lang w:eastAsia="ja-JP"/>
        </w:rPr>
      </w:pPr>
      <w:r>
        <w:rPr>
          <w:rFonts w:eastAsia="MS Mincho"/>
          <w:lang w:eastAsia="ja-JP"/>
        </w:rPr>
        <w:t>Mexico was one of the proponents of the HFC phase-down under the Montreal Protocol and is planning to ratify the Kigali Amendment by July 2018.</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widowControl/>
        <w:jc w:val="both"/>
        <w:rPr>
          <w:rFonts w:ascii="Times New Roman" w:hAnsi="Times New Roman" w:eastAsia="MS Mincho"/>
          <w:lang w:eastAsia="ja-JP"/>
        </w:rPr>
      </w:pPr>
      <w:r>
        <w:rPr>
          <w:rFonts w:eastAsia="MS Mincho"/>
          <w:lang w:eastAsia="ja-JP"/>
        </w:rPr>
        <w:t>Fersa company has been identified, which would be willing to initiate early actions and convert from HFCs to low-GWP alternatives in the commercial refrigeration sector, where alternative technology is mature and readily available, in order to gain experience in ICCs and IOCs.</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jc w:val="both"/>
        <w:rPr>
          <w:rFonts w:ascii="Times New Roman" w:hAnsi="Times New Roman" w:eastAsia="MS Mincho"/>
          <w:lang w:eastAsia="ja-JP"/>
        </w:rPr>
      </w:pPr>
      <w:r>
        <w:rPr>
          <w:rFonts w:eastAsia="MS Mincho"/>
          <w:lang w:eastAsia="ja-JP"/>
        </w:rPr>
        <w:t>The strategy followed by Mexico is based on the following criteria and priorities:</w:t>
      </w:r>
    </w:p>
    <w:p>
      <w:pPr>
        <w:pStyle w:val="Normal"/>
        <w:widowControl/>
        <w:numPr>
          <w:ilvl w:val="0"/>
          <w:numId w:val="14"/>
        </w:numPr>
        <w:spacing w:lineRule="atLeast" w:line="260"/>
        <w:ind w:left="450" w:hanging="180"/>
        <w:jc w:val="both"/>
        <w:rPr>
          <w:rFonts w:ascii="Times New Roman" w:hAnsi="Times New Roman" w:eastAsia="MS Mincho"/>
          <w:lang w:eastAsia="ja-JP"/>
        </w:rPr>
      </w:pPr>
      <w:r>
        <w:rPr>
          <w:rFonts w:eastAsia="MS Mincho"/>
          <w:lang w:eastAsia="ja-JP"/>
        </w:rPr>
        <w:t>Application of well-known, affordable, available and widely used replacement alternatives and related technologies, while supporting efforts for identification and selection of such alternatives.</w:t>
      </w:r>
    </w:p>
    <w:p>
      <w:pPr>
        <w:pStyle w:val="Normal"/>
        <w:widowControl/>
        <w:numPr>
          <w:ilvl w:val="0"/>
          <w:numId w:val="14"/>
        </w:numPr>
        <w:spacing w:lineRule="atLeast" w:line="260"/>
        <w:ind w:left="450" w:hanging="180"/>
        <w:jc w:val="both"/>
        <w:rPr>
          <w:rFonts w:ascii="Times New Roman" w:hAnsi="Times New Roman" w:eastAsia="MS Mincho"/>
          <w:lang w:eastAsia="ja-JP"/>
        </w:rPr>
      </w:pPr>
      <w:r>
        <w:rPr>
          <w:rFonts w:eastAsia="MS Mincho"/>
          <w:lang w:eastAsia="ja-JP"/>
        </w:rPr>
        <w:t>To start phasing-down HFCs in those HFC consuming manufacturing sectors, where low-GWP and mature alternatives are available.</w:t>
      </w:r>
    </w:p>
    <w:p>
      <w:pPr>
        <w:pStyle w:val="Normal"/>
        <w:widowControl/>
        <w:numPr>
          <w:ilvl w:val="0"/>
          <w:numId w:val="14"/>
        </w:numPr>
        <w:spacing w:lineRule="atLeast" w:line="260"/>
        <w:ind w:left="450" w:hanging="180"/>
        <w:jc w:val="both"/>
        <w:rPr>
          <w:rFonts w:ascii="Times New Roman" w:hAnsi="Times New Roman" w:eastAsia="MS Mincho"/>
          <w:lang w:eastAsia="ja-JP"/>
        </w:rPr>
      </w:pPr>
      <w:r>
        <w:rPr>
          <w:rFonts w:eastAsia="MS Mincho"/>
          <w:lang w:eastAsia="ja-JP"/>
        </w:rPr>
        <w:t xml:space="preserve">Through adoption of appropriate alternative technologies, limit climate and adverse environmental impact of the converted enterprise and comply with safety, economic and sustainability requirements. </w:t>
      </w:r>
    </w:p>
    <w:p>
      <w:pPr>
        <w:pStyle w:val="Normal"/>
        <w:widowControl/>
        <w:jc w:val="both"/>
        <w:rPr>
          <w:rFonts w:ascii="Times New Roman" w:hAnsi="Times New Roman" w:eastAsia="MS Mincho"/>
          <w:b/>
          <w:b/>
          <w:lang w:eastAsia="ja-JP"/>
        </w:rPr>
      </w:pPr>
      <w:r>
        <w:rPr>
          <w:rFonts w:eastAsia="MS Mincho"/>
          <w:b/>
          <w:lang w:eastAsia="ja-JP"/>
        </w:rPr>
      </w:r>
    </w:p>
    <w:p>
      <w:pPr>
        <w:pStyle w:val="Normal"/>
        <w:widowControl/>
        <w:spacing w:lineRule="auto" w:line="276" w:before="0" w:after="200"/>
        <w:rPr>
          <w:rFonts w:ascii="Times New Roman" w:hAnsi="Times New Roman" w:eastAsia="MS Mincho"/>
          <w:b/>
          <w:b/>
          <w:lang w:eastAsia="ja-JP"/>
        </w:rPr>
      </w:pPr>
      <w:r>
        <w:rPr>
          <w:rFonts w:eastAsia="MS Mincho"/>
          <w:b/>
          <w:lang w:eastAsia="ja-JP"/>
        </w:rPr>
      </w:r>
      <w:r>
        <w:br w:type="page"/>
      </w:r>
    </w:p>
    <w:p>
      <w:pPr>
        <w:pStyle w:val="Normal"/>
        <w:widowControl/>
        <w:jc w:val="both"/>
        <w:rPr>
          <w:rFonts w:ascii="Times New Roman" w:hAnsi="Times New Roman" w:eastAsia="MS Mincho"/>
          <w:b/>
          <w:b/>
          <w:lang w:eastAsia="ja-JP"/>
        </w:rPr>
      </w:pPr>
      <w:r>
        <w:rPr>
          <w:rFonts w:eastAsia="MS Mincho"/>
          <w:b/>
          <w:lang w:eastAsia="ja-JP"/>
        </w:rPr>
        <w:t>Background on Fersa</w:t>
      </w:r>
    </w:p>
    <w:p>
      <w:pPr>
        <w:pStyle w:val="Normal"/>
        <w:widowControl/>
        <w:jc w:val="both"/>
        <w:rPr>
          <w:rFonts w:ascii="Times New Roman" w:hAnsi="Times New Roman" w:eastAsia="MS Mincho"/>
          <w:lang w:eastAsia="ja-JP"/>
        </w:rPr>
      </w:pPr>
      <w:r>
        <w:rPr>
          <w:rFonts w:eastAsia="MS Mincho"/>
          <w:lang w:eastAsia="ja-JP"/>
        </w:rPr>
      </w:r>
    </w:p>
    <w:p>
      <w:pPr>
        <w:pStyle w:val="Normal"/>
        <w:spacing w:beforeAutospacing="1" w:after="240"/>
        <w:jc w:val="both"/>
        <w:rPr>
          <w:rFonts w:ascii="Times New Roman" w:hAnsi="Times New Roman" w:eastAsia="MS Mincho"/>
          <w:lang w:eastAsia="ja-JP"/>
        </w:rPr>
      </w:pPr>
      <w:r>
        <w:rPr>
          <w:rFonts w:eastAsia="MS Mincho"/>
          <w:lang w:eastAsia="ja-JP"/>
        </w:rPr>
        <w:t xml:space="preserve">FERSA is 100% Mexican-owned enterprise and manufactures self-contained commercial refrigeration equipment (self-contained equipment, is one that incorporates the condensing unit as its part), such as glass door refrigerators, show cases, solid door refrigerators, solid door freezers, display cases, glass door freezers. </w:t>
      </w:r>
    </w:p>
    <w:p>
      <w:pPr>
        <w:pStyle w:val="Normal"/>
        <w:jc w:val="both"/>
        <w:rPr>
          <w:rFonts w:ascii="Times New Roman" w:hAnsi="Times New Roman" w:eastAsia="MS Mincho"/>
          <w:lang w:eastAsia="ja-JP"/>
        </w:rPr>
      </w:pPr>
      <w:r>
        <w:rPr>
          <w:rFonts w:eastAsia="MS Mincho"/>
          <w:lang w:eastAsia="ja-JP"/>
        </w:rPr>
        <w:t xml:space="preserve">The company uses metal mechanical process for cabinets with cyclopentane PU insulation. The refrigerants used are R134a and R404a. </w:t>
      </w:r>
    </w:p>
    <w:p>
      <w:pPr>
        <w:pStyle w:val="Normal"/>
        <w:rPr>
          <w:rFonts w:ascii="Times New Roman" w:hAnsi="Times New Roman" w:eastAsia="MS Mincho"/>
          <w:lang w:eastAsia="ja-JP"/>
        </w:rPr>
      </w:pPr>
      <w:r>
        <w:rPr>
          <w:rFonts w:eastAsia="MS Mincho"/>
          <w:lang w:eastAsia="ja-JP"/>
        </w:rPr>
      </w:r>
    </w:p>
    <w:p>
      <w:pPr>
        <w:pStyle w:val="Normal"/>
        <w:rPr>
          <w:rFonts w:ascii="Times New Roman" w:hAnsi="Times New Roman" w:eastAsia="MS Mincho"/>
          <w:lang w:eastAsia="ja-JP"/>
        </w:rPr>
      </w:pPr>
      <w:r>
        <w:rPr>
          <w:rFonts w:eastAsia="MS Mincho"/>
          <w:lang w:eastAsia="ja-JP"/>
        </w:rPr>
      </w:r>
    </w:p>
    <w:tbl>
      <w:tblPr>
        <w:tblStyle w:val="TableGrid"/>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292"/>
        <w:gridCol w:w="5067"/>
      </w:tblGrid>
      <w:tr>
        <w:trPr/>
        <w:tc>
          <w:tcPr>
            <w:tcW w:w="4292" w:type="dxa"/>
            <w:tcBorders/>
          </w:tcPr>
          <w:p>
            <w:pPr>
              <w:pStyle w:val="Normal"/>
              <w:widowControl w:val="false"/>
              <w:spacing w:before="0" w:after="0"/>
              <w:jc w:val="center"/>
              <w:rPr>
                <w:rFonts w:ascii="Times New Roman" w:hAnsi="Times New Roman" w:eastAsia="MS Mincho"/>
                <w:b/>
                <w:b/>
                <w:lang w:eastAsia="ja-JP"/>
              </w:rPr>
            </w:pPr>
            <w:r>
              <w:rPr>
                <w:rFonts w:eastAsia="MS Mincho"/>
                <w:b/>
                <w:kern w:val="0"/>
                <w:lang w:val="en-US" w:eastAsia="ja-JP" w:bidi="ar-SA"/>
              </w:rPr>
              <w:t>Item</w:t>
            </w:r>
          </w:p>
        </w:tc>
        <w:tc>
          <w:tcPr>
            <w:tcW w:w="5067" w:type="dxa"/>
            <w:tcBorders/>
          </w:tcPr>
          <w:p>
            <w:pPr>
              <w:pStyle w:val="Normal"/>
              <w:widowControl w:val="false"/>
              <w:spacing w:before="0" w:after="0"/>
              <w:jc w:val="center"/>
              <w:rPr>
                <w:rFonts w:ascii="Times New Roman" w:hAnsi="Times New Roman" w:eastAsia="MS Mincho"/>
                <w:b/>
                <w:b/>
                <w:lang w:eastAsia="ja-JP"/>
              </w:rPr>
            </w:pPr>
            <w:r>
              <w:rPr>
                <w:rFonts w:eastAsia="MS Mincho"/>
                <w:b/>
                <w:kern w:val="0"/>
                <w:lang w:val="en-US" w:eastAsia="ja-JP" w:bidi="ar-SA"/>
              </w:rPr>
              <w:t>Fersa</w:t>
            </w:r>
          </w:p>
        </w:tc>
      </w:tr>
      <w:tr>
        <w:trPr/>
        <w:tc>
          <w:tcPr>
            <w:tcW w:w="4292"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Maximum charge R-134a</w:t>
            </w:r>
          </w:p>
        </w:tc>
        <w:tc>
          <w:tcPr>
            <w:tcW w:w="5067"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530g (manual) - 600g (machine)</w:t>
            </w:r>
          </w:p>
        </w:tc>
      </w:tr>
      <w:tr>
        <w:trPr/>
        <w:tc>
          <w:tcPr>
            <w:tcW w:w="4292"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Maximum charge R-404a</w:t>
            </w:r>
          </w:p>
        </w:tc>
        <w:tc>
          <w:tcPr>
            <w:tcW w:w="5067"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1,125g (manual)</w:t>
            </w:r>
          </w:p>
        </w:tc>
      </w:tr>
      <w:tr>
        <w:trPr/>
        <w:tc>
          <w:tcPr>
            <w:tcW w:w="4292"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Number of units produced HFC consumption in 2016</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R-134a based:</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R-404a based:</w:t>
            </w:r>
          </w:p>
        </w:tc>
        <w:tc>
          <w:tcPr>
            <w:tcW w:w="5067"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en-US" w:bidi="ar-SA"/>
              </w:rPr>
            </w:r>
          </w:p>
          <w:p>
            <w:pPr>
              <w:pStyle w:val="Normal"/>
              <w:widowControl w:val="false"/>
              <w:spacing w:before="0" w:after="0"/>
              <w:jc w:val="left"/>
              <w:rPr>
                <w:rFonts w:ascii="Times New Roman" w:hAnsi="Times New Roman" w:eastAsia="MS Mincho"/>
                <w:lang w:eastAsia="ja-JP"/>
              </w:rPr>
            </w:pPr>
            <w:r>
              <w:rPr>
                <w:rFonts w:eastAsia="MS Mincho"/>
                <w:kern w:val="0"/>
                <w:lang w:val="en-US" w:eastAsia="en-US" w:bidi="ar-SA"/>
              </w:rPr>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19,744 units      11,116 kg of R134a</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2,243 units          2,094 kg of R404a</w:t>
            </w:r>
          </w:p>
        </w:tc>
      </w:tr>
    </w:tbl>
    <w:p>
      <w:pPr>
        <w:pStyle w:val="Normal"/>
        <w:rPr>
          <w:rFonts w:ascii="Times New Roman" w:hAnsi="Times New Roman" w:eastAsia="MS Mincho"/>
          <w:lang w:eastAsia="ja-JP"/>
        </w:rPr>
      </w:pPr>
      <w:r>
        <w:rPr>
          <w:rFonts w:eastAsia="MS Mincho"/>
          <w:lang w:eastAsia="ja-JP"/>
        </w:rPr>
      </w:r>
    </w:p>
    <w:p>
      <w:pPr>
        <w:pStyle w:val="Normal"/>
        <w:jc w:val="both"/>
        <w:rPr>
          <w:rFonts w:ascii="Times New Roman" w:hAnsi="Times New Roman" w:eastAsia="MS Mincho"/>
          <w:lang w:eastAsia="ja-JP"/>
        </w:rPr>
      </w:pPr>
      <w:r>
        <w:rPr>
          <w:rFonts w:eastAsia="MS Mincho"/>
          <w:lang w:eastAsia="ja-JP"/>
        </w:rPr>
        <w:t>In the framework of the proposed project, it is planned that the R134a based products will be converted to R290 and there will be an attempt to replace R-404a as well.</w:t>
      </w:r>
    </w:p>
    <w:p>
      <w:pPr>
        <w:pStyle w:val="Normal"/>
        <w:spacing w:beforeAutospacing="1" w:after="240"/>
        <w:jc w:val="both"/>
        <w:rPr>
          <w:rFonts w:ascii="Times New Roman" w:hAnsi="Times New Roman" w:eastAsia="MS Mincho"/>
          <w:b/>
          <w:b/>
          <w:lang w:eastAsia="ja-JP"/>
        </w:rPr>
      </w:pPr>
      <w:r>
        <w:rPr>
          <w:rFonts w:eastAsia="MS Mincho"/>
          <w:b/>
          <w:lang w:eastAsia="ja-JP"/>
        </w:rPr>
        <w:t>Standards compliance for the use of hydrocarbons as refrigerant</w:t>
      </w:r>
    </w:p>
    <w:p>
      <w:pPr>
        <w:pStyle w:val="Normal"/>
        <w:spacing w:beforeAutospacing="1" w:after="240"/>
        <w:jc w:val="both"/>
        <w:rPr>
          <w:rFonts w:ascii="Times New Roman" w:hAnsi="Times New Roman" w:eastAsia="MS Mincho"/>
          <w:lang w:eastAsia="ja-JP"/>
        </w:rPr>
      </w:pPr>
      <w:r>
        <w:rPr>
          <w:rFonts w:eastAsia="MS Mincho"/>
          <w:lang w:eastAsia="ja-JP"/>
        </w:rPr>
        <w:t xml:space="preserve">For R290 refrigerant, the recommended charge limit is 150 grams, according to standard IEC 60335-2-89. It is to be noted however, that the amount of R290 refrigerant charged into the appliance only around 40%-50% of the same for R134a. </w:t>
      </w:r>
    </w:p>
    <w:p>
      <w:pPr>
        <w:pStyle w:val="Normal"/>
        <w:spacing w:beforeAutospacing="1" w:after="240"/>
        <w:jc w:val="both"/>
        <w:rPr>
          <w:rFonts w:ascii="Times New Roman" w:hAnsi="Times New Roman" w:eastAsia="MS Mincho"/>
          <w:lang w:eastAsia="ja-JP"/>
        </w:rPr>
      </w:pPr>
      <w:r>
        <w:rPr>
          <w:rFonts w:eastAsia="MS Mincho"/>
          <w:lang w:eastAsia="ja-JP"/>
        </w:rPr>
        <w:t>The manufacturing facility for charging and handling of R290 refrigerant is designed and manufactured specifically to prevent explosions of refrigerant during the manufacturing process.</w:t>
      </w:r>
    </w:p>
    <w:p>
      <w:pPr>
        <w:pStyle w:val="Normal"/>
        <w:spacing w:beforeAutospacing="1" w:after="240"/>
        <w:jc w:val="both"/>
        <w:rPr>
          <w:rFonts w:ascii="Times New Roman" w:hAnsi="Times New Roman" w:eastAsia="MS Mincho"/>
          <w:lang w:eastAsia="ja-JP"/>
        </w:rPr>
      </w:pPr>
      <w:r>
        <w:rPr>
          <w:rFonts w:eastAsia="MS Mincho"/>
          <w:lang w:eastAsia="ja-JP"/>
        </w:rPr>
        <w:t>Use of R744 needs reinforced components of the refrigerant system and special manufacturing facilities, to handle the high pressure of the refrigerant. The maintenance and servicing of appliances using both types of refrigerants must be performed by qualified personnel.</w:t>
      </w:r>
    </w:p>
    <w:p>
      <w:pPr>
        <w:pStyle w:val="Normal"/>
        <w:spacing w:beforeAutospacing="1" w:after="240"/>
        <w:jc w:val="both"/>
        <w:rPr>
          <w:rFonts w:ascii="Times New Roman" w:hAnsi="Times New Roman" w:eastAsia="MS Mincho"/>
          <w:lang w:eastAsia="ja-JP"/>
        </w:rPr>
      </w:pPr>
      <w:r>
        <w:rPr>
          <w:rFonts w:eastAsia="MS Mincho"/>
          <w:lang w:eastAsia="ja-JP"/>
        </w:rPr>
        <w:t>In Mexico, there are no regulations for R290 and R744. Development of more equipment is limited by the availability and variety of specialized compressors, however compressors for R290 are easy to find and the range of R744 is developing rapidly.</w:t>
      </w:r>
    </w:p>
    <w:p>
      <w:pPr>
        <w:pStyle w:val="Normal"/>
        <w:widowControl/>
        <w:spacing w:before="0" w:after="0"/>
        <w:contextualSpacing/>
        <w:jc w:val="both"/>
        <w:rPr>
          <w:rFonts w:ascii="Times New Roman" w:hAnsi="Times New Roman"/>
          <w:b/>
          <w:b/>
        </w:rPr>
      </w:pPr>
      <w:r>
        <w:rPr>
          <w:b/>
        </w:rPr>
        <w:t>Funding Requirements</w:t>
      </w:r>
    </w:p>
    <w:p>
      <w:pPr>
        <w:pStyle w:val="Normal"/>
        <w:widowControl/>
        <w:spacing w:before="0" w:after="0"/>
        <w:contextualSpacing/>
        <w:jc w:val="both"/>
        <w:rPr>
          <w:rFonts w:ascii="Times New Roman" w:hAnsi="Times New Roman"/>
        </w:rPr>
      </w:pPr>
      <w:r>
        <w:rPr/>
      </w:r>
    </w:p>
    <w:p>
      <w:pPr>
        <w:pStyle w:val="Normal"/>
        <w:widowControl/>
        <w:spacing w:before="0" w:after="0"/>
        <w:contextualSpacing/>
        <w:jc w:val="both"/>
        <w:rPr>
          <w:rFonts w:ascii="Times New Roman" w:hAnsi="Times New Roman"/>
        </w:rPr>
      </w:pPr>
      <w:r>
        <w:rPr/>
        <w:t>The preparatory funds are requested for UNIDO, as follows:</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8014"/>
        <w:gridCol w:w="1345"/>
      </w:tblGrid>
      <w:tr>
        <w:trPr>
          <w:trHeight w:val="360" w:hRule="atLeast"/>
        </w:trPr>
        <w:tc>
          <w:tcPr>
            <w:tcW w:w="80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Activities</w:t>
            </w:r>
          </w:p>
        </w:tc>
        <w:tc>
          <w:tcPr>
            <w:tcW w:w="1345"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Cost - US$</w:t>
            </w:r>
          </w:p>
        </w:tc>
      </w:tr>
      <w:tr>
        <w:trPr>
          <w:trHeight w:val="360" w:hRule="atLeast"/>
        </w:trPr>
        <w:tc>
          <w:tcPr>
            <w:tcW w:w="801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Local activities (national expert, local travel costs, coordination meetings etc.)</w:t>
            </w:r>
          </w:p>
        </w:tc>
        <w:tc>
          <w:tcPr>
            <w:tcW w:w="1345"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5,000</w:t>
            </w:r>
          </w:p>
        </w:tc>
      </w:tr>
      <w:tr>
        <w:trPr>
          <w:trHeight w:val="360" w:hRule="atLeast"/>
        </w:trPr>
        <w:tc>
          <w:tcPr>
            <w:tcW w:w="801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consultant (project preparation and development)</w:t>
            </w:r>
          </w:p>
        </w:tc>
        <w:tc>
          <w:tcPr>
            <w:tcW w:w="1345"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18,000</w:t>
            </w:r>
          </w:p>
        </w:tc>
      </w:tr>
      <w:tr>
        <w:trPr>
          <w:trHeight w:val="360" w:hRule="atLeast"/>
        </w:trPr>
        <w:tc>
          <w:tcPr>
            <w:tcW w:w="801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travel costs (staff)</w:t>
            </w:r>
          </w:p>
        </w:tc>
        <w:tc>
          <w:tcPr>
            <w:tcW w:w="1345"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7,000</w:t>
            </w:r>
          </w:p>
        </w:tc>
      </w:tr>
      <w:tr>
        <w:trPr>
          <w:trHeight w:val="360" w:hRule="atLeast"/>
        </w:trPr>
        <w:tc>
          <w:tcPr>
            <w:tcW w:w="801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b/>
                <w:b/>
                <w:color w:val="000000"/>
              </w:rPr>
            </w:pPr>
            <w:r>
              <w:rPr>
                <w:b/>
                <w:color w:val="000000"/>
              </w:rPr>
              <w:t>TOTAL</w:t>
            </w:r>
          </w:p>
        </w:tc>
        <w:tc>
          <w:tcPr>
            <w:tcW w:w="1345"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b/>
                <w:b/>
                <w:color w:val="000000"/>
              </w:rPr>
            </w:pPr>
            <w:r>
              <w:rPr>
                <w:b/>
                <w:color w:val="000000"/>
              </w:rPr>
              <w:t>30,000</w:t>
            </w:r>
          </w:p>
        </w:tc>
      </w:tr>
    </w:tbl>
    <w:p>
      <w:pPr>
        <w:pStyle w:val="Normal"/>
        <w:ind w:left="720" w:hanging="0"/>
        <w:jc w:val="both"/>
        <w:rPr>
          <w:rFonts w:ascii="Times New Roman" w:hAnsi="Times New Roman"/>
        </w:rPr>
      </w:pPr>
      <w:r>
        <w:rPr/>
      </w:r>
    </w:p>
    <w:p>
      <w:pPr>
        <w:pStyle w:val="Normal"/>
        <w:widowControl/>
        <w:spacing w:before="0" w:after="0"/>
        <w:contextualSpacing/>
        <w:jc w:val="both"/>
        <w:rPr>
          <w:rFonts w:ascii="Times New Roman" w:hAnsi="Times New Roman"/>
          <w:b/>
          <w:b/>
        </w:rPr>
      </w:pPr>
      <w:r>
        <w:rPr>
          <w:b/>
        </w:rPr>
        <w:t>Activities to be undertaken to develop the investment project</w:t>
      </w:r>
    </w:p>
    <w:p>
      <w:pPr>
        <w:pStyle w:val="Normal"/>
        <w:jc w:val="both"/>
        <w:rPr>
          <w:rFonts w:ascii="Times New Roman" w:hAnsi="Times New Roman"/>
          <w:color w:val="000000"/>
        </w:rPr>
      </w:pPr>
      <w:r>
        <w:rPr>
          <w:color w:val="000000"/>
        </w:rPr>
      </w:r>
    </w:p>
    <w:p>
      <w:pPr>
        <w:pStyle w:val="Normal"/>
        <w:widowControl/>
        <w:numPr>
          <w:ilvl w:val="0"/>
          <w:numId w:val="4"/>
        </w:numPr>
        <w:spacing w:before="120" w:after="0"/>
        <w:contextualSpacing/>
        <w:jc w:val="both"/>
        <w:rPr>
          <w:rFonts w:ascii="Times New Roman" w:hAnsi="Times New Roman"/>
          <w:color w:val="000000"/>
        </w:rPr>
      </w:pPr>
      <w:r>
        <w:rPr>
          <w:color w:val="000000"/>
        </w:rPr>
        <w:t>Detailed data collection, verification and validation at the enterprise</w:t>
      </w:r>
    </w:p>
    <w:p>
      <w:pPr>
        <w:pStyle w:val="Normal"/>
        <w:widowControl/>
        <w:numPr>
          <w:ilvl w:val="0"/>
          <w:numId w:val="4"/>
        </w:numPr>
        <w:spacing w:before="120" w:after="0"/>
        <w:contextualSpacing/>
        <w:jc w:val="both"/>
        <w:rPr>
          <w:rFonts w:ascii="Times New Roman" w:hAnsi="Times New Roman"/>
          <w:color w:val="000000"/>
        </w:rPr>
      </w:pPr>
      <w:r>
        <w:rPr>
          <w:color w:val="000000"/>
        </w:rPr>
        <w:t>Technology review of available, mature alternatives and discussion with the enterprise and the Government on the selection of a suitable low-GWP alternatives</w:t>
      </w:r>
    </w:p>
    <w:p>
      <w:pPr>
        <w:pStyle w:val="Normal"/>
        <w:widowControl/>
        <w:numPr>
          <w:ilvl w:val="0"/>
          <w:numId w:val="4"/>
        </w:numPr>
        <w:spacing w:before="120" w:after="0"/>
        <w:contextualSpacing/>
        <w:jc w:val="both"/>
        <w:rPr>
          <w:rFonts w:ascii="Times New Roman" w:hAnsi="Times New Roman"/>
          <w:color w:val="000000"/>
        </w:rPr>
      </w:pPr>
      <w:r>
        <w:rPr>
          <w:color w:val="000000"/>
        </w:rPr>
        <w:t>Cost assessment of conversion (ICC and IOC)</w:t>
      </w:r>
    </w:p>
    <w:p>
      <w:pPr>
        <w:pStyle w:val="Normal"/>
        <w:widowControl/>
        <w:numPr>
          <w:ilvl w:val="0"/>
          <w:numId w:val="4"/>
        </w:numPr>
        <w:spacing w:before="120" w:after="0"/>
        <w:contextualSpacing/>
        <w:jc w:val="both"/>
        <w:rPr>
          <w:rFonts w:ascii="Times New Roman" w:hAnsi="Times New Roman"/>
          <w:color w:val="000000"/>
        </w:rPr>
      </w:pPr>
      <w:r>
        <w:rPr>
          <w:color w:val="000000"/>
        </w:rPr>
        <w:t>Evaluation of the climate co-benefits of the selected alternative and possible interventions and related costs for additional climate benefits</w:t>
      </w:r>
    </w:p>
    <w:p>
      <w:pPr>
        <w:pStyle w:val="Normal"/>
        <w:widowControl/>
        <w:numPr>
          <w:ilvl w:val="0"/>
          <w:numId w:val="4"/>
        </w:numPr>
        <w:tabs>
          <w:tab w:val="clear" w:pos="720"/>
          <w:tab w:val="left" w:pos="1068" w:leader="none"/>
        </w:tabs>
        <w:spacing w:lineRule="atLeast" w:line="240" w:before="120" w:after="0"/>
        <w:contextualSpacing/>
        <w:jc w:val="both"/>
        <w:rPr>
          <w:rFonts w:ascii="Times New Roman" w:hAnsi="Times New Roman"/>
        </w:rPr>
      </w:pPr>
      <w:r>
        <w:rPr>
          <w:color w:val="000000"/>
        </w:rPr>
        <w:t>Preparation, review, endorsement and submission of the project document</w:t>
      </w:r>
    </w:p>
    <w:p>
      <w:pPr>
        <w:pStyle w:val="Style5"/>
        <w:spacing w:beforeAutospacing="1" w:afterAutospacing="1"/>
        <w:jc w:val="center"/>
        <w:rPr>
          <w:b/>
          <w:b/>
        </w:rPr>
      </w:pPr>
      <w:r>
        <w:rPr>
          <w:b/>
        </w:rPr>
      </w:r>
      <w:r>
        <w:br w:type="page"/>
      </w:r>
    </w:p>
    <w:p>
      <w:pPr>
        <w:pStyle w:val="Normal"/>
        <w:widowControl/>
        <w:spacing w:lineRule="auto" w:line="276" w:before="0" w:after="200"/>
        <w:rPr>
          <w:rFonts w:ascii="Times New Roman" w:hAnsi="Times New Roman"/>
          <w:b/>
          <w:b/>
        </w:rPr>
      </w:pPr>
      <w:r>
        <w:rPr>
          <w:b/>
        </w:rPr>
      </w:r>
    </w:p>
    <w:p>
      <w:pPr>
        <w:pStyle w:val="Normal"/>
        <w:widowControl/>
        <w:spacing w:lineRule="auto" w:line="276" w:before="0" w:after="200"/>
        <w:jc w:val="center"/>
        <w:rPr>
          <w:rFonts w:ascii="Times New Roman" w:hAnsi="Times New Roman"/>
          <w:b/>
          <w:b/>
        </w:rPr>
      </w:pPr>
      <w:r>
        <w:rPr>
          <w:b/>
        </w:rPr>
        <w:t>PROJECT CONCEPT</w:t>
      </w:r>
    </w:p>
    <w:p>
      <w:pPr>
        <w:pStyle w:val="Normal"/>
        <w:tabs>
          <w:tab w:val="clear" w:pos="720"/>
          <w:tab w:val="left" w:pos="2790" w:leader="none"/>
        </w:tabs>
        <w:rPr>
          <w:rFonts w:ascii="Times New Roman" w:hAnsi="Times New Roman"/>
        </w:rPr>
      </w:pPr>
      <w:r>
        <w:rPr>
          <w:b/>
        </w:rPr>
        <w:t>Country:</w:t>
        <w:tab/>
      </w:r>
      <w:r>
        <w:rPr>
          <w:b/>
          <w:bCs/>
        </w:rPr>
        <w:t>Mexico</w:t>
      </w:r>
    </w:p>
    <w:p>
      <w:pPr>
        <w:pStyle w:val="Normal"/>
        <w:rPr>
          <w:rFonts w:ascii="Times New Roman" w:hAnsi="Times New Roman"/>
        </w:rPr>
      </w:pPr>
      <w:r>
        <w:rPr/>
      </w:r>
    </w:p>
    <w:p>
      <w:pPr>
        <w:pStyle w:val="Normal"/>
        <w:widowControl/>
        <w:tabs>
          <w:tab w:val="clear" w:pos="720"/>
          <w:tab w:val="left" w:pos="2790" w:leader="none"/>
        </w:tabs>
        <w:ind w:left="2790" w:hanging="2790"/>
        <w:jc w:val="both"/>
        <w:rPr>
          <w:rFonts w:ascii="Times New Roman" w:hAnsi="Times New Roman"/>
        </w:rPr>
      </w:pPr>
      <w:r>
        <w:rPr>
          <w:b/>
        </w:rPr>
        <w:t>Title:</w:t>
        <w:tab/>
      </w:r>
      <w:r>
        <w:rPr/>
        <w:t>Project preparation for HFC-related projects in the manufacturing sector at Imbera enterprise to gain experience in ICCs and IOCs associated with the phase-down of HFCs</w:t>
      </w:r>
    </w:p>
    <w:p>
      <w:pPr>
        <w:pStyle w:val="Normal"/>
        <w:widowControl/>
        <w:ind w:left="1418" w:hanging="1418"/>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Project Duration:</w:t>
      </w:r>
      <w:r>
        <w:rPr/>
        <w:tab/>
        <w:t>12 months</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b/>
          <w:b/>
        </w:rPr>
      </w:pPr>
      <w:r>
        <w:rPr>
          <w:b/>
        </w:rPr>
        <w:t>Project Budget:</w:t>
        <w:tab/>
      </w:r>
      <w:r>
        <w:rPr/>
        <w:t>US$ 30,000</w:t>
      </w:r>
      <w:r>
        <w:rPr>
          <w:b/>
        </w:rPr>
        <w:t xml:space="preserve"> </w:t>
      </w:r>
      <w:r>
        <w:rPr/>
        <w:t>(</w:t>
      </w:r>
      <w:r>
        <w:rPr>
          <w:lang w:val="en-GB"/>
        </w:rPr>
        <w:t xml:space="preserve">excl. 7.0% Agency Support Costs) </w:t>
      </w:r>
    </w:p>
    <w:p>
      <w:pPr>
        <w:pStyle w:val="Normal"/>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Implementing Agency:</w:t>
      </w:r>
      <w:r>
        <w:rPr/>
        <w:tab/>
        <w:t>UNIDO</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rPr>
      </w:pPr>
      <w:r>
        <w:rPr>
          <w:b/>
        </w:rPr>
        <w:t>Coordinating Agency:</w:t>
        <w:tab/>
      </w:r>
      <w:r>
        <w:rPr>
          <w:lang w:val="en-GB"/>
        </w:rPr>
        <w:t>SEMARNAT</w:t>
      </w:r>
      <w:r>
        <w:rPr/>
        <w:t xml:space="preserve"> - </w:t>
      </w:r>
      <w:r>
        <w:rPr>
          <w:lang w:val="en-GB"/>
        </w:rPr>
        <w:t>National Ozone Unit</w:t>
      </w:r>
    </w:p>
    <w:p>
      <w:pPr>
        <w:pStyle w:val="Normal"/>
        <w:spacing w:lineRule="exact" w:line="19"/>
        <w:rPr>
          <w:rFonts w:ascii="Times New Roman" w:hAnsi="Times New Roman"/>
        </w:rPr>
      </w:pPr>
      <w:r>
        <w:rPr/>
      </w:r>
    </w:p>
    <w:p>
      <w:pPr>
        <w:pStyle w:val="Normal"/>
        <w:ind w:left="720" w:hanging="0"/>
        <w:rPr>
          <w:rFonts w:ascii="Times New Roman" w:hAnsi="Times New Roman"/>
        </w:rPr>
      </w:pPr>
      <w:r>
        <w:rPr/>
        <mc:AlternateContent>
          <mc:Choice Requires="wps">
            <w:drawing>
              <wp:anchor behindDoc="0" distT="0" distB="19050" distL="0" distR="23495" simplePos="0" locked="0" layoutInCell="0" allowOverlap="1" relativeHeight="14" wp14:anchorId="3C14C758">
                <wp:simplePos x="0" y="0"/>
                <wp:positionH relativeFrom="column">
                  <wp:posOffset>17780</wp:posOffset>
                </wp:positionH>
                <wp:positionV relativeFrom="paragraph">
                  <wp:posOffset>154305</wp:posOffset>
                </wp:positionV>
                <wp:extent cx="5996305" cy="0"/>
                <wp:effectExtent l="5080" t="5080" r="5080" b="5080"/>
                <wp:wrapNone/>
                <wp:docPr id="10" name="Straight Connector 4"/>
                <a:graphic xmlns:a="http://schemas.openxmlformats.org/drawingml/2006/main">
                  <a:graphicData uri="http://schemas.microsoft.com/office/word/2010/wordprocessingShape">
                    <wps:wsp>
                      <wps:cNvSpPr/>
                      <wps:spPr>
                        <a:xfrm>
                          <a:off x="0" y="0"/>
                          <a:ext cx="5996160" cy="0"/>
                        </a:xfrm>
                        <a:prstGeom prst="line">
                          <a:avLst/>
                        </a:prstGeom>
                        <a:ln>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4pt,12.15pt" to="473.5pt,12.15pt" ID="Straight Connector 4" stroked="t" o:allowincell="f" style="position:absolute" wp14:anchorId="3C14C758">
                <v:stroke color="black" weight="9360" joinstyle="round" endcap="flat"/>
                <v:fill o:detectmouseclick="t" on="false"/>
                <w10:wrap type="none"/>
              </v:line>
            </w:pict>
          </mc:Fallback>
        </mc:AlternateContent>
      </w:r>
    </w:p>
    <w:p>
      <w:pPr>
        <w:pStyle w:val="Normal"/>
        <w:tabs>
          <w:tab w:val="clear" w:pos="720"/>
          <w:tab w:val="center" w:pos="4513" w:leader="none"/>
        </w:tabs>
        <w:rPr>
          <w:rFonts w:ascii="Times New Roman" w:hAnsi="Times New Roman"/>
        </w:rPr>
      </w:pPr>
      <w:r>
        <w:rPr/>
        <w:tab/>
      </w:r>
    </w:p>
    <w:p>
      <w:pPr>
        <w:pStyle w:val="Normal"/>
        <w:tabs>
          <w:tab w:val="clear" w:pos="720"/>
          <w:tab w:val="center" w:pos="4513" w:leader="none"/>
        </w:tabs>
        <w:jc w:val="center"/>
        <w:rPr>
          <w:rFonts w:ascii="Times New Roman" w:hAnsi="Times New Roman"/>
          <w:b/>
          <w:b/>
          <w:bCs/>
          <w:lang w:val="en-GB"/>
        </w:rPr>
      </w:pPr>
      <w:r>
        <w:rPr>
          <w:b/>
          <w:bCs/>
          <w:lang w:val="en-GB"/>
        </w:rPr>
        <w:t>Project Summary</w:t>
      </w:r>
    </w:p>
    <w:p>
      <w:pPr>
        <w:pStyle w:val="Normal"/>
        <w:jc w:val="center"/>
        <w:rPr>
          <w:rFonts w:ascii="Times New Roman" w:hAnsi="Times New Roman"/>
          <w:b/>
          <w:b/>
        </w:rPr>
      </w:pPr>
      <w:r>
        <w:rPr>
          <w:b/>
        </w:rPr>
      </w:r>
    </w:p>
    <w:p>
      <w:pPr>
        <w:pStyle w:val="Normal"/>
        <w:widowControl/>
        <w:jc w:val="both"/>
        <w:rPr>
          <w:rFonts w:ascii="Times New Roman" w:hAnsi="Times New Roman"/>
          <w:lang w:val="en-GB"/>
        </w:rPr>
      </w:pPr>
      <w:r>
        <w:rPr/>
        <w:t>T</w:t>
      </w:r>
      <w:r>
        <w:rPr>
          <w:lang w:val="en-GB"/>
        </w:rPr>
        <w:t>he Executive Committee has decided in Decision 78/3 (g) “</w:t>
      </w:r>
      <w:r>
        <w:rPr>
          <w:i/>
          <w:lang w:val="en-GB"/>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Pr>
          <w:lang w:val="en-GB"/>
        </w:rPr>
        <w:t>”</w:t>
      </w:r>
    </w:p>
    <w:p>
      <w:pPr>
        <w:pStyle w:val="Normal"/>
        <w:widowControl/>
        <w:jc w:val="both"/>
        <w:rPr>
          <w:rFonts w:ascii="Times New Roman" w:hAnsi="Times New Roman"/>
          <w:lang w:val="en-GB"/>
        </w:rPr>
      </w:pPr>
      <w:r>
        <w:rPr>
          <w:lang w:val="en-GB"/>
        </w:rPr>
      </w:r>
    </w:p>
    <w:p>
      <w:pPr>
        <w:pStyle w:val="Normal"/>
        <w:widowControl/>
        <w:jc w:val="both"/>
        <w:rPr>
          <w:rFonts w:ascii="Times New Roman" w:hAnsi="Times New Roman"/>
          <w:lang w:val="en-GB"/>
        </w:rPr>
      </w:pPr>
      <w:r>
        <w:rPr>
          <w:lang w:val="en-GB"/>
        </w:rPr>
        <w:t xml:space="preserve">In response to that above decision, UNIDO has received an official request from the Government of Mexico for the preparation of an investment project in the manufacturing sector in order to convert from HFCs to low-GWP alternatives and to gain relevant experience in the commercialization of </w:t>
      </w:r>
      <w:r>
        <w:rPr>
          <w:rFonts w:eastAsia="MS Mincho"/>
          <w:lang w:eastAsia="ja-JP"/>
        </w:rPr>
        <w:t>low-GWP alternatives and</w:t>
      </w:r>
      <w:r>
        <w:rPr>
          <w:lang w:val="en-GB"/>
        </w:rPr>
        <w:t xml:space="preserve"> the associated ICCs and IOCs.</w:t>
      </w:r>
    </w:p>
    <w:p>
      <w:pPr>
        <w:pStyle w:val="Normal"/>
        <w:tabs>
          <w:tab w:val="clear" w:pos="720"/>
          <w:tab w:val="left" w:pos="-1440" w:leader="none"/>
        </w:tabs>
        <w:jc w:val="both"/>
        <w:rPr>
          <w:rFonts w:ascii="Times New Roman" w:hAnsi="Times New Roman"/>
          <w:lang w:val="en-GB"/>
        </w:rPr>
      </w:pPr>
      <w:r>
        <w:rPr>
          <w:lang w:val="en-GB"/>
        </w:rPr>
      </w:r>
    </w:p>
    <w:p>
      <w:pPr>
        <w:pStyle w:val="Normal"/>
        <w:widowControl/>
        <w:jc w:val="both"/>
        <w:rPr>
          <w:rFonts w:ascii="Times New Roman" w:hAnsi="Times New Roman" w:eastAsia="MS Mincho"/>
          <w:lang w:eastAsia="ja-JP"/>
        </w:rPr>
      </w:pPr>
      <w:r>
        <w:rPr>
          <w:rFonts w:eastAsia="MS Mincho"/>
          <w:lang w:eastAsia="ja-JP"/>
        </w:rPr>
        <w:t>Mexico was one of the proponents of the HFC phase-down under the Montreal Protocol and is planning to ratify the Kigali Amendment by July 2018.</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widowControl/>
        <w:jc w:val="both"/>
        <w:rPr>
          <w:rFonts w:ascii="Times New Roman" w:hAnsi="Times New Roman" w:eastAsia="MS Mincho"/>
          <w:lang w:eastAsia="ja-JP"/>
        </w:rPr>
      </w:pPr>
      <w:r>
        <w:rPr>
          <w:rFonts w:eastAsia="MS Mincho"/>
          <w:lang w:eastAsia="ja-JP"/>
        </w:rPr>
        <w:t>Imbera company has been identified, which would be willing to initiate early actions and convert from HFCs to low-GWP alternatives in the commercial refrigeration sector, where alternative technology is mature and readily available, in order to gain experience in ICCs and IOCs.</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jc w:val="both"/>
        <w:rPr>
          <w:rFonts w:ascii="Times New Roman" w:hAnsi="Times New Roman" w:eastAsia="MS Mincho"/>
          <w:lang w:eastAsia="ja-JP"/>
        </w:rPr>
      </w:pPr>
      <w:r>
        <w:rPr>
          <w:rFonts w:eastAsia="MS Mincho"/>
          <w:lang w:eastAsia="ja-JP"/>
        </w:rPr>
        <w:t>The strategy followed by Mexico is based on the following criteria and priorities:</w:t>
      </w:r>
    </w:p>
    <w:p>
      <w:pPr>
        <w:pStyle w:val="Normal"/>
        <w:widowControl/>
        <w:numPr>
          <w:ilvl w:val="0"/>
          <w:numId w:val="15"/>
        </w:numPr>
        <w:spacing w:lineRule="atLeast" w:line="260"/>
        <w:ind w:left="450" w:hanging="180"/>
        <w:jc w:val="both"/>
        <w:rPr>
          <w:rFonts w:ascii="Times New Roman" w:hAnsi="Times New Roman" w:eastAsia="MS Mincho"/>
          <w:lang w:eastAsia="ja-JP"/>
        </w:rPr>
      </w:pPr>
      <w:r>
        <w:rPr>
          <w:rFonts w:eastAsia="MS Mincho"/>
          <w:lang w:eastAsia="ja-JP"/>
        </w:rPr>
        <w:t>Application of well-known, affordable, available and widely used replacement alternatives and related technologies, while supporting efforts for identification and selection of such alternatives.</w:t>
      </w:r>
    </w:p>
    <w:p>
      <w:pPr>
        <w:pStyle w:val="Normal"/>
        <w:widowControl/>
        <w:numPr>
          <w:ilvl w:val="0"/>
          <w:numId w:val="15"/>
        </w:numPr>
        <w:spacing w:lineRule="atLeast" w:line="260"/>
        <w:ind w:left="450" w:hanging="180"/>
        <w:jc w:val="both"/>
        <w:rPr>
          <w:rFonts w:ascii="Times New Roman" w:hAnsi="Times New Roman" w:eastAsia="MS Mincho"/>
          <w:lang w:eastAsia="ja-JP"/>
        </w:rPr>
      </w:pPr>
      <w:r>
        <w:rPr>
          <w:rFonts w:eastAsia="MS Mincho"/>
          <w:lang w:eastAsia="ja-JP"/>
        </w:rPr>
        <w:t>To start phasing-down HFCs in those HFC consuming manufacturing sectors, where low-GWP and mature alternatives are available.</w:t>
      </w:r>
    </w:p>
    <w:p>
      <w:pPr>
        <w:pStyle w:val="Normal"/>
        <w:widowControl/>
        <w:numPr>
          <w:ilvl w:val="0"/>
          <w:numId w:val="15"/>
        </w:numPr>
        <w:spacing w:lineRule="atLeast" w:line="260"/>
        <w:ind w:left="450" w:hanging="180"/>
        <w:jc w:val="both"/>
        <w:rPr>
          <w:rFonts w:ascii="Times New Roman" w:hAnsi="Times New Roman" w:eastAsia="MS Mincho"/>
          <w:lang w:eastAsia="ja-JP"/>
        </w:rPr>
      </w:pPr>
      <w:r>
        <w:rPr>
          <w:rFonts w:eastAsia="MS Mincho"/>
          <w:lang w:eastAsia="ja-JP"/>
        </w:rPr>
        <w:t>Through adoption of appropriate alternative technologies, limit climate and adverse environmental impact of the converted enterprise and comply with safety, economic and sustainability requirements.</w:t>
      </w:r>
    </w:p>
    <w:p>
      <w:pPr>
        <w:pStyle w:val="Normal"/>
        <w:widowControl/>
        <w:jc w:val="both"/>
        <w:rPr>
          <w:rFonts w:ascii="Times New Roman" w:hAnsi="Times New Roman" w:eastAsia="MS Mincho"/>
          <w:b/>
          <w:b/>
          <w:lang w:eastAsia="ja-JP"/>
        </w:rPr>
      </w:pPr>
      <w:r>
        <w:rPr>
          <w:rFonts w:eastAsia="MS Mincho"/>
          <w:b/>
          <w:lang w:eastAsia="ja-JP"/>
        </w:rPr>
        <w:t>Background</w:t>
      </w:r>
    </w:p>
    <w:p>
      <w:pPr>
        <w:pStyle w:val="Normal"/>
        <w:widowControl/>
        <w:jc w:val="both"/>
        <w:rPr>
          <w:rFonts w:ascii="Times New Roman" w:hAnsi="Times New Roman" w:eastAsia="MS Mincho"/>
          <w:lang w:eastAsia="ja-JP"/>
        </w:rPr>
      </w:pPr>
      <w:r>
        <w:rPr>
          <w:rFonts w:eastAsia="MS Mincho"/>
          <w:lang w:eastAsia="ja-JP"/>
        </w:rPr>
      </w:r>
    </w:p>
    <w:p>
      <w:pPr>
        <w:pStyle w:val="Normal"/>
        <w:spacing w:beforeAutospacing="1" w:after="240"/>
        <w:jc w:val="both"/>
        <w:rPr>
          <w:rFonts w:ascii="Times New Roman" w:hAnsi="Times New Roman" w:eastAsia="MS Mincho"/>
          <w:lang w:eastAsia="ja-JP"/>
        </w:rPr>
      </w:pPr>
      <w:r>
        <w:rPr>
          <w:rFonts w:eastAsia="MS Mincho"/>
          <w:lang w:eastAsia="ja-JP"/>
        </w:rPr>
        <w:t>IMBERA is 100% Mexican-owned enterprise and manufactures self-contained commercial refrigeration equipment (self-contained equipment, is one that incorporates the condensing unit as its part), such as glass door refrigerators, show cases, solid door refrigerators, solid door freezers, display cases, glass door freezers. More specifically, Imbera produces:</w:t>
      </w:r>
    </w:p>
    <w:p>
      <w:pPr>
        <w:pStyle w:val="ListParagraph"/>
        <w:widowControl/>
        <w:numPr>
          <w:ilvl w:val="0"/>
          <w:numId w:val="5"/>
        </w:numPr>
        <w:spacing w:beforeAutospacing="1" w:after="240"/>
        <w:contextualSpacing/>
        <w:jc w:val="both"/>
        <w:rPr>
          <w:rFonts w:ascii="Times New Roman" w:hAnsi="Times New Roman" w:eastAsia="MS Mincho"/>
          <w:lang w:eastAsia="ja-JP"/>
        </w:rPr>
      </w:pPr>
      <w:r>
        <w:rPr>
          <w:rFonts w:eastAsia="MS Mincho"/>
          <w:lang w:eastAsia="ja-JP"/>
        </w:rPr>
        <w:t>Vertical and horizontal coolers, counter top, and specialties, typically used to cool soda, water, energy drinks, juices, bear, milk, dairy products. Each of them, with different temperature range.</w:t>
      </w:r>
    </w:p>
    <w:p>
      <w:pPr>
        <w:pStyle w:val="ListParagraph"/>
        <w:widowControl/>
        <w:numPr>
          <w:ilvl w:val="0"/>
          <w:numId w:val="5"/>
        </w:numPr>
        <w:spacing w:before="0" w:after="240"/>
        <w:contextualSpacing/>
        <w:jc w:val="both"/>
        <w:rPr>
          <w:rFonts w:ascii="Times New Roman" w:hAnsi="Times New Roman" w:eastAsia="MS Mincho"/>
          <w:lang w:eastAsia="ja-JP"/>
        </w:rPr>
      </w:pPr>
      <w:r>
        <w:rPr>
          <w:rFonts w:eastAsia="MS Mincho"/>
          <w:lang w:eastAsia="ja-JP"/>
        </w:rPr>
        <w:t>Vertical and horizontal freezers of low temperature (-23 °C), used for storage of ice cream.</w:t>
      </w:r>
    </w:p>
    <w:p>
      <w:pPr>
        <w:pStyle w:val="ListParagraph"/>
        <w:widowControl/>
        <w:numPr>
          <w:ilvl w:val="0"/>
          <w:numId w:val="5"/>
        </w:numPr>
        <w:spacing w:before="0" w:after="240"/>
        <w:contextualSpacing/>
        <w:jc w:val="both"/>
        <w:rPr>
          <w:rFonts w:ascii="Times New Roman" w:hAnsi="Times New Roman" w:eastAsia="MS Mincho"/>
          <w:lang w:eastAsia="ja-JP"/>
        </w:rPr>
      </w:pPr>
      <w:r>
        <w:rPr>
          <w:rFonts w:eastAsia="MS Mincho"/>
          <w:lang w:eastAsia="ja-JP"/>
        </w:rPr>
        <w:t>Vertical and horizontal freezers of medium temperature (-18 ° C), used for preserving meats and other frozen food.</w:t>
      </w:r>
    </w:p>
    <w:p>
      <w:pPr>
        <w:pStyle w:val="ListParagraph"/>
        <w:widowControl/>
        <w:numPr>
          <w:ilvl w:val="0"/>
          <w:numId w:val="5"/>
        </w:numPr>
        <w:spacing w:before="0" w:after="240"/>
        <w:contextualSpacing/>
        <w:jc w:val="both"/>
        <w:rPr>
          <w:rFonts w:ascii="Times New Roman" w:hAnsi="Times New Roman" w:eastAsia="MS Mincho"/>
          <w:lang w:eastAsia="ja-JP"/>
        </w:rPr>
      </w:pPr>
      <w:r>
        <w:rPr>
          <w:rFonts w:eastAsia="MS Mincho"/>
          <w:lang w:eastAsia="ja-JP"/>
        </w:rPr>
        <w:t>Refrigerated Deli-cases, for preservation of beverages, dairy products and meats.</w:t>
      </w:r>
    </w:p>
    <w:p>
      <w:pPr>
        <w:pStyle w:val="ListParagraph"/>
        <w:widowControl/>
        <w:numPr>
          <w:ilvl w:val="0"/>
          <w:numId w:val="5"/>
        </w:numPr>
        <w:spacing w:before="0" w:after="240"/>
        <w:contextualSpacing/>
        <w:jc w:val="both"/>
        <w:rPr>
          <w:rFonts w:ascii="Times New Roman" w:hAnsi="Times New Roman" w:eastAsia="MS Mincho"/>
          <w:lang w:eastAsia="ja-JP"/>
        </w:rPr>
      </w:pPr>
      <w:r>
        <w:rPr>
          <w:rFonts w:eastAsia="MS Mincho"/>
          <w:lang w:eastAsia="ja-JP"/>
        </w:rPr>
        <w:t>Open air merchandisers, used for storage of refrigerated products for easy display and easy access.</w:t>
      </w:r>
    </w:p>
    <w:p>
      <w:pPr>
        <w:pStyle w:val="ListParagraph"/>
        <w:widowControl/>
        <w:numPr>
          <w:ilvl w:val="0"/>
          <w:numId w:val="5"/>
        </w:numPr>
        <w:spacing w:before="0" w:after="240"/>
        <w:contextualSpacing/>
        <w:jc w:val="both"/>
        <w:rPr>
          <w:rFonts w:ascii="Times New Roman" w:hAnsi="Times New Roman" w:eastAsia="MS Mincho"/>
          <w:lang w:eastAsia="ja-JP"/>
        </w:rPr>
      </w:pPr>
      <w:r>
        <w:rPr>
          <w:rFonts w:eastAsia="MS Mincho"/>
          <w:lang w:eastAsia="ja-JP"/>
        </w:rPr>
        <w:t>Special refrigeration equipment for storage for: drugs and vaccines, wine, etc.</w:t>
      </w:r>
    </w:p>
    <w:p>
      <w:pPr>
        <w:pStyle w:val="Normal"/>
        <w:jc w:val="both"/>
        <w:rPr>
          <w:rFonts w:ascii="Times New Roman" w:hAnsi="Times New Roman" w:eastAsia="MS Mincho"/>
          <w:lang w:eastAsia="ja-JP"/>
        </w:rPr>
      </w:pPr>
      <w:r>
        <w:rPr>
          <w:rFonts w:eastAsia="MS Mincho"/>
          <w:lang w:eastAsia="ja-JP"/>
        </w:rPr>
        <w:t xml:space="preserve">Imbera uses metal mechanical process for cabinets with cyclopentane PU insulation. The refrigerants used are R134a, R404a and R744 as well. </w:t>
      </w:r>
    </w:p>
    <w:p>
      <w:pPr>
        <w:pStyle w:val="Normal"/>
        <w:rPr>
          <w:rFonts w:ascii="Times New Roman" w:hAnsi="Times New Roman" w:eastAsia="MS Mincho"/>
          <w:lang w:eastAsia="ja-JP"/>
        </w:rPr>
      </w:pPr>
      <w:r>
        <w:rPr>
          <w:rFonts w:eastAsia="MS Mincho"/>
          <w:lang w:eastAsia="ja-JP"/>
        </w:rPr>
      </w:r>
    </w:p>
    <w:p>
      <w:pPr>
        <w:pStyle w:val="Normal"/>
        <w:rPr>
          <w:rFonts w:ascii="Times New Roman" w:hAnsi="Times New Roman" w:eastAsia="MS Mincho"/>
          <w:lang w:eastAsia="ja-JP"/>
        </w:rPr>
      </w:pPr>
      <w:r>
        <w:rPr>
          <w:rFonts w:eastAsia="MS Mincho"/>
          <w:lang w:eastAsia="ja-JP"/>
        </w:rPr>
      </w:r>
    </w:p>
    <w:tbl>
      <w:tblPr>
        <w:tblStyle w:val="TableGrid"/>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243"/>
        <w:gridCol w:w="5116"/>
      </w:tblGrid>
      <w:tr>
        <w:trPr/>
        <w:tc>
          <w:tcPr>
            <w:tcW w:w="4243" w:type="dxa"/>
            <w:tcBorders/>
          </w:tcPr>
          <w:p>
            <w:pPr>
              <w:pStyle w:val="Normal"/>
              <w:widowControl w:val="false"/>
              <w:spacing w:before="0" w:after="0"/>
              <w:jc w:val="center"/>
              <w:rPr>
                <w:rFonts w:ascii="Times New Roman" w:hAnsi="Times New Roman" w:eastAsia="MS Mincho"/>
                <w:b/>
                <w:b/>
                <w:lang w:eastAsia="ja-JP"/>
              </w:rPr>
            </w:pPr>
            <w:r>
              <w:rPr>
                <w:rFonts w:eastAsia="MS Mincho"/>
                <w:b/>
                <w:kern w:val="0"/>
                <w:lang w:val="en-US" w:eastAsia="ja-JP" w:bidi="ar-SA"/>
              </w:rPr>
              <w:t>Item</w:t>
            </w:r>
          </w:p>
        </w:tc>
        <w:tc>
          <w:tcPr>
            <w:tcW w:w="5116" w:type="dxa"/>
            <w:tcBorders/>
          </w:tcPr>
          <w:p>
            <w:pPr>
              <w:pStyle w:val="Normal"/>
              <w:widowControl w:val="false"/>
              <w:spacing w:before="0" w:after="0"/>
              <w:jc w:val="center"/>
              <w:rPr>
                <w:rFonts w:ascii="Times New Roman" w:hAnsi="Times New Roman" w:eastAsia="MS Mincho"/>
                <w:b/>
                <w:b/>
                <w:lang w:eastAsia="ja-JP"/>
              </w:rPr>
            </w:pPr>
            <w:r>
              <w:rPr>
                <w:rFonts w:eastAsia="MS Mincho"/>
                <w:b/>
                <w:kern w:val="0"/>
                <w:lang w:val="en-US" w:eastAsia="ja-JP" w:bidi="ar-SA"/>
              </w:rPr>
              <w:t>Imbera</w:t>
            </w:r>
          </w:p>
        </w:tc>
      </w:tr>
      <w:tr>
        <w:trPr/>
        <w:tc>
          <w:tcPr>
            <w:tcW w:w="4243"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Maximum charge R-134a</w:t>
            </w:r>
          </w:p>
        </w:tc>
        <w:tc>
          <w:tcPr>
            <w:tcW w:w="5116"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850g</w:t>
            </w:r>
          </w:p>
        </w:tc>
      </w:tr>
      <w:tr>
        <w:trPr/>
        <w:tc>
          <w:tcPr>
            <w:tcW w:w="4243"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Maximum charge R-404a</w:t>
            </w:r>
          </w:p>
        </w:tc>
        <w:tc>
          <w:tcPr>
            <w:tcW w:w="5116"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500g</w:t>
            </w:r>
          </w:p>
        </w:tc>
      </w:tr>
      <w:tr>
        <w:trPr/>
        <w:tc>
          <w:tcPr>
            <w:tcW w:w="4243"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Number of units produced HFC consumption in 2016</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R-134a based:</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R-404a based:</w:t>
            </w:r>
          </w:p>
        </w:tc>
        <w:tc>
          <w:tcPr>
            <w:tcW w:w="5116"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en-US" w:bidi="ar-SA"/>
              </w:rPr>
            </w:r>
          </w:p>
          <w:p>
            <w:pPr>
              <w:pStyle w:val="Normal"/>
              <w:widowControl w:val="false"/>
              <w:spacing w:before="0" w:after="0"/>
              <w:jc w:val="left"/>
              <w:rPr>
                <w:rFonts w:ascii="Times New Roman" w:hAnsi="Times New Roman" w:eastAsia="MS Mincho"/>
                <w:lang w:eastAsia="ja-JP"/>
              </w:rPr>
            </w:pPr>
            <w:r>
              <w:rPr>
                <w:rFonts w:eastAsia="MS Mincho"/>
                <w:kern w:val="0"/>
                <w:lang w:val="en-US" w:eastAsia="en-US" w:bidi="ar-SA"/>
              </w:rPr>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102,111 units      33,640 kg of R134a</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5,370 units          1,700 kg of R404a</w:t>
            </w:r>
          </w:p>
        </w:tc>
      </w:tr>
    </w:tbl>
    <w:p>
      <w:pPr>
        <w:pStyle w:val="Normal"/>
        <w:rPr>
          <w:rFonts w:ascii="Times New Roman" w:hAnsi="Times New Roman" w:eastAsia="MS Mincho"/>
          <w:lang w:eastAsia="ja-JP"/>
        </w:rPr>
      </w:pPr>
      <w:r>
        <w:rPr>
          <w:rFonts w:eastAsia="MS Mincho"/>
          <w:lang w:eastAsia="ja-JP"/>
        </w:rPr>
      </w:r>
    </w:p>
    <w:p>
      <w:pPr>
        <w:pStyle w:val="Normal"/>
        <w:jc w:val="both"/>
        <w:rPr>
          <w:rFonts w:ascii="Times New Roman" w:hAnsi="Times New Roman" w:eastAsia="MS Mincho"/>
          <w:lang w:eastAsia="ja-JP"/>
        </w:rPr>
      </w:pPr>
      <w:r>
        <w:rPr>
          <w:rFonts w:eastAsia="MS Mincho"/>
          <w:lang w:eastAsia="ja-JP"/>
        </w:rPr>
        <w:t>In the framework of the proposed project, it is planned that the R134a based products will be converted to R290 and there will be an attempt to replace R-404a as well.</w:t>
      </w:r>
    </w:p>
    <w:p>
      <w:pPr>
        <w:pStyle w:val="Normal"/>
        <w:spacing w:beforeAutospacing="1" w:after="240"/>
        <w:jc w:val="both"/>
        <w:rPr>
          <w:rFonts w:ascii="Times New Roman" w:hAnsi="Times New Roman" w:eastAsia="MS Mincho"/>
          <w:b/>
          <w:b/>
          <w:lang w:eastAsia="ja-JP"/>
        </w:rPr>
      </w:pPr>
      <w:r>
        <w:rPr>
          <w:rFonts w:eastAsia="MS Mincho"/>
          <w:b/>
          <w:lang w:eastAsia="ja-JP"/>
        </w:rPr>
        <w:t>Standards compliance for the use of hydrocarbons as refrigerant</w:t>
      </w:r>
    </w:p>
    <w:p>
      <w:pPr>
        <w:pStyle w:val="Normal"/>
        <w:spacing w:beforeAutospacing="1" w:after="240"/>
        <w:jc w:val="both"/>
        <w:rPr>
          <w:rFonts w:ascii="Times New Roman" w:hAnsi="Times New Roman" w:eastAsia="MS Mincho"/>
          <w:lang w:eastAsia="ja-JP"/>
        </w:rPr>
      </w:pPr>
      <w:r>
        <w:rPr>
          <w:rFonts w:eastAsia="MS Mincho"/>
          <w:lang w:eastAsia="ja-JP"/>
        </w:rPr>
        <w:t xml:space="preserve">For R290 refrigerant, the recommended charge limit is 150 grams, according to standard IEC 60335-2-89. It is to be noted however, that the amount of R290 refrigerant charged into the appliance only around 40%-50% of the same for R134a. </w:t>
      </w:r>
    </w:p>
    <w:p>
      <w:pPr>
        <w:pStyle w:val="Normal"/>
        <w:spacing w:beforeAutospacing="1" w:after="240"/>
        <w:jc w:val="both"/>
        <w:rPr>
          <w:rFonts w:ascii="Times New Roman" w:hAnsi="Times New Roman" w:eastAsia="MS Mincho"/>
          <w:lang w:eastAsia="ja-JP"/>
        </w:rPr>
      </w:pPr>
      <w:r>
        <w:rPr>
          <w:rFonts w:eastAsia="MS Mincho"/>
          <w:lang w:eastAsia="ja-JP"/>
        </w:rPr>
        <w:t>The manufacturing facility for charging and handling of R290 refrigerant is designed and manufactured specifically to prevent explosions of refrigerant during the manufacturing process.</w:t>
      </w:r>
    </w:p>
    <w:p>
      <w:pPr>
        <w:pStyle w:val="Normal"/>
        <w:spacing w:beforeAutospacing="1" w:after="240"/>
        <w:jc w:val="both"/>
        <w:rPr>
          <w:rFonts w:ascii="Times New Roman" w:hAnsi="Times New Roman" w:eastAsia="MS Mincho"/>
          <w:lang w:eastAsia="ja-JP"/>
        </w:rPr>
      </w:pPr>
      <w:r>
        <w:rPr>
          <w:rFonts w:eastAsia="MS Mincho"/>
          <w:lang w:eastAsia="ja-JP"/>
        </w:rPr>
        <w:t>Use of R744 needs reinforced components of the refrigerant system and special manufacturing facilities, to handle the high pressure of the refrigerant. The maintenance and servicing of appliances using both types of refrigerants must be performed by qualified personnel.</w:t>
      </w:r>
    </w:p>
    <w:p>
      <w:pPr>
        <w:pStyle w:val="Normal"/>
        <w:spacing w:beforeAutospacing="1" w:after="240"/>
        <w:jc w:val="both"/>
        <w:rPr>
          <w:rFonts w:ascii="Times New Roman" w:hAnsi="Times New Roman" w:eastAsia="MS Mincho"/>
          <w:lang w:eastAsia="ja-JP"/>
        </w:rPr>
      </w:pPr>
      <w:r>
        <w:rPr>
          <w:rFonts w:eastAsia="MS Mincho"/>
          <w:lang w:eastAsia="ja-JP"/>
        </w:rPr>
        <w:t>In Mexico, there are no regulations for R290 and R744. Development of more equipment is limited by the availability and variety of specialized compressors, however compressors for R290 are easy to find and the range of R744 is developing rapidly.</w:t>
      </w:r>
    </w:p>
    <w:p>
      <w:pPr>
        <w:pStyle w:val="Normal"/>
        <w:widowControl/>
        <w:spacing w:before="0" w:after="0"/>
        <w:contextualSpacing/>
        <w:jc w:val="both"/>
        <w:rPr>
          <w:rFonts w:ascii="Times New Roman" w:hAnsi="Times New Roman"/>
          <w:b/>
          <w:b/>
        </w:rPr>
      </w:pPr>
      <w:r>
        <w:rPr>
          <w:b/>
        </w:rPr>
        <w:t>Funding Requirements</w:t>
      </w:r>
    </w:p>
    <w:p>
      <w:pPr>
        <w:pStyle w:val="Normal"/>
        <w:widowControl/>
        <w:spacing w:before="0" w:after="0"/>
        <w:contextualSpacing/>
        <w:jc w:val="both"/>
        <w:rPr>
          <w:rFonts w:ascii="Times New Roman" w:hAnsi="Times New Roman"/>
        </w:rPr>
      </w:pPr>
      <w:r>
        <w:rPr/>
      </w:r>
    </w:p>
    <w:p>
      <w:pPr>
        <w:pStyle w:val="Normal"/>
        <w:widowControl/>
        <w:spacing w:before="0" w:after="0"/>
        <w:contextualSpacing/>
        <w:jc w:val="both"/>
        <w:rPr>
          <w:rFonts w:ascii="Times New Roman" w:hAnsi="Times New Roman"/>
        </w:rPr>
      </w:pPr>
      <w:r>
        <w:rPr/>
        <w:t>The preparatory funds are requested for UNIDO, as follows:</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8014"/>
        <w:gridCol w:w="1345"/>
      </w:tblGrid>
      <w:tr>
        <w:trPr>
          <w:trHeight w:val="360" w:hRule="atLeast"/>
        </w:trPr>
        <w:tc>
          <w:tcPr>
            <w:tcW w:w="80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Activities</w:t>
            </w:r>
          </w:p>
        </w:tc>
        <w:tc>
          <w:tcPr>
            <w:tcW w:w="1345"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Cost - US$</w:t>
            </w:r>
          </w:p>
        </w:tc>
      </w:tr>
      <w:tr>
        <w:trPr>
          <w:trHeight w:val="360" w:hRule="atLeast"/>
        </w:trPr>
        <w:tc>
          <w:tcPr>
            <w:tcW w:w="801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Local activities (national expert, local travel costs, coordination meetings etc.)</w:t>
            </w:r>
          </w:p>
        </w:tc>
        <w:tc>
          <w:tcPr>
            <w:tcW w:w="1345"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5,000</w:t>
            </w:r>
          </w:p>
        </w:tc>
      </w:tr>
      <w:tr>
        <w:trPr>
          <w:trHeight w:val="360" w:hRule="atLeast"/>
        </w:trPr>
        <w:tc>
          <w:tcPr>
            <w:tcW w:w="801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consultant (project preparation and development)</w:t>
            </w:r>
          </w:p>
        </w:tc>
        <w:tc>
          <w:tcPr>
            <w:tcW w:w="1345"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18,000</w:t>
            </w:r>
          </w:p>
        </w:tc>
      </w:tr>
      <w:tr>
        <w:trPr>
          <w:trHeight w:val="360" w:hRule="atLeast"/>
        </w:trPr>
        <w:tc>
          <w:tcPr>
            <w:tcW w:w="801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travel costs (staff)</w:t>
            </w:r>
          </w:p>
        </w:tc>
        <w:tc>
          <w:tcPr>
            <w:tcW w:w="1345"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7,000</w:t>
            </w:r>
          </w:p>
        </w:tc>
      </w:tr>
      <w:tr>
        <w:trPr>
          <w:trHeight w:val="360" w:hRule="atLeast"/>
        </w:trPr>
        <w:tc>
          <w:tcPr>
            <w:tcW w:w="801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b/>
                <w:b/>
                <w:color w:val="000000"/>
              </w:rPr>
            </w:pPr>
            <w:r>
              <w:rPr>
                <w:b/>
                <w:color w:val="000000"/>
              </w:rPr>
              <w:t>TOTAL</w:t>
            </w:r>
          </w:p>
        </w:tc>
        <w:tc>
          <w:tcPr>
            <w:tcW w:w="1345"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b/>
                <w:b/>
                <w:color w:val="000000"/>
              </w:rPr>
            </w:pPr>
            <w:r>
              <w:rPr>
                <w:b/>
                <w:color w:val="000000"/>
              </w:rPr>
              <w:t>30,000</w:t>
            </w:r>
          </w:p>
        </w:tc>
      </w:tr>
    </w:tbl>
    <w:p>
      <w:pPr>
        <w:pStyle w:val="Normal"/>
        <w:ind w:left="720" w:hanging="0"/>
        <w:jc w:val="both"/>
        <w:rPr>
          <w:rFonts w:ascii="Times New Roman" w:hAnsi="Times New Roman"/>
        </w:rPr>
      </w:pPr>
      <w:r>
        <w:rPr/>
      </w:r>
    </w:p>
    <w:p>
      <w:pPr>
        <w:pStyle w:val="Normal"/>
        <w:widowControl/>
        <w:spacing w:before="0" w:after="0"/>
        <w:contextualSpacing/>
        <w:jc w:val="both"/>
        <w:rPr>
          <w:rFonts w:ascii="Times New Roman" w:hAnsi="Times New Roman"/>
          <w:b/>
          <w:b/>
        </w:rPr>
      </w:pPr>
      <w:r>
        <w:rPr>
          <w:b/>
        </w:rPr>
        <w:t>Activities to be undertaken to develop the investment project</w:t>
      </w:r>
    </w:p>
    <w:p>
      <w:pPr>
        <w:pStyle w:val="Normal"/>
        <w:jc w:val="both"/>
        <w:rPr>
          <w:rFonts w:ascii="Times New Roman" w:hAnsi="Times New Roman"/>
          <w:color w:val="000000"/>
        </w:rPr>
      </w:pPr>
      <w:r>
        <w:rPr>
          <w:color w:val="000000"/>
        </w:rPr>
      </w:r>
    </w:p>
    <w:p>
      <w:pPr>
        <w:pStyle w:val="Normal"/>
        <w:widowControl/>
        <w:numPr>
          <w:ilvl w:val="0"/>
          <w:numId w:val="4"/>
        </w:numPr>
        <w:spacing w:before="120" w:after="0"/>
        <w:contextualSpacing/>
        <w:jc w:val="both"/>
        <w:rPr>
          <w:rFonts w:ascii="Times New Roman" w:hAnsi="Times New Roman"/>
          <w:color w:val="000000"/>
        </w:rPr>
      </w:pPr>
      <w:r>
        <w:rPr>
          <w:color w:val="000000"/>
        </w:rPr>
        <w:t>Detailed data collection, verification and validation at the enterprise</w:t>
      </w:r>
    </w:p>
    <w:p>
      <w:pPr>
        <w:pStyle w:val="Normal"/>
        <w:widowControl/>
        <w:numPr>
          <w:ilvl w:val="0"/>
          <w:numId w:val="4"/>
        </w:numPr>
        <w:spacing w:before="120" w:after="0"/>
        <w:contextualSpacing/>
        <w:jc w:val="both"/>
        <w:rPr>
          <w:rFonts w:ascii="Times New Roman" w:hAnsi="Times New Roman"/>
          <w:color w:val="000000"/>
        </w:rPr>
      </w:pPr>
      <w:r>
        <w:rPr>
          <w:color w:val="000000"/>
        </w:rPr>
        <w:t>Technology review of available, mature alternatives and discussion with the enterprise and the Government on the selection of a suitable low-GWP alternatives</w:t>
      </w:r>
    </w:p>
    <w:p>
      <w:pPr>
        <w:pStyle w:val="Normal"/>
        <w:widowControl/>
        <w:numPr>
          <w:ilvl w:val="0"/>
          <w:numId w:val="4"/>
        </w:numPr>
        <w:spacing w:before="120" w:after="0"/>
        <w:contextualSpacing/>
        <w:jc w:val="both"/>
        <w:rPr>
          <w:rFonts w:ascii="Times New Roman" w:hAnsi="Times New Roman"/>
          <w:color w:val="000000"/>
        </w:rPr>
      </w:pPr>
      <w:r>
        <w:rPr>
          <w:color w:val="000000"/>
        </w:rPr>
        <w:t>Cost assessment of conversion (ICC and IOC)</w:t>
      </w:r>
    </w:p>
    <w:p>
      <w:pPr>
        <w:pStyle w:val="Normal"/>
        <w:widowControl/>
        <w:numPr>
          <w:ilvl w:val="0"/>
          <w:numId w:val="4"/>
        </w:numPr>
        <w:spacing w:before="120" w:after="0"/>
        <w:contextualSpacing/>
        <w:jc w:val="both"/>
        <w:rPr>
          <w:rFonts w:ascii="Times New Roman" w:hAnsi="Times New Roman"/>
          <w:color w:val="000000"/>
        </w:rPr>
      </w:pPr>
      <w:r>
        <w:rPr>
          <w:color w:val="000000"/>
        </w:rPr>
        <w:t xml:space="preserve">Evaluation of the climate co-benefits of the selected alternative and possible interventions and related costs for additional climate benefits </w:t>
      </w:r>
    </w:p>
    <w:p>
      <w:pPr>
        <w:pStyle w:val="Normal"/>
        <w:widowControl/>
        <w:numPr>
          <w:ilvl w:val="0"/>
          <w:numId w:val="4"/>
        </w:numPr>
        <w:tabs>
          <w:tab w:val="clear" w:pos="720"/>
          <w:tab w:val="left" w:pos="1068" w:leader="none"/>
        </w:tabs>
        <w:spacing w:lineRule="atLeast" w:line="240" w:before="120" w:after="0"/>
        <w:contextualSpacing/>
        <w:jc w:val="both"/>
        <w:rPr>
          <w:rFonts w:ascii="Times New Roman" w:hAnsi="Times New Roman"/>
        </w:rPr>
      </w:pPr>
      <w:r>
        <w:rPr>
          <w:color w:val="000000"/>
        </w:rPr>
        <w:t>Preparation, review, endorsement and submission of the project document</w:t>
      </w:r>
    </w:p>
    <w:p>
      <w:pPr>
        <w:pStyle w:val="Normal"/>
        <w:widowControl/>
        <w:spacing w:before="0" w:after="0"/>
        <w:contextualSpacing/>
        <w:jc w:val="both"/>
        <w:rPr>
          <w:rFonts w:ascii="Times New Roman" w:hAnsi="Times New Roman"/>
          <w:b/>
          <w:b/>
        </w:rPr>
      </w:pPr>
      <w:r>
        <w:rPr>
          <w:b/>
        </w:rPr>
      </w:r>
    </w:p>
    <w:p>
      <w:pPr>
        <w:pStyle w:val="Style5"/>
        <w:spacing w:beforeAutospacing="1" w:afterAutospacing="1"/>
        <w:jc w:val="center"/>
        <w:rPr>
          <w:b/>
          <w:b/>
        </w:rPr>
      </w:pPr>
      <w:r>
        <w:rPr>
          <w:b/>
        </w:rPr>
      </w:r>
      <w:r>
        <w:br w:type="page"/>
      </w:r>
    </w:p>
    <w:p>
      <w:pPr>
        <w:pStyle w:val="Normal"/>
        <w:jc w:val="center"/>
        <w:rPr>
          <w:rFonts w:ascii="Times New Roman" w:hAnsi="Times New Roman"/>
          <w:b/>
          <w:b/>
        </w:rPr>
      </w:pPr>
      <w:r>
        <w:rPr>
          <w:b/>
        </w:rPr>
        <w:t>PROJECT CONCEPT</w:t>
      </w:r>
    </w:p>
    <w:p>
      <w:pPr>
        <w:pStyle w:val="Normal"/>
        <w:tabs>
          <w:tab w:val="clear" w:pos="720"/>
          <w:tab w:val="left" w:pos="1418" w:leader="none"/>
        </w:tabs>
        <w:rPr>
          <w:rFonts w:ascii="Times New Roman" w:hAnsi="Times New Roman"/>
        </w:rPr>
      </w:pPr>
      <w:r>
        <w:rPr/>
      </w:r>
    </w:p>
    <w:p>
      <w:pPr>
        <w:pStyle w:val="Normal"/>
        <w:tabs>
          <w:tab w:val="clear" w:pos="720"/>
          <w:tab w:val="left" w:pos="2790" w:leader="none"/>
        </w:tabs>
        <w:rPr>
          <w:rFonts w:ascii="Times New Roman" w:hAnsi="Times New Roman"/>
        </w:rPr>
      </w:pPr>
      <w:r>
        <w:rPr>
          <w:b/>
        </w:rPr>
        <w:t>Country:</w:t>
        <w:tab/>
      </w:r>
      <w:r>
        <w:rPr>
          <w:b/>
          <w:bCs/>
        </w:rPr>
        <w:t>Morocco</w:t>
      </w:r>
    </w:p>
    <w:p>
      <w:pPr>
        <w:pStyle w:val="Normal"/>
        <w:rPr>
          <w:rFonts w:ascii="Times New Roman" w:hAnsi="Times New Roman"/>
        </w:rPr>
      </w:pPr>
      <w:r>
        <w:rPr/>
      </w:r>
    </w:p>
    <w:p>
      <w:pPr>
        <w:pStyle w:val="Normal"/>
        <w:widowControl/>
        <w:tabs>
          <w:tab w:val="clear" w:pos="720"/>
          <w:tab w:val="left" w:pos="2790" w:leader="none"/>
        </w:tabs>
        <w:ind w:left="2790" w:hanging="2790"/>
        <w:jc w:val="both"/>
        <w:rPr>
          <w:rFonts w:ascii="Times New Roman" w:hAnsi="Times New Roman"/>
        </w:rPr>
      </w:pPr>
      <w:r>
        <w:rPr>
          <w:b/>
        </w:rPr>
        <w:t>Title:</w:t>
        <w:tab/>
      </w:r>
      <w:r>
        <w:rPr/>
        <w:t>Project preparation for HFC-related project in the manufacturing sector at MANAR enterprise to gain experience in ICCs and IOCs associated with the phase-down of HFCs</w:t>
      </w:r>
    </w:p>
    <w:p>
      <w:pPr>
        <w:pStyle w:val="Normal"/>
        <w:widowControl/>
        <w:tabs>
          <w:tab w:val="clear" w:pos="720"/>
          <w:tab w:val="left" w:pos="2790" w:leader="none"/>
        </w:tabs>
        <w:ind w:left="2790" w:hanging="2790"/>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Project Duration:</w:t>
      </w:r>
      <w:r>
        <w:rPr/>
        <w:tab/>
        <w:t>12 months</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b/>
          <w:b/>
        </w:rPr>
      </w:pPr>
      <w:r>
        <w:rPr>
          <w:b/>
        </w:rPr>
        <w:t>Project Budget:</w:t>
        <w:tab/>
      </w:r>
      <w:r>
        <w:rPr/>
        <w:t>US$ 30,000</w:t>
      </w:r>
      <w:r>
        <w:rPr>
          <w:b/>
        </w:rPr>
        <w:t xml:space="preserve"> </w:t>
      </w:r>
      <w:r>
        <w:rPr/>
        <w:t>(</w:t>
      </w:r>
      <w:r>
        <w:rPr>
          <w:lang w:val="en-GB"/>
        </w:rPr>
        <w:t xml:space="preserve">excl. 7.0% Agency Support Costs) </w:t>
      </w:r>
    </w:p>
    <w:p>
      <w:pPr>
        <w:pStyle w:val="Normal"/>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Implementing Agency:</w:t>
      </w:r>
      <w:r>
        <w:rPr/>
        <w:tab/>
        <w:t>UNIDO</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lang w:val="en-GB"/>
        </w:rPr>
      </w:pPr>
      <w:r>
        <w:rPr>
          <w:b/>
        </w:rPr>
        <w:t>Coordinating Agency:</w:t>
        <w:tab/>
      </w:r>
      <w:r>
        <w:rPr>
          <w:lang w:val="en-GB"/>
        </w:rPr>
        <w:t xml:space="preserve">National Ozone Unit </w:t>
      </w:r>
    </w:p>
    <w:p>
      <w:pPr>
        <w:pStyle w:val="Normal"/>
        <w:tabs>
          <w:tab w:val="clear" w:pos="720"/>
          <w:tab w:val="left" w:pos="2790" w:leader="none"/>
        </w:tabs>
        <w:ind w:left="3600" w:hanging="3600"/>
        <w:jc w:val="both"/>
        <w:rPr>
          <w:rFonts w:ascii="Times New Roman" w:hAnsi="Times New Roman"/>
        </w:rPr>
      </w:pPr>
      <w:r>
        <w:rPr/>
      </w:r>
    </w:p>
    <w:p>
      <w:pPr>
        <w:pStyle w:val="Normal"/>
        <w:spacing w:lineRule="exact" w:line="19"/>
        <w:rPr>
          <w:rFonts w:ascii="Times New Roman" w:hAnsi="Times New Roman"/>
        </w:rPr>
      </w:pPr>
      <w:r>
        <w:rPr/>
      </w:r>
    </w:p>
    <w:p>
      <w:pPr>
        <w:pStyle w:val="Normal"/>
        <w:ind w:left="720" w:hanging="0"/>
        <w:rPr>
          <w:rFonts w:ascii="Times New Roman" w:hAnsi="Times New Roman"/>
        </w:rPr>
      </w:pPr>
      <w:r>
        <w:rPr/>
        <mc:AlternateContent>
          <mc:Choice Requires="wps">
            <w:drawing>
              <wp:anchor behindDoc="0" distT="0" distB="19050" distL="0" distR="9525" simplePos="0" locked="0" layoutInCell="0" allowOverlap="1" relativeHeight="6" wp14:anchorId="4DF2F235">
                <wp:simplePos x="0" y="0"/>
                <wp:positionH relativeFrom="column">
                  <wp:posOffset>-9525</wp:posOffset>
                </wp:positionH>
                <wp:positionV relativeFrom="paragraph">
                  <wp:posOffset>17780</wp:posOffset>
                </wp:positionV>
                <wp:extent cx="5991225" cy="0"/>
                <wp:effectExtent l="5080" t="5080" r="5080" b="5080"/>
                <wp:wrapNone/>
                <wp:docPr id="11" name="Straight Connector 14"/>
                <a:graphic xmlns:a="http://schemas.openxmlformats.org/drawingml/2006/main">
                  <a:graphicData uri="http://schemas.microsoft.com/office/word/2010/wordprocessingShape">
                    <wps:wsp>
                      <wps:cNvSpPr/>
                      <wps:spPr>
                        <a:xfrm>
                          <a:off x="0" y="0"/>
                          <a:ext cx="5991120" cy="0"/>
                        </a:xfrm>
                        <a:prstGeom prst="line">
                          <a:avLst/>
                        </a:prstGeom>
                        <a:ln>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75pt,1.4pt" to="470.95pt,1.4pt" ID="Straight Connector 14" stroked="t" o:allowincell="f" style="position:absolute" wp14:anchorId="4DF2F235">
                <v:stroke color="black" weight="9360" joinstyle="round" endcap="flat"/>
                <v:fill o:detectmouseclick="t" on="false"/>
                <w10:wrap type="none"/>
              </v:line>
            </w:pict>
          </mc:Fallback>
        </mc:AlternateContent>
      </w:r>
    </w:p>
    <w:p>
      <w:pPr>
        <w:pStyle w:val="Normal"/>
        <w:tabs>
          <w:tab w:val="clear" w:pos="720"/>
          <w:tab w:val="center" w:pos="4513" w:leader="none"/>
        </w:tabs>
        <w:rPr>
          <w:rFonts w:ascii="Times New Roman" w:hAnsi="Times New Roman"/>
          <w:b/>
          <w:b/>
          <w:bCs/>
          <w:lang w:val="en-GB"/>
        </w:rPr>
      </w:pPr>
      <w:r>
        <w:rPr/>
        <w:tab/>
      </w:r>
      <w:r>
        <w:rPr>
          <w:b/>
          <w:bCs/>
          <w:lang w:val="en-GB"/>
        </w:rPr>
        <w:t>Project Summary</w:t>
      </w:r>
    </w:p>
    <w:p>
      <w:pPr>
        <w:pStyle w:val="Normal"/>
        <w:jc w:val="center"/>
        <w:rPr>
          <w:rFonts w:ascii="Times New Roman" w:hAnsi="Times New Roman"/>
          <w:b/>
          <w:b/>
        </w:rPr>
      </w:pPr>
      <w:r>
        <w:rPr>
          <w:b/>
        </w:rPr>
      </w:r>
    </w:p>
    <w:p>
      <w:pPr>
        <w:pStyle w:val="Normal"/>
        <w:widowControl/>
        <w:jc w:val="both"/>
        <w:rPr>
          <w:rFonts w:ascii="Times New Roman" w:hAnsi="Times New Roman"/>
          <w:lang w:val="en-GB"/>
        </w:rPr>
      </w:pPr>
      <w:r>
        <w:rPr/>
        <w:t>T</w:t>
      </w:r>
      <w:r>
        <w:rPr>
          <w:lang w:val="en-GB"/>
        </w:rPr>
        <w:t>he Executive Committee has announced in Decision 78/3 (g) “</w:t>
      </w:r>
      <w:r>
        <w:rPr>
          <w:i/>
          <w:lang w:val="en-GB"/>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Pr>
          <w:lang w:val="en-GB"/>
        </w:rPr>
        <w:t>”</w:t>
      </w:r>
    </w:p>
    <w:p>
      <w:pPr>
        <w:pStyle w:val="Normal"/>
        <w:widowControl/>
        <w:jc w:val="both"/>
        <w:rPr>
          <w:rFonts w:ascii="Times New Roman" w:hAnsi="Times New Roman"/>
          <w:lang w:val="en-GB"/>
        </w:rPr>
      </w:pPr>
      <w:r>
        <w:rPr>
          <w:lang w:val="en-GB"/>
        </w:rPr>
      </w:r>
    </w:p>
    <w:p>
      <w:pPr>
        <w:pStyle w:val="Normal"/>
        <w:widowControl/>
        <w:jc w:val="both"/>
        <w:rPr>
          <w:rFonts w:ascii="Times New Roman" w:hAnsi="Times New Roman"/>
          <w:lang w:val="en-GB"/>
        </w:rPr>
      </w:pPr>
      <w:r>
        <w:rPr>
          <w:lang w:val="en-GB"/>
        </w:rPr>
        <w:t>In order to gain the requested experience in the ICCs and IOCs, UNIDO is planning to design a project focussing on Morocco that has officially approached UNIDO to support Demo projects on the conversion of domestic refrigeration manufacturing from HFC-R134a to hydrocarbons isobutene R600a.</w:t>
      </w:r>
    </w:p>
    <w:p>
      <w:pPr>
        <w:pStyle w:val="Normal"/>
        <w:widowControl/>
        <w:jc w:val="both"/>
        <w:rPr>
          <w:rFonts w:ascii="Times New Roman" w:hAnsi="Times New Roman"/>
          <w:lang w:val="en-GB"/>
        </w:rPr>
      </w:pPr>
      <w:r>
        <w:rPr>
          <w:lang w:val="en-GB"/>
        </w:rPr>
      </w:r>
    </w:p>
    <w:p>
      <w:pPr>
        <w:pStyle w:val="Normal"/>
        <w:widowControl/>
        <w:jc w:val="both"/>
        <w:rPr>
          <w:rFonts w:ascii="Times New Roman" w:hAnsi="Times New Roman" w:eastAsia="MS Mincho"/>
          <w:lang w:eastAsia="ja-JP"/>
        </w:rPr>
      </w:pPr>
      <w:r>
        <w:rPr>
          <w:rFonts w:eastAsia="MS Mincho"/>
          <w:lang w:eastAsia="ja-JP"/>
        </w:rPr>
        <w:t xml:space="preserve">The governmental request is supported by a private sector company that is highly interested and ready to convert to the mature and available HFC-free technology in the household refrigeration sector. </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widowControl/>
        <w:jc w:val="center"/>
        <w:rPr>
          <w:rFonts w:ascii="Times New Roman" w:hAnsi="Times New Roman" w:eastAsia="MS Mincho"/>
          <w:b/>
          <w:b/>
          <w:bCs/>
          <w:lang w:eastAsia="ja-JP"/>
        </w:rPr>
      </w:pPr>
      <w:r>
        <w:rPr>
          <w:rFonts w:eastAsia="MS Mincho"/>
          <w:b/>
          <w:bCs/>
          <w:lang w:eastAsia="ja-JP"/>
        </w:rPr>
        <w:t>Expected demonstration results</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widowControl/>
        <w:jc w:val="both"/>
        <w:rPr>
          <w:rFonts w:ascii="Times New Roman" w:hAnsi="Times New Roman" w:eastAsia="MS Mincho"/>
          <w:lang w:val="en-GB" w:eastAsia="ja-JP"/>
        </w:rPr>
      </w:pPr>
      <w:r>
        <w:rPr>
          <w:rFonts w:eastAsia="MS Mincho"/>
          <w:lang w:val="en-GB" w:eastAsia="ja-JP"/>
        </w:rPr>
        <w:t>UNIDO, in partnership with the National Ozone Unit of Morocco proposes to develop a project that will demonstrate the technical, economic and environmental advantages of the production conversion of domestic refrigerators using isobutene as refrigerant.</w:t>
      </w:r>
    </w:p>
    <w:p>
      <w:pPr>
        <w:pStyle w:val="Normal"/>
        <w:widowControl/>
        <w:jc w:val="both"/>
        <w:rPr>
          <w:rFonts w:ascii="Times New Roman" w:hAnsi="Times New Roman" w:eastAsia="MS Mincho"/>
          <w:lang w:val="en-GB" w:eastAsia="ja-JP"/>
        </w:rPr>
      </w:pPr>
      <w:r>
        <w:rPr>
          <w:rFonts w:eastAsia="MS Mincho"/>
          <w:lang w:val="en-GB" w:eastAsia="ja-JP"/>
        </w:rPr>
      </w:r>
    </w:p>
    <w:p>
      <w:pPr>
        <w:pStyle w:val="Normal"/>
        <w:widowControl/>
        <w:jc w:val="both"/>
        <w:rPr>
          <w:rFonts w:ascii="Times New Roman" w:hAnsi="Times New Roman" w:eastAsia="MS Mincho"/>
          <w:lang w:eastAsia="ja-JP"/>
        </w:rPr>
      </w:pPr>
      <w:r>
        <w:rPr>
          <w:rFonts w:eastAsia="MS Mincho"/>
          <w:lang w:val="en-GB" w:eastAsia="ja-JP"/>
        </w:rPr>
        <w:t xml:space="preserve">Beside the well-known advantages of hydrocarbon refrigerants such as </w:t>
      </w:r>
      <w:r>
        <w:rPr>
          <w:rFonts w:eastAsia="MS Mincho"/>
          <w:lang w:eastAsia="ja-JP"/>
        </w:rPr>
        <w:t>no ozone damage implications; low GWP ratings, and thus low global warming effects, the project intends to examine the challenges of converting to a flammable refrigerant and the safety implications in the implementation process. Other mentioned advantages when considering hydrocarbon as alternative refrigerant, including:</w:t>
      </w:r>
    </w:p>
    <w:p>
      <w:pPr>
        <w:pStyle w:val="Normal"/>
        <w:widowControl/>
        <w:jc w:val="both"/>
        <w:rPr>
          <w:rFonts w:ascii="Times New Roman" w:hAnsi="Times New Roman" w:eastAsia="MS Mincho"/>
          <w:lang w:eastAsia="ja-JP"/>
        </w:rPr>
      </w:pPr>
      <w:r>
        <w:rPr>
          <w:rFonts w:eastAsia="MS Mincho"/>
          <w:lang w:eastAsia="ja-JP"/>
        </w:rPr>
      </w:r>
    </w:p>
    <w:p>
      <w:pPr>
        <w:pStyle w:val="Normal"/>
        <w:widowControl/>
        <w:numPr>
          <w:ilvl w:val="0"/>
          <w:numId w:val="11"/>
        </w:numPr>
        <w:jc w:val="both"/>
        <w:rPr>
          <w:rFonts w:ascii="Times New Roman" w:hAnsi="Times New Roman" w:eastAsia="MS Mincho"/>
          <w:lang w:eastAsia="ja-JP"/>
        </w:rPr>
      </w:pPr>
      <w:r>
        <w:rPr>
          <w:rFonts w:eastAsia="MS Mincho"/>
          <w:lang w:eastAsia="ja-JP"/>
        </w:rPr>
        <w:t>15- 40% energy-saving compared to HCFCs and HFC refrigerants;</w:t>
      </w:r>
    </w:p>
    <w:p>
      <w:pPr>
        <w:pStyle w:val="Normal"/>
        <w:widowControl/>
        <w:numPr>
          <w:ilvl w:val="0"/>
          <w:numId w:val="11"/>
        </w:numPr>
        <w:jc w:val="both"/>
        <w:rPr>
          <w:rFonts w:ascii="Times New Roman" w:hAnsi="Times New Roman" w:eastAsia="MS Mincho"/>
          <w:lang w:eastAsia="ja-JP"/>
        </w:rPr>
      </w:pPr>
      <w:r>
        <w:rPr>
          <w:rFonts w:eastAsia="MS Mincho"/>
          <w:lang w:eastAsia="ja-JP"/>
        </w:rPr>
        <w:t>Easy implementation;</w:t>
      </w:r>
    </w:p>
    <w:p>
      <w:pPr>
        <w:pStyle w:val="Normal"/>
        <w:widowControl/>
        <w:numPr>
          <w:ilvl w:val="0"/>
          <w:numId w:val="11"/>
        </w:numPr>
        <w:jc w:val="both"/>
        <w:rPr>
          <w:rFonts w:ascii="Times New Roman" w:hAnsi="Times New Roman" w:eastAsia="MS Mincho"/>
          <w:lang w:eastAsia="ja-JP"/>
        </w:rPr>
      </w:pPr>
      <w:r>
        <w:rPr>
          <w:rFonts w:eastAsia="MS Mincho"/>
          <w:lang w:eastAsia="ja-JP"/>
        </w:rPr>
        <w:t>Low investment requirements for conversion;</w:t>
      </w:r>
    </w:p>
    <w:p>
      <w:pPr>
        <w:pStyle w:val="Normal"/>
        <w:widowControl/>
        <w:numPr>
          <w:ilvl w:val="0"/>
          <w:numId w:val="11"/>
        </w:numPr>
        <w:jc w:val="both"/>
        <w:rPr>
          <w:rFonts w:ascii="Times New Roman" w:hAnsi="Times New Roman" w:eastAsia="MS Mincho"/>
          <w:lang w:val="en-GB" w:eastAsia="ja-JP"/>
        </w:rPr>
      </w:pPr>
      <w:r>
        <w:rPr>
          <w:rFonts w:eastAsia="MS Mincho"/>
          <w:lang w:eastAsia="ja-JP"/>
        </w:rPr>
        <w:t>Amount of refrigerant charge (e.g. R600a charge typically less than half compared to R134a);</w:t>
      </w:r>
    </w:p>
    <w:p>
      <w:pPr>
        <w:pStyle w:val="Normal"/>
        <w:widowControl/>
        <w:jc w:val="both"/>
        <w:rPr>
          <w:rFonts w:ascii="Times New Roman" w:hAnsi="Times New Roman" w:eastAsia="MS Mincho"/>
          <w:lang w:val="en-GB" w:eastAsia="ja-JP"/>
        </w:rPr>
      </w:pPr>
      <w:r>
        <w:rPr>
          <w:rFonts w:eastAsia="MS Mincho"/>
          <w:lang w:val="en-GB" w:eastAsia="ja-JP"/>
        </w:rPr>
      </w:r>
    </w:p>
    <w:p>
      <w:pPr>
        <w:pStyle w:val="Normal"/>
        <w:widowControl/>
        <w:jc w:val="both"/>
        <w:rPr>
          <w:rFonts w:ascii="Times New Roman" w:hAnsi="Times New Roman" w:eastAsia="MS Mincho"/>
          <w:lang w:val="en-GB" w:eastAsia="ja-JP"/>
        </w:rPr>
      </w:pPr>
      <w:r>
        <w:rPr>
          <w:rFonts w:eastAsia="MS Mincho"/>
          <w:lang w:val="en-GB" w:eastAsia="ja-JP"/>
        </w:rPr>
        <w:t>are planned to be tested and demonstrated specifically for Article 5 countries.</w:t>
      </w:r>
    </w:p>
    <w:p>
      <w:pPr>
        <w:pStyle w:val="Normal"/>
        <w:widowControl/>
        <w:jc w:val="both"/>
        <w:rPr>
          <w:rFonts w:ascii="Times New Roman" w:hAnsi="Times New Roman" w:eastAsia="MS Mincho"/>
          <w:lang w:val="en-GB" w:eastAsia="ja-JP"/>
        </w:rPr>
      </w:pPr>
      <w:r>
        <w:rPr>
          <w:rFonts w:eastAsia="MS Mincho"/>
          <w:lang w:val="en-GB" w:eastAsia="ja-JP"/>
        </w:rPr>
      </w:r>
    </w:p>
    <w:p>
      <w:pPr>
        <w:pStyle w:val="Normal"/>
        <w:widowControl/>
        <w:jc w:val="both"/>
        <w:rPr>
          <w:rFonts w:ascii="Times New Roman" w:hAnsi="Times New Roman" w:eastAsia="MS Mincho"/>
          <w:lang w:eastAsia="ja-JP"/>
        </w:rPr>
      </w:pPr>
      <w:r>
        <w:rPr>
          <w:rFonts w:eastAsia="MS Mincho"/>
          <w:lang w:val="en-GB" w:eastAsia="ja-JP"/>
        </w:rPr>
        <w:t>The data and analysis gained throughout the project will create a wealth of information on the economically important</w:t>
      </w:r>
      <w:r>
        <w:rPr>
          <w:rFonts w:eastAsia="MS Mincho"/>
          <w:lang w:eastAsia="ja-JP"/>
        </w:rPr>
        <w:t xml:space="preserve"> and large sector of household appliances, their </w:t>
      </w:r>
      <w:r>
        <w:rPr>
          <w:rFonts w:eastAsia="MS Mincho"/>
          <w:lang w:val="en-GB" w:eastAsia="ja-JP"/>
        </w:rPr>
        <w:t>ICCs and IOCs</w:t>
      </w:r>
      <w:r>
        <w:rPr>
          <w:rFonts w:eastAsia="MS Mincho"/>
          <w:lang w:eastAsia="ja-JP"/>
        </w:rPr>
        <w:t xml:space="preserve"> and the implications for production conversions in this sector. In this regard, the project concept will also include an assessment on the potential global impact and replicability for other developing countries and economies in transition.</w:t>
      </w:r>
    </w:p>
    <w:p>
      <w:pPr>
        <w:pStyle w:val="Normal"/>
        <w:widowControl/>
        <w:jc w:val="both"/>
        <w:rPr>
          <w:rFonts w:ascii="Times New Roman" w:hAnsi="Times New Roman" w:eastAsia="MS Mincho"/>
          <w:lang w:eastAsia="ja-JP"/>
        </w:rPr>
      </w:pPr>
      <w:r>
        <w:rPr>
          <w:rFonts w:eastAsia="MS Mincho"/>
          <w:lang w:eastAsia="ja-JP"/>
        </w:rPr>
      </w:r>
    </w:p>
    <w:p>
      <w:pPr>
        <w:pStyle w:val="Normal"/>
        <w:widowControl/>
        <w:jc w:val="both"/>
        <w:rPr>
          <w:rFonts w:ascii="Times New Roman" w:hAnsi="Times New Roman" w:eastAsia="MS Mincho"/>
          <w:lang w:eastAsia="ja-JP"/>
        </w:rPr>
      </w:pPr>
      <w:r>
        <w:rPr>
          <w:rFonts w:eastAsia="MS Mincho"/>
          <w:lang w:eastAsia="ja-JP"/>
        </w:rPr>
        <w:t>More than 100 million domestic refrigerators and freezers are produced in the world each year (2013) and as of 2014 hydrocarbon technology represents around 40% of the total. However, this represents mostly the developed world (and China). With more Article 5 countries interested and a strong demo project, it is projected that at least 75 to 80% of global new refrigerator production could use hydrocarbon refrigerants by 2020</w:t>
      </w:r>
    </w:p>
    <w:p>
      <w:pPr>
        <w:pStyle w:val="Normal"/>
        <w:widowControl/>
        <w:jc w:val="both"/>
        <w:rPr>
          <w:rFonts w:ascii="Times New Roman" w:hAnsi="Times New Roman" w:eastAsia="MS Mincho"/>
          <w:b/>
          <w:b/>
          <w:lang w:eastAsia="ja-JP"/>
        </w:rPr>
      </w:pPr>
      <w:r>
        <w:rPr>
          <w:rFonts w:eastAsia="MS Mincho"/>
          <w:b/>
          <w:lang w:eastAsia="ja-JP"/>
        </w:rPr>
      </w:r>
    </w:p>
    <w:p>
      <w:pPr>
        <w:pStyle w:val="Normal"/>
        <w:widowControl/>
        <w:jc w:val="both"/>
        <w:rPr>
          <w:rFonts w:ascii="Times New Roman" w:hAnsi="Times New Roman" w:eastAsia="MS Mincho"/>
          <w:b/>
          <w:b/>
          <w:lang w:eastAsia="ja-JP"/>
        </w:rPr>
      </w:pPr>
      <w:r>
        <w:rPr>
          <w:rFonts w:eastAsia="MS Mincho"/>
          <w:b/>
          <w:lang w:eastAsia="ja-JP"/>
        </w:rPr>
        <w:t>Background on the 2 companies</w:t>
      </w:r>
    </w:p>
    <w:p>
      <w:pPr>
        <w:pStyle w:val="Normal"/>
        <w:rPr>
          <w:rFonts w:ascii="Times New Roman" w:hAnsi="Times New Roman" w:eastAsia="MS Mincho"/>
          <w:lang w:val="en-GB" w:eastAsia="ja-JP"/>
        </w:rPr>
      </w:pPr>
      <w:r>
        <w:rPr>
          <w:rFonts w:eastAsia="MS Mincho"/>
          <w:lang w:val="en-GB" w:eastAsia="ja-JP"/>
        </w:rPr>
      </w:r>
    </w:p>
    <w:p>
      <w:pPr>
        <w:pStyle w:val="Normal"/>
        <w:rPr>
          <w:rFonts w:ascii="Times New Roman" w:hAnsi="Times New Roman" w:eastAsia="MS Mincho"/>
          <w:lang w:eastAsia="ja-JP"/>
        </w:rPr>
      </w:pPr>
      <w:r>
        <w:rPr>
          <w:rFonts w:eastAsia="MS Mincho"/>
          <w:lang w:eastAsia="ja-JP"/>
        </w:rPr>
      </w:r>
    </w:p>
    <w:tbl>
      <w:tblPr>
        <w:tblStyle w:val="TableGrid"/>
        <w:tblW w:w="7466" w:type="dxa"/>
        <w:jc w:val="center"/>
        <w:tblInd w:w="0" w:type="dxa"/>
        <w:tblLayout w:type="fixed"/>
        <w:tblCellMar>
          <w:top w:w="58" w:type="dxa"/>
          <w:left w:w="115" w:type="dxa"/>
          <w:bottom w:w="58" w:type="dxa"/>
          <w:right w:w="115" w:type="dxa"/>
        </w:tblCellMar>
        <w:tblLook w:val="04a0" w:noHBand="0" w:noVBand="1" w:firstColumn="1" w:lastRow="0" w:lastColumn="0" w:firstRow="1"/>
      </w:tblPr>
      <w:tblGrid>
        <w:gridCol w:w="4310"/>
        <w:gridCol w:w="3155"/>
      </w:tblGrid>
      <w:tr>
        <w:trPr/>
        <w:tc>
          <w:tcPr>
            <w:tcW w:w="4310" w:type="dxa"/>
            <w:tcBorders/>
          </w:tcPr>
          <w:p>
            <w:pPr>
              <w:pStyle w:val="Normal"/>
              <w:widowControl w:val="false"/>
              <w:spacing w:before="0" w:after="0"/>
              <w:jc w:val="center"/>
              <w:rPr>
                <w:rFonts w:ascii="Times New Roman" w:hAnsi="Times New Roman" w:eastAsia="MS Mincho"/>
                <w:b/>
                <w:b/>
                <w:lang w:eastAsia="ja-JP"/>
              </w:rPr>
            </w:pPr>
            <w:r>
              <w:rPr>
                <w:rFonts w:eastAsia="MS Mincho"/>
                <w:b/>
                <w:kern w:val="0"/>
                <w:lang w:val="en-US" w:eastAsia="en-US" w:bidi="ar-SA"/>
              </w:rPr>
            </w:r>
          </w:p>
        </w:tc>
        <w:tc>
          <w:tcPr>
            <w:tcW w:w="3155" w:type="dxa"/>
            <w:tcBorders/>
          </w:tcPr>
          <w:p>
            <w:pPr>
              <w:pStyle w:val="Normal"/>
              <w:widowControl w:val="false"/>
              <w:spacing w:before="0" w:after="0"/>
              <w:jc w:val="center"/>
              <w:rPr>
                <w:rFonts w:ascii="Times New Roman" w:hAnsi="Times New Roman" w:eastAsia="MS Mincho"/>
                <w:b/>
                <w:b/>
                <w:lang w:eastAsia="ja-JP"/>
              </w:rPr>
            </w:pPr>
            <w:r>
              <w:rPr>
                <w:rFonts w:eastAsia="MS Mincho"/>
                <w:b/>
                <w:kern w:val="0"/>
                <w:lang w:val="en-US" w:eastAsia="ja-JP" w:bidi="ar-SA"/>
              </w:rPr>
              <w:t>Manar</w:t>
            </w:r>
          </w:p>
        </w:tc>
      </w:tr>
      <w:tr>
        <w:trPr/>
        <w:tc>
          <w:tcPr>
            <w:tcW w:w="4310" w:type="dxa"/>
            <w:tcBorders/>
          </w:tcPr>
          <w:p>
            <w:pPr>
              <w:pStyle w:val="Normal"/>
              <w:widowControl w:val="false"/>
              <w:spacing w:before="0" w:after="0"/>
              <w:jc w:val="left"/>
              <w:rPr>
                <w:rFonts w:ascii="Times New Roman" w:hAnsi="Times New Roman" w:eastAsia="MS Mincho"/>
                <w:b/>
                <w:b/>
                <w:lang w:eastAsia="ja-JP"/>
              </w:rPr>
            </w:pPr>
            <w:r>
              <w:rPr>
                <w:rFonts w:eastAsia="MS Mincho"/>
                <w:b/>
                <w:kern w:val="0"/>
                <w:lang w:val="en-US" w:eastAsia="ja-JP" w:bidi="ar-SA"/>
              </w:rPr>
              <w:t>Ownership</w:t>
            </w:r>
          </w:p>
        </w:tc>
        <w:tc>
          <w:tcPr>
            <w:tcW w:w="3155"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100% national</w:t>
            </w:r>
          </w:p>
        </w:tc>
      </w:tr>
      <w:tr>
        <w:trPr/>
        <w:tc>
          <w:tcPr>
            <w:tcW w:w="4310" w:type="dxa"/>
            <w:tcBorders/>
          </w:tcPr>
          <w:p>
            <w:pPr>
              <w:pStyle w:val="Normal"/>
              <w:widowControl w:val="false"/>
              <w:spacing w:before="0" w:after="0"/>
              <w:jc w:val="left"/>
              <w:rPr>
                <w:rFonts w:ascii="Times New Roman" w:hAnsi="Times New Roman" w:eastAsia="MS Mincho"/>
                <w:b/>
                <w:b/>
                <w:lang w:eastAsia="ja-JP"/>
              </w:rPr>
            </w:pPr>
            <w:r>
              <w:rPr>
                <w:rFonts w:eastAsia="MS Mincho"/>
                <w:b/>
                <w:kern w:val="0"/>
                <w:lang w:val="en-US" w:eastAsia="ja-JP" w:bidi="ar-SA"/>
              </w:rPr>
              <w:t>Annual HFC consumption estimation</w:t>
            </w:r>
          </w:p>
        </w:tc>
        <w:tc>
          <w:tcPr>
            <w:tcW w:w="3155"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22-24 tonnes</w:t>
            </w:r>
          </w:p>
        </w:tc>
      </w:tr>
      <w:tr>
        <w:trPr/>
        <w:tc>
          <w:tcPr>
            <w:tcW w:w="4310" w:type="dxa"/>
            <w:tcBorders/>
          </w:tcPr>
          <w:p>
            <w:pPr>
              <w:pStyle w:val="Normal"/>
              <w:widowControl w:val="false"/>
              <w:spacing w:before="0" w:after="0"/>
              <w:jc w:val="left"/>
              <w:rPr>
                <w:rFonts w:ascii="Times New Roman" w:hAnsi="Times New Roman" w:eastAsia="MS Mincho"/>
                <w:b/>
                <w:b/>
                <w:lang w:eastAsia="ja-JP"/>
              </w:rPr>
            </w:pPr>
            <w:r>
              <w:rPr>
                <w:rFonts w:eastAsia="MS Mincho"/>
                <w:b/>
                <w:kern w:val="0"/>
                <w:lang w:val="en-US" w:eastAsia="ja-JP" w:bidi="ar-SA"/>
              </w:rPr>
              <w:t>HFC-based equipment</w:t>
            </w:r>
          </w:p>
        </w:tc>
        <w:tc>
          <w:tcPr>
            <w:tcW w:w="3155"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domestic refrigerators</w:t>
            </w:r>
          </w:p>
        </w:tc>
      </w:tr>
      <w:tr>
        <w:trPr/>
        <w:tc>
          <w:tcPr>
            <w:tcW w:w="4310" w:type="dxa"/>
            <w:tcBorders/>
          </w:tcPr>
          <w:p>
            <w:pPr>
              <w:pStyle w:val="Normal"/>
              <w:widowControl w:val="false"/>
              <w:spacing w:before="0" w:after="0"/>
              <w:jc w:val="left"/>
              <w:rPr>
                <w:rFonts w:ascii="Times New Roman" w:hAnsi="Times New Roman" w:eastAsia="MS Mincho"/>
                <w:b/>
                <w:b/>
                <w:lang w:eastAsia="ja-JP"/>
              </w:rPr>
            </w:pPr>
            <w:r>
              <w:rPr>
                <w:rFonts w:eastAsia="MS Mincho"/>
                <w:b/>
                <w:kern w:val="0"/>
                <w:lang w:val="en-US" w:eastAsia="ja-JP" w:bidi="ar-SA"/>
              </w:rPr>
              <w:t>Baseline equipment</w:t>
            </w:r>
          </w:p>
        </w:tc>
        <w:tc>
          <w:tcPr>
            <w:tcW w:w="3155"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- 5 automatic chargers</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- 4 transfer pumps</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- 14 detectors</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- 35 vacuum pumps</w:t>
            </w:r>
          </w:p>
        </w:tc>
      </w:tr>
    </w:tbl>
    <w:p>
      <w:pPr>
        <w:pStyle w:val="Normal"/>
        <w:rPr>
          <w:rFonts w:ascii="Times New Roman" w:hAnsi="Times New Roman" w:eastAsia="MS Mincho"/>
          <w:lang w:eastAsia="ja-JP"/>
        </w:rPr>
      </w:pPr>
      <w:r>
        <w:rPr>
          <w:rFonts w:eastAsia="MS Mincho"/>
          <w:lang w:eastAsia="ja-JP"/>
        </w:rPr>
      </w:r>
    </w:p>
    <w:p>
      <w:pPr>
        <w:pStyle w:val="Normal"/>
        <w:rPr>
          <w:rFonts w:ascii="Times New Roman" w:hAnsi="Times New Roman" w:eastAsia="MS Mincho"/>
          <w:lang w:eastAsia="ja-JP"/>
        </w:rPr>
      </w:pPr>
      <w:r>
        <w:rPr>
          <w:rFonts w:eastAsia="MS Mincho"/>
          <w:lang w:eastAsia="ja-JP"/>
        </w:rPr>
        <w:t>In the framework of the proposed project, it is planned that the R134a based products will be converted to hydrocarbons R600a.</w:t>
      </w:r>
    </w:p>
    <w:p>
      <w:pPr>
        <w:pStyle w:val="Normal"/>
        <w:rPr>
          <w:rFonts w:ascii="Times New Roman" w:hAnsi="Times New Roman" w:eastAsia="MS Mincho"/>
          <w:lang w:eastAsia="ja-JP"/>
        </w:rPr>
      </w:pPr>
      <w:r>
        <w:rPr>
          <w:rFonts w:eastAsia="MS Mincho"/>
          <w:lang w:eastAsia="ja-JP"/>
        </w:rPr>
      </w:r>
    </w:p>
    <w:p>
      <w:pPr>
        <w:pStyle w:val="Normal"/>
        <w:rPr>
          <w:rFonts w:ascii="Times New Roman" w:hAnsi="Times New Roman" w:eastAsia="MS Mincho"/>
          <w:b/>
          <w:b/>
          <w:lang w:eastAsia="ja-JP"/>
        </w:rPr>
      </w:pPr>
      <w:r>
        <w:rPr>
          <w:rFonts w:eastAsia="MS Mincho"/>
          <w:b/>
          <w:lang w:eastAsia="ja-JP"/>
        </w:rPr>
        <w:t xml:space="preserve">Additional information MANAR </w:t>
      </w:r>
    </w:p>
    <w:p>
      <w:pPr>
        <w:pStyle w:val="Normal"/>
        <w:rPr>
          <w:rFonts w:ascii="Times New Roman" w:hAnsi="Times New Roman" w:eastAsia="MS Mincho"/>
          <w:b/>
          <w:b/>
          <w:lang w:eastAsia="ja-JP"/>
        </w:rPr>
      </w:pPr>
      <w:r>
        <w:rPr>
          <w:rFonts w:eastAsia="MS Mincho"/>
          <w:b/>
          <w:lang w:eastAsia="ja-JP"/>
        </w:rPr>
      </w:r>
    </w:p>
    <w:p>
      <w:pPr>
        <w:pStyle w:val="Normal"/>
        <w:rPr>
          <w:rFonts w:ascii="Times New Roman" w:hAnsi="Times New Roman" w:eastAsia="MS Mincho"/>
          <w:lang w:val="en-GB" w:eastAsia="ja-JP"/>
        </w:rPr>
      </w:pPr>
      <w:r>
        <w:rPr>
          <w:rFonts w:eastAsia="MS Mincho"/>
          <w:bCs/>
          <w:lang w:val="en-GB" w:eastAsia="ja-JP"/>
        </w:rPr>
        <w:t>MANAR</w:t>
      </w:r>
      <w:r>
        <w:rPr>
          <w:rFonts w:eastAsia="MS Mincho"/>
          <w:bCs/>
          <w:lang w:eastAsia="ja-JP"/>
        </w:rPr>
        <w:t xml:space="preserve"> is a local manufacturer and overall a leading player in the refrigerator market. </w:t>
      </w:r>
      <w:r>
        <w:rPr>
          <w:rFonts w:eastAsia="MS Mincho"/>
          <w:lang w:val="en-GB" w:eastAsia="ja-JP"/>
        </w:rPr>
        <w:t xml:space="preserve">MANAR Company is a 100 % indigenous Moroccan limited liability company, producing different refrigerator models as well as other electrical appliances. MANAR Company under its brand Siera is with a yearly production capacity of 300,000 units, of which 150,000 – 180,000 are refrigerators, one of the largest goods producers in this industry in Morocco. </w:t>
      </w:r>
    </w:p>
    <w:p>
      <w:pPr>
        <w:pStyle w:val="Normal"/>
        <w:rPr>
          <w:rFonts w:ascii="Times New Roman" w:hAnsi="Times New Roman" w:eastAsia="MS Mincho"/>
          <w:lang w:val="en-GB" w:eastAsia="ja-JP"/>
        </w:rPr>
      </w:pPr>
      <w:r>
        <w:rPr>
          <w:rFonts w:eastAsia="MS Mincho"/>
          <w:lang w:val="en-GB" w:eastAsia="ja-JP"/>
        </w:rPr>
      </w:r>
    </w:p>
    <w:p>
      <w:pPr>
        <w:pStyle w:val="Normal"/>
        <w:rPr>
          <w:rFonts w:ascii="Times New Roman" w:hAnsi="Times New Roman" w:eastAsia="MS Mincho"/>
          <w:lang w:val="en-GB" w:eastAsia="ja-JP"/>
        </w:rPr>
      </w:pPr>
      <w:r>
        <w:rPr>
          <w:rFonts w:eastAsia="MS Mincho"/>
          <w:lang w:val="en-GB" w:eastAsia="ja-JP"/>
        </w:rPr>
        <w:t>MANAR leads refrigeration appliances with a 25% retail volume share in 2015. The majority of MANAR customers are local shops. The company employs 425 personnel. Parts of the produced goods are exported to Maghreb countries and West Africa. It was established in 1957 and is located in Casablanca.</w:t>
      </w:r>
    </w:p>
    <w:p>
      <w:pPr>
        <w:pStyle w:val="Normal"/>
        <w:widowControl/>
        <w:spacing w:before="0" w:after="0"/>
        <w:contextualSpacing/>
        <w:jc w:val="both"/>
        <w:rPr>
          <w:rFonts w:ascii="Times New Roman" w:hAnsi="Times New Roman" w:eastAsia="MS Mincho"/>
          <w:b/>
          <w:b/>
          <w:lang w:eastAsia="ja-JP"/>
        </w:rPr>
      </w:pPr>
      <w:r>
        <w:rPr>
          <w:rFonts w:eastAsia="MS Mincho"/>
          <w:b/>
          <w:lang w:eastAsia="ja-JP"/>
        </w:rPr>
      </w:r>
    </w:p>
    <w:p>
      <w:pPr>
        <w:pStyle w:val="Normal"/>
        <w:widowControl/>
        <w:spacing w:before="0" w:after="0"/>
        <w:contextualSpacing/>
        <w:jc w:val="both"/>
        <w:rPr>
          <w:rFonts w:ascii="Times New Roman" w:hAnsi="Times New Roman" w:eastAsia="MS Mincho"/>
          <w:b/>
          <w:b/>
          <w:lang w:eastAsia="ja-JP"/>
        </w:rPr>
      </w:pPr>
      <w:r>
        <w:rPr>
          <w:rFonts w:eastAsia="MS Mincho"/>
          <w:b/>
          <w:lang w:eastAsia="ja-JP"/>
        </w:rPr>
        <w:t>Safety requirements</w:t>
      </w:r>
    </w:p>
    <w:p>
      <w:pPr>
        <w:pStyle w:val="Normal"/>
        <w:widowControl/>
        <w:spacing w:before="0" w:after="0"/>
        <w:contextualSpacing/>
        <w:jc w:val="both"/>
        <w:rPr>
          <w:rFonts w:ascii="Times New Roman" w:hAnsi="Times New Roman" w:eastAsia="MS Mincho"/>
          <w:lang w:eastAsia="ja-JP"/>
        </w:rPr>
      </w:pPr>
      <w:r>
        <w:rPr>
          <w:rFonts w:eastAsia="MS Mincho"/>
          <w:lang w:eastAsia="ja-JP"/>
        </w:rPr>
      </w:r>
    </w:p>
    <w:p>
      <w:pPr>
        <w:pStyle w:val="Normal"/>
        <w:widowControl/>
        <w:spacing w:before="0" w:after="0"/>
        <w:contextualSpacing/>
        <w:jc w:val="both"/>
        <w:rPr>
          <w:rFonts w:ascii="Times New Roman" w:hAnsi="Times New Roman" w:eastAsia="MS Mincho"/>
          <w:lang w:eastAsia="ja-JP"/>
        </w:rPr>
      </w:pPr>
      <w:r>
        <w:rPr>
          <w:rFonts w:eastAsia="MS Mincho"/>
          <w:lang w:eastAsia="ja-JP"/>
        </w:rPr>
        <w:t>Because of their flammability, HCs are subject to international safety guidelines and legislation. Their use is limited to a per</w:t>
      </w:r>
      <w:r>
        <w:rPr>
          <w:rFonts w:eastAsia="PMingLiU-ExtB" w:cs="Cambria Math" w:ascii="Cambria Math" w:hAnsi="Cambria Math"/>
          <w:lang w:eastAsia="ja-JP"/>
        </w:rPr>
        <w:t>‐</w:t>
      </w:r>
      <w:r>
        <w:rPr>
          <w:rFonts w:eastAsia="MS Mincho"/>
          <w:lang w:eastAsia="ja-JP"/>
        </w:rPr>
        <w:t>system charge of no more than 150 grams – though within Europe this can be legally exceeded under certain optimum conditions. All manufacturers of HC systems must follow equipment safety guidelines, and service personnel must understand and comply with specified safe handling procedures. Safety legislation demands leakage-simulation testing, and strict specifications govern the sealing of electrical components in the vicinity of HC flows. Furthermore, many common domestic and commercial appliances, such as domestic fridges and freezers, heat pumps, commercial refrigerators, and motor compressors are subject to international safety directives.</w:t>
      </w:r>
    </w:p>
    <w:p>
      <w:pPr>
        <w:pStyle w:val="Normal"/>
        <w:widowControl/>
        <w:spacing w:before="0" w:after="0"/>
        <w:contextualSpacing/>
        <w:jc w:val="both"/>
        <w:rPr>
          <w:rFonts w:ascii="Times New Roman" w:hAnsi="Times New Roman"/>
          <w:b/>
          <w:b/>
          <w:color w:val="FF0000"/>
        </w:rPr>
      </w:pPr>
      <w:r>
        <w:rPr>
          <w:b/>
          <w:color w:val="FF0000"/>
        </w:rPr>
      </w:r>
    </w:p>
    <w:p>
      <w:pPr>
        <w:pStyle w:val="Normal"/>
        <w:widowControl/>
        <w:spacing w:before="0" w:after="0"/>
        <w:contextualSpacing/>
        <w:jc w:val="both"/>
        <w:rPr>
          <w:rFonts w:ascii="Times New Roman" w:hAnsi="Times New Roman"/>
          <w:b/>
          <w:b/>
        </w:rPr>
      </w:pPr>
      <w:r>
        <w:rPr>
          <w:b/>
        </w:rPr>
        <w:t>Funding Requirements</w:t>
      </w:r>
    </w:p>
    <w:p>
      <w:pPr>
        <w:pStyle w:val="Normal"/>
        <w:widowControl/>
        <w:spacing w:before="0" w:after="0"/>
        <w:contextualSpacing/>
        <w:jc w:val="both"/>
        <w:rPr>
          <w:rFonts w:ascii="Times New Roman" w:hAnsi="Times New Roman"/>
          <w:b/>
          <w:b/>
          <w:color w:val="FF0000"/>
        </w:rPr>
      </w:pPr>
      <w:r>
        <w:rPr>
          <w:b/>
          <w:color w:val="FF0000"/>
        </w:rPr>
      </w:r>
    </w:p>
    <w:p>
      <w:pPr>
        <w:pStyle w:val="Normal"/>
        <w:widowControl/>
        <w:spacing w:before="0" w:after="0"/>
        <w:contextualSpacing/>
        <w:jc w:val="both"/>
        <w:rPr>
          <w:rFonts w:ascii="Times New Roman" w:hAnsi="Times New Roman"/>
        </w:rPr>
      </w:pPr>
      <w:r>
        <w:rPr/>
        <w:t>The preparatory funds are requested for UNIDO, as follows (for each country):</w:t>
      </w:r>
    </w:p>
    <w:p>
      <w:pPr>
        <w:pStyle w:val="Normal"/>
        <w:widowControl/>
        <w:spacing w:before="0" w:after="0"/>
        <w:ind w:left="720" w:hanging="0"/>
        <w:contextualSpacing/>
        <w:jc w:val="both"/>
        <w:rPr>
          <w:rFonts w:ascii="Times New Roman" w:hAnsi="Times New Roman"/>
        </w:rPr>
      </w:pPr>
      <w:r>
        <w:rPr/>
        <w:t xml:space="preserve"> </w:t>
      </w:r>
    </w:p>
    <w:tbl>
      <w:tblPr>
        <w:tblW w:w="800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964"/>
        <w:gridCol w:w="2036"/>
      </w:tblGrid>
      <w:tr>
        <w:trPr>
          <w:trHeight w:val="360" w:hRule="atLeast"/>
        </w:trPr>
        <w:tc>
          <w:tcPr>
            <w:tcW w:w="59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Activities per country</w:t>
            </w:r>
          </w:p>
        </w:tc>
        <w:tc>
          <w:tcPr>
            <w:tcW w:w="203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Cost</w:t>
            </w:r>
          </w:p>
          <w:p>
            <w:pPr>
              <w:pStyle w:val="Normal"/>
              <w:widowControl w:val="false"/>
              <w:jc w:val="center"/>
              <w:rPr>
                <w:rFonts w:ascii="Times New Roman" w:hAnsi="Times New Roman"/>
                <w:b/>
                <w:b/>
                <w:color w:val="000000"/>
              </w:rPr>
            </w:pPr>
            <w:r>
              <w:rPr>
                <w:b/>
                <w:color w:val="000000"/>
              </w:rPr>
              <w:t>US$ per country</w:t>
            </w:r>
          </w:p>
        </w:tc>
      </w:tr>
      <w:tr>
        <w:trPr>
          <w:trHeight w:val="360" w:hRule="atLeast"/>
        </w:trPr>
        <w:tc>
          <w:tcPr>
            <w:tcW w:w="596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Local activities (national expert, local travel costs, coordination meetings etc.)</w:t>
            </w:r>
          </w:p>
        </w:tc>
        <w:tc>
          <w:tcPr>
            <w:tcW w:w="2036"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10,000</w:t>
            </w:r>
          </w:p>
        </w:tc>
      </w:tr>
      <w:tr>
        <w:trPr>
          <w:trHeight w:val="360" w:hRule="atLeast"/>
        </w:trPr>
        <w:tc>
          <w:tcPr>
            <w:tcW w:w="596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consultant (project preparation and development)</w:t>
            </w:r>
          </w:p>
        </w:tc>
        <w:tc>
          <w:tcPr>
            <w:tcW w:w="2036"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15,000</w:t>
            </w:r>
          </w:p>
        </w:tc>
      </w:tr>
      <w:tr>
        <w:trPr>
          <w:trHeight w:val="360" w:hRule="atLeast"/>
        </w:trPr>
        <w:tc>
          <w:tcPr>
            <w:tcW w:w="596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travel costs (staff)</w:t>
            </w:r>
          </w:p>
        </w:tc>
        <w:tc>
          <w:tcPr>
            <w:tcW w:w="2036"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5,000</w:t>
            </w:r>
          </w:p>
        </w:tc>
      </w:tr>
      <w:tr>
        <w:trPr>
          <w:trHeight w:val="360" w:hRule="atLeast"/>
        </w:trPr>
        <w:tc>
          <w:tcPr>
            <w:tcW w:w="5964"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b/>
                <w:b/>
                <w:color w:val="000000"/>
              </w:rPr>
            </w:pPr>
            <w:r>
              <w:rPr>
                <w:b/>
                <w:color w:val="000000"/>
              </w:rPr>
              <w:t>TOTAL</w:t>
            </w:r>
          </w:p>
        </w:tc>
        <w:tc>
          <w:tcPr>
            <w:tcW w:w="2036"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b/>
                <w:b/>
                <w:color w:val="000000"/>
              </w:rPr>
            </w:pPr>
            <w:r>
              <w:rPr>
                <w:b/>
                <w:color w:val="000000"/>
              </w:rPr>
              <w:t>30,000</w:t>
            </w:r>
          </w:p>
        </w:tc>
      </w:tr>
    </w:tbl>
    <w:p>
      <w:pPr>
        <w:pStyle w:val="Normal"/>
        <w:widowControl/>
        <w:spacing w:lineRule="atLeast" w:line="240" w:before="120" w:after="0"/>
        <w:contextualSpacing/>
        <w:jc w:val="both"/>
        <w:rPr>
          <w:rFonts w:ascii="Times New Roman" w:hAnsi="Times New Roman"/>
          <w:color w:val="000000"/>
        </w:rPr>
      </w:pPr>
      <w:r>
        <w:rPr>
          <w:color w:val="000000"/>
        </w:rPr>
      </w:r>
    </w:p>
    <w:p>
      <w:pPr>
        <w:pStyle w:val="Normal"/>
        <w:widowControl/>
        <w:spacing w:lineRule="atLeast" w:line="240" w:before="120" w:after="0"/>
        <w:contextualSpacing/>
        <w:jc w:val="both"/>
        <w:rPr>
          <w:rFonts w:ascii="Times New Roman" w:hAnsi="Times New Roman"/>
        </w:rPr>
      </w:pPr>
      <w:r>
        <w:rPr/>
      </w:r>
    </w:p>
    <w:p>
      <w:pPr>
        <w:pStyle w:val="Normal"/>
        <w:widowControl/>
        <w:spacing w:before="0" w:after="0"/>
        <w:contextualSpacing/>
        <w:jc w:val="both"/>
        <w:rPr>
          <w:rFonts w:ascii="Times New Roman" w:hAnsi="Times New Roman"/>
          <w:b/>
          <w:b/>
        </w:rPr>
      </w:pPr>
      <w:r>
        <w:rPr>
          <w:b/>
        </w:rPr>
        <w:t>Activities to be undertaken to develop the umbrella project</w:t>
      </w:r>
    </w:p>
    <w:p>
      <w:pPr>
        <w:pStyle w:val="Normal"/>
        <w:jc w:val="both"/>
        <w:rPr>
          <w:rFonts w:ascii="Times New Roman" w:hAnsi="Times New Roman"/>
          <w:color w:val="000000"/>
        </w:rPr>
      </w:pPr>
      <w:r>
        <w:rPr>
          <w:color w:val="000000"/>
        </w:rPr>
      </w:r>
    </w:p>
    <w:p>
      <w:pPr>
        <w:pStyle w:val="Normal"/>
        <w:widowControl/>
        <w:numPr>
          <w:ilvl w:val="0"/>
          <w:numId w:val="4"/>
        </w:numPr>
        <w:spacing w:before="120" w:after="0"/>
        <w:contextualSpacing/>
        <w:jc w:val="both"/>
        <w:rPr>
          <w:rFonts w:ascii="Times New Roman" w:hAnsi="Times New Roman"/>
          <w:color w:val="000000"/>
        </w:rPr>
      </w:pPr>
      <w:r>
        <w:rPr>
          <w:color w:val="000000"/>
        </w:rPr>
        <w:t>Detailed data collection, verification and validation at the enterprises</w:t>
      </w:r>
    </w:p>
    <w:p>
      <w:pPr>
        <w:pStyle w:val="Normal"/>
        <w:widowControl/>
        <w:numPr>
          <w:ilvl w:val="0"/>
          <w:numId w:val="4"/>
        </w:numPr>
        <w:spacing w:before="120" w:after="0"/>
        <w:contextualSpacing/>
        <w:jc w:val="both"/>
        <w:rPr>
          <w:rFonts w:ascii="Times New Roman" w:hAnsi="Times New Roman"/>
          <w:color w:val="000000"/>
        </w:rPr>
      </w:pPr>
      <w:r>
        <w:rPr>
          <w:color w:val="000000"/>
        </w:rPr>
        <w:t>Technology review of available, mature alternatives and discussion with the enterprises and the Government on the selection of a suitable low-GWP alternatives</w:t>
      </w:r>
    </w:p>
    <w:p>
      <w:pPr>
        <w:pStyle w:val="Normal"/>
        <w:widowControl/>
        <w:numPr>
          <w:ilvl w:val="0"/>
          <w:numId w:val="4"/>
        </w:numPr>
        <w:spacing w:before="120" w:after="0"/>
        <w:contextualSpacing/>
        <w:jc w:val="both"/>
        <w:rPr>
          <w:rFonts w:ascii="Times New Roman" w:hAnsi="Times New Roman"/>
          <w:color w:val="000000"/>
        </w:rPr>
      </w:pPr>
      <w:r>
        <w:rPr>
          <w:color w:val="000000"/>
        </w:rPr>
        <w:t>Cost assessment of conversion (ICC and IOC)</w:t>
      </w:r>
    </w:p>
    <w:p>
      <w:pPr>
        <w:pStyle w:val="Normal"/>
        <w:widowControl/>
        <w:numPr>
          <w:ilvl w:val="0"/>
          <w:numId w:val="4"/>
        </w:numPr>
        <w:spacing w:before="120" w:after="0"/>
        <w:contextualSpacing/>
        <w:jc w:val="both"/>
        <w:rPr>
          <w:rFonts w:ascii="Times New Roman" w:hAnsi="Times New Roman"/>
          <w:color w:val="000000"/>
        </w:rPr>
      </w:pPr>
      <w:r>
        <w:rPr>
          <w:color w:val="000000"/>
        </w:rPr>
        <w:t>Evaluation of the climate co-benefits of the selected alternative and possible interventions and related costs for additional climate benefits</w:t>
      </w:r>
    </w:p>
    <w:p>
      <w:pPr>
        <w:pStyle w:val="Normal"/>
        <w:widowControl/>
        <w:numPr>
          <w:ilvl w:val="0"/>
          <w:numId w:val="4"/>
        </w:numPr>
        <w:tabs>
          <w:tab w:val="clear" w:pos="720"/>
          <w:tab w:val="left" w:pos="1068" w:leader="none"/>
        </w:tabs>
        <w:spacing w:lineRule="atLeast" w:line="240" w:before="120" w:after="0"/>
        <w:contextualSpacing/>
        <w:jc w:val="both"/>
        <w:rPr>
          <w:rFonts w:ascii="Times New Roman" w:hAnsi="Times New Roman"/>
        </w:rPr>
      </w:pPr>
      <w:r>
        <w:rPr>
          <w:color w:val="000000"/>
        </w:rPr>
        <w:t>Preparation, review, endorsement and submission of the project document</w:t>
      </w:r>
    </w:p>
    <w:p>
      <w:pPr>
        <w:pStyle w:val="Normal"/>
        <w:widowControl/>
        <w:spacing w:lineRule="atLeast" w:line="240" w:before="120" w:after="0"/>
        <w:contextualSpacing/>
        <w:jc w:val="both"/>
        <w:rPr>
          <w:rFonts w:ascii="Times New Roman" w:hAnsi="Times New Roman"/>
        </w:rPr>
      </w:pPr>
      <w:r>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Normal"/>
        <w:widowControl/>
        <w:spacing w:lineRule="auto" w:line="276" w:before="0" w:after="200"/>
        <w:rPr>
          <w:rFonts w:ascii="Times New Roman" w:hAnsi="Times New Roman"/>
          <w:b/>
          <w:b/>
        </w:rPr>
      </w:pPr>
      <w:r>
        <w:rPr>
          <w:b/>
        </w:rPr>
      </w:r>
      <w:r>
        <w:br w:type="page"/>
      </w:r>
    </w:p>
    <w:p>
      <w:pPr>
        <w:pStyle w:val="Normal"/>
        <w:jc w:val="center"/>
        <w:rPr>
          <w:rFonts w:ascii="Times New Roman" w:hAnsi="Times New Roman"/>
          <w:b/>
          <w:b/>
        </w:rPr>
      </w:pPr>
      <w:r>
        <w:rPr>
          <w:b/>
        </w:rPr>
        <w:t>PROJECT CONCEPT</w:t>
      </w:r>
    </w:p>
    <w:p>
      <w:pPr>
        <w:pStyle w:val="Normal"/>
        <w:tabs>
          <w:tab w:val="clear" w:pos="720"/>
          <w:tab w:val="left" w:pos="1418" w:leader="none"/>
        </w:tabs>
        <w:rPr>
          <w:rFonts w:ascii="Times New Roman" w:hAnsi="Times New Roman"/>
        </w:rPr>
      </w:pPr>
      <w:r>
        <w:rPr/>
      </w:r>
    </w:p>
    <w:p>
      <w:pPr>
        <w:pStyle w:val="Normal"/>
        <w:tabs>
          <w:tab w:val="clear" w:pos="720"/>
          <w:tab w:val="left" w:pos="2790" w:leader="none"/>
        </w:tabs>
        <w:rPr>
          <w:rFonts w:ascii="Times New Roman" w:hAnsi="Times New Roman"/>
        </w:rPr>
      </w:pPr>
      <w:r>
        <w:rPr>
          <w:b/>
        </w:rPr>
        <w:t>Country:</w:t>
        <w:tab/>
      </w:r>
      <w:r>
        <w:rPr>
          <w:b/>
          <w:bCs/>
        </w:rPr>
        <w:t>Viet Nam</w:t>
      </w:r>
    </w:p>
    <w:p>
      <w:pPr>
        <w:pStyle w:val="Normal"/>
        <w:rPr>
          <w:rFonts w:ascii="Times New Roman" w:hAnsi="Times New Roman"/>
        </w:rPr>
      </w:pPr>
      <w:r>
        <w:rPr/>
      </w:r>
    </w:p>
    <w:p>
      <w:pPr>
        <w:pStyle w:val="Normal"/>
        <w:widowControl/>
        <w:tabs>
          <w:tab w:val="clear" w:pos="720"/>
          <w:tab w:val="left" w:pos="2790" w:leader="none"/>
        </w:tabs>
        <w:ind w:left="2790" w:hanging="2790"/>
        <w:jc w:val="both"/>
        <w:rPr>
          <w:rFonts w:ascii="Times New Roman" w:hAnsi="Times New Roman"/>
        </w:rPr>
      </w:pPr>
      <w:r>
        <w:rPr>
          <w:b/>
        </w:rPr>
        <w:t>Title:</w:t>
        <w:tab/>
      </w:r>
      <w:r>
        <w:rPr/>
        <w:t>Project preparation for HFC-related projects in the manufacturing sector at Nagakawa Vietnam Company to gain experience in ICCs and IOCs associated with the phase-down of HFCs</w:t>
      </w:r>
    </w:p>
    <w:p>
      <w:pPr>
        <w:pStyle w:val="Normal"/>
        <w:widowControl/>
        <w:ind w:left="1418" w:hanging="1418"/>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Project Duration:</w:t>
      </w:r>
      <w:r>
        <w:rPr/>
        <w:tab/>
        <w:t>12 months</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b/>
          <w:b/>
        </w:rPr>
      </w:pPr>
      <w:r>
        <w:rPr>
          <w:b/>
        </w:rPr>
        <w:t>Project Budget:</w:t>
        <w:tab/>
      </w:r>
      <w:r>
        <w:rPr/>
        <w:t>US$ 30,000</w:t>
      </w:r>
      <w:r>
        <w:rPr>
          <w:b/>
        </w:rPr>
        <w:t xml:space="preserve"> </w:t>
      </w:r>
      <w:r>
        <w:rPr/>
        <w:t>(</w:t>
      </w:r>
      <w:r>
        <w:rPr>
          <w:lang w:val="en-GB"/>
        </w:rPr>
        <w:t xml:space="preserve">excl. 7.0% Agency Support Costs) </w:t>
      </w:r>
    </w:p>
    <w:p>
      <w:pPr>
        <w:pStyle w:val="Normal"/>
        <w:jc w:val="both"/>
        <w:rPr>
          <w:rFonts w:ascii="Times New Roman" w:hAnsi="Times New Roman"/>
        </w:rPr>
      </w:pPr>
      <w:r>
        <w:rPr/>
      </w:r>
    </w:p>
    <w:p>
      <w:pPr>
        <w:pStyle w:val="Normal"/>
        <w:tabs>
          <w:tab w:val="clear" w:pos="720"/>
          <w:tab w:val="left" w:pos="2790" w:leader="none"/>
        </w:tabs>
        <w:jc w:val="both"/>
        <w:rPr>
          <w:rFonts w:ascii="Times New Roman" w:hAnsi="Times New Roman"/>
        </w:rPr>
      </w:pPr>
      <w:r>
        <w:rPr>
          <w:b/>
        </w:rPr>
        <w:t>Implementing Agency:</w:t>
      </w:r>
      <w:r>
        <w:rPr/>
        <w:tab/>
        <w:t>UNIDO</w:t>
      </w:r>
    </w:p>
    <w:p>
      <w:pPr>
        <w:pStyle w:val="Normal"/>
        <w:jc w:val="both"/>
        <w:rPr>
          <w:rFonts w:ascii="Times New Roman" w:hAnsi="Times New Roman"/>
        </w:rPr>
      </w:pPr>
      <w:r>
        <w:rPr/>
      </w:r>
    </w:p>
    <w:p>
      <w:pPr>
        <w:pStyle w:val="Normal"/>
        <w:tabs>
          <w:tab w:val="clear" w:pos="720"/>
          <w:tab w:val="left" w:pos="2790" w:leader="none"/>
        </w:tabs>
        <w:ind w:left="3600" w:hanging="3600"/>
        <w:jc w:val="both"/>
        <w:rPr>
          <w:rFonts w:ascii="Times New Roman" w:hAnsi="Times New Roman"/>
        </w:rPr>
      </w:pPr>
      <w:r>
        <w:rPr>
          <w:b/>
        </w:rPr>
        <w:t>Coordinating Agency:</w:t>
        <w:tab/>
      </w:r>
      <w:r>
        <w:rPr>
          <w:lang w:val="en-GB"/>
        </w:rPr>
        <w:t xml:space="preserve">National Ozone Unit - Ministry of Natural Resources and </w:t>
      </w:r>
      <w:r>
        <w:rPr/>
        <w:t>Environment</w:t>
      </w:r>
    </w:p>
    <w:p>
      <w:pPr>
        <w:pStyle w:val="Normal"/>
        <w:tabs>
          <w:tab w:val="clear" w:pos="720"/>
          <w:tab w:val="left" w:pos="2790" w:leader="none"/>
        </w:tabs>
        <w:ind w:left="3600" w:hanging="3600"/>
        <w:jc w:val="both"/>
        <w:rPr>
          <w:rFonts w:ascii="Times New Roman" w:hAnsi="Times New Roman"/>
        </w:rPr>
      </w:pPr>
      <w:r>
        <w:rPr/>
      </w:r>
    </w:p>
    <w:p>
      <w:pPr>
        <w:pStyle w:val="Normal"/>
        <w:spacing w:lineRule="exact" w:line="19"/>
        <w:rPr>
          <w:rFonts w:ascii="Times New Roman" w:hAnsi="Times New Roman"/>
        </w:rPr>
      </w:pPr>
      <w:r>
        <w:rPr/>
      </w:r>
    </w:p>
    <w:p>
      <w:pPr>
        <w:pStyle w:val="Normal"/>
        <w:ind w:left="720" w:hanging="0"/>
        <w:rPr>
          <w:rFonts w:ascii="Times New Roman" w:hAnsi="Times New Roman"/>
        </w:rPr>
      </w:pPr>
      <w:r>
        <w:rPr/>
        <mc:AlternateContent>
          <mc:Choice Requires="wps">
            <w:drawing>
              <wp:anchor behindDoc="0" distT="0" distB="19050" distL="0" distR="19050" simplePos="0" locked="0" layoutInCell="0" allowOverlap="1" relativeHeight="8" wp14:anchorId="24F6993B">
                <wp:simplePos x="0" y="0"/>
                <wp:positionH relativeFrom="column">
                  <wp:posOffset>-9525</wp:posOffset>
                </wp:positionH>
                <wp:positionV relativeFrom="paragraph">
                  <wp:posOffset>-1270</wp:posOffset>
                </wp:positionV>
                <wp:extent cx="6019800" cy="0"/>
                <wp:effectExtent l="5080" t="5080" r="5080" b="5080"/>
                <wp:wrapNone/>
                <wp:docPr id="12" name="Straight Connector 16"/>
                <a:graphic xmlns:a="http://schemas.openxmlformats.org/drawingml/2006/main">
                  <a:graphicData uri="http://schemas.microsoft.com/office/word/2010/wordprocessingShape">
                    <wps:wsp>
                      <wps:cNvSpPr/>
                      <wps:spPr>
                        <a:xfrm>
                          <a:off x="0" y="0"/>
                          <a:ext cx="6019920" cy="0"/>
                        </a:xfrm>
                        <a:prstGeom prst="line">
                          <a:avLst/>
                        </a:prstGeom>
                        <a:ln>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75pt,-0.1pt" to="473.2pt,-0.1pt" ID="Straight Connector 16" stroked="t" o:allowincell="f" style="position:absolute" wp14:anchorId="24F6993B">
                <v:stroke color="black" weight="9360" joinstyle="round" endcap="flat"/>
                <v:fill o:detectmouseclick="t" on="false"/>
                <w10:wrap type="none"/>
              </v:line>
            </w:pict>
          </mc:Fallback>
        </mc:AlternateContent>
      </w:r>
    </w:p>
    <w:p>
      <w:pPr>
        <w:pStyle w:val="Normal"/>
        <w:tabs>
          <w:tab w:val="clear" w:pos="720"/>
          <w:tab w:val="center" w:pos="4513" w:leader="none"/>
        </w:tabs>
        <w:rPr>
          <w:rFonts w:ascii="Times New Roman" w:hAnsi="Times New Roman"/>
          <w:b/>
          <w:b/>
          <w:bCs/>
          <w:lang w:val="en-GB"/>
        </w:rPr>
      </w:pPr>
      <w:r>
        <w:rPr/>
        <w:tab/>
      </w:r>
      <w:r>
        <w:rPr>
          <w:b/>
          <w:bCs/>
          <w:lang w:val="en-GB"/>
        </w:rPr>
        <w:t>Project Summary</w:t>
      </w:r>
    </w:p>
    <w:p>
      <w:pPr>
        <w:pStyle w:val="Normal"/>
        <w:jc w:val="center"/>
        <w:rPr>
          <w:rFonts w:ascii="Times New Roman" w:hAnsi="Times New Roman"/>
          <w:b/>
          <w:b/>
        </w:rPr>
      </w:pPr>
      <w:r>
        <w:rPr>
          <w:b/>
        </w:rPr>
      </w:r>
    </w:p>
    <w:p>
      <w:pPr>
        <w:pStyle w:val="Normal"/>
        <w:widowControl/>
        <w:jc w:val="both"/>
        <w:rPr>
          <w:rFonts w:ascii="Times New Roman" w:hAnsi="Times New Roman"/>
          <w:lang w:val="en-GB"/>
        </w:rPr>
      </w:pPr>
      <w:r>
        <w:rPr/>
        <w:t>T</w:t>
      </w:r>
      <w:r>
        <w:rPr>
          <w:lang w:val="en-GB"/>
        </w:rPr>
        <w:t>he Executive Committee has decided in Decision 78/3 (g) “</w:t>
      </w:r>
      <w:r>
        <w:rPr>
          <w:i/>
          <w:lang w:val="en-GB"/>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Pr>
          <w:lang w:val="en-GB"/>
        </w:rPr>
        <w:t>”</w:t>
      </w:r>
    </w:p>
    <w:p>
      <w:pPr>
        <w:pStyle w:val="Normal"/>
        <w:widowControl/>
        <w:jc w:val="both"/>
        <w:rPr>
          <w:rFonts w:ascii="Times New Roman" w:hAnsi="Times New Roman"/>
          <w:lang w:val="en-GB"/>
        </w:rPr>
      </w:pPr>
      <w:r>
        <w:rPr>
          <w:lang w:val="en-GB"/>
        </w:rPr>
      </w:r>
    </w:p>
    <w:p>
      <w:pPr>
        <w:pStyle w:val="Normal"/>
        <w:widowControl/>
        <w:jc w:val="both"/>
        <w:rPr>
          <w:rFonts w:ascii="Times New Roman" w:hAnsi="Times New Roman"/>
          <w:lang w:val="en-GB"/>
        </w:rPr>
      </w:pPr>
      <w:r>
        <w:rPr>
          <w:lang w:val="en-GB"/>
        </w:rPr>
        <w:t>In response to that above decision, UNIDO has received an official request from the Government of Viet Nam for the preparation of a demonstration project in the manufacturing sector in order to convert from HFCs to low-GWP alternatives and to gain relevant experience in the associated ICCs and IOCs.</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widowControl/>
        <w:jc w:val="both"/>
        <w:rPr>
          <w:rFonts w:ascii="Times New Roman" w:hAnsi="Times New Roman" w:eastAsia="MS Mincho"/>
          <w:lang w:eastAsia="ja-JP"/>
        </w:rPr>
      </w:pPr>
      <w:r>
        <w:rPr>
          <w:rFonts w:eastAsia="MS Mincho"/>
          <w:lang w:eastAsia="ja-JP"/>
        </w:rPr>
        <w:t>The enterprise Nagakawa Vietnam Company has been identified, which would be willing to initiate early actions and convert from HFCs to low-GWP alternatives in the commercial refrigeration sector, where alternative technology is mature and readily available, in order to gain experience in ICCs and IOCs.</w:t>
      </w:r>
    </w:p>
    <w:p>
      <w:pPr>
        <w:pStyle w:val="Normal"/>
        <w:widowControl/>
        <w:jc w:val="both"/>
        <w:rPr>
          <w:rFonts w:ascii="Times New Roman" w:hAnsi="Times New Roman" w:eastAsia="MS Mincho"/>
          <w:bCs/>
          <w:u w:val="single"/>
          <w:lang w:eastAsia="ja-JP"/>
        </w:rPr>
      </w:pPr>
      <w:r>
        <w:rPr>
          <w:rFonts w:eastAsia="MS Mincho"/>
          <w:bCs/>
          <w:u w:val="single"/>
          <w:lang w:eastAsia="ja-JP"/>
        </w:rPr>
      </w:r>
    </w:p>
    <w:p>
      <w:pPr>
        <w:pStyle w:val="Normal"/>
        <w:rPr>
          <w:rFonts w:ascii="Times New Roman" w:hAnsi="Times New Roman" w:eastAsia="MS Mincho"/>
          <w:lang w:eastAsia="ja-JP"/>
        </w:rPr>
      </w:pPr>
      <w:r>
        <w:rPr>
          <w:rFonts w:eastAsia="MS Mincho"/>
          <w:lang w:eastAsia="ja-JP"/>
        </w:rPr>
        <w:t>The strategy followed by Viet Nam is based on the following criteria and priorities:</w:t>
      </w:r>
    </w:p>
    <w:p>
      <w:pPr>
        <w:pStyle w:val="Normal"/>
        <w:rPr>
          <w:rFonts w:ascii="Times New Roman" w:hAnsi="Times New Roman" w:eastAsia="MS Mincho"/>
          <w:lang w:eastAsia="ja-JP"/>
        </w:rPr>
      </w:pPr>
      <w:r>
        <w:rPr>
          <w:rFonts w:eastAsia="MS Mincho"/>
          <w:lang w:eastAsia="ja-JP"/>
        </w:rPr>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Application of well-known, affordable, available and widely used replacement alternatives and related technologies, while supporting efforts for identification and selection of such alternatives.</w:t>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To start phasing-down HFCs in those HFC consuming manufacturing sectors, where low-GWP and mature alternatives are available.</w:t>
      </w:r>
    </w:p>
    <w:p>
      <w:pPr>
        <w:pStyle w:val="Normal"/>
        <w:widowControl/>
        <w:numPr>
          <w:ilvl w:val="0"/>
          <w:numId w:val="3"/>
        </w:numPr>
        <w:spacing w:lineRule="atLeast" w:line="260"/>
        <w:ind w:left="450" w:hanging="180"/>
        <w:jc w:val="both"/>
        <w:rPr>
          <w:rFonts w:ascii="Times New Roman" w:hAnsi="Times New Roman" w:eastAsia="MS Mincho"/>
          <w:lang w:eastAsia="ja-JP"/>
        </w:rPr>
      </w:pPr>
      <w:r>
        <w:rPr>
          <w:rFonts w:eastAsia="MS Mincho"/>
          <w:lang w:eastAsia="ja-JP"/>
        </w:rPr>
        <w:t xml:space="preserve">Through adoption of appropriate alternative technologies, limit climate and adverse environmental impact of converted enterprises and comply with safety, economic and sustainability requirements. </w:t>
      </w:r>
    </w:p>
    <w:p>
      <w:pPr>
        <w:pStyle w:val="Normal"/>
        <w:widowControl/>
        <w:spacing w:lineRule="atLeast" w:line="260"/>
        <w:ind w:left="450" w:hanging="0"/>
        <w:jc w:val="both"/>
        <w:rPr>
          <w:rFonts w:ascii="Times New Roman" w:hAnsi="Times New Roman" w:eastAsia="MS Mincho"/>
          <w:lang w:eastAsia="ja-JP"/>
        </w:rPr>
      </w:pPr>
      <w:r>
        <w:rPr>
          <w:rFonts w:eastAsia="MS Mincho"/>
          <w:lang w:eastAsia="ja-JP"/>
        </w:rPr>
      </w:r>
    </w:p>
    <w:p>
      <w:pPr>
        <w:pStyle w:val="Normal"/>
        <w:widowControl/>
        <w:spacing w:lineRule="auto" w:line="276" w:before="0" w:after="200"/>
        <w:rPr>
          <w:rFonts w:ascii="Times New Roman" w:hAnsi="Times New Roman" w:eastAsia="MS Mincho"/>
          <w:b/>
          <w:b/>
          <w:lang w:eastAsia="ja-JP"/>
        </w:rPr>
      </w:pPr>
      <w:r>
        <w:rPr>
          <w:rFonts w:eastAsia="MS Mincho"/>
          <w:b/>
          <w:lang w:eastAsia="ja-JP"/>
        </w:rPr>
      </w:r>
      <w:r>
        <w:br w:type="page"/>
      </w:r>
    </w:p>
    <w:p>
      <w:pPr>
        <w:pStyle w:val="Normal"/>
        <w:widowControl/>
        <w:jc w:val="both"/>
        <w:rPr>
          <w:rFonts w:ascii="Times New Roman" w:hAnsi="Times New Roman" w:eastAsia="MS Mincho"/>
          <w:lang w:eastAsia="ja-JP"/>
        </w:rPr>
      </w:pPr>
      <w:r>
        <w:rPr>
          <w:rFonts w:eastAsia="MS Mincho"/>
          <w:b/>
          <w:lang w:eastAsia="ja-JP"/>
        </w:rPr>
        <w:t>Background on Nagakawa Vietnam Company</w:t>
      </w:r>
    </w:p>
    <w:p>
      <w:pPr>
        <w:pStyle w:val="Normal"/>
        <w:spacing w:beforeAutospacing="1" w:after="240"/>
        <w:jc w:val="both"/>
        <w:rPr>
          <w:rFonts w:ascii="Times New Roman" w:hAnsi="Times New Roman" w:eastAsia="MS Mincho"/>
          <w:lang w:eastAsia="ja-JP"/>
        </w:rPr>
      </w:pPr>
      <w:r>
        <w:rPr>
          <w:rFonts w:eastAsia="MS Mincho"/>
          <w:lang w:eastAsia="ja-JP"/>
        </w:rPr>
        <w:t>Nagakawa Vietnam Company is a 100% Viet Nam-owned enterprise.</w:t>
      </w:r>
    </w:p>
    <w:p>
      <w:pPr>
        <w:pStyle w:val="Normal"/>
        <w:spacing w:beforeAutospacing="1" w:after="240"/>
        <w:jc w:val="both"/>
        <w:rPr>
          <w:rFonts w:ascii="Times New Roman" w:hAnsi="Times New Roman" w:eastAsia="MS Mincho"/>
          <w:lang w:eastAsia="ja-JP"/>
        </w:rPr>
      </w:pPr>
      <w:r>
        <w:rPr>
          <w:rFonts w:eastAsia="MS Mincho"/>
          <w:lang w:eastAsia="ja-JP"/>
        </w:rPr>
        <w:t>The enterprise manufactures self-contained commercial refrigeration equipment (self-contained equipment, is one that contains within its own body, the condensing unit.</w:t>
      </w:r>
    </w:p>
    <w:tbl>
      <w:tblPr>
        <w:tblStyle w:val="TableGrid"/>
        <w:tblW w:w="6642" w:type="dxa"/>
        <w:jc w:val="center"/>
        <w:tblInd w:w="0" w:type="dxa"/>
        <w:tblLayout w:type="fixed"/>
        <w:tblCellMar>
          <w:top w:w="58" w:type="dxa"/>
          <w:left w:w="115" w:type="dxa"/>
          <w:bottom w:w="58" w:type="dxa"/>
          <w:right w:w="115" w:type="dxa"/>
        </w:tblCellMar>
        <w:tblLook w:val="04a0" w:noHBand="0" w:noVBand="1" w:firstColumn="1" w:lastRow="0" w:lastColumn="0" w:firstRow="1"/>
      </w:tblPr>
      <w:tblGrid>
        <w:gridCol w:w="3042"/>
        <w:gridCol w:w="3599"/>
      </w:tblGrid>
      <w:tr>
        <w:trPr/>
        <w:tc>
          <w:tcPr>
            <w:tcW w:w="3042" w:type="dxa"/>
            <w:tcBorders/>
          </w:tcPr>
          <w:p>
            <w:pPr>
              <w:pStyle w:val="Normal"/>
              <w:widowControl w:val="false"/>
              <w:spacing w:before="0" w:after="0"/>
              <w:jc w:val="center"/>
              <w:rPr>
                <w:rFonts w:ascii="Times New Roman" w:hAnsi="Times New Roman" w:eastAsia="MS Mincho"/>
                <w:b/>
                <w:b/>
                <w:lang w:eastAsia="ja-JP"/>
              </w:rPr>
            </w:pPr>
            <w:r>
              <w:rPr>
                <w:rFonts w:eastAsia="MS Mincho"/>
                <w:b/>
                <w:kern w:val="0"/>
                <w:lang w:val="en-US" w:eastAsia="en-US" w:bidi="ar-SA"/>
              </w:rPr>
            </w:r>
          </w:p>
        </w:tc>
        <w:tc>
          <w:tcPr>
            <w:tcW w:w="3599" w:type="dxa"/>
            <w:tcBorders/>
          </w:tcPr>
          <w:p>
            <w:pPr>
              <w:pStyle w:val="Normal"/>
              <w:widowControl w:val="false"/>
              <w:spacing w:before="0" w:after="0"/>
              <w:jc w:val="left"/>
              <w:rPr>
                <w:rFonts w:ascii="Times New Roman" w:hAnsi="Times New Roman" w:eastAsia="MS Mincho"/>
                <w:b/>
                <w:b/>
                <w:lang w:eastAsia="ja-JP"/>
              </w:rPr>
            </w:pPr>
            <w:r>
              <w:rPr>
                <w:rFonts w:eastAsia="MS Mincho"/>
                <w:b/>
                <w:kern w:val="0"/>
                <w:lang w:val="en-US" w:eastAsia="ja-JP" w:bidi="ar-SA"/>
              </w:rPr>
              <w:t>Nagakawa Vietnam Company</w:t>
            </w:r>
          </w:p>
        </w:tc>
      </w:tr>
      <w:tr>
        <w:trPr/>
        <w:tc>
          <w:tcPr>
            <w:tcW w:w="3042" w:type="dxa"/>
            <w:tcBorders/>
          </w:tcPr>
          <w:p>
            <w:pPr>
              <w:pStyle w:val="Normal"/>
              <w:widowControl w:val="false"/>
              <w:spacing w:before="0" w:after="0"/>
              <w:jc w:val="left"/>
              <w:rPr>
                <w:rFonts w:ascii="Times New Roman" w:hAnsi="Times New Roman" w:eastAsia="MS Mincho"/>
                <w:b/>
                <w:b/>
                <w:lang w:eastAsia="ja-JP"/>
              </w:rPr>
            </w:pPr>
            <w:r>
              <w:rPr>
                <w:rFonts w:eastAsia="MS Mincho"/>
                <w:b/>
                <w:kern w:val="0"/>
                <w:lang w:val="en-US" w:eastAsia="ja-JP" w:bidi="ar-SA"/>
              </w:rPr>
              <w:t>Ownership</w:t>
            </w:r>
          </w:p>
        </w:tc>
        <w:tc>
          <w:tcPr>
            <w:tcW w:w="3599"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100% national</w:t>
            </w:r>
          </w:p>
        </w:tc>
      </w:tr>
      <w:tr>
        <w:trPr/>
        <w:tc>
          <w:tcPr>
            <w:tcW w:w="3042" w:type="dxa"/>
            <w:tcBorders/>
          </w:tcPr>
          <w:p>
            <w:pPr>
              <w:pStyle w:val="Normal"/>
              <w:widowControl w:val="false"/>
              <w:spacing w:before="0" w:after="0"/>
              <w:jc w:val="left"/>
              <w:rPr>
                <w:rFonts w:ascii="Times New Roman" w:hAnsi="Times New Roman" w:eastAsia="MS Mincho"/>
                <w:b/>
                <w:b/>
                <w:lang w:eastAsia="ja-JP"/>
              </w:rPr>
            </w:pPr>
            <w:r>
              <w:rPr>
                <w:rFonts w:eastAsia="MS Mincho"/>
                <w:b/>
                <w:kern w:val="0"/>
                <w:lang w:val="en-US" w:eastAsia="ja-JP" w:bidi="ar-SA"/>
              </w:rPr>
              <w:t>Annual HFC consumption</w:t>
            </w:r>
          </w:p>
        </w:tc>
        <w:tc>
          <w:tcPr>
            <w:tcW w:w="3599"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Estimation: 400kg</w:t>
            </w:r>
          </w:p>
        </w:tc>
      </w:tr>
      <w:tr>
        <w:trPr/>
        <w:tc>
          <w:tcPr>
            <w:tcW w:w="3042" w:type="dxa"/>
            <w:tcBorders/>
          </w:tcPr>
          <w:p>
            <w:pPr>
              <w:pStyle w:val="Normal"/>
              <w:widowControl w:val="false"/>
              <w:spacing w:before="0" w:after="0"/>
              <w:jc w:val="left"/>
              <w:rPr>
                <w:rFonts w:ascii="Times New Roman" w:hAnsi="Times New Roman" w:eastAsia="MS Mincho"/>
                <w:b/>
                <w:b/>
                <w:lang w:eastAsia="ja-JP"/>
              </w:rPr>
            </w:pPr>
            <w:r>
              <w:rPr>
                <w:rFonts w:eastAsia="MS Mincho"/>
                <w:b/>
                <w:kern w:val="0"/>
                <w:lang w:val="en-US" w:eastAsia="ja-JP" w:bidi="ar-SA"/>
              </w:rPr>
              <w:t>HFC-based equipment</w:t>
            </w:r>
          </w:p>
        </w:tc>
        <w:tc>
          <w:tcPr>
            <w:tcW w:w="3599"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single chamber freezers</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two chamber freezers</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ice-cream freezers</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bottle coolers</w:t>
            </w:r>
          </w:p>
        </w:tc>
      </w:tr>
      <w:tr>
        <w:trPr/>
        <w:tc>
          <w:tcPr>
            <w:tcW w:w="3042" w:type="dxa"/>
            <w:tcBorders/>
          </w:tcPr>
          <w:p>
            <w:pPr>
              <w:pStyle w:val="Normal"/>
              <w:widowControl w:val="false"/>
              <w:spacing w:before="0" w:after="0"/>
              <w:jc w:val="left"/>
              <w:rPr>
                <w:rFonts w:ascii="Times New Roman" w:hAnsi="Times New Roman" w:eastAsia="MS Mincho"/>
                <w:b/>
                <w:b/>
                <w:lang w:eastAsia="ja-JP"/>
              </w:rPr>
            </w:pPr>
            <w:r>
              <w:rPr>
                <w:rFonts w:eastAsia="MS Mincho"/>
                <w:b/>
                <w:kern w:val="0"/>
                <w:lang w:val="en-US" w:eastAsia="ja-JP" w:bidi="ar-SA"/>
              </w:rPr>
              <w:t>Baseline equipment</w:t>
            </w:r>
          </w:p>
        </w:tc>
        <w:tc>
          <w:tcPr>
            <w:tcW w:w="3599" w:type="dxa"/>
            <w:tcBorders/>
          </w:tcPr>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R-134a charging machine</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vacuum pump</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fixed gas detector</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portable gas detector</w:t>
            </w:r>
          </w:p>
          <w:p>
            <w:pPr>
              <w:pStyle w:val="Normal"/>
              <w:widowControl w:val="false"/>
              <w:spacing w:before="0" w:after="0"/>
              <w:jc w:val="left"/>
              <w:rPr>
                <w:rFonts w:ascii="Times New Roman" w:hAnsi="Times New Roman" w:eastAsia="MS Mincho"/>
                <w:lang w:eastAsia="ja-JP"/>
              </w:rPr>
            </w:pPr>
            <w:r>
              <w:rPr>
                <w:rFonts w:eastAsia="MS Mincho"/>
                <w:kern w:val="0"/>
                <w:lang w:val="en-US" w:eastAsia="ja-JP" w:bidi="ar-SA"/>
              </w:rPr>
              <w:t>- mold for heat exchanger</w:t>
            </w:r>
          </w:p>
        </w:tc>
      </w:tr>
    </w:tbl>
    <w:p>
      <w:pPr>
        <w:pStyle w:val="Normal"/>
        <w:rPr>
          <w:rFonts w:ascii="Times New Roman" w:hAnsi="Times New Roman" w:eastAsia="MS Mincho"/>
          <w:lang w:eastAsia="ja-JP"/>
        </w:rPr>
      </w:pPr>
      <w:r>
        <w:rPr>
          <w:rFonts w:eastAsia="MS Mincho"/>
          <w:lang w:eastAsia="ja-JP"/>
        </w:rPr>
      </w:r>
    </w:p>
    <w:p>
      <w:pPr>
        <w:pStyle w:val="Normal"/>
        <w:rPr>
          <w:rFonts w:ascii="Times New Roman" w:hAnsi="Times New Roman" w:eastAsia="MS Mincho"/>
          <w:lang w:eastAsia="ja-JP"/>
        </w:rPr>
      </w:pPr>
      <w:r>
        <w:rPr>
          <w:rFonts w:eastAsia="MS Mincho"/>
          <w:lang w:eastAsia="ja-JP"/>
        </w:rPr>
        <w:t>In the framework of the proposed project, it is planned that the R134a (or R404a) based products will be converted to R290.</w:t>
      </w:r>
    </w:p>
    <w:p>
      <w:pPr>
        <w:pStyle w:val="Normal"/>
        <w:rPr>
          <w:rFonts w:ascii="Times New Roman" w:hAnsi="Times New Roman" w:eastAsia="MS Mincho"/>
          <w:lang w:eastAsia="ja-JP"/>
        </w:rPr>
      </w:pPr>
      <w:r>
        <w:rPr>
          <w:rFonts w:eastAsia="MS Mincho"/>
          <w:lang w:eastAsia="ja-JP"/>
        </w:rPr>
      </w:r>
    </w:p>
    <w:p>
      <w:pPr>
        <w:pStyle w:val="Normal"/>
        <w:rPr>
          <w:rFonts w:ascii="Times New Roman" w:hAnsi="Times New Roman" w:eastAsia="MS Mincho"/>
          <w:lang w:eastAsia="ja-JP"/>
        </w:rPr>
      </w:pPr>
      <w:r>
        <w:rPr>
          <w:rFonts w:eastAsia="MS Mincho"/>
          <w:lang w:eastAsia="ja-JP"/>
        </w:rPr>
        <w:t>The company is still using HCFC-141b foam insulation, but a conversion under the HPP is currently taking place. However, a conversion of the refrigerants used has never been carried out under the HPMP stages yet.</w:t>
      </w:r>
    </w:p>
    <w:p>
      <w:pPr>
        <w:pStyle w:val="Normal"/>
        <w:spacing w:beforeAutospacing="1" w:after="240"/>
        <w:jc w:val="both"/>
        <w:rPr>
          <w:rFonts w:ascii="Times New Roman" w:hAnsi="Times New Roman" w:eastAsia="MS Mincho"/>
          <w:b/>
          <w:b/>
          <w:lang w:eastAsia="ja-JP"/>
        </w:rPr>
      </w:pPr>
      <w:r>
        <w:rPr>
          <w:rFonts w:eastAsia="MS Mincho"/>
          <w:b/>
          <w:lang w:eastAsia="ja-JP"/>
        </w:rPr>
        <w:t>Standards compliance for the use of hydrocarbons as refrigerant</w:t>
      </w:r>
    </w:p>
    <w:p>
      <w:pPr>
        <w:pStyle w:val="Normal"/>
        <w:spacing w:beforeAutospacing="1" w:after="240"/>
        <w:jc w:val="both"/>
        <w:rPr>
          <w:rFonts w:ascii="Times New Roman" w:hAnsi="Times New Roman" w:eastAsia="MS Mincho"/>
          <w:lang w:eastAsia="ja-JP"/>
        </w:rPr>
      </w:pPr>
      <w:r>
        <w:rPr>
          <w:rFonts w:eastAsia="MS Mincho"/>
          <w:lang w:eastAsia="ja-JP"/>
        </w:rPr>
        <w:t>Because of their flammability, HCs are subject to international safety guidelines and legislation. Their use is limited to a per</w:t>
      </w:r>
      <w:r>
        <w:rPr>
          <w:rFonts w:eastAsia="MS Mincho" w:cs="Cambria Math" w:ascii="Cambria Math" w:hAnsi="Cambria Math"/>
          <w:lang w:eastAsia="ja-JP"/>
        </w:rPr>
        <w:t>‐</w:t>
      </w:r>
      <w:r>
        <w:rPr>
          <w:rFonts w:eastAsia="MS Mincho"/>
          <w:lang w:eastAsia="ja-JP"/>
        </w:rPr>
        <w:t>system charge of no more than 150 grams according to standard IEC 60335-2-89. All manufacturers of HC systems must follow equipment safety guidelines, and service personnel must understand and comply with specified safe handling procedures. Safety legislation demands leakage-simulation testing, and strict specifications govern the sealing of electrical components in the vicinity of HC flows. Furthermore, many common domestic and commercial appliances, such as domestic fridges and freezers, heat pumps, commercial refrigerators, and motor compressors are subject to international safety directives.</w:t>
      </w:r>
    </w:p>
    <w:p>
      <w:pPr>
        <w:pStyle w:val="Normal"/>
        <w:widowControl/>
        <w:spacing w:before="0" w:after="0"/>
        <w:contextualSpacing/>
        <w:jc w:val="both"/>
        <w:rPr>
          <w:rFonts w:ascii="Times New Roman" w:hAnsi="Times New Roman"/>
          <w:b/>
          <w:b/>
        </w:rPr>
      </w:pPr>
      <w:r>
        <w:rPr>
          <w:b/>
        </w:rPr>
        <w:t>Funding Requirements</w:t>
      </w:r>
    </w:p>
    <w:p>
      <w:pPr>
        <w:pStyle w:val="Normal"/>
        <w:widowControl/>
        <w:spacing w:before="0" w:after="0"/>
        <w:contextualSpacing/>
        <w:jc w:val="both"/>
        <w:rPr>
          <w:rFonts w:ascii="Times New Roman" w:hAnsi="Times New Roman"/>
          <w:b/>
          <w:b/>
        </w:rPr>
      </w:pPr>
      <w:r>
        <w:rPr>
          <w:b/>
        </w:rPr>
      </w:r>
    </w:p>
    <w:p>
      <w:pPr>
        <w:pStyle w:val="Normal"/>
        <w:widowControl/>
        <w:spacing w:before="0" w:after="0"/>
        <w:contextualSpacing/>
        <w:jc w:val="both"/>
        <w:rPr>
          <w:rFonts w:ascii="Times New Roman" w:hAnsi="Times New Roman"/>
        </w:rPr>
      </w:pPr>
      <w:r>
        <w:rPr/>
        <w:t>The preparatory funds are requested for UNIDO, as follows:</w:t>
      </w:r>
    </w:p>
    <w:p>
      <w:pPr>
        <w:pStyle w:val="Normal"/>
        <w:widowControl/>
        <w:spacing w:before="0" w:after="0"/>
        <w:contextualSpacing/>
        <w:jc w:val="both"/>
        <w:rPr>
          <w:rFonts w:ascii="Times New Roman" w:hAnsi="Times New Roman"/>
        </w:rPr>
      </w:pPr>
      <w:r>
        <w:rPr/>
      </w:r>
    </w:p>
    <w:p>
      <w:pPr>
        <w:pStyle w:val="Normal"/>
        <w:widowControl/>
        <w:spacing w:before="0" w:after="0"/>
        <w:ind w:left="720" w:hanging="0"/>
        <w:contextualSpacing/>
        <w:jc w:val="both"/>
        <w:rPr>
          <w:rFonts w:ascii="Times New Roman" w:hAnsi="Times New Roman"/>
        </w:rPr>
      </w:pPr>
      <w:r>
        <w:rPr/>
        <w:t xml:space="preserve"> </w:t>
      </w:r>
    </w:p>
    <w:tbl>
      <w:tblPr>
        <w:tblW w:w="704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030"/>
        <w:gridCol w:w="1011"/>
      </w:tblGrid>
      <w:tr>
        <w:trPr>
          <w:trHeight w:val="360" w:hRule="atLeast"/>
        </w:trPr>
        <w:tc>
          <w:tcPr>
            <w:tcW w:w="60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Activities</w:t>
            </w:r>
          </w:p>
        </w:tc>
        <w:tc>
          <w:tcPr>
            <w:tcW w:w="101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
                <w:color w:val="000000"/>
              </w:rPr>
            </w:pPr>
            <w:r>
              <w:rPr>
                <w:b/>
                <w:color w:val="000000"/>
              </w:rPr>
              <w:t>Cost</w:t>
            </w:r>
          </w:p>
          <w:p>
            <w:pPr>
              <w:pStyle w:val="Normal"/>
              <w:widowControl w:val="false"/>
              <w:jc w:val="center"/>
              <w:rPr>
                <w:rFonts w:ascii="Times New Roman" w:hAnsi="Times New Roman"/>
                <w:b/>
                <w:b/>
                <w:color w:val="000000"/>
              </w:rPr>
            </w:pPr>
            <w:r>
              <w:rPr>
                <w:b/>
                <w:color w:val="000000"/>
              </w:rPr>
              <w:t>US$</w:t>
            </w:r>
          </w:p>
        </w:tc>
      </w:tr>
      <w:tr>
        <w:trPr>
          <w:trHeight w:val="360" w:hRule="atLeast"/>
        </w:trPr>
        <w:tc>
          <w:tcPr>
            <w:tcW w:w="603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Local activities (national expert, local travel costs, coordination meetings etc.)</w:t>
            </w:r>
          </w:p>
        </w:tc>
        <w:tc>
          <w:tcPr>
            <w:tcW w:w="1011"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10,000</w:t>
            </w:r>
          </w:p>
        </w:tc>
      </w:tr>
      <w:tr>
        <w:trPr>
          <w:trHeight w:val="360" w:hRule="atLeast"/>
        </w:trPr>
        <w:tc>
          <w:tcPr>
            <w:tcW w:w="603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consultant (project preparation and development)</w:t>
            </w:r>
          </w:p>
        </w:tc>
        <w:tc>
          <w:tcPr>
            <w:tcW w:w="1011"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15,000</w:t>
            </w:r>
          </w:p>
        </w:tc>
      </w:tr>
      <w:tr>
        <w:trPr>
          <w:trHeight w:val="360" w:hRule="atLeast"/>
        </w:trPr>
        <w:tc>
          <w:tcPr>
            <w:tcW w:w="603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International travel costs (staff)</w:t>
            </w:r>
          </w:p>
        </w:tc>
        <w:tc>
          <w:tcPr>
            <w:tcW w:w="1011"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color w:val="000000"/>
              </w:rPr>
            </w:pPr>
            <w:r>
              <w:rPr>
                <w:color w:val="000000"/>
              </w:rPr>
              <w:t>5,000</w:t>
            </w:r>
          </w:p>
        </w:tc>
      </w:tr>
      <w:tr>
        <w:trPr>
          <w:trHeight w:val="360" w:hRule="atLeast"/>
        </w:trPr>
        <w:tc>
          <w:tcPr>
            <w:tcW w:w="603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b/>
                <w:b/>
                <w:color w:val="000000"/>
              </w:rPr>
            </w:pPr>
            <w:r>
              <w:rPr>
                <w:b/>
                <w:color w:val="000000"/>
              </w:rPr>
              <w:t>TOTAL</w:t>
            </w:r>
          </w:p>
        </w:tc>
        <w:tc>
          <w:tcPr>
            <w:tcW w:w="1011" w:type="dxa"/>
            <w:tcBorders>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b/>
                <w:b/>
                <w:color w:val="000000"/>
              </w:rPr>
            </w:pPr>
            <w:r>
              <w:rPr>
                <w:b/>
                <w:color w:val="000000"/>
              </w:rPr>
              <w:t>30,000</w:t>
            </w:r>
          </w:p>
        </w:tc>
      </w:tr>
    </w:tbl>
    <w:p>
      <w:pPr>
        <w:pStyle w:val="Normal"/>
        <w:ind w:left="720" w:hanging="0"/>
        <w:jc w:val="both"/>
        <w:rPr>
          <w:rFonts w:ascii="Times New Roman" w:hAnsi="Times New Roman"/>
        </w:rPr>
      </w:pPr>
      <w:r>
        <w:rPr/>
      </w:r>
    </w:p>
    <w:p>
      <w:pPr>
        <w:pStyle w:val="Normal"/>
        <w:widowControl/>
        <w:spacing w:before="0" w:after="0"/>
        <w:contextualSpacing/>
        <w:jc w:val="both"/>
        <w:rPr>
          <w:rFonts w:ascii="Times New Roman" w:hAnsi="Times New Roman"/>
          <w:b/>
          <w:b/>
        </w:rPr>
      </w:pPr>
      <w:r>
        <w:rPr>
          <w:b/>
        </w:rPr>
        <w:t>Activities to be undertaken to develop the umbrella project</w:t>
      </w:r>
    </w:p>
    <w:p>
      <w:pPr>
        <w:pStyle w:val="Normal"/>
        <w:jc w:val="both"/>
        <w:rPr>
          <w:rFonts w:ascii="Times New Roman" w:hAnsi="Times New Roman"/>
          <w:color w:val="000000"/>
        </w:rPr>
      </w:pPr>
      <w:r>
        <w:rPr>
          <w:color w:val="000000"/>
        </w:rPr>
      </w:r>
    </w:p>
    <w:p>
      <w:pPr>
        <w:pStyle w:val="Normal"/>
        <w:widowControl/>
        <w:numPr>
          <w:ilvl w:val="0"/>
          <w:numId w:val="4"/>
        </w:numPr>
        <w:spacing w:before="120" w:after="0"/>
        <w:contextualSpacing/>
        <w:jc w:val="both"/>
        <w:rPr>
          <w:rFonts w:ascii="Times New Roman" w:hAnsi="Times New Roman"/>
          <w:color w:val="000000"/>
        </w:rPr>
      </w:pPr>
      <w:r>
        <w:rPr>
          <w:color w:val="000000"/>
        </w:rPr>
        <w:t>Detailed data collection, verification and validation at the enterprises</w:t>
      </w:r>
    </w:p>
    <w:p>
      <w:pPr>
        <w:pStyle w:val="Normal"/>
        <w:widowControl/>
        <w:numPr>
          <w:ilvl w:val="0"/>
          <w:numId w:val="4"/>
        </w:numPr>
        <w:spacing w:before="120" w:after="0"/>
        <w:contextualSpacing/>
        <w:jc w:val="both"/>
        <w:rPr>
          <w:rFonts w:ascii="Times New Roman" w:hAnsi="Times New Roman"/>
          <w:color w:val="000000"/>
        </w:rPr>
      </w:pPr>
      <w:r>
        <w:rPr>
          <w:color w:val="000000"/>
        </w:rPr>
        <w:t>Technology review of available, mature alternatives and discussion with the enterprises and the Government on the selection of a suitable low-GWP alternatives</w:t>
      </w:r>
    </w:p>
    <w:p>
      <w:pPr>
        <w:pStyle w:val="Normal"/>
        <w:widowControl/>
        <w:numPr>
          <w:ilvl w:val="0"/>
          <w:numId w:val="4"/>
        </w:numPr>
        <w:spacing w:before="120" w:after="0"/>
        <w:contextualSpacing/>
        <w:jc w:val="both"/>
        <w:rPr>
          <w:rFonts w:ascii="Times New Roman" w:hAnsi="Times New Roman"/>
          <w:color w:val="000000"/>
        </w:rPr>
      </w:pPr>
      <w:r>
        <w:rPr>
          <w:color w:val="000000"/>
        </w:rPr>
        <w:t>Cost assessment of conversion (ICC and IOC)</w:t>
      </w:r>
    </w:p>
    <w:p>
      <w:pPr>
        <w:pStyle w:val="Normal"/>
        <w:widowControl/>
        <w:numPr>
          <w:ilvl w:val="0"/>
          <w:numId w:val="4"/>
        </w:numPr>
        <w:spacing w:before="120" w:after="0"/>
        <w:contextualSpacing/>
        <w:jc w:val="both"/>
        <w:rPr>
          <w:rFonts w:ascii="Times New Roman" w:hAnsi="Times New Roman"/>
          <w:color w:val="000000"/>
        </w:rPr>
      </w:pPr>
      <w:r>
        <w:rPr>
          <w:color w:val="000000"/>
        </w:rPr>
        <w:t>Evaluation of the climate co-benefits of the selected alternative and possible interventions and related costs for additional climate benefits</w:t>
      </w:r>
    </w:p>
    <w:p>
      <w:pPr>
        <w:pStyle w:val="Normal"/>
        <w:widowControl/>
        <w:numPr>
          <w:ilvl w:val="0"/>
          <w:numId w:val="4"/>
        </w:numPr>
        <w:tabs>
          <w:tab w:val="clear" w:pos="720"/>
          <w:tab w:val="left" w:pos="1068" w:leader="none"/>
        </w:tabs>
        <w:spacing w:lineRule="atLeast" w:line="240" w:before="120" w:after="0"/>
        <w:contextualSpacing/>
        <w:jc w:val="both"/>
        <w:rPr>
          <w:rFonts w:ascii="Times New Roman" w:hAnsi="Times New Roman"/>
        </w:rPr>
      </w:pPr>
      <w:r>
        <w:rPr>
          <w:color w:val="000000"/>
        </w:rPr>
        <w:t>Preparation, review, endorsement and submission of the project document</w:t>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jc w:val="center"/>
        <w:rPr>
          <w:b/>
          <w:b/>
        </w:rPr>
      </w:pPr>
      <w:r>
        <w:rPr>
          <w:b/>
        </w:rPr>
      </w:r>
    </w:p>
    <w:p>
      <w:pPr>
        <w:pStyle w:val="Style5"/>
        <w:spacing w:beforeAutospacing="1" w:afterAutospacing="1"/>
        <w:rPr>
          <w:b/>
          <w:b/>
        </w:rPr>
      </w:pPr>
      <w:r>
        <w:rPr>
          <w:b/>
        </w:rPr>
      </w:r>
    </w:p>
    <w:p>
      <w:pPr>
        <w:pStyle w:val="Normal"/>
        <w:widowControl/>
        <w:spacing w:lineRule="auto" w:line="276" w:before="0" w:after="200"/>
        <w:rPr>
          <w:rFonts w:ascii="Times New Roman" w:hAnsi="Times New Roman"/>
          <w:b/>
          <w:b/>
        </w:rPr>
      </w:pPr>
      <w:r>
        <w:rPr>
          <w:b/>
        </w:rPr>
      </w:r>
      <w:r>
        <w:br w:type="page"/>
      </w:r>
    </w:p>
    <w:p>
      <w:pPr>
        <w:pStyle w:val="Style5"/>
        <w:spacing w:beforeAutospacing="1" w:afterAutospacing="1"/>
        <w:jc w:val="center"/>
        <w:rPr>
          <w:b/>
          <w:b/>
        </w:rPr>
      </w:pPr>
      <w:r>
        <w:rPr>
          <w:b/>
        </w:rPr>
        <w:t>PROJECT CONCEPT</w:t>
      </w:r>
    </w:p>
    <w:p>
      <w:pPr>
        <w:pStyle w:val="Normal"/>
        <w:tabs>
          <w:tab w:val="clear" w:pos="720"/>
          <w:tab w:val="left" w:pos="2250" w:leader="none"/>
        </w:tabs>
        <w:rPr>
          <w:rFonts w:ascii="Times New Roman" w:hAnsi="Times New Roman" w:eastAsia="Calibri"/>
          <w:sz w:val="22"/>
          <w:szCs w:val="22"/>
          <w:lang w:val="en-GB"/>
        </w:rPr>
      </w:pPr>
      <w:r>
        <w:rPr>
          <w:rFonts w:eastAsia="Calibri"/>
          <w:sz w:val="22"/>
          <w:szCs w:val="22"/>
          <w:lang w:val="en-GB"/>
        </w:rPr>
        <w:t xml:space="preserve">Country:  </w:t>
        <w:tab/>
        <w:t xml:space="preserve">Bosnia and Herzegovina </w:t>
      </w:r>
    </w:p>
    <w:p>
      <w:pPr>
        <w:pStyle w:val="Normal"/>
        <w:rPr>
          <w:rFonts w:ascii="Times New Roman" w:hAnsi="Times New Roman" w:eastAsia="Calibri"/>
          <w:sz w:val="22"/>
          <w:szCs w:val="22"/>
          <w:lang w:val="en-GB"/>
        </w:rPr>
      </w:pPr>
      <w:r>
        <w:rPr>
          <w:rFonts w:eastAsia="Calibri"/>
          <w:sz w:val="22"/>
          <w:szCs w:val="22"/>
          <w:lang w:val="en-GB"/>
        </w:rPr>
      </w:r>
    </w:p>
    <w:p>
      <w:pPr>
        <w:pStyle w:val="Normal"/>
        <w:ind w:left="2250" w:hanging="2250"/>
        <w:jc w:val="both"/>
        <w:rPr>
          <w:rFonts w:ascii="Times New Roman" w:hAnsi="Times New Roman" w:eastAsia="Calibri"/>
          <w:sz w:val="22"/>
          <w:szCs w:val="22"/>
          <w:lang w:val="en-GB"/>
        </w:rPr>
      </w:pPr>
      <w:r>
        <w:rPr>
          <w:rFonts w:eastAsia="Calibri"/>
          <w:sz w:val="22"/>
          <w:szCs w:val="22"/>
          <w:lang w:val="en-GB"/>
        </w:rPr>
        <w:t xml:space="preserve">Title: </w:t>
        <w:tab/>
        <w:t>Extension of Institutional Strengthening for the implementation of Montreal Protocol in Bosnia and Herzegovina – Phase VI</w:t>
      </w:r>
    </w:p>
    <w:p>
      <w:pPr>
        <w:pStyle w:val="Normal"/>
        <w:jc w:val="both"/>
        <w:rPr>
          <w:rFonts w:ascii="Times New Roman" w:hAnsi="Times New Roman" w:eastAsia="Calibri"/>
          <w:sz w:val="22"/>
          <w:szCs w:val="22"/>
          <w:lang w:val="en-GB"/>
        </w:rPr>
      </w:pPr>
      <w:r>
        <w:rPr>
          <w:rFonts w:eastAsia="Calibri"/>
          <w:sz w:val="22"/>
          <w:szCs w:val="22"/>
          <w:lang w:val="en-GB"/>
        </w:rPr>
        <w:tab/>
        <w:tab/>
      </w:r>
    </w:p>
    <w:p>
      <w:pPr>
        <w:pStyle w:val="Normal"/>
        <w:ind w:left="2250" w:hanging="2250"/>
        <w:jc w:val="both"/>
        <w:rPr>
          <w:rFonts w:ascii="Times New Roman" w:hAnsi="Times New Roman" w:eastAsia="Calibri"/>
          <w:sz w:val="22"/>
          <w:szCs w:val="22"/>
          <w:lang w:val="en-GB"/>
        </w:rPr>
      </w:pPr>
      <w:r>
        <w:rPr>
          <w:rFonts w:eastAsia="Calibri"/>
          <w:sz w:val="22"/>
          <w:szCs w:val="22"/>
          <w:lang w:val="en-GB"/>
        </w:rPr>
        <w:t>Project Duration:</w:t>
        <w:tab/>
        <w:t>24 months (</w:t>
      </w:r>
      <w:r>
        <w:rPr/>
        <w:t>March</w:t>
      </w:r>
      <w:r>
        <w:rPr>
          <w:bCs/>
        </w:rPr>
        <w:t xml:space="preserve"> 2018 to February 2020</w:t>
      </w:r>
      <w:r>
        <w:rPr>
          <w:rFonts w:eastAsia="Calibri"/>
          <w:sz w:val="22"/>
          <w:szCs w:val="22"/>
          <w:lang w:val="en-GB"/>
        </w:rPr>
        <w:t>)</w:t>
      </w:r>
    </w:p>
    <w:p>
      <w:pPr>
        <w:pStyle w:val="Normal"/>
        <w:ind w:left="3600" w:hanging="3600"/>
        <w:jc w:val="both"/>
        <w:rPr>
          <w:rFonts w:ascii="Times New Roman" w:hAnsi="Times New Roman" w:eastAsia="Calibri"/>
          <w:sz w:val="22"/>
          <w:szCs w:val="22"/>
          <w:lang w:val="en-GB"/>
        </w:rPr>
      </w:pPr>
      <w:r>
        <w:rPr>
          <w:rFonts w:eastAsia="Calibri"/>
          <w:sz w:val="22"/>
          <w:szCs w:val="22"/>
          <w:lang w:val="en-GB"/>
        </w:rPr>
      </w:r>
    </w:p>
    <w:p>
      <w:pPr>
        <w:pStyle w:val="Normal"/>
        <w:tabs>
          <w:tab w:val="clear" w:pos="720"/>
          <w:tab w:val="left" w:pos="2250" w:leader="none"/>
        </w:tabs>
        <w:ind w:left="2880" w:hanging="2880"/>
        <w:jc w:val="both"/>
        <w:rPr>
          <w:rFonts w:ascii="Times New Roman" w:hAnsi="Times New Roman" w:eastAsia="Calibri"/>
          <w:sz w:val="22"/>
          <w:szCs w:val="22"/>
          <w:lang w:val="en-GB"/>
        </w:rPr>
      </w:pPr>
      <w:r>
        <w:rPr>
          <w:rFonts w:eastAsia="Calibri"/>
          <w:sz w:val="22"/>
          <w:szCs w:val="22"/>
          <w:lang w:val="en-GB"/>
        </w:rPr>
        <w:t>Project Budget:</w:t>
        <w:tab/>
        <w:t>122,026 (excluding 7 % Agency Support Costs)</w:t>
      </w:r>
    </w:p>
    <w:p>
      <w:pPr>
        <w:pStyle w:val="Normal"/>
        <w:ind w:left="3600" w:hanging="3600"/>
        <w:jc w:val="both"/>
        <w:rPr>
          <w:rFonts w:ascii="Times New Roman" w:hAnsi="Times New Roman" w:eastAsia="Calibri"/>
          <w:sz w:val="22"/>
          <w:szCs w:val="22"/>
          <w:lang w:val="en-GB"/>
        </w:rPr>
      </w:pPr>
      <w:r>
        <w:rPr>
          <w:rFonts w:eastAsia="Calibri"/>
          <w:sz w:val="22"/>
          <w:szCs w:val="22"/>
          <w:lang w:val="en-GB"/>
        </w:rPr>
      </w:r>
    </w:p>
    <w:p>
      <w:pPr>
        <w:pStyle w:val="Normal"/>
        <w:tabs>
          <w:tab w:val="clear" w:pos="720"/>
          <w:tab w:val="left" w:pos="2250" w:leader="none"/>
        </w:tabs>
        <w:jc w:val="both"/>
        <w:rPr>
          <w:rFonts w:ascii="Times New Roman" w:hAnsi="Times New Roman" w:eastAsia="Calibri"/>
          <w:sz w:val="22"/>
          <w:szCs w:val="22"/>
          <w:lang w:val="en-GB"/>
        </w:rPr>
      </w:pPr>
      <w:r>
        <w:rPr>
          <w:rFonts w:eastAsia="Calibri"/>
          <w:sz w:val="22"/>
          <w:szCs w:val="22"/>
          <w:lang w:val="en-GB"/>
        </w:rPr>
        <w:t xml:space="preserve">Implementing Agency: </w:t>
        <w:tab/>
        <w:t>UNIDO</w:t>
      </w:r>
    </w:p>
    <w:p>
      <w:pPr>
        <w:pStyle w:val="Normal"/>
        <w:jc w:val="both"/>
        <w:rPr>
          <w:rFonts w:ascii="Times New Roman" w:hAnsi="Times New Roman" w:eastAsia="Calibri"/>
          <w:sz w:val="22"/>
          <w:szCs w:val="22"/>
          <w:lang w:val="en-GB"/>
        </w:rPr>
      </w:pPr>
      <w:r>
        <w:rPr>
          <w:rFonts w:eastAsia="Calibri"/>
          <w:sz w:val="22"/>
          <w:szCs w:val="22"/>
          <w:lang w:val="en-GB"/>
        </w:rPr>
      </w:r>
    </w:p>
    <w:p>
      <w:pPr>
        <w:pStyle w:val="Normal"/>
        <w:tabs>
          <w:tab w:val="clear" w:pos="720"/>
          <w:tab w:val="left" w:pos="2250" w:leader="none"/>
        </w:tabs>
        <w:ind w:left="2835" w:hanging="2835"/>
        <w:jc w:val="both"/>
        <w:rPr>
          <w:rFonts w:ascii="Times New Roman" w:hAnsi="Times New Roman" w:eastAsia="Calibri"/>
          <w:sz w:val="22"/>
          <w:szCs w:val="22"/>
          <w:lang w:val="en-GB"/>
        </w:rPr>
      </w:pPr>
      <w:r>
        <w:rPr>
          <w:rFonts w:eastAsia="Calibri"/>
          <w:sz w:val="22"/>
          <w:szCs w:val="22"/>
          <w:lang w:val="en-GB"/>
        </w:rPr>
        <w:t>Coordinating Agency:</w:t>
        <w:tab/>
        <w:t xml:space="preserve">Ministry of Foreign Trade and Economic Relations of Bosnia and Herzegovina, </w:t>
      </w:r>
    </w:p>
    <w:p>
      <w:pPr>
        <w:pStyle w:val="Normal"/>
        <w:tabs>
          <w:tab w:val="clear" w:pos="720"/>
          <w:tab w:val="left" w:pos="2250" w:leader="none"/>
        </w:tabs>
        <w:jc w:val="both"/>
        <w:rPr>
          <w:rFonts w:ascii="Times New Roman" w:hAnsi="Times New Roman" w:eastAsia="Calibri"/>
          <w:sz w:val="22"/>
          <w:szCs w:val="22"/>
          <w:lang w:val="en-GB"/>
        </w:rPr>
      </w:pPr>
      <w:r>
        <w:rPr>
          <w:rFonts w:eastAsia="Calibri"/>
          <w:sz w:val="22"/>
          <w:szCs w:val="22"/>
          <w:lang w:val="en-GB"/>
        </w:rPr>
        <w:tab/>
        <w:t>National Ozone Unit of Bosnia and Herzegovina</w:t>
      </w:r>
    </w:p>
    <w:p>
      <w:pPr>
        <w:pStyle w:val="Normal"/>
        <w:rPr>
          <w:rFonts w:ascii="Times New Roman" w:hAnsi="Times New Roman" w:eastAsia="Calibri"/>
          <w:sz w:val="22"/>
          <w:szCs w:val="22"/>
          <w:lang w:val="en-GB"/>
        </w:rPr>
      </w:pPr>
      <w:r>
        <w:rPr>
          <w:rFonts w:eastAsia="Calibri"/>
          <w:sz w:val="22"/>
          <w:szCs w:val="22"/>
          <w:lang w:val="en-GB"/>
        </w:rPr>
      </w:r>
    </w:p>
    <w:p>
      <w:pPr>
        <w:pStyle w:val="Normal"/>
        <w:spacing w:lineRule="exact" w:line="19"/>
        <w:rPr>
          <w:rFonts w:ascii="Times New Roman" w:hAnsi="Times New Roman" w:eastAsia="Calibri"/>
          <w:sz w:val="22"/>
          <w:szCs w:val="22"/>
          <w:lang w:val="en-GB"/>
        </w:rPr>
      </w:pPr>
      <w:r>
        <w:rPr>
          <w:rFonts w:eastAsia="Calibri"/>
          <w:sz w:val="22"/>
          <w:szCs w:val="22"/>
          <w:lang w:val="en-GB"/>
        </w:rPr>
        <mc:AlternateContent>
          <mc:Choice Requires="wps">
            <w:drawing>
              <wp:anchor behindDoc="1" distT="0" distB="0" distL="0" distR="2540" simplePos="0" locked="0" layoutInCell="0" allowOverlap="1" relativeHeight="18" wp14:anchorId="74265CCA">
                <wp:simplePos x="0" y="0"/>
                <wp:positionH relativeFrom="page">
                  <wp:posOffset>914400</wp:posOffset>
                </wp:positionH>
                <wp:positionV relativeFrom="paragraph">
                  <wp:posOffset>635</wp:posOffset>
                </wp:positionV>
                <wp:extent cx="5731510" cy="12065"/>
                <wp:effectExtent l="0" t="635" r="0" b="0"/>
                <wp:wrapNone/>
                <wp:docPr id="13" name="Rectangle 3"/>
                <a:graphic xmlns:a="http://schemas.openxmlformats.org/drawingml/2006/main">
                  <a:graphicData uri="http://schemas.microsoft.com/office/word/2010/wordprocessingShape">
                    <wps:wsp>
                      <wps:cNvSpPr/>
                      <wps:spPr>
                        <a:xfrm>
                          <a:off x="0" y="0"/>
                          <a:ext cx="5731560" cy="1224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3" path="m0,0l-2147483645,0l-2147483645,-2147483646l0,-2147483646xe" fillcolor="black" stroked="f" o:allowincell="f" style="position:absolute;margin-left:72pt;margin-top:0pt;width:451.25pt;height:0.9pt;mso-wrap-style:none;v-text-anchor:middle;mso-position-horizontal-relative:page" wp14:anchorId="74265CCA">
                <v:fill o:detectmouseclick="t" type="solid" color2="white"/>
                <v:stroke color="#3465a4" joinstyle="round" endcap="flat"/>
                <w10:wrap type="none"/>
              </v:rect>
            </w:pict>
          </mc:Fallback>
        </mc:AlternateContent>
      </w:r>
    </w:p>
    <w:p>
      <w:pPr>
        <w:pStyle w:val="Normal"/>
        <w:tabs>
          <w:tab w:val="clear" w:pos="720"/>
          <w:tab w:val="center" w:pos="4513" w:leader="none"/>
        </w:tabs>
        <w:rPr>
          <w:rFonts w:ascii="Times New Roman" w:hAnsi="Times New Roman"/>
          <w:b/>
          <w:b/>
          <w:bCs/>
          <w:sz w:val="22"/>
          <w:szCs w:val="22"/>
          <w:lang w:val="en-GB"/>
        </w:rPr>
      </w:pPr>
      <w:r>
        <w:rPr>
          <w:rFonts w:eastAsia="Calibri"/>
          <w:sz w:val="22"/>
          <w:szCs w:val="22"/>
          <w:lang w:val="en-GB"/>
        </w:rPr>
        <w:tab/>
      </w:r>
      <w:r>
        <w:rPr>
          <w:b/>
          <w:bCs/>
          <w:sz w:val="22"/>
          <w:szCs w:val="22"/>
          <w:lang w:val="en-GB"/>
        </w:rPr>
        <w:t>Project Summary</w:t>
      </w:r>
    </w:p>
    <w:p>
      <w:pPr>
        <w:pStyle w:val="ListParagraph"/>
        <w:spacing w:before="240" w:after="0"/>
        <w:ind w:left="0" w:hanging="0"/>
        <w:contextualSpacing/>
        <w:jc w:val="left"/>
        <w:rPr>
          <w:sz w:val="22"/>
          <w:szCs w:val="22"/>
        </w:rPr>
      </w:pPr>
      <w:r>
        <w:rPr>
          <w:sz w:val="22"/>
          <w:szCs w:val="22"/>
        </w:rPr>
        <w:t>The National Ozone Unit of Bosnia and Herzegovina is responsible for monitoring the implementation of the HCFCs National phase-out plan. The NOU is coordinating the promulgation and enforcement of policy and legislation with a specific focus on HCFCs management and will continue to further implement the HPMP activities, with special attention to the RAC sector.</w:t>
      </w:r>
    </w:p>
    <w:p>
      <w:pPr>
        <w:pStyle w:val="ListParagraph"/>
        <w:spacing w:before="240" w:after="0"/>
        <w:ind w:left="1793" w:hanging="0"/>
        <w:contextualSpacing/>
        <w:jc w:val="left"/>
        <w:rPr>
          <w:sz w:val="16"/>
          <w:szCs w:val="16"/>
        </w:rPr>
      </w:pPr>
      <w:r>
        <w:rPr>
          <w:sz w:val="16"/>
          <w:szCs w:val="16"/>
        </w:rPr>
      </w:r>
    </w:p>
    <w:p>
      <w:pPr>
        <w:pStyle w:val="ListParagraph"/>
        <w:spacing w:before="240" w:after="0"/>
        <w:ind w:left="0" w:hanging="0"/>
        <w:contextualSpacing/>
        <w:jc w:val="left"/>
        <w:rPr>
          <w:sz w:val="22"/>
          <w:szCs w:val="22"/>
        </w:rPr>
      </w:pPr>
      <w:r>
        <w:rPr>
          <w:sz w:val="22"/>
          <w:szCs w:val="22"/>
        </w:rPr>
        <w:t xml:space="preserve">Under the Institutional strengthening project – Phase V, the Government of BiH was supported through increased capacity building of the NOU and achieved a smooth implementation of the HPMP activities, Also, the ODS alternatives Survey, a very demanding and very useful project in terms of future Kigali amendment ratification was performed by BiH NOU. Lessons have been learned by finalizing the NoPP. </w:t>
      </w:r>
    </w:p>
    <w:p>
      <w:pPr>
        <w:pStyle w:val="ListParagraph"/>
        <w:spacing w:before="240" w:after="0"/>
        <w:ind w:left="0" w:hanging="0"/>
        <w:contextualSpacing/>
        <w:jc w:val="left"/>
        <w:rPr>
          <w:sz w:val="16"/>
          <w:szCs w:val="16"/>
        </w:rPr>
      </w:pPr>
      <w:r>
        <w:rPr>
          <w:sz w:val="16"/>
          <w:szCs w:val="16"/>
        </w:rPr>
      </w:r>
    </w:p>
    <w:p>
      <w:pPr>
        <w:pStyle w:val="ListParagraph"/>
        <w:spacing w:before="240" w:after="0"/>
        <w:ind w:left="0" w:hanging="0"/>
        <w:contextualSpacing/>
        <w:jc w:val="left"/>
        <w:rPr>
          <w:sz w:val="22"/>
          <w:szCs w:val="22"/>
        </w:rPr>
      </w:pPr>
      <w:r>
        <w:rPr>
          <w:sz w:val="22"/>
          <w:szCs w:val="22"/>
        </w:rPr>
        <w:t>New legal procedures for controlling the HCFCs introducing quota system for HCFCs, permits for HFCs and ban on HCFC and its mixtures based equipment were approved by Council of Ministers of Bosnia and Herzegovina and it is operated smoothly by BiH NOU in cooperation with BiH ITA. In 2015 BiH RAC Association was established within BiH Foreign Trade Chamber. BiH NOU coordinated Verification report preparation for the years 2014 and 2015, as requirement of the third HPMP tranche approval in 2016.</w:t>
      </w:r>
    </w:p>
    <w:p>
      <w:pPr>
        <w:pStyle w:val="Normal"/>
        <w:widowControl/>
        <w:tabs>
          <w:tab w:val="left" w:pos="720" w:leader="none"/>
          <w:tab w:val="left" w:pos="1440" w:leader="none"/>
          <w:tab w:val="left" w:pos="5760" w:leader="none"/>
        </w:tabs>
        <w:ind w:left="270" w:hanging="0"/>
        <w:jc w:val="both"/>
        <w:rPr>
          <w:rFonts w:ascii="Times New Roman" w:hAnsi="Times New Roman"/>
          <w:sz w:val="16"/>
          <w:szCs w:val="16"/>
          <w:lang w:val="en-GB"/>
        </w:rPr>
      </w:pPr>
      <w:r>
        <w:rPr>
          <w:sz w:val="16"/>
          <w:szCs w:val="16"/>
          <w:lang w:val="en-GB"/>
        </w:rPr>
      </w:r>
    </w:p>
    <w:p>
      <w:pPr>
        <w:pStyle w:val="Normal"/>
        <w:rPr>
          <w:sz w:val="22"/>
          <w:szCs w:val="22"/>
        </w:rPr>
      </w:pPr>
      <w:r>
        <w:rPr>
          <w:sz w:val="22"/>
          <w:szCs w:val="22"/>
        </w:rPr>
        <w:t xml:space="preserve">The NOU is further committed to build up capacity at country level in view of compliance with the HCFCs consumption phase-out targets and it is expected that the ongoing regulatory efforts will be enhanced by the implementation of IS Phase VI. </w:t>
      </w:r>
    </w:p>
    <w:p>
      <w:pPr>
        <w:pStyle w:val="Normal"/>
        <w:ind w:left="1440" w:hanging="0"/>
        <w:rPr>
          <w:sz w:val="16"/>
          <w:szCs w:val="16"/>
        </w:rPr>
      </w:pPr>
      <w:r>
        <w:rPr>
          <w:sz w:val="16"/>
          <w:szCs w:val="16"/>
        </w:rPr>
      </w:r>
    </w:p>
    <w:p>
      <w:pPr>
        <w:pStyle w:val="Normal"/>
        <w:tabs>
          <w:tab w:val="clear" w:pos="720"/>
          <w:tab w:val="left" w:pos="1134" w:leader="none"/>
        </w:tabs>
        <w:jc w:val="left"/>
        <w:rPr>
          <w:sz w:val="22"/>
          <w:szCs w:val="22"/>
        </w:rPr>
      </w:pPr>
      <w:r>
        <w:rPr>
          <w:sz w:val="22"/>
          <w:szCs w:val="22"/>
        </w:rPr>
        <w:t>The NOU will follow-up with priority the improvement of the HCFCs control, and it is important to note that the country have achieved the 10% reduction target in 2015. Also, the target of zero consumption of HCFC 141b by 1 January 2016 was achieved</w:t>
      </w:r>
    </w:p>
    <w:p>
      <w:pPr>
        <w:pStyle w:val="Style5"/>
        <w:tabs>
          <w:tab w:val="clear" w:pos="720"/>
          <w:tab w:val="left" w:pos="1418" w:leader="none"/>
        </w:tabs>
        <w:spacing w:beforeAutospacing="1" w:afterAutospacing="1"/>
        <w:rPr>
          <w:sz w:val="22"/>
          <w:szCs w:val="22"/>
        </w:rPr>
      </w:pPr>
      <w:r>
        <w:rPr>
          <w:sz w:val="22"/>
          <w:szCs w:val="22"/>
        </w:rPr>
        <w:t>The National Ozone Unit of Bosnia and Herzegovina will be responsible for tracking the promulgation and enforcement of policy and legislation with a specific focus on HCFCs additional restrictions (as a working group has been set-up to develop further regulatory measures on HCFCs placing on the market), special focus will be given to the cooperation with the customs authorities sector in order to prevent illegal trade and strengthen the cooperation with the RAC Association.</w:t>
      </w:r>
    </w:p>
    <w:p>
      <w:pPr>
        <w:pStyle w:val="Normal"/>
        <w:rPr>
          <w:rFonts w:ascii="Times New Roman" w:hAnsi="Times New Roman"/>
          <w:b/>
          <w:b/>
        </w:rPr>
      </w:pPr>
      <w:r>
        <w:rPr>
          <w:sz w:val="22"/>
          <w:szCs w:val="22"/>
        </w:rPr>
        <w:t>Government of Bosnia and Herzegovina is committed through BiH NOU to ratify Kigali Amendment and have made first step in that regard by having this activity in adopted work plan of Council of Ministers for year 2017 and also is committed to start with enabling activities for early actions in this context with UNIDO as partner implementing agency.</w:t>
      </w:r>
      <w:r>
        <w:br w:type="page"/>
      </w:r>
    </w:p>
    <w:p>
      <w:pPr>
        <w:pStyle w:val="Normal"/>
        <w:jc w:val="center"/>
        <w:rPr>
          <w:rFonts w:ascii="Times New Roman" w:hAnsi="Times New Roman"/>
          <w:b/>
          <w:b/>
        </w:rPr>
      </w:pPr>
      <w:r>
        <w:rPr>
          <w:b/>
        </w:rPr>
        <w:t>PROJECT CONCEPT</w:t>
      </w:r>
    </w:p>
    <w:p>
      <w:pPr>
        <w:pStyle w:val="Normal"/>
        <w:ind w:left="360" w:hanging="0"/>
        <w:rPr>
          <w:rFonts w:ascii="Times New Roman" w:hAnsi="Times New Roman"/>
        </w:rPr>
      </w:pPr>
      <w:r>
        <w:rPr/>
      </w:r>
    </w:p>
    <w:p>
      <w:pPr>
        <w:pStyle w:val="Normal"/>
        <w:rPr>
          <w:rFonts w:ascii="Times New Roman" w:hAnsi="Times New Roman"/>
        </w:rPr>
      </w:pPr>
      <w:r>
        <w:rPr>
          <w:b/>
        </w:rPr>
        <w:t>Country:</w:t>
      </w:r>
      <w:r>
        <w:rPr/>
        <w:t xml:space="preserve">  </w:t>
        <w:tab/>
        <w:tab/>
        <w:tab/>
        <w:t>Serbia</w:t>
      </w:r>
    </w:p>
    <w:p>
      <w:pPr>
        <w:pStyle w:val="Normal"/>
        <w:rPr>
          <w:rFonts w:ascii="Times New Roman" w:hAnsi="Times New Roman"/>
        </w:rPr>
      </w:pPr>
      <w:r>
        <w:rPr/>
      </w:r>
    </w:p>
    <w:p>
      <w:pPr>
        <w:pStyle w:val="Normal"/>
        <w:ind w:left="2835" w:hanging="2835"/>
        <w:jc w:val="both"/>
        <w:rPr>
          <w:rFonts w:ascii="Times New Roman" w:hAnsi="Times New Roman"/>
        </w:rPr>
      </w:pPr>
      <w:r>
        <w:rPr>
          <w:b/>
        </w:rPr>
        <w:t>Title:</w:t>
      </w:r>
      <w:r>
        <w:rPr/>
        <w:t xml:space="preserve"> </w:t>
        <w:tab/>
        <w:tab/>
        <w:t>Extension of Institutional Strengthening for the implementation of</w:t>
      </w:r>
    </w:p>
    <w:p>
      <w:pPr>
        <w:pStyle w:val="Normal"/>
        <w:ind w:left="2835" w:hanging="2835"/>
        <w:jc w:val="both"/>
        <w:rPr>
          <w:rFonts w:ascii="Times New Roman" w:hAnsi="Times New Roman"/>
        </w:rPr>
      </w:pPr>
      <w:r>
        <w:rPr/>
        <w:tab/>
        <w:tab/>
        <w:t>Montreal Protocol in Oman – Phase VI</w:t>
      </w:r>
    </w:p>
    <w:p>
      <w:pPr>
        <w:pStyle w:val="Normal"/>
        <w:jc w:val="both"/>
        <w:rPr>
          <w:rFonts w:ascii="Times New Roman" w:hAnsi="Times New Roman"/>
        </w:rPr>
      </w:pPr>
      <w:r>
        <w:rPr/>
        <w:tab/>
        <w:tab/>
      </w:r>
    </w:p>
    <w:p>
      <w:pPr>
        <w:pStyle w:val="Normal"/>
        <w:ind w:left="2880" w:hanging="2880"/>
        <w:jc w:val="both"/>
        <w:rPr>
          <w:rFonts w:ascii="Times New Roman" w:hAnsi="Times New Roman"/>
        </w:rPr>
      </w:pPr>
      <w:r>
        <w:rPr>
          <w:b/>
        </w:rPr>
        <w:t>Project Duration:</w:t>
      </w:r>
      <w:r>
        <w:rPr/>
        <w:tab/>
        <w:t>24 months, December 2017 – November 2019</w:t>
      </w:r>
    </w:p>
    <w:p>
      <w:pPr>
        <w:pStyle w:val="Normal"/>
        <w:ind w:left="2880" w:hanging="2880"/>
        <w:jc w:val="both"/>
        <w:rPr>
          <w:rFonts w:ascii="Times New Roman" w:hAnsi="Times New Roman"/>
          <w:b/>
          <w:b/>
        </w:rPr>
      </w:pPr>
      <w:r>
        <w:rPr>
          <w:b/>
        </w:rPr>
        <w:t>Project Budget:</w:t>
        <w:tab/>
      </w:r>
      <w:r>
        <w:rPr/>
        <w:t>168,064 USD (</w:t>
      </w:r>
      <w:r>
        <w:rPr>
          <w:lang w:val="en-GB"/>
        </w:rPr>
        <w:t>excluding 7 % Agency Support Costs)</w:t>
      </w:r>
    </w:p>
    <w:p>
      <w:pPr>
        <w:pStyle w:val="Normal"/>
        <w:jc w:val="both"/>
        <w:rPr>
          <w:rFonts w:ascii="Times New Roman" w:hAnsi="Times New Roman"/>
        </w:rPr>
      </w:pPr>
      <w:r>
        <w:rPr/>
      </w:r>
    </w:p>
    <w:p>
      <w:pPr>
        <w:pStyle w:val="Normal"/>
        <w:jc w:val="both"/>
        <w:rPr>
          <w:rFonts w:ascii="Times New Roman" w:hAnsi="Times New Roman"/>
        </w:rPr>
      </w:pPr>
      <w:r>
        <w:rPr>
          <w:b/>
        </w:rPr>
        <w:t>Implementing Agency:</w:t>
      </w:r>
      <w:r>
        <w:rPr/>
        <w:t xml:space="preserve"> </w:t>
        <w:tab/>
        <w:t>UNIDO</w:t>
      </w:r>
    </w:p>
    <w:p>
      <w:pPr>
        <w:pStyle w:val="Normal"/>
        <w:jc w:val="both"/>
        <w:rPr>
          <w:rFonts w:ascii="Times New Roman" w:hAnsi="Times New Roman"/>
          <w:lang w:val="en-GB"/>
        </w:rPr>
      </w:pPr>
      <w:r>
        <w:rPr>
          <w:lang w:val="en-GB"/>
        </w:rPr>
      </w:r>
    </w:p>
    <w:p>
      <w:pPr>
        <w:pStyle w:val="Normal"/>
        <w:tabs>
          <w:tab w:val="clear" w:pos="720"/>
          <w:tab w:val="left" w:pos="-1440" w:leader="none"/>
        </w:tabs>
        <w:ind w:left="2880" w:hanging="2880"/>
        <w:jc w:val="both"/>
        <w:rPr>
          <w:rFonts w:ascii="Times New Roman" w:hAnsi="Times New Roman"/>
          <w:lang w:val="en-GB"/>
        </w:rPr>
      </w:pPr>
      <w:r>
        <w:rPr>
          <w:b/>
          <w:bCs/>
          <w:lang w:val="en-GB"/>
        </w:rPr>
        <w:t>Coordinating Agency:</w:t>
        <w:tab/>
      </w:r>
      <w:r>
        <w:rPr/>
        <w:t xml:space="preserve">NOU SERBIA, </w:t>
      </w:r>
      <w:r>
        <w:rPr>
          <w:lang w:val="en-GB"/>
        </w:rPr>
        <w:t>Ministry of Environmental Protection</w:t>
      </w:r>
    </w:p>
    <w:p>
      <w:pPr>
        <w:pStyle w:val="Normal"/>
        <w:tabs>
          <w:tab w:val="clear" w:pos="720"/>
          <w:tab w:val="left" w:pos="-1440" w:leader="none"/>
        </w:tabs>
        <w:ind w:left="3600" w:hanging="3600"/>
        <w:jc w:val="both"/>
        <w:rPr>
          <w:rFonts w:ascii="Times New Roman" w:hAnsi="Times New Roman"/>
          <w:lang w:val="en-GB"/>
        </w:rPr>
      </w:pPr>
      <w:r>
        <w:rPr>
          <w:bCs/>
        </w:rPr>
        <w:tab/>
        <w:tab/>
        <w:tab/>
        <w:tab/>
      </w:r>
    </w:p>
    <w:p>
      <w:pPr>
        <w:pStyle w:val="Normal"/>
        <w:rPr>
          <w:rFonts w:ascii="Times New Roman" w:hAnsi="Times New Roman"/>
          <w:lang w:val="en-GB"/>
        </w:rPr>
      </w:pPr>
      <w:r>
        <w:rPr>
          <w:lang w:val="en-GB"/>
        </w:rPr>
      </w:r>
    </w:p>
    <w:p>
      <w:pPr>
        <w:pStyle w:val="Normal"/>
        <w:spacing w:lineRule="exact" w:line="19"/>
        <w:rPr>
          <w:rFonts w:ascii="Times New Roman" w:hAnsi="Times New Roman"/>
          <w:lang w:val="en-GB"/>
        </w:rPr>
      </w:pPr>
      <w:r>
        <w:rPr>
          <w:lang w:val="en-GB"/>
        </w:rPr>
        <mc:AlternateContent>
          <mc:Choice Requires="wps">
            <w:drawing>
              <wp:anchor behindDoc="1" distT="0" distB="0" distL="0" distR="2540" simplePos="0" locked="0" layoutInCell="0" allowOverlap="1" relativeHeight="19" wp14:anchorId="3B693546">
                <wp:simplePos x="0" y="0"/>
                <wp:positionH relativeFrom="page">
                  <wp:posOffset>914400</wp:posOffset>
                </wp:positionH>
                <wp:positionV relativeFrom="paragraph">
                  <wp:posOffset>635</wp:posOffset>
                </wp:positionV>
                <wp:extent cx="5731510" cy="12065"/>
                <wp:effectExtent l="0" t="635" r="0" b="0"/>
                <wp:wrapNone/>
                <wp:docPr id="14" name="Rectangle 11"/>
                <a:graphic xmlns:a="http://schemas.openxmlformats.org/drawingml/2006/main">
                  <a:graphicData uri="http://schemas.microsoft.com/office/word/2010/wordprocessingShape">
                    <wps:wsp>
                      <wps:cNvSpPr/>
                      <wps:spPr>
                        <a:xfrm>
                          <a:off x="0" y="0"/>
                          <a:ext cx="5731560" cy="1224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11" path="m0,0l-2147483645,0l-2147483645,-2147483646l0,-2147483646xe" fillcolor="black" stroked="f" o:allowincell="f" style="position:absolute;margin-left:72pt;margin-top:0pt;width:451.25pt;height:0.9pt;mso-wrap-style:none;v-text-anchor:middle;mso-position-horizontal-relative:page" wp14:anchorId="3B693546">
                <v:fill o:detectmouseclick="t" type="solid" color2="white"/>
                <v:stroke color="#3465a4" joinstyle="round" endcap="flat"/>
                <w10:wrap type="none"/>
              </v:rect>
            </w:pict>
          </mc:Fallback>
        </mc:AlternateContent>
      </w:r>
    </w:p>
    <w:p>
      <w:pPr>
        <w:pStyle w:val="Normal"/>
        <w:ind w:left="720" w:hanging="0"/>
        <w:rPr>
          <w:rFonts w:ascii="Times New Roman" w:hAnsi="Times New Roman"/>
          <w:lang w:val="en-GB"/>
        </w:rPr>
      </w:pPr>
      <w:r>
        <w:rPr>
          <w:lang w:val="en-GB"/>
        </w:rPr>
      </w:r>
    </w:p>
    <w:p>
      <w:pPr>
        <w:pStyle w:val="Normal"/>
        <w:tabs>
          <w:tab w:val="clear" w:pos="720"/>
          <w:tab w:val="center" w:pos="4513" w:leader="none"/>
        </w:tabs>
        <w:rPr>
          <w:rFonts w:ascii="Times New Roman" w:hAnsi="Times New Roman"/>
          <w:b/>
          <w:b/>
          <w:bCs/>
          <w:lang w:val="en-GB"/>
        </w:rPr>
      </w:pPr>
      <w:r>
        <w:rPr>
          <w:lang w:val="en-GB"/>
        </w:rPr>
        <w:tab/>
      </w:r>
      <w:r>
        <w:rPr>
          <w:b/>
          <w:bCs/>
          <w:lang w:val="en-GB"/>
        </w:rPr>
        <w:t>Project Summary</w:t>
      </w:r>
    </w:p>
    <w:p>
      <w:pPr>
        <w:pStyle w:val="Normal"/>
        <w:jc w:val="both"/>
        <w:rPr>
          <w:rFonts w:ascii="Times New Roman" w:hAnsi="Times New Roman"/>
        </w:rPr>
      </w:pPr>
      <w:r>
        <w:rPr/>
      </w:r>
    </w:p>
    <w:p>
      <w:pPr>
        <w:pStyle w:val="Normal"/>
        <w:jc w:val="both"/>
        <w:rPr>
          <w:rFonts w:ascii="Times New Roman" w:hAnsi="Times New Roman"/>
        </w:rPr>
      </w:pPr>
      <w:r>
        <w:rPr/>
      </w:r>
    </w:p>
    <w:p>
      <w:pPr>
        <w:pStyle w:val="Style5"/>
        <w:tabs>
          <w:tab w:val="clear" w:pos="720"/>
          <w:tab w:val="left" w:pos="0" w:leader="none"/>
          <w:tab w:val="left" w:pos="1560" w:leader="none"/>
        </w:tabs>
        <w:rPr/>
      </w:pPr>
      <w:r>
        <w:rPr/>
        <w:t>In the period 2014 – 2017, in spite of the restructuring of the Government and the separation of the Ministry of Environment from Ministry of Agriculture  Serbia NOU Office has been maintained and achieved increased visibility both at national and international level, by actively and permanent involvement in the decision making process of the Montreal Protocol.</w:t>
      </w:r>
    </w:p>
    <w:p>
      <w:pPr>
        <w:pStyle w:val="Style5"/>
        <w:tabs>
          <w:tab w:val="clear" w:pos="720"/>
          <w:tab w:val="left" w:pos="0" w:leader="none"/>
          <w:tab w:val="left" w:pos="1560" w:leader="none"/>
        </w:tabs>
        <w:rPr/>
      </w:pPr>
      <w:r>
        <w:rPr/>
      </w:r>
    </w:p>
    <w:p>
      <w:pPr>
        <w:pStyle w:val="Normal"/>
        <w:tabs>
          <w:tab w:val="clear" w:pos="720"/>
          <w:tab w:val="left" w:pos="0" w:leader="none"/>
        </w:tabs>
        <w:ind w:left="11" w:right="-74" w:hanging="11"/>
        <w:jc w:val="both"/>
        <w:rPr/>
      </w:pPr>
      <w:r>
        <w:rPr/>
        <w:t xml:space="preserve">Serbia has introduced in 2012 quotas for all HCFCs bulk imports as well as for their mixtures, and improved the ODS imports/exports records, as well as the statistics on the ODS place on the market. </w:t>
      </w:r>
      <w:r>
        <w:rPr/>
        <w:t>In 2016, with the support of the IS activities, Serbia introduced new legislation addressing certification system and covering HFCs beyond strengthening the control of HCFCs.</w:t>
      </w:r>
    </w:p>
    <w:p>
      <w:pPr>
        <w:pStyle w:val="Style5"/>
        <w:tabs>
          <w:tab w:val="clear" w:pos="720"/>
          <w:tab w:val="left" w:pos="0" w:leader="none"/>
          <w:tab w:val="left" w:pos="1560" w:leader="none"/>
        </w:tabs>
        <w:rPr/>
      </w:pPr>
      <w:r>
        <w:rPr/>
      </w:r>
    </w:p>
    <w:p>
      <w:pPr>
        <w:pStyle w:val="Style5"/>
        <w:tabs>
          <w:tab w:val="clear" w:pos="720"/>
          <w:tab w:val="left" w:pos="0" w:leader="none"/>
          <w:tab w:val="left" w:pos="1560" w:leader="none"/>
        </w:tabs>
        <w:rPr/>
      </w:pPr>
      <w:r>
        <w:rPr/>
        <w:t>Public awareness activities are organized with the involvement of the NGOs as activities for celebrating the 16 September –International Day for the Preservation of the Ozone Layer.</w:t>
      </w:r>
    </w:p>
    <w:p>
      <w:pPr>
        <w:pStyle w:val="Style5"/>
        <w:tabs>
          <w:tab w:val="clear" w:pos="720"/>
          <w:tab w:val="left" w:pos="0" w:leader="none"/>
          <w:tab w:val="left" w:pos="1560" w:leader="none"/>
        </w:tabs>
        <w:rPr/>
      </w:pPr>
      <w:r>
        <w:rPr/>
      </w:r>
    </w:p>
    <w:p>
      <w:pPr>
        <w:pStyle w:val="Style5"/>
        <w:tabs>
          <w:tab w:val="clear" w:pos="720"/>
          <w:tab w:val="left" w:pos="0" w:leader="none"/>
          <w:tab w:val="left" w:pos="1560" w:leader="none"/>
        </w:tabs>
        <w:rPr/>
      </w:pPr>
      <w:r>
        <w:rPr/>
        <w:t xml:space="preserve">The institutional strengthening support in Serbia, phase VI, will support NOU to remain active and to continue enforcement activities for managing the HCFCs phase-down. NOU will liaise with consumer sectors, and will enable appropriate coordination activities during HPMP implementation </w:t>
      </w:r>
    </w:p>
    <w:p>
      <w:pPr>
        <w:pStyle w:val="Style5"/>
        <w:tabs>
          <w:tab w:val="clear" w:pos="720"/>
          <w:tab w:val="left" w:pos="0" w:leader="none"/>
          <w:tab w:val="left" w:pos="1560" w:leader="none"/>
        </w:tabs>
        <w:rPr/>
      </w:pPr>
      <w:r>
        <w:rPr/>
      </w:r>
    </w:p>
    <w:p>
      <w:pPr>
        <w:pStyle w:val="Normal"/>
        <w:ind w:left="11" w:right="-74" w:hanging="11"/>
        <w:jc w:val="both"/>
        <w:rPr>
          <w:rFonts w:ascii="Times New Roman" w:hAnsi="Times New Roman"/>
        </w:rPr>
      </w:pPr>
      <w:r>
        <w:rPr/>
        <w:t>Serbia NOU is an active member of the EECA regional network and the national technical experts, as well as the professional associations in refrigeration sector, are providing relevant technical support in the region and study cases on alternatives to HCFCs uses, through organization of exhibitions, conferences and other private initiatives.</w:t>
      </w:r>
    </w:p>
    <w:p>
      <w:pPr>
        <w:pStyle w:val="Normal"/>
        <w:ind w:left="11" w:right="-74" w:hanging="11"/>
        <w:jc w:val="both"/>
        <w:rPr>
          <w:rFonts w:ascii="Times New Roman" w:hAnsi="Times New Roman"/>
        </w:rPr>
      </w:pPr>
      <w:r>
        <w:rPr/>
      </w:r>
    </w:p>
    <w:p>
      <w:pPr>
        <w:pStyle w:val="Normal"/>
        <w:rPr>
          <w:rFonts w:ascii="Times New Roman" w:hAnsi="Times New Roman"/>
          <w:b/>
          <w:b/>
        </w:rPr>
      </w:pPr>
      <w:r>
        <w:rPr>
          <w:b/>
        </w:rPr>
      </w:r>
    </w:p>
    <w:p>
      <w:pPr>
        <w:pStyle w:val="Normal"/>
        <w:rPr>
          <w:rFonts w:ascii="Times New Roman" w:hAnsi="Times New Roman"/>
          <w:lang w:val="en-CA"/>
        </w:rPr>
      </w:pPr>
      <w:r>
        <w:rPr>
          <w:lang w:val="en-CA"/>
        </w:rPr>
      </w:r>
    </w:p>
    <w:p>
      <w:pPr>
        <w:pStyle w:val="Normal"/>
        <w:widowControl/>
        <w:spacing w:lineRule="auto" w:line="276" w:before="0" w:after="200"/>
        <w:rPr>
          <w:rFonts w:ascii="Times New Roman" w:hAnsi="Times New Roman"/>
          <w:b/>
          <w:b/>
        </w:rPr>
      </w:pPr>
      <w:r>
        <w:rPr>
          <w:b/>
        </w:rPr>
      </w:r>
      <w:r>
        <w:br w:type="page"/>
      </w:r>
    </w:p>
    <w:p>
      <w:pPr>
        <w:pStyle w:val="Normal"/>
        <w:jc w:val="center"/>
        <w:rPr>
          <w:rFonts w:ascii="Times New Roman" w:hAnsi="Times New Roman"/>
          <w:b/>
          <w:b/>
        </w:rPr>
      </w:pPr>
      <w:r>
        <w:rPr>
          <w:b/>
        </w:rPr>
        <w:t>PROJECT CONCEPT</w:t>
      </w:r>
    </w:p>
    <w:p>
      <w:pPr>
        <w:pStyle w:val="Normal"/>
        <w:ind w:left="360" w:hanging="0"/>
        <w:rPr>
          <w:rFonts w:ascii="Times New Roman" w:hAnsi="Times New Roman"/>
        </w:rPr>
      </w:pPr>
      <w:r>
        <w:rPr/>
      </w:r>
    </w:p>
    <w:p>
      <w:pPr>
        <w:pStyle w:val="Normal"/>
        <w:rPr>
          <w:rFonts w:ascii="Times New Roman" w:hAnsi="Times New Roman" w:eastAsia="Calibri"/>
          <w:sz w:val="22"/>
          <w:szCs w:val="22"/>
          <w:lang w:val="en-GB"/>
        </w:rPr>
      </w:pPr>
      <w:r>
        <w:rPr>
          <w:rFonts w:eastAsia="Calibri"/>
          <w:sz w:val="22"/>
          <w:szCs w:val="22"/>
          <w:lang w:val="en-GB"/>
        </w:rPr>
        <w:t xml:space="preserve">Country:  </w:t>
        <w:tab/>
        <w:tab/>
        <w:tab/>
        <w:t>Turkey</w:t>
      </w:r>
    </w:p>
    <w:p>
      <w:pPr>
        <w:pStyle w:val="Normal"/>
        <w:rPr>
          <w:rFonts w:ascii="Times New Roman" w:hAnsi="Times New Roman" w:eastAsia="Calibri"/>
          <w:sz w:val="22"/>
          <w:szCs w:val="22"/>
          <w:lang w:val="en-GB"/>
        </w:rPr>
      </w:pPr>
      <w:r>
        <w:rPr>
          <w:rFonts w:eastAsia="Calibri"/>
          <w:sz w:val="22"/>
          <w:szCs w:val="22"/>
          <w:lang w:val="en-GB"/>
        </w:rPr>
      </w:r>
    </w:p>
    <w:p>
      <w:pPr>
        <w:pStyle w:val="Normal"/>
        <w:ind w:left="2835" w:hanging="2835"/>
        <w:jc w:val="both"/>
        <w:rPr>
          <w:rFonts w:ascii="Times New Roman" w:hAnsi="Times New Roman" w:eastAsia="Calibri"/>
          <w:sz w:val="22"/>
          <w:szCs w:val="22"/>
          <w:lang w:val="en-GB"/>
        </w:rPr>
      </w:pPr>
      <w:r>
        <w:rPr>
          <w:rFonts w:eastAsia="Calibri"/>
          <w:sz w:val="22"/>
          <w:szCs w:val="22"/>
          <w:lang w:val="en-GB"/>
        </w:rPr>
        <w:t xml:space="preserve">Title: </w:t>
        <w:tab/>
        <w:t>Extension of Institutional Strengthening for the implementation of</w:t>
      </w:r>
    </w:p>
    <w:p>
      <w:pPr>
        <w:pStyle w:val="Normal"/>
        <w:ind w:left="2835" w:hanging="2835"/>
        <w:jc w:val="both"/>
        <w:rPr>
          <w:rFonts w:ascii="Times New Roman" w:hAnsi="Times New Roman" w:eastAsia="Calibri"/>
          <w:sz w:val="22"/>
          <w:szCs w:val="22"/>
          <w:lang w:val="en-GB"/>
        </w:rPr>
      </w:pPr>
      <w:r>
        <w:rPr>
          <w:rFonts w:eastAsia="Calibri"/>
          <w:sz w:val="22"/>
          <w:szCs w:val="22"/>
          <w:lang w:val="en-GB"/>
        </w:rPr>
        <w:tab/>
        <w:t>Montreal Protocol in Turkey – Phase VIII</w:t>
      </w:r>
    </w:p>
    <w:p>
      <w:pPr>
        <w:pStyle w:val="Normal"/>
        <w:jc w:val="both"/>
        <w:rPr>
          <w:rFonts w:ascii="Times New Roman" w:hAnsi="Times New Roman" w:eastAsia="Calibri"/>
          <w:sz w:val="22"/>
          <w:szCs w:val="22"/>
          <w:lang w:val="en-GB"/>
        </w:rPr>
      </w:pPr>
      <w:r>
        <w:rPr>
          <w:rFonts w:eastAsia="Calibri"/>
          <w:sz w:val="22"/>
          <w:szCs w:val="22"/>
          <w:lang w:val="en-GB"/>
        </w:rPr>
        <w:tab/>
        <w:tab/>
      </w:r>
    </w:p>
    <w:p>
      <w:pPr>
        <w:pStyle w:val="Normal"/>
        <w:ind w:left="2880" w:hanging="2880"/>
        <w:jc w:val="both"/>
        <w:rPr>
          <w:rFonts w:ascii="Times New Roman" w:hAnsi="Times New Roman" w:eastAsia="Calibri"/>
          <w:sz w:val="22"/>
          <w:szCs w:val="22"/>
          <w:lang w:val="en-GB"/>
        </w:rPr>
      </w:pPr>
      <w:r>
        <w:rPr>
          <w:rFonts w:eastAsia="Calibri"/>
          <w:sz w:val="22"/>
          <w:szCs w:val="22"/>
          <w:lang w:val="en-GB"/>
        </w:rPr>
        <w:t>Project Duration:</w:t>
        <w:tab/>
        <w:t>24 months (December 2017 to November 2019)</w:t>
      </w:r>
    </w:p>
    <w:p>
      <w:pPr>
        <w:pStyle w:val="Normal"/>
        <w:ind w:left="3600" w:hanging="3600"/>
        <w:jc w:val="both"/>
        <w:rPr>
          <w:rFonts w:ascii="Times New Roman" w:hAnsi="Times New Roman" w:eastAsia="Calibri"/>
          <w:sz w:val="22"/>
          <w:szCs w:val="22"/>
          <w:lang w:val="en-GB"/>
        </w:rPr>
      </w:pPr>
      <w:r>
        <w:rPr>
          <w:rFonts w:eastAsia="Calibri"/>
          <w:sz w:val="22"/>
          <w:szCs w:val="22"/>
          <w:lang w:val="en-GB"/>
        </w:rPr>
      </w:r>
    </w:p>
    <w:p>
      <w:pPr>
        <w:pStyle w:val="Normal"/>
        <w:ind w:left="2880" w:hanging="2880"/>
        <w:jc w:val="both"/>
        <w:rPr>
          <w:rFonts w:ascii="Times New Roman" w:hAnsi="Times New Roman" w:eastAsia="Calibri"/>
          <w:sz w:val="22"/>
          <w:szCs w:val="22"/>
          <w:lang w:val="en-GB"/>
        </w:rPr>
      </w:pPr>
      <w:r>
        <w:rPr>
          <w:rFonts w:eastAsia="Calibri"/>
          <w:sz w:val="22"/>
          <w:szCs w:val="22"/>
          <w:lang w:val="en-GB"/>
        </w:rPr>
        <w:t>Project Budget:</w:t>
        <w:tab/>
        <w:t>332,800 (excluding Agency Support Costs)</w:t>
      </w:r>
    </w:p>
    <w:p>
      <w:pPr>
        <w:pStyle w:val="Normal"/>
        <w:jc w:val="both"/>
        <w:rPr>
          <w:rFonts w:ascii="Times New Roman" w:hAnsi="Times New Roman" w:eastAsia="Calibri"/>
          <w:sz w:val="22"/>
          <w:szCs w:val="22"/>
          <w:lang w:val="en-GB"/>
        </w:rPr>
      </w:pPr>
      <w:r>
        <w:rPr>
          <w:rFonts w:eastAsia="Calibri"/>
          <w:sz w:val="22"/>
          <w:szCs w:val="22"/>
          <w:lang w:val="en-GB"/>
        </w:rPr>
      </w:r>
    </w:p>
    <w:p>
      <w:pPr>
        <w:pStyle w:val="Normal"/>
        <w:jc w:val="both"/>
        <w:rPr>
          <w:rFonts w:ascii="Times New Roman" w:hAnsi="Times New Roman" w:eastAsia="Calibri"/>
          <w:sz w:val="22"/>
          <w:szCs w:val="22"/>
          <w:lang w:val="en-GB"/>
        </w:rPr>
      </w:pPr>
      <w:r>
        <w:rPr>
          <w:rFonts w:eastAsia="Calibri"/>
          <w:sz w:val="22"/>
          <w:szCs w:val="22"/>
          <w:lang w:val="en-GB"/>
        </w:rPr>
        <w:t xml:space="preserve">Implementing Agency: </w:t>
        <w:tab/>
        <w:tab/>
        <w:t>UNIDO</w:t>
      </w:r>
    </w:p>
    <w:p>
      <w:pPr>
        <w:pStyle w:val="Normal"/>
        <w:jc w:val="both"/>
        <w:rPr>
          <w:rFonts w:ascii="Times New Roman" w:hAnsi="Times New Roman" w:eastAsia="Calibri"/>
          <w:sz w:val="22"/>
          <w:szCs w:val="22"/>
          <w:lang w:val="en-GB"/>
        </w:rPr>
      </w:pPr>
      <w:r>
        <w:rPr>
          <w:rFonts w:eastAsia="Calibri"/>
          <w:sz w:val="22"/>
          <w:szCs w:val="22"/>
          <w:lang w:val="en-GB"/>
        </w:rPr>
      </w:r>
    </w:p>
    <w:p>
      <w:pPr>
        <w:pStyle w:val="Normal"/>
        <w:tabs>
          <w:tab w:val="clear" w:pos="720"/>
          <w:tab w:val="left" w:pos="-1440" w:leader="none"/>
        </w:tabs>
        <w:ind w:left="2880" w:hanging="2880"/>
        <w:jc w:val="both"/>
        <w:rPr>
          <w:rFonts w:ascii="Times New Roman" w:hAnsi="Times New Roman" w:eastAsia="Calibri"/>
          <w:sz w:val="22"/>
          <w:szCs w:val="22"/>
          <w:lang w:val="en-GB"/>
        </w:rPr>
      </w:pPr>
      <w:r>
        <w:rPr>
          <w:rFonts w:eastAsia="Calibri"/>
          <w:sz w:val="22"/>
          <w:szCs w:val="22"/>
          <w:lang w:val="en-GB"/>
        </w:rPr>
        <w:t>Coordinating Agency:</w:t>
        <w:tab/>
      </w:r>
      <w:r>
        <w:rPr>
          <w:sz w:val="22"/>
          <w:szCs w:val="22"/>
        </w:rPr>
        <w:t>Ministry of Environment and Urbanization of Turkey</w:t>
      </w:r>
    </w:p>
    <w:p>
      <w:pPr>
        <w:pStyle w:val="Normal"/>
        <w:rPr>
          <w:rFonts w:ascii="Times New Roman" w:hAnsi="Times New Roman" w:eastAsia="Calibri"/>
          <w:sz w:val="22"/>
          <w:szCs w:val="22"/>
          <w:lang w:val="en-GB"/>
        </w:rPr>
      </w:pPr>
      <w:r>
        <w:rPr>
          <w:rFonts w:eastAsia="Calibri"/>
          <w:sz w:val="22"/>
          <w:szCs w:val="22"/>
          <w:lang w:val="en-GB"/>
        </w:rPr>
      </w:r>
    </w:p>
    <w:p>
      <w:pPr>
        <w:pStyle w:val="Normal"/>
        <w:spacing w:lineRule="exact" w:line="19"/>
        <w:rPr>
          <w:rFonts w:ascii="Times New Roman" w:hAnsi="Times New Roman" w:eastAsia="Calibri"/>
          <w:sz w:val="22"/>
          <w:szCs w:val="22"/>
          <w:lang w:val="en-GB"/>
        </w:rPr>
      </w:pPr>
      <w:r>
        <w:rPr>
          <w:rFonts w:eastAsia="Calibri"/>
          <w:sz w:val="22"/>
          <w:szCs w:val="22"/>
          <w:lang w:val="en-GB"/>
        </w:rPr>
        <mc:AlternateContent>
          <mc:Choice Requires="wps">
            <w:drawing>
              <wp:anchor behindDoc="1" distT="2540" distB="3810" distL="0" distR="2540" simplePos="0" locked="0" layoutInCell="0" allowOverlap="1" relativeHeight="20" wp14:anchorId="20076B65">
                <wp:simplePos x="0" y="0"/>
                <wp:positionH relativeFrom="page">
                  <wp:posOffset>914400</wp:posOffset>
                </wp:positionH>
                <wp:positionV relativeFrom="paragraph">
                  <wp:posOffset>635</wp:posOffset>
                </wp:positionV>
                <wp:extent cx="5731510" cy="12065"/>
                <wp:effectExtent l="0" t="635" r="0" b="0"/>
                <wp:wrapNone/>
                <wp:docPr id="15" name="Rectangle 12"/>
                <a:graphic xmlns:a="http://schemas.openxmlformats.org/drawingml/2006/main">
                  <a:graphicData uri="http://schemas.microsoft.com/office/word/2010/wordprocessingShape">
                    <wps:wsp>
                      <wps:cNvSpPr/>
                      <wps:spPr>
                        <a:xfrm>
                          <a:off x="0" y="0"/>
                          <a:ext cx="5731560" cy="1224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12" path="m0,0l-2147483645,0l-2147483645,-2147483646l0,-2147483646xe" fillcolor="black" stroked="f" o:allowincell="f" style="position:absolute;margin-left:72pt;margin-top:0pt;width:451.25pt;height:0.9pt;mso-wrap-style:none;v-text-anchor:middle;mso-position-horizontal-relative:page" wp14:anchorId="20076B65">
                <v:fill o:detectmouseclick="t" type="solid" color2="white"/>
                <v:stroke color="#3465a4" joinstyle="round" endcap="flat"/>
                <w10:wrap type="none"/>
              </v:rect>
            </w:pict>
          </mc:Fallback>
        </mc:AlternateContent>
      </w:r>
    </w:p>
    <w:p>
      <w:pPr>
        <w:pStyle w:val="Normal"/>
        <w:tabs>
          <w:tab w:val="clear" w:pos="720"/>
          <w:tab w:val="center" w:pos="4513" w:leader="none"/>
        </w:tabs>
        <w:rPr>
          <w:rFonts w:ascii="Times New Roman" w:hAnsi="Times New Roman" w:eastAsia="Calibri"/>
          <w:b/>
          <w:b/>
          <w:sz w:val="22"/>
          <w:szCs w:val="22"/>
          <w:lang w:val="en-GB"/>
        </w:rPr>
      </w:pPr>
      <w:r>
        <w:rPr>
          <w:rFonts w:eastAsia="Calibri"/>
          <w:sz w:val="22"/>
          <w:szCs w:val="22"/>
          <w:lang w:val="en-GB"/>
        </w:rPr>
        <w:tab/>
      </w:r>
      <w:r>
        <w:rPr>
          <w:rFonts w:eastAsia="Calibri"/>
          <w:b/>
          <w:sz w:val="22"/>
          <w:szCs w:val="22"/>
          <w:lang w:val="en-GB"/>
        </w:rPr>
        <w:t>Project Summary</w:t>
      </w:r>
    </w:p>
    <w:p>
      <w:pPr>
        <w:pStyle w:val="Normal"/>
        <w:rPr>
          <w:rFonts w:ascii="Times New Roman" w:hAnsi="Times New Roman" w:eastAsia="Calibri"/>
          <w:sz w:val="22"/>
          <w:szCs w:val="22"/>
          <w:lang w:val="en-GB"/>
        </w:rPr>
      </w:pPr>
      <w:r>
        <w:rPr>
          <w:rFonts w:eastAsia="Calibri"/>
          <w:sz w:val="22"/>
          <w:szCs w:val="22"/>
          <w:lang w:val="en-GB"/>
        </w:rPr>
      </w:r>
    </w:p>
    <w:p>
      <w:pPr>
        <w:pStyle w:val="Normal"/>
        <w:tabs>
          <w:tab w:val="clear" w:pos="720"/>
          <w:tab w:val="left" w:pos="1985" w:leader="none"/>
        </w:tabs>
        <w:spacing w:before="1" w:after="1"/>
        <w:rPr>
          <w:rFonts w:ascii="Times New Roman" w:hAnsi="Times New Roman"/>
          <w:sz w:val="22"/>
          <w:szCs w:val="22"/>
        </w:rPr>
      </w:pPr>
      <w:r>
        <w:rPr>
          <w:sz w:val="22"/>
          <w:szCs w:val="22"/>
        </w:rPr>
        <w:t>National Ozone Unit (Division for the Protection of the Ozone Layer) is located under Climate Change and Air Management Department / Directorate General of Environment Management of the Ministry of Environment and Urbanization of Turkey (herein after referred as the Ministry). Having been designated as the National Ozone Unit vis-a-vis the Ozone Secretariat, Division for the Protection of the Ozone Layer has been accordingly serving as the Focal Point. Activity of the Turkish NOU is supervised by the Deputy Undersecretary of the Ministry.</w:t>
      </w:r>
    </w:p>
    <w:p>
      <w:pPr>
        <w:pStyle w:val="Normal"/>
        <w:widowControl/>
        <w:jc w:val="both"/>
        <w:rPr>
          <w:rFonts w:ascii="Times New Roman" w:hAnsi="Times New Roman"/>
          <w:sz w:val="22"/>
          <w:szCs w:val="22"/>
        </w:rPr>
      </w:pPr>
      <w:r>
        <w:rPr>
          <w:sz w:val="22"/>
          <w:szCs w:val="22"/>
        </w:rPr>
      </w:r>
    </w:p>
    <w:p>
      <w:pPr>
        <w:pStyle w:val="Normal"/>
        <w:widowControl/>
        <w:jc w:val="both"/>
        <w:rPr>
          <w:rFonts w:ascii="Times New Roman" w:hAnsi="Times New Roman"/>
          <w:sz w:val="22"/>
          <w:szCs w:val="22"/>
        </w:rPr>
      </w:pPr>
      <w:r>
        <w:rPr>
          <w:sz w:val="22"/>
          <w:szCs w:val="22"/>
        </w:rPr>
        <w:t xml:space="preserve">The NOU is the main coordination and enforcement body, in charge of carrying out the follow-up and coordination of national and international activities related the Vienna Convention for the Protection of the Ozone Layer and Montreal Protocol on Substances that Deplete the Ozone Layer and controlling consumption and production of Ozone Depleting Substances (ODSs) and phasing them out within the country phase-out schedule. The Unit is in charge of the national coordination of all policies, regulations, projects and activities with the objective of implementation of the Vienna Convention and Montreal Protocol. The NOU is also responsible for ensuring the cooperation and coordination at country level and contributes to the work of the implementing agencies of the Montreal Protocol and other relevant governmental institutions, NGOs as well as other specific stakeholders.  </w:t>
      </w:r>
    </w:p>
    <w:p>
      <w:pPr>
        <w:pStyle w:val="Normal"/>
        <w:tabs>
          <w:tab w:val="clear" w:pos="720"/>
          <w:tab w:val="left" w:pos="1985" w:leader="none"/>
        </w:tabs>
        <w:spacing w:before="1" w:after="1"/>
        <w:rPr>
          <w:rFonts w:ascii="Times New Roman" w:hAnsi="Times New Roman"/>
          <w:sz w:val="20"/>
          <w:szCs w:val="20"/>
        </w:rPr>
      </w:pPr>
      <w:r>
        <w:rPr>
          <w:sz w:val="20"/>
          <w:szCs w:val="20"/>
        </w:rPr>
      </w:r>
    </w:p>
    <w:p>
      <w:pPr>
        <w:pStyle w:val="Normal"/>
        <w:jc w:val="both"/>
        <w:rPr>
          <w:rFonts w:ascii="Times New Roman" w:hAnsi="Times New Roman"/>
          <w:sz w:val="22"/>
          <w:szCs w:val="22"/>
        </w:rPr>
      </w:pPr>
      <w:r>
        <w:rPr>
          <w:sz w:val="22"/>
          <w:szCs w:val="22"/>
        </w:rPr>
        <w:t>Beside the role and its responsibilities in regard of MP implementation, during IS Phase VII implementation, NOU has been given also the mandate to follow up the implementation of the policies and regulations related to HFCs controls.</w:t>
      </w:r>
    </w:p>
    <w:p>
      <w:pPr>
        <w:pStyle w:val="Normal"/>
        <w:tabs>
          <w:tab w:val="clear" w:pos="720"/>
          <w:tab w:val="left" w:pos="1985" w:leader="none"/>
        </w:tabs>
        <w:spacing w:before="1" w:after="1"/>
        <w:rPr>
          <w:rFonts w:ascii="Times New Roman" w:hAnsi="Times New Roman"/>
          <w:sz w:val="20"/>
          <w:szCs w:val="20"/>
        </w:rPr>
      </w:pPr>
      <w:r>
        <w:rPr>
          <w:sz w:val="20"/>
          <w:szCs w:val="20"/>
        </w:rPr>
      </w:r>
    </w:p>
    <w:p>
      <w:pPr>
        <w:pStyle w:val="Normal"/>
        <w:tabs>
          <w:tab w:val="clear" w:pos="720"/>
          <w:tab w:val="left" w:pos="1985" w:leader="none"/>
        </w:tabs>
        <w:spacing w:before="1" w:after="1"/>
        <w:rPr>
          <w:rFonts w:ascii="Times New Roman" w:hAnsi="Times New Roman"/>
          <w:sz w:val="22"/>
          <w:szCs w:val="22"/>
        </w:rPr>
      </w:pPr>
      <w:r>
        <w:rPr>
          <w:sz w:val="20"/>
          <w:szCs w:val="20"/>
        </w:rPr>
        <w:t xml:space="preserve"> </w:t>
      </w:r>
      <w:r>
        <w:rPr>
          <w:sz w:val="22"/>
          <w:szCs w:val="22"/>
        </w:rPr>
        <w:t xml:space="preserve">During IS Phase VII, NOU capacity has been increased from 5 to 6 staff, an additional permanent full time position being supported by the Ministry budget.      </w:t>
      </w:r>
    </w:p>
    <w:p>
      <w:pPr>
        <w:pStyle w:val="Normal"/>
        <w:tabs>
          <w:tab w:val="clear" w:pos="720"/>
          <w:tab w:val="left" w:pos="1985" w:leader="none"/>
        </w:tabs>
        <w:spacing w:before="1" w:after="1"/>
        <w:rPr>
          <w:rFonts w:ascii="Times New Roman" w:hAnsi="Times New Roman"/>
          <w:sz w:val="22"/>
          <w:szCs w:val="22"/>
        </w:rPr>
      </w:pPr>
      <w:r>
        <w:rPr>
          <w:sz w:val="22"/>
          <w:szCs w:val="22"/>
        </w:rPr>
      </w:r>
    </w:p>
    <w:p>
      <w:pPr>
        <w:pStyle w:val="BalloonText"/>
        <w:jc w:val="both"/>
        <w:rPr>
          <w:rFonts w:ascii="Times New Roman" w:hAnsi="Times New Roman" w:eastAsia="Calibri"/>
          <w:sz w:val="22"/>
          <w:szCs w:val="22"/>
          <w:lang w:val="en-GB"/>
        </w:rPr>
      </w:pPr>
      <w:r>
        <w:rPr>
          <w:rFonts w:eastAsia="Calibri" w:ascii="Times New Roman" w:hAnsi="Times New Roman"/>
          <w:sz w:val="22"/>
          <w:szCs w:val="22"/>
          <w:lang w:val="en-GB"/>
        </w:rPr>
        <w:t>The next institutional strengthening Phase VII will aim at continuing capacity building of the National Ozone Unit in Turkey to ensure supporting the Government to meet its accelerated obligations with a view to the HCFCs phase out as well as initiating awareness activities to support Kigali Amendment ratification</w:t>
      </w:r>
    </w:p>
    <w:p>
      <w:pPr>
        <w:pStyle w:val="BalloonText"/>
        <w:jc w:val="both"/>
        <w:rPr>
          <w:rFonts w:ascii="Times New Roman" w:hAnsi="Times New Roman" w:eastAsia="Calibri"/>
          <w:sz w:val="22"/>
          <w:szCs w:val="22"/>
          <w:lang w:val="en-GB"/>
        </w:rPr>
      </w:pPr>
      <w:r>
        <w:rPr>
          <w:rFonts w:eastAsia="Calibri" w:ascii="Times New Roman" w:hAnsi="Times New Roman"/>
          <w:sz w:val="22"/>
          <w:szCs w:val="22"/>
          <w:lang w:val="en-GB"/>
        </w:rPr>
      </w:r>
    </w:p>
    <w:p>
      <w:pPr>
        <w:pStyle w:val="Normal"/>
        <w:tabs>
          <w:tab w:val="clear" w:pos="720"/>
          <w:tab w:val="left" w:pos="1134" w:leader="none"/>
          <w:tab w:val="left" w:pos="1276" w:leader="none"/>
        </w:tabs>
        <w:jc w:val="left"/>
        <w:rPr>
          <w:rFonts w:ascii="Times New Roman" w:hAnsi="Times New Roman" w:eastAsia="Calibri"/>
          <w:sz w:val="22"/>
          <w:szCs w:val="22"/>
          <w:lang w:val="en-GB"/>
        </w:rPr>
      </w:pPr>
      <w:r>
        <w:rPr>
          <w:rFonts w:eastAsia="Calibri"/>
          <w:sz w:val="22"/>
          <w:szCs w:val="22"/>
          <w:lang w:val="en-GB"/>
        </w:rPr>
        <w:t xml:space="preserve">The NOU will also follow-up with priority the issue of enforcement of the measures to improve the HCFCs control and coordinate the phase-out in servicing sector targeting a full phase-out by 2025.  </w:t>
      </w:r>
    </w:p>
    <w:p>
      <w:pPr>
        <w:pStyle w:val="Normal"/>
        <w:tabs>
          <w:tab w:val="clear" w:pos="720"/>
          <w:tab w:val="left" w:pos="1134" w:leader="none"/>
          <w:tab w:val="left" w:pos="1276" w:leader="none"/>
        </w:tabs>
        <w:jc w:val="left"/>
        <w:rPr>
          <w:rFonts w:ascii="Times New Roman" w:hAnsi="Times New Roman"/>
          <w:b/>
          <w:b/>
          <w:highlight w:val="yellow"/>
        </w:rPr>
      </w:pPr>
      <w:r>
        <w:rPr>
          <w:rFonts w:eastAsia="Calibri"/>
          <w:sz w:val="22"/>
          <w:szCs w:val="22"/>
          <w:lang w:val="en-GB"/>
        </w:rPr>
        <w:t xml:space="preserve">A specific focus will be given on following the administrative procedures for the adoption of the newly drafted certification system in line with the EU F-Gas Regulation, that will introduce up-graded more stringent certification requirements for both HCFCs and HFCs emissions prevention as well as promotion of the 0 GWP non-ODS alternatives in RAC. </w:t>
      </w:r>
      <w:r>
        <w:br w:type="page"/>
      </w:r>
    </w:p>
    <w:p>
      <w:pPr>
        <w:pStyle w:val="Normal"/>
        <w:jc w:val="center"/>
        <w:rPr>
          <w:rFonts w:ascii="Times New Roman" w:hAnsi="Times New Roman"/>
          <w:b/>
          <w:b/>
        </w:rPr>
      </w:pPr>
      <w:r>
        <w:rPr>
          <w:b/>
        </w:rPr>
        <w:t>PROJECT CONCEPT</w:t>
      </w:r>
    </w:p>
    <w:p>
      <w:pPr>
        <w:pStyle w:val="Normal"/>
        <w:tabs>
          <w:tab w:val="clear" w:pos="720"/>
          <w:tab w:val="left" w:pos="1418" w:leader="none"/>
        </w:tabs>
        <w:rPr>
          <w:rFonts w:ascii="Times New Roman" w:hAnsi="Times New Roman"/>
          <w:highlight w:val="yellow"/>
        </w:rPr>
      </w:pPr>
      <w:r>
        <w:rPr>
          <w:highlight w:val="yellow"/>
        </w:rPr>
      </w:r>
    </w:p>
    <w:p>
      <w:pPr>
        <w:pStyle w:val="Normal"/>
        <w:tabs>
          <w:tab w:val="clear" w:pos="720"/>
          <w:tab w:val="left" w:pos="1418" w:leader="none"/>
        </w:tabs>
        <w:rPr>
          <w:rFonts w:ascii="Times New Roman" w:hAnsi="Times New Roman"/>
          <w:b/>
          <w:b/>
        </w:rPr>
      </w:pPr>
      <w:r>
        <w:rPr>
          <w:b/>
        </w:rPr>
      </w:r>
    </w:p>
    <w:p>
      <w:pPr>
        <w:pStyle w:val="Normal"/>
        <w:tabs>
          <w:tab w:val="clear" w:pos="720"/>
          <w:tab w:val="left" w:pos="1418" w:leader="none"/>
        </w:tabs>
        <w:rPr>
          <w:rFonts w:ascii="Times New Roman" w:hAnsi="Times New Roman"/>
        </w:rPr>
      </w:pPr>
      <w:r>
        <w:rPr>
          <w:b/>
        </w:rPr>
        <w:t>Country:</w:t>
        <w:tab/>
        <w:tab/>
        <w:tab/>
        <w:tab/>
        <w:t>Oman</w:t>
      </w:r>
    </w:p>
    <w:p>
      <w:pPr>
        <w:pStyle w:val="Normal"/>
        <w:rPr>
          <w:rFonts w:ascii="Times New Roman" w:hAnsi="Times New Roman"/>
        </w:rPr>
      </w:pPr>
      <w:r>
        <w:rPr/>
      </w:r>
    </w:p>
    <w:p>
      <w:pPr>
        <w:pStyle w:val="Normal"/>
        <w:rPr>
          <w:rFonts w:ascii="Times New Roman" w:hAnsi="Times New Roman"/>
        </w:rPr>
      </w:pPr>
      <w:r>
        <w:rPr>
          <w:b/>
        </w:rPr>
        <w:t>Title:</w:t>
        <w:tab/>
        <w:tab/>
        <w:tab/>
        <w:tab/>
      </w:r>
      <w:r>
        <w:rPr/>
        <w:t>Verification report of national consumption targets</w:t>
      </w:r>
    </w:p>
    <w:p>
      <w:pPr>
        <w:pStyle w:val="Normal"/>
        <w:widowControl/>
        <w:ind w:left="1418" w:hanging="1418"/>
        <w:jc w:val="both"/>
        <w:rPr>
          <w:rFonts w:ascii="Times New Roman" w:hAnsi="Times New Roman"/>
        </w:rPr>
      </w:pPr>
      <w:r>
        <w:rPr/>
      </w:r>
    </w:p>
    <w:p>
      <w:pPr>
        <w:pStyle w:val="Normal"/>
        <w:jc w:val="both"/>
        <w:rPr>
          <w:rFonts w:ascii="Times New Roman" w:hAnsi="Times New Roman"/>
        </w:rPr>
      </w:pPr>
      <w:r>
        <w:rPr>
          <w:b/>
        </w:rPr>
        <w:t>Project Duration:</w:t>
      </w:r>
      <w:r>
        <w:rPr/>
        <w:tab/>
        <w:tab/>
        <w:t>12 months</w:t>
      </w:r>
    </w:p>
    <w:p>
      <w:pPr>
        <w:pStyle w:val="Normal"/>
        <w:jc w:val="both"/>
        <w:rPr>
          <w:rFonts w:ascii="Times New Roman" w:hAnsi="Times New Roman"/>
        </w:rPr>
      </w:pPr>
      <w:r>
        <w:rPr/>
      </w:r>
    </w:p>
    <w:p>
      <w:pPr>
        <w:pStyle w:val="Normal"/>
        <w:tabs>
          <w:tab w:val="clear" w:pos="720"/>
          <w:tab w:val="left" w:pos="2835" w:leader="none"/>
        </w:tabs>
        <w:ind w:left="3600" w:hanging="3600"/>
        <w:jc w:val="both"/>
        <w:rPr>
          <w:rFonts w:ascii="Times New Roman" w:hAnsi="Times New Roman"/>
          <w:b/>
          <w:b/>
        </w:rPr>
      </w:pPr>
      <w:r>
        <w:rPr>
          <w:b/>
        </w:rPr>
        <w:t>Project Budget:</w:t>
        <w:tab/>
      </w:r>
      <w:r>
        <w:rPr/>
        <w:t>US$ 30,000</w:t>
      </w:r>
      <w:r>
        <w:rPr>
          <w:b/>
        </w:rPr>
        <w:t xml:space="preserve"> </w:t>
      </w:r>
      <w:r>
        <w:rPr/>
        <w:t>(</w:t>
      </w:r>
      <w:r>
        <w:rPr>
          <w:lang w:val="en-GB"/>
        </w:rPr>
        <w:t xml:space="preserve">excl. 9% Agency Support Costs) </w:t>
      </w:r>
    </w:p>
    <w:p>
      <w:pPr>
        <w:pStyle w:val="Normal"/>
        <w:jc w:val="both"/>
        <w:rPr>
          <w:rFonts w:ascii="Times New Roman" w:hAnsi="Times New Roman"/>
        </w:rPr>
      </w:pPr>
      <w:r>
        <w:rPr/>
      </w:r>
    </w:p>
    <w:p>
      <w:pPr>
        <w:pStyle w:val="Normal"/>
        <w:tabs>
          <w:tab w:val="clear" w:pos="720"/>
          <w:tab w:val="left" w:pos="2700" w:leader="none"/>
          <w:tab w:val="left" w:pos="2880" w:leader="none"/>
          <w:tab w:val="left" w:pos="3544" w:leader="none"/>
        </w:tabs>
        <w:jc w:val="both"/>
        <w:rPr>
          <w:rFonts w:ascii="Times New Roman" w:hAnsi="Times New Roman"/>
        </w:rPr>
      </w:pPr>
      <w:r>
        <w:rPr>
          <w:b/>
        </w:rPr>
        <w:t>Implementing Agency:</w:t>
      </w:r>
      <w:r>
        <w:rPr/>
        <w:t xml:space="preserve">          UNIDO</w:t>
      </w:r>
    </w:p>
    <w:p>
      <w:pPr>
        <w:pStyle w:val="Normal"/>
        <w:jc w:val="both"/>
        <w:rPr>
          <w:rFonts w:ascii="Times New Roman" w:hAnsi="Times New Roman"/>
        </w:rPr>
      </w:pPr>
      <w:r>
        <w:rPr/>
      </w:r>
    </w:p>
    <w:p>
      <w:pPr>
        <w:pStyle w:val="Normal"/>
        <w:tabs>
          <w:tab w:val="clear" w:pos="720"/>
          <w:tab w:val="left" w:pos="2835" w:leader="none"/>
        </w:tabs>
        <w:ind w:left="3600" w:hanging="3600"/>
        <w:jc w:val="both"/>
        <w:rPr>
          <w:rFonts w:ascii="Times New Roman" w:hAnsi="Times New Roman"/>
          <w:lang w:val="es-ES"/>
        </w:rPr>
      </w:pPr>
      <w:r>
        <w:rPr>
          <w:b/>
          <w:lang w:val="es-ES"/>
        </w:rPr>
        <w:t>Coordinating Agency:</w:t>
        <w:tab/>
      </w:r>
      <w:r>
        <w:rPr>
          <w:lang w:val="es-ES"/>
        </w:rPr>
        <w:t>Ministry of Environment and Climate Affairs (MECA)</w:t>
      </w:r>
    </w:p>
    <w:p>
      <w:pPr>
        <w:pStyle w:val="Normal"/>
        <w:tabs>
          <w:tab w:val="clear" w:pos="720"/>
          <w:tab w:val="left" w:pos="2835" w:leader="none"/>
        </w:tabs>
        <w:ind w:left="3600" w:hanging="3600"/>
        <w:jc w:val="both"/>
        <w:rPr>
          <w:rFonts w:ascii="Times New Roman" w:hAnsi="Times New Roman"/>
          <w:lang w:val="es-ES"/>
        </w:rPr>
      </w:pPr>
      <w:r>
        <w:rPr>
          <w:lang w:val="es-ES"/>
        </w:rPr>
      </w:r>
    </w:p>
    <w:p>
      <w:pPr>
        <w:pStyle w:val="Normal"/>
        <w:spacing w:lineRule="exact" w:line="19"/>
        <w:rPr>
          <w:rFonts w:ascii="Times New Roman" w:hAnsi="Times New Roman"/>
          <w:lang w:val="es-ES"/>
        </w:rPr>
      </w:pPr>
      <w:r>
        <w:rPr>
          <w:lang w:val="es-ES"/>
        </w:rPr>
        <mc:AlternateContent>
          <mc:Choice Requires="wps">
            <w:drawing>
              <wp:anchor behindDoc="1" distT="0" distB="6350" distL="0" distR="2540" simplePos="0" locked="0" layoutInCell="0" allowOverlap="1" relativeHeight="11" wp14:anchorId="52F99570">
                <wp:simplePos x="0" y="0"/>
                <wp:positionH relativeFrom="page">
                  <wp:posOffset>914400</wp:posOffset>
                </wp:positionH>
                <wp:positionV relativeFrom="paragraph">
                  <wp:posOffset>635</wp:posOffset>
                </wp:positionV>
                <wp:extent cx="5731510" cy="12065"/>
                <wp:effectExtent l="0" t="635" r="0" b="0"/>
                <wp:wrapNone/>
                <wp:docPr id="16" name="Rectangle 8"/>
                <a:graphic xmlns:a="http://schemas.openxmlformats.org/drawingml/2006/main">
                  <a:graphicData uri="http://schemas.microsoft.com/office/word/2010/wordprocessingShape">
                    <wps:wsp>
                      <wps:cNvSpPr/>
                      <wps:spPr>
                        <a:xfrm>
                          <a:off x="0" y="0"/>
                          <a:ext cx="5731560" cy="1224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8" path="m0,0l-2147483645,0l-2147483645,-2147483646l0,-2147483646xe" fillcolor="black" stroked="f" o:allowincell="f" style="position:absolute;margin-left:72pt;margin-top:0pt;width:451.25pt;height:0.9pt;mso-wrap-style:none;v-text-anchor:middle;mso-position-horizontal-relative:page" wp14:anchorId="52F99570">
                <v:fill o:detectmouseclick="t" type="solid" color2="white"/>
                <v:stroke color="#3465a4" joinstyle="round" endcap="flat"/>
                <w10:wrap type="none"/>
              </v:rect>
            </w:pict>
          </mc:Fallback>
        </mc:AlternateContent>
      </w:r>
    </w:p>
    <w:p>
      <w:pPr>
        <w:pStyle w:val="Normal"/>
        <w:ind w:left="720" w:hanging="0"/>
        <w:rPr>
          <w:rFonts w:ascii="Times New Roman" w:hAnsi="Times New Roman"/>
          <w:lang w:val="es-ES"/>
        </w:rPr>
      </w:pPr>
      <w:r>
        <w:rPr>
          <w:lang w:val="es-ES"/>
        </w:rPr>
      </w:r>
    </w:p>
    <w:p>
      <w:pPr>
        <w:pStyle w:val="Normal"/>
        <w:tabs>
          <w:tab w:val="clear" w:pos="720"/>
          <w:tab w:val="center" w:pos="4513" w:leader="none"/>
        </w:tabs>
        <w:rPr>
          <w:rFonts w:ascii="Times New Roman" w:hAnsi="Times New Roman"/>
          <w:lang w:val="es-ES"/>
        </w:rPr>
      </w:pPr>
      <w:r>
        <w:rPr>
          <w:lang w:val="es-ES"/>
        </w:rPr>
        <w:tab/>
      </w:r>
    </w:p>
    <w:p>
      <w:pPr>
        <w:pStyle w:val="Normal"/>
        <w:tabs>
          <w:tab w:val="clear" w:pos="720"/>
          <w:tab w:val="center" w:pos="4513" w:leader="none"/>
        </w:tabs>
        <w:jc w:val="center"/>
        <w:rPr>
          <w:rFonts w:ascii="Times New Roman" w:hAnsi="Times New Roman"/>
          <w:b/>
          <w:b/>
          <w:bCs/>
          <w:lang w:val="en-GB"/>
        </w:rPr>
      </w:pPr>
      <w:r>
        <w:rPr>
          <w:b/>
          <w:bCs/>
          <w:lang w:val="en-GB"/>
        </w:rPr>
        <w:t>Project Summary</w:t>
      </w:r>
    </w:p>
    <w:p>
      <w:pPr>
        <w:pStyle w:val="Normal"/>
        <w:tabs>
          <w:tab w:val="clear" w:pos="720"/>
          <w:tab w:val="center" w:pos="4513" w:leader="none"/>
        </w:tabs>
        <w:rPr>
          <w:rFonts w:ascii="Times New Roman" w:hAnsi="Times New Roman"/>
          <w:b/>
          <w:b/>
          <w:bCs/>
          <w:lang w:val="en-GB"/>
        </w:rPr>
      </w:pPr>
      <w:r>
        <w:rPr>
          <w:b/>
          <w:bCs/>
          <w:lang w:val="en-GB"/>
        </w:rPr>
      </w:r>
    </w:p>
    <w:p>
      <w:pPr>
        <w:pStyle w:val="Normal"/>
        <w:tabs>
          <w:tab w:val="clear" w:pos="720"/>
          <w:tab w:val="center" w:pos="4513" w:leader="none"/>
        </w:tabs>
        <w:rPr>
          <w:rFonts w:ascii="Times New Roman" w:hAnsi="Times New Roman"/>
          <w:b/>
          <w:b/>
          <w:bCs/>
          <w:lang w:val="en-GB"/>
        </w:rPr>
      </w:pPr>
      <w:r>
        <w:rPr>
          <w:b/>
          <w:bCs/>
          <w:lang w:val="en-GB"/>
        </w:rPr>
      </w:r>
    </w:p>
    <w:p>
      <w:pPr>
        <w:pStyle w:val="Normal"/>
        <w:numPr>
          <w:ilvl w:val="0"/>
          <w:numId w:val="12"/>
        </w:numPr>
        <w:spacing w:before="0" w:after="0"/>
        <w:contextualSpacing/>
        <w:rPr>
          <w:rFonts w:ascii="Times New Roman" w:hAnsi="Times New Roman"/>
        </w:rPr>
      </w:pPr>
      <w:r>
        <w:rPr/>
        <w:t>Background</w:t>
      </w:r>
    </w:p>
    <w:p>
      <w:pPr>
        <w:pStyle w:val="Normal"/>
        <w:rPr>
          <w:rFonts w:ascii="Times New Roman" w:hAnsi="Times New Roman"/>
        </w:rPr>
      </w:pPr>
      <w:r>
        <w:rPr/>
      </w:r>
    </w:p>
    <w:p>
      <w:pPr>
        <w:pStyle w:val="Normal"/>
        <w:jc w:val="both"/>
        <w:rPr>
          <w:rFonts w:ascii="Times New Roman" w:hAnsi="Times New Roman"/>
        </w:rPr>
      </w:pPr>
      <w:r>
        <w:rPr/>
        <w:t>Funding requirement for the preparation of verification report of national program is being requested in accordance with UNEP/OzL.Pro/ExCom/79/51.</w:t>
      </w:r>
    </w:p>
    <w:p>
      <w:pPr>
        <w:pStyle w:val="Normal"/>
        <w:jc w:val="both"/>
        <w:rPr>
          <w:rFonts w:ascii="Times New Roman" w:hAnsi="Times New Roman"/>
        </w:rPr>
      </w:pPr>
      <w:r>
        <w:rPr/>
      </w:r>
    </w:p>
    <w:p>
      <w:pPr>
        <w:pStyle w:val="Normal"/>
        <w:jc w:val="both"/>
        <w:rPr>
          <w:rFonts w:ascii="Times New Roman" w:hAnsi="Times New Roman"/>
          <w:lang w:bidi="ar-EG"/>
        </w:rPr>
      </w:pPr>
      <w:r>
        <w:rPr>
          <w:lang w:bidi="ar-EG"/>
        </w:rPr>
        <w:t>The HCFC Phase-out Management Plan for Oman was approved in November 2011 at the 65</w:t>
      </w:r>
      <w:r>
        <w:rPr>
          <w:vertAlign w:val="superscript"/>
          <w:lang w:bidi="ar-EG"/>
        </w:rPr>
        <w:t>th</w:t>
      </w:r>
      <w:r>
        <w:rPr>
          <w:lang w:bidi="ar-EG"/>
        </w:rPr>
        <w:t xml:space="preserve"> Meeting of Executive Committee of the Multilateral Fund for the implementation of the Montreal Protocol. The project was approved in accordance with the Agreement between the Government and the Executive Committee for the period 2011 to 2015 to meet the 10 per cent reduction in HCFC consumption, and on the understanding that US$ </w:t>
      </w:r>
      <w:r>
        <w:rPr/>
        <w:t xml:space="preserve">434,120 </w:t>
      </w:r>
      <w:r>
        <w:rPr>
          <w:lang w:bidi="ar-EG"/>
        </w:rPr>
        <w:t>was provided to address HCFC consumption in the refrigeration servicing sector to reach up to and include the 10 per cent reduction in 2015 in line with decision 60/44.</w:t>
      </w:r>
    </w:p>
    <w:p>
      <w:pPr>
        <w:pStyle w:val="Normal"/>
        <w:jc w:val="both"/>
        <w:rPr>
          <w:rFonts w:ascii="Times New Roman" w:hAnsi="Times New Roman"/>
        </w:rPr>
      </w:pPr>
      <w:r>
        <w:rPr/>
      </w:r>
    </w:p>
    <w:p>
      <w:pPr>
        <w:pStyle w:val="Normal"/>
        <w:jc w:val="both"/>
        <w:rPr>
          <w:rFonts w:ascii="Times New Roman" w:hAnsi="Times New Roman"/>
        </w:rPr>
      </w:pPr>
      <w:r>
        <w:rPr/>
      </w:r>
    </w:p>
    <w:p>
      <w:pPr>
        <w:pStyle w:val="ListParagraph"/>
        <w:numPr>
          <w:ilvl w:val="0"/>
          <w:numId w:val="12"/>
        </w:numPr>
        <w:jc w:val="both"/>
        <w:rPr>
          <w:rFonts w:ascii="Times New Roman" w:hAnsi="Times New Roman"/>
        </w:rPr>
      </w:pPr>
      <w:r>
        <w:rPr/>
        <w:t xml:space="preserve">Decision 79/26: Verification reports of low-volume consuming (LVC) countries’ compliance with their HPMP agreement. </w:t>
      </w:r>
    </w:p>
    <w:p>
      <w:pPr>
        <w:pStyle w:val="Normal"/>
        <w:jc w:val="both"/>
        <w:rPr>
          <w:rFonts w:ascii="Times New Roman" w:hAnsi="Times New Roman"/>
          <w:i/>
          <w:i/>
        </w:rPr>
      </w:pPr>
      <w:r>
        <w:rPr>
          <w:i/>
        </w:rPr>
      </w:r>
    </w:p>
    <w:p>
      <w:pPr>
        <w:pStyle w:val="Normal"/>
        <w:jc w:val="both"/>
        <w:rPr>
          <w:rFonts w:ascii="Times New Roman" w:hAnsi="Times New Roman"/>
        </w:rPr>
      </w:pPr>
      <w:r>
        <w:rPr/>
        <w:t xml:space="preserve">The Executive Committee decided to request relevant bilateral and implementing agencies to include, in their respective amendments to the work programmes for submission to the 80th meeting, funding for </w:t>
      </w:r>
      <w:r>
        <w:rPr>
          <w:bCs/>
        </w:rPr>
        <w:t>verification reports for stage I of the HCFC phase-out management plans (HPMPs) in the amount of US $30,000, plus agency support costs</w:t>
      </w:r>
      <w:r>
        <w:rPr/>
        <w:t xml:space="preserve">, for each of the following 15 Article 5 countries: Belize; Botswana; Comoros (the); Djibouti; Eritrea; Gabon; Guinea-Bissau; </w:t>
      </w:r>
      <w:r>
        <w:rPr>
          <w:b/>
          <w:bCs/>
        </w:rPr>
        <w:t>Oman</w:t>
      </w:r>
      <w:r>
        <w:rPr/>
        <w:t xml:space="preserve">; Palau; Samoa; Solomon Islands; </w:t>
      </w:r>
      <w:r>
        <w:rPr>
          <w:bCs/>
        </w:rPr>
        <w:t>Sudan</w:t>
      </w:r>
      <w:r>
        <w:rPr/>
        <w:t xml:space="preserve"> (the); United Republic of Tanzania (the); Togo; and Tonga.</w:t>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i/>
          <w:i/>
        </w:rPr>
      </w:pPr>
      <w:r>
        <w:rPr>
          <w:i/>
        </w:rPr>
      </w:r>
    </w:p>
    <w:p>
      <w:pPr>
        <w:pStyle w:val="Normal"/>
        <w:rPr>
          <w:rFonts w:ascii="Times New Roman" w:hAnsi="Times New Roman"/>
        </w:rPr>
      </w:pPr>
      <w:r>
        <w:rPr/>
      </w:r>
    </w:p>
    <w:p>
      <w:pPr>
        <w:pStyle w:val="Normal"/>
        <w:jc w:val="center"/>
        <w:rPr>
          <w:rFonts w:ascii="Times New Roman" w:hAnsi="Times New Roman"/>
          <w:b/>
          <w:b/>
        </w:rPr>
      </w:pPr>
      <w:r>
        <w:rPr>
          <w:b/>
        </w:rPr>
        <w:t>Project Concept</w:t>
      </w:r>
    </w:p>
    <w:p>
      <w:pPr>
        <w:pStyle w:val="Normal"/>
        <w:tabs>
          <w:tab w:val="clear" w:pos="720"/>
          <w:tab w:val="left" w:pos="4095" w:leader="none"/>
        </w:tabs>
        <w:rPr>
          <w:rFonts w:ascii="Times New Roman" w:hAnsi="Times New Roman"/>
        </w:rPr>
      </w:pPr>
      <w:r>
        <w:rPr/>
        <w:tab/>
      </w:r>
    </w:p>
    <w:p>
      <w:pPr>
        <w:pStyle w:val="Normal"/>
        <w:tabs>
          <w:tab w:val="clear" w:pos="720"/>
          <w:tab w:val="left" w:pos="1418" w:leader="none"/>
        </w:tabs>
        <w:rPr>
          <w:rFonts w:ascii="Times New Roman" w:hAnsi="Times New Roman"/>
          <w:b/>
          <w:b/>
        </w:rPr>
      </w:pPr>
      <w:r>
        <w:rPr>
          <w:b/>
        </w:rPr>
      </w:r>
    </w:p>
    <w:p>
      <w:pPr>
        <w:pStyle w:val="Normal"/>
        <w:tabs>
          <w:tab w:val="clear" w:pos="720"/>
          <w:tab w:val="left" w:pos="1418" w:leader="none"/>
        </w:tabs>
        <w:rPr>
          <w:rFonts w:ascii="Times New Roman" w:hAnsi="Times New Roman"/>
        </w:rPr>
      </w:pPr>
      <w:r>
        <w:rPr>
          <w:b/>
        </w:rPr>
        <w:t>Country:</w:t>
        <w:tab/>
        <w:tab/>
        <w:tab/>
        <w:tab/>
        <w:t>Sudan</w:t>
      </w:r>
    </w:p>
    <w:p>
      <w:pPr>
        <w:pStyle w:val="Normal"/>
        <w:tabs>
          <w:tab w:val="clear" w:pos="720"/>
          <w:tab w:val="left" w:pos="1418" w:leader="none"/>
        </w:tabs>
        <w:rPr>
          <w:rFonts w:ascii="Times New Roman" w:hAnsi="Times New Roman"/>
        </w:rPr>
      </w:pPr>
      <w:r>
        <w:rPr/>
        <w:tab/>
      </w:r>
    </w:p>
    <w:p>
      <w:pPr>
        <w:pStyle w:val="Normal"/>
        <w:rPr>
          <w:rFonts w:ascii="Times New Roman" w:hAnsi="Times New Roman"/>
        </w:rPr>
      </w:pPr>
      <w:r>
        <w:rPr>
          <w:b/>
        </w:rPr>
        <w:t>Title:</w:t>
        <w:tab/>
        <w:tab/>
        <w:tab/>
        <w:tab/>
      </w:r>
      <w:r>
        <w:rPr/>
        <w:t xml:space="preserve">Verification report of compliance with HPMP agreement </w:t>
      </w:r>
    </w:p>
    <w:p>
      <w:pPr>
        <w:pStyle w:val="Normal"/>
        <w:widowControl/>
        <w:ind w:left="1418" w:hanging="1418"/>
        <w:jc w:val="both"/>
        <w:rPr>
          <w:rFonts w:ascii="Times New Roman" w:hAnsi="Times New Roman"/>
        </w:rPr>
      </w:pPr>
      <w:r>
        <w:rPr/>
      </w:r>
    </w:p>
    <w:p>
      <w:pPr>
        <w:pStyle w:val="Normal"/>
        <w:jc w:val="both"/>
        <w:rPr>
          <w:rFonts w:ascii="Times New Roman" w:hAnsi="Times New Roman"/>
        </w:rPr>
      </w:pPr>
      <w:r>
        <w:rPr>
          <w:b/>
        </w:rPr>
        <w:t>Project Duration:</w:t>
      </w:r>
      <w:r>
        <w:rPr/>
        <w:tab/>
        <w:tab/>
        <w:t>12 months</w:t>
      </w:r>
    </w:p>
    <w:p>
      <w:pPr>
        <w:pStyle w:val="Normal"/>
        <w:jc w:val="both"/>
        <w:rPr>
          <w:rFonts w:ascii="Times New Roman" w:hAnsi="Times New Roman"/>
        </w:rPr>
      </w:pPr>
      <w:r>
        <w:rPr/>
      </w:r>
    </w:p>
    <w:p>
      <w:pPr>
        <w:pStyle w:val="Normal"/>
        <w:tabs>
          <w:tab w:val="clear" w:pos="720"/>
          <w:tab w:val="left" w:pos="2835" w:leader="none"/>
        </w:tabs>
        <w:ind w:left="3600" w:hanging="3600"/>
        <w:jc w:val="both"/>
        <w:rPr>
          <w:rFonts w:ascii="Times New Roman" w:hAnsi="Times New Roman"/>
          <w:b/>
          <w:b/>
        </w:rPr>
      </w:pPr>
      <w:r>
        <w:rPr>
          <w:b/>
        </w:rPr>
        <w:t>Project Budget:</w:t>
        <w:tab/>
      </w:r>
      <w:r>
        <w:rPr/>
        <w:t>US$ 30,000</w:t>
      </w:r>
      <w:r>
        <w:rPr>
          <w:b/>
        </w:rPr>
        <w:t xml:space="preserve"> </w:t>
      </w:r>
      <w:r>
        <w:rPr/>
        <w:t>(</w:t>
      </w:r>
      <w:r>
        <w:rPr>
          <w:lang w:val="en-GB"/>
        </w:rPr>
        <w:t xml:space="preserve">excl. 9% Agency Support Costs) </w:t>
      </w:r>
    </w:p>
    <w:p>
      <w:pPr>
        <w:pStyle w:val="Normal"/>
        <w:jc w:val="both"/>
        <w:rPr>
          <w:rFonts w:ascii="Times New Roman" w:hAnsi="Times New Roman"/>
        </w:rPr>
      </w:pPr>
      <w:r>
        <w:rPr/>
      </w:r>
    </w:p>
    <w:p>
      <w:pPr>
        <w:pStyle w:val="Normal"/>
        <w:tabs>
          <w:tab w:val="clear" w:pos="720"/>
          <w:tab w:val="left" w:pos="3544" w:leader="none"/>
        </w:tabs>
        <w:jc w:val="both"/>
        <w:rPr>
          <w:rFonts w:ascii="Times New Roman" w:hAnsi="Times New Roman"/>
        </w:rPr>
      </w:pPr>
      <w:r>
        <w:rPr>
          <w:b/>
        </w:rPr>
        <w:t>Implementing Agency:</w:t>
      </w:r>
      <w:r>
        <w:rPr/>
        <w:t xml:space="preserve">           UNIDO</w:t>
      </w:r>
    </w:p>
    <w:p>
      <w:pPr>
        <w:pStyle w:val="Normal"/>
        <w:jc w:val="both"/>
        <w:rPr>
          <w:rFonts w:ascii="Times New Roman" w:hAnsi="Times New Roman"/>
        </w:rPr>
      </w:pPr>
      <w:r>
        <w:rPr/>
      </w:r>
    </w:p>
    <w:p>
      <w:pPr>
        <w:pStyle w:val="Normal"/>
        <w:tabs>
          <w:tab w:val="clear" w:pos="720"/>
          <w:tab w:val="left" w:pos="2835" w:leader="none"/>
        </w:tabs>
        <w:ind w:left="3600" w:hanging="3600"/>
        <w:jc w:val="both"/>
        <w:rPr>
          <w:rFonts w:ascii="Times New Roman" w:hAnsi="Times New Roman"/>
          <w:lang w:val="es-ES"/>
        </w:rPr>
      </w:pPr>
      <w:r>
        <w:rPr>
          <w:b/>
        </w:rPr>
        <w:t>Coordinating</w:t>
      </w:r>
      <w:r>
        <w:rPr>
          <w:b/>
          <w:lang w:val="es-ES"/>
        </w:rPr>
        <w:t xml:space="preserve"> Agency:</w:t>
        <w:tab/>
      </w:r>
      <w:r>
        <w:rPr/>
        <w:t>Higher Council for Environment and Natural Resources (HCENR)</w:t>
      </w:r>
    </w:p>
    <w:p>
      <w:pPr>
        <w:pStyle w:val="Normal"/>
        <w:tabs>
          <w:tab w:val="clear" w:pos="720"/>
          <w:tab w:val="left" w:pos="2835" w:leader="none"/>
        </w:tabs>
        <w:ind w:left="3600" w:hanging="3600"/>
        <w:jc w:val="both"/>
        <w:rPr>
          <w:rFonts w:ascii="Times New Roman" w:hAnsi="Times New Roman"/>
          <w:lang w:val="es-ES"/>
        </w:rPr>
      </w:pPr>
      <w:r>
        <w:rPr>
          <w:lang w:val="es-ES"/>
        </w:rPr>
      </w:r>
    </w:p>
    <w:p>
      <w:pPr>
        <w:pStyle w:val="Normal"/>
        <w:spacing w:lineRule="exact" w:line="19"/>
        <w:rPr>
          <w:rFonts w:ascii="Times New Roman" w:hAnsi="Times New Roman"/>
          <w:lang w:val="es-ES"/>
        </w:rPr>
      </w:pPr>
      <w:r>
        <w:rPr>
          <w:lang w:val="es-ES"/>
        </w:rPr>
        <mc:AlternateContent>
          <mc:Choice Requires="wps">
            <w:drawing>
              <wp:anchor behindDoc="1" distT="0" distB="6350" distL="0" distR="2540" simplePos="0" locked="0" layoutInCell="0" allowOverlap="1" relativeHeight="12" wp14:anchorId="6E248382">
                <wp:simplePos x="0" y="0"/>
                <wp:positionH relativeFrom="page">
                  <wp:posOffset>914400</wp:posOffset>
                </wp:positionH>
                <wp:positionV relativeFrom="paragraph">
                  <wp:posOffset>635</wp:posOffset>
                </wp:positionV>
                <wp:extent cx="5731510" cy="12065"/>
                <wp:effectExtent l="0" t="635" r="0" b="0"/>
                <wp:wrapNone/>
                <wp:docPr id="17" name="Rectangle 9"/>
                <a:graphic xmlns:a="http://schemas.openxmlformats.org/drawingml/2006/main">
                  <a:graphicData uri="http://schemas.microsoft.com/office/word/2010/wordprocessingShape">
                    <wps:wsp>
                      <wps:cNvSpPr/>
                      <wps:spPr>
                        <a:xfrm>
                          <a:off x="0" y="0"/>
                          <a:ext cx="5731560" cy="1224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9" path="m0,0l-2147483645,0l-2147483645,-2147483646l0,-2147483646xe" fillcolor="black" stroked="f" o:allowincell="f" style="position:absolute;margin-left:72pt;margin-top:0pt;width:451.25pt;height:0.9pt;mso-wrap-style:none;v-text-anchor:middle;mso-position-horizontal-relative:page" wp14:anchorId="6E248382">
                <v:fill o:detectmouseclick="t" type="solid" color2="white"/>
                <v:stroke color="#3465a4" joinstyle="round" endcap="flat"/>
                <w10:wrap type="none"/>
              </v:rect>
            </w:pict>
          </mc:Fallback>
        </mc:AlternateContent>
      </w:r>
    </w:p>
    <w:p>
      <w:pPr>
        <w:pStyle w:val="Normal"/>
        <w:ind w:left="720" w:hanging="0"/>
        <w:rPr>
          <w:rFonts w:ascii="Times New Roman" w:hAnsi="Times New Roman"/>
          <w:lang w:val="es-ES"/>
        </w:rPr>
      </w:pPr>
      <w:r>
        <w:rPr>
          <w:lang w:val="es-ES"/>
        </w:rPr>
      </w:r>
    </w:p>
    <w:p>
      <w:pPr>
        <w:pStyle w:val="Normal"/>
        <w:tabs>
          <w:tab w:val="clear" w:pos="720"/>
          <w:tab w:val="center" w:pos="4513" w:leader="none"/>
        </w:tabs>
        <w:rPr>
          <w:rFonts w:ascii="Times New Roman" w:hAnsi="Times New Roman"/>
          <w:b/>
          <w:b/>
          <w:bCs/>
          <w:lang w:val="en-GB"/>
        </w:rPr>
      </w:pPr>
      <w:r>
        <w:rPr>
          <w:lang w:val="es-ES"/>
        </w:rPr>
        <w:tab/>
      </w:r>
      <w:r>
        <w:rPr>
          <w:b/>
          <w:bCs/>
          <w:lang w:val="en-GB"/>
        </w:rPr>
        <w:t>Project Summary</w:t>
      </w:r>
    </w:p>
    <w:p>
      <w:pPr>
        <w:pStyle w:val="Normal"/>
        <w:tabs>
          <w:tab w:val="clear" w:pos="720"/>
          <w:tab w:val="center" w:pos="4513" w:leader="none"/>
        </w:tabs>
        <w:rPr>
          <w:rFonts w:ascii="Times New Roman" w:hAnsi="Times New Roman"/>
          <w:b/>
          <w:b/>
          <w:bCs/>
          <w:lang w:val="en-GB"/>
        </w:rPr>
      </w:pPr>
      <w:r>
        <w:rPr>
          <w:b/>
          <w:bCs/>
          <w:lang w:val="en-GB"/>
        </w:rPr>
      </w:r>
    </w:p>
    <w:p>
      <w:pPr>
        <w:pStyle w:val="Normal"/>
        <w:numPr>
          <w:ilvl w:val="0"/>
          <w:numId w:val="13"/>
        </w:numPr>
        <w:spacing w:before="0" w:after="0"/>
        <w:contextualSpacing/>
        <w:rPr>
          <w:rFonts w:ascii="Times New Roman" w:hAnsi="Times New Roman"/>
        </w:rPr>
      </w:pPr>
      <w:r>
        <w:rPr/>
        <w:t>Background</w:t>
      </w:r>
    </w:p>
    <w:p>
      <w:pPr>
        <w:pStyle w:val="Normal"/>
        <w:jc w:val="both"/>
        <w:rPr>
          <w:rFonts w:ascii="Times New Roman" w:hAnsi="Times New Roman"/>
        </w:rPr>
      </w:pPr>
      <w:r>
        <w:rPr/>
      </w:r>
    </w:p>
    <w:p>
      <w:pPr>
        <w:pStyle w:val="Normal"/>
        <w:jc w:val="both"/>
        <w:rPr>
          <w:rFonts w:ascii="Times New Roman" w:hAnsi="Times New Roman"/>
        </w:rPr>
      </w:pPr>
      <w:r>
        <w:rPr/>
        <w:t>Funding requirement for the preparation of verification report of compliance with HPMP agreement is being requested in accordance with UNEP/OzL.Pro/ExCom/79/51.</w:t>
      </w:r>
    </w:p>
    <w:p>
      <w:pPr>
        <w:pStyle w:val="Normal"/>
        <w:jc w:val="both"/>
        <w:rPr>
          <w:rFonts w:ascii="Times New Roman" w:hAnsi="Times New Roman"/>
        </w:rPr>
      </w:pPr>
      <w:r>
        <w:rPr/>
      </w:r>
    </w:p>
    <w:p>
      <w:pPr>
        <w:pStyle w:val="Normal"/>
        <w:jc w:val="both"/>
        <w:rPr>
          <w:rFonts w:ascii="Times New Roman" w:hAnsi="Times New Roman"/>
        </w:rPr>
      </w:pPr>
      <w:r>
        <w:rPr>
          <w:rFonts w:eastAsia="SimSun"/>
          <w:color w:val="000000"/>
          <w:lang w:eastAsia="zh-CN"/>
        </w:rPr>
        <w:t xml:space="preserve">HCFC phase-out management plan stage I, first tranche (refrigeration service sector) was approved </w:t>
      </w:r>
      <w:r>
        <w:rPr>
          <w:color w:val="000000"/>
        </w:rPr>
        <w:t>in accordance with the agreement between the Government and the Executive Committee for the period 2010 to 2017 to reduce HCFC consumption by 30 per cent of the baseline. Noted that the project to phase out HCFC-141b used for polyurethane rigid foam production in the manufacture of domestic refrigerators, commercial refrigerators and polyurethane</w:t>
      </w:r>
      <w:r>
        <w:rPr/>
        <w:t xml:space="preserve"> </w:t>
      </w:r>
      <w:r>
        <w:rPr>
          <w:color w:val="000000"/>
        </w:rPr>
        <w:t>insulated composite panels by four enterprises had already been approved at the 62nd meeting in 2010 and had been included in stage I of the HPMP. Noted that the Government had agreed to establish as its starting point for sustained aggregate reduction in HCFC consumption the consumption of 50.6 ODP tonnes reported for 2009 under Article 7 of the Montreal Protocol, which were the latest data available when the HCFC phase-out umbrella project had been approved at the 62nd meeting. Noted the deduction of 11.87 ODP tonnes of HCFCs from the starting point for sustained aggregate reduction in HCFC consumption for the project approved at the 62nd meeting, and UNIDO and the Government were requested to further deduct 4.28 ODP tonnes of HCFCs for implementation of stage I of the HPMP. Noted that approval of stage I of the HPMP did not preclude Sudan from submitting, prior to 2015, a proposal to achieve a reduction in HCFCs consumption beyond that addressed in stage I of the HPMP.</w:t>
      </w:r>
    </w:p>
    <w:p>
      <w:pPr>
        <w:pStyle w:val="Normal"/>
        <w:jc w:val="both"/>
        <w:rPr>
          <w:rFonts w:ascii="Times New Roman" w:hAnsi="Times New Roman"/>
        </w:rPr>
      </w:pPr>
      <w:r>
        <w:rPr/>
      </w:r>
    </w:p>
    <w:p>
      <w:pPr>
        <w:pStyle w:val="ListParagraph"/>
        <w:widowControl/>
        <w:rPr>
          <w:rFonts w:ascii="Times New Roman" w:hAnsi="Times New Roman"/>
        </w:rPr>
      </w:pPr>
      <w:r>
        <w:rPr/>
      </w:r>
    </w:p>
    <w:p>
      <w:pPr>
        <w:pStyle w:val="ListParagraph"/>
        <w:widowControl/>
        <w:numPr>
          <w:ilvl w:val="0"/>
          <w:numId w:val="13"/>
        </w:numPr>
        <w:rPr>
          <w:rFonts w:ascii="Times New Roman" w:hAnsi="Times New Roman"/>
        </w:rPr>
      </w:pPr>
      <w:r>
        <w:rPr/>
        <w:t>Decision 79/26: Verification reports of low-volume consuming (LVC) countries’ compliance with their HPMP agreement</w:t>
      </w:r>
    </w:p>
    <w:p>
      <w:pPr>
        <w:pStyle w:val="Normal"/>
        <w:jc w:val="both"/>
        <w:rPr>
          <w:rFonts w:ascii="Times New Roman" w:hAnsi="Times New Roman"/>
        </w:rPr>
      </w:pPr>
      <w:r>
        <w:rPr/>
      </w:r>
    </w:p>
    <w:p>
      <w:pPr>
        <w:pStyle w:val="Normal"/>
        <w:jc w:val="both"/>
        <w:rPr>
          <w:rFonts w:ascii="Times New Roman" w:hAnsi="Times New Roman"/>
        </w:rPr>
      </w:pPr>
      <w:r>
        <w:rPr/>
        <w:t xml:space="preserve">The Executive Committee decided to request relevant bilateral and implementing agencies to include, in their respective amendments to the work programmes for submission to the 80th meeting, funding for verification reports for stage I of the HCFC phase-out management plans (HPMPs) in the amount of US $30,000, plus agency support costs, for each of the following 15 Article 5 countries: Belize; Botswana; Comoros (the); Djibouti; Eritrea; Gabon; Guinea-Bissau; Oman; Palau; Samoa; Solomon Islands; </w:t>
      </w:r>
      <w:r>
        <w:rPr>
          <w:b/>
        </w:rPr>
        <w:t>Sudan</w:t>
      </w:r>
      <w:r>
        <w:rPr/>
        <w:t xml:space="preserve"> (the); United Republic of Tanzania (the); Togo; and Tonga.</w:t>
      </w:r>
    </w:p>
    <w:p>
      <w:pPr>
        <w:pStyle w:val="Normal"/>
        <w:widowControl/>
        <w:spacing w:lineRule="auto" w:line="276" w:before="0" w:after="200"/>
        <w:rPr>
          <w:rFonts w:ascii="Times New Roman" w:hAnsi="Times New Roman"/>
        </w:rPr>
      </w:pPr>
      <w:r>
        <w:rPr/>
      </w:r>
    </w:p>
    <w:p>
      <w:pPr>
        <w:pStyle w:val="Normal"/>
        <w:widowControl/>
        <w:spacing w:lineRule="auto" w:line="276" w:before="0" w:after="200"/>
        <w:rPr>
          <w:rFonts w:ascii="Times New Roman" w:hAnsi="Times New Roman"/>
          <w:b/>
          <w:b/>
          <w:highlight w:val="yellow"/>
        </w:rPr>
      </w:pPr>
      <w:r>
        <w:rPr>
          <w:b/>
          <w:highlight w:val="yellow"/>
        </w:rPr>
      </w:r>
      <w:r>
        <w:br w:type="page"/>
      </w:r>
    </w:p>
    <w:p>
      <w:pPr>
        <w:pStyle w:val="Normal"/>
        <w:jc w:val="center"/>
        <w:rPr>
          <w:rFonts w:ascii="Times New Roman" w:hAnsi="Times New Roman"/>
          <w:b/>
          <w:b/>
        </w:rPr>
      </w:pPr>
      <w:r>
        <w:rPr>
          <w:b/>
        </w:rPr>
        <w:t>Project Concept</w:t>
      </w:r>
    </w:p>
    <w:p>
      <w:pPr>
        <w:pStyle w:val="Normal"/>
        <w:jc w:val="center"/>
        <w:rPr>
          <w:rFonts w:ascii="Times New Roman" w:hAnsi="Times New Roman"/>
          <w:b/>
          <w:b/>
        </w:rPr>
      </w:pPr>
      <w:r>
        <w:rPr>
          <w:b/>
        </w:rPr>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Albania</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Albania</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US$95,000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 xml:space="preserve">The Government of Albania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Albania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Albania confirms that all activities under Enabling Activities will be implemented following model that UNIDO will administer the funds (UNIDO's execution) instead of national execution.</w:t>
      </w:r>
    </w:p>
    <w:p>
      <w:pPr>
        <w:pStyle w:val="Default"/>
        <w:jc w:val="both"/>
        <w:rPr>
          <w:bCs/>
        </w:rPr>
      </w:pPr>
      <w:r>
        <w:rPr>
          <w:bCs/>
        </w:rPr>
      </w:r>
    </w:p>
    <w:p>
      <w:pPr>
        <w:pStyle w:val="Default"/>
        <w:jc w:val="both"/>
        <w:rPr>
          <w:bCs/>
        </w:rPr>
      </w:pPr>
      <w:r>
        <w:rPr>
          <w:bCs/>
        </w:rPr>
      </w:r>
    </w:p>
    <w:p>
      <w:pPr>
        <w:pStyle w:val="Default"/>
        <w:numPr>
          <w:ilvl w:val="0"/>
          <w:numId w:val="18"/>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of Albania amounts to 6 ODP tonnes</w:t>
      </w:r>
    </w:p>
    <w:p>
      <w:pPr>
        <w:pStyle w:val="Default"/>
        <w:jc w:val="both"/>
        <w:rPr>
          <w:bCs/>
          <w:highlight w:val="yellow"/>
        </w:rPr>
      </w:pPr>
      <w:r>
        <w:rPr>
          <w:bCs/>
          <w:highlight w:val="yellow"/>
        </w:rPr>
      </w:r>
    </w:p>
    <w:p>
      <w:pPr>
        <w:pStyle w:val="Default"/>
        <w:jc w:val="both"/>
        <w:rPr>
          <w:bCs/>
        </w:rPr>
      </w:pPr>
      <w:r>
        <w:rPr>
          <w:bCs/>
        </w:rPr>
        <w:t>The table below represents the country consumption of HFCs during the period 2012-2015.</w:t>
      </w:r>
    </w:p>
    <w:p>
      <w:pPr>
        <w:pStyle w:val="Default"/>
        <w:jc w:val="both"/>
        <w:rPr>
          <w:bCs/>
        </w:rPr>
      </w:pPr>
      <w:r>
        <w:rPr>
          <w:bCs/>
        </w:rPr>
      </w:r>
    </w:p>
    <w:tbl>
      <w:tblPr>
        <w:tblpPr w:bottomFromText="155" w:horzAnchor="text" w:leftFromText="180" w:rightFromText="180" w:tblpX="0" w:tblpY="0" w:topFromText="0" w:vertAnchor="text"/>
        <w:tblW w:w="5000" w:type="pct"/>
        <w:jc w:val="left"/>
        <w:tblInd w:w="-5" w:type="dxa"/>
        <w:tblLayout w:type="fixed"/>
        <w:tblCellMar>
          <w:top w:w="0" w:type="dxa"/>
          <w:left w:w="115" w:type="dxa"/>
          <w:bottom w:w="0" w:type="dxa"/>
          <w:right w:w="115" w:type="dxa"/>
        </w:tblCellMar>
        <w:tblLook w:val="04a0" w:noHBand="0" w:noVBand="1" w:firstColumn="1" w:lastRow="0" w:lastColumn="0" w:firstRow="1"/>
      </w:tblPr>
      <w:tblGrid>
        <w:gridCol w:w="2529"/>
        <w:gridCol w:w="1708"/>
        <w:gridCol w:w="1706"/>
        <w:gridCol w:w="1707"/>
        <w:gridCol w:w="1710"/>
      </w:tblGrid>
      <w:tr>
        <w:trPr>
          <w:trHeight w:val="288" w:hRule="exact"/>
        </w:trPr>
        <w:tc>
          <w:tcPr>
            <w:tcW w:w="2529" w:type="dxa"/>
            <w:vMerge w:val="restart"/>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imes New Roman" w:hAnsi="Times New Roman"/>
                <w:bCs/>
              </w:rPr>
            </w:pPr>
            <w:r>
              <w:rPr>
                <w:bCs/>
              </w:rPr>
              <w:t>Alternative</w:t>
            </w:r>
          </w:p>
        </w:tc>
        <w:tc>
          <w:tcPr>
            <w:tcW w:w="6831" w:type="dxa"/>
            <w:gridSpan w:val="4"/>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imes New Roman" w:hAnsi="Times New Roman"/>
                <w:bCs/>
              </w:rPr>
            </w:pPr>
            <w:r>
              <w:rPr>
                <w:bCs/>
              </w:rPr>
              <w:t>Estimated use (mt)</w:t>
            </w:r>
          </w:p>
        </w:tc>
      </w:tr>
      <w:tr>
        <w:trPr>
          <w:trHeight w:val="288" w:hRule="exact"/>
        </w:trPr>
        <w:tc>
          <w:tcPr>
            <w:tcW w:w="2529" w:type="dxa"/>
            <w:vMerge w:val="continue"/>
            <w:tcBorders>
              <w:top w:val="single" w:sz="4" w:space="0" w:color="000000"/>
              <w:left w:val="single" w:sz="4" w:space="0" w:color="000000"/>
              <w:bottom w:val="single" w:sz="4" w:space="0" w:color="000000"/>
              <w:right w:val="single" w:sz="4" w:space="0" w:color="000000"/>
            </w:tcBorders>
            <w:tcMar>
              <w:left w:w="5" w:type="dxa"/>
              <w:right w:w="5" w:type="dxa"/>
            </w:tcMar>
            <w:vAlign w:val="center"/>
          </w:tcPr>
          <w:p>
            <w:pPr>
              <w:pStyle w:val="Normal"/>
              <w:widowControl w:val="false"/>
              <w:jc w:val="center"/>
              <w:rPr>
                <w:rFonts w:ascii="Times New Roman" w:hAnsi="Times New Roman"/>
                <w:bCs/>
              </w:rPr>
            </w:pPr>
            <w:r>
              <w:rPr>
                <w:bCs/>
              </w:rPr>
            </w:r>
          </w:p>
        </w:tc>
        <w:tc>
          <w:tcPr>
            <w:tcW w:w="170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imes New Roman" w:hAnsi="Times New Roman"/>
                <w:bCs/>
              </w:rPr>
            </w:pPr>
            <w:r>
              <w:rPr>
                <w:bCs/>
              </w:rPr>
              <w:t>2012</w:t>
            </w:r>
          </w:p>
        </w:tc>
        <w:tc>
          <w:tcPr>
            <w:tcW w:w="170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imes New Roman" w:hAnsi="Times New Roman"/>
                <w:bCs/>
              </w:rPr>
            </w:pPr>
            <w:r>
              <w:rPr>
                <w:bCs/>
              </w:rPr>
              <w:t>2013</w:t>
            </w:r>
          </w:p>
        </w:tc>
        <w:tc>
          <w:tcPr>
            <w:tcW w:w="1707"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imes New Roman" w:hAnsi="Times New Roman"/>
                <w:bCs/>
              </w:rPr>
            </w:pPr>
            <w:r>
              <w:rPr>
                <w:bCs/>
              </w:rPr>
              <w:t>2014</w:t>
            </w:r>
          </w:p>
        </w:tc>
        <w:tc>
          <w:tcPr>
            <w:tcW w:w="171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imes New Roman" w:hAnsi="Times New Roman"/>
                <w:bCs/>
              </w:rPr>
            </w:pPr>
            <w:r>
              <w:rPr>
                <w:bCs/>
              </w:rPr>
              <w:t>2015</w:t>
            </w:r>
          </w:p>
        </w:tc>
      </w:tr>
      <w:tr>
        <w:trPr>
          <w:trHeight w:val="288" w:hRule="exact"/>
        </w:trPr>
        <w:tc>
          <w:tcPr>
            <w:tcW w:w="2529"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rFonts w:ascii="Times New Roman" w:hAnsi="Times New Roman"/>
              </w:rPr>
            </w:pPr>
            <w:r>
              <w:rPr/>
              <w:t>HFC-134a</w:t>
            </w:r>
          </w:p>
        </w:tc>
        <w:tc>
          <w:tcPr>
            <w:tcW w:w="1708"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15.15</w:t>
            </w:r>
          </w:p>
        </w:tc>
        <w:tc>
          <w:tcPr>
            <w:tcW w:w="1706"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17.45</w:t>
            </w:r>
          </w:p>
        </w:tc>
        <w:tc>
          <w:tcPr>
            <w:tcW w:w="1707"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22.97</w:t>
            </w:r>
          </w:p>
        </w:tc>
        <w:tc>
          <w:tcPr>
            <w:tcW w:w="1710"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27.21</w:t>
            </w:r>
          </w:p>
        </w:tc>
      </w:tr>
      <w:tr>
        <w:trPr>
          <w:trHeight w:val="288" w:hRule="exact"/>
        </w:trPr>
        <w:tc>
          <w:tcPr>
            <w:tcW w:w="2529"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rFonts w:ascii="Times New Roman" w:hAnsi="Times New Roman"/>
              </w:rPr>
            </w:pPr>
            <w:r>
              <w:rPr/>
              <w:t>HFC-227ea</w:t>
            </w:r>
          </w:p>
        </w:tc>
        <w:tc>
          <w:tcPr>
            <w:tcW w:w="1708"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3.61</w:t>
            </w:r>
          </w:p>
        </w:tc>
        <w:tc>
          <w:tcPr>
            <w:tcW w:w="1706"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4.48</w:t>
            </w:r>
          </w:p>
        </w:tc>
        <w:tc>
          <w:tcPr>
            <w:tcW w:w="1707"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5.38</w:t>
            </w:r>
          </w:p>
        </w:tc>
        <w:tc>
          <w:tcPr>
            <w:tcW w:w="1710"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6.89</w:t>
            </w:r>
          </w:p>
        </w:tc>
      </w:tr>
      <w:tr>
        <w:trPr>
          <w:trHeight w:val="288" w:hRule="exact"/>
        </w:trPr>
        <w:tc>
          <w:tcPr>
            <w:tcW w:w="2529"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rFonts w:ascii="Times New Roman" w:hAnsi="Times New Roman"/>
              </w:rPr>
            </w:pPr>
            <w:r>
              <w:rPr/>
              <w:t>R-404A</w:t>
            </w:r>
          </w:p>
        </w:tc>
        <w:tc>
          <w:tcPr>
            <w:tcW w:w="1708"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8.51</w:t>
            </w:r>
          </w:p>
        </w:tc>
        <w:tc>
          <w:tcPr>
            <w:tcW w:w="1706"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10.06</w:t>
            </w:r>
          </w:p>
        </w:tc>
        <w:tc>
          <w:tcPr>
            <w:tcW w:w="1707"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11.41</w:t>
            </w:r>
          </w:p>
        </w:tc>
        <w:tc>
          <w:tcPr>
            <w:tcW w:w="1710"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13.58</w:t>
            </w:r>
          </w:p>
        </w:tc>
      </w:tr>
      <w:tr>
        <w:trPr>
          <w:trHeight w:val="288" w:hRule="exact"/>
        </w:trPr>
        <w:tc>
          <w:tcPr>
            <w:tcW w:w="2529"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rFonts w:ascii="Times New Roman" w:hAnsi="Times New Roman"/>
              </w:rPr>
            </w:pPr>
            <w:r>
              <w:rPr/>
              <w:t>R-410A</w:t>
            </w:r>
          </w:p>
        </w:tc>
        <w:tc>
          <w:tcPr>
            <w:tcW w:w="1708"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6.11</w:t>
            </w:r>
          </w:p>
        </w:tc>
        <w:tc>
          <w:tcPr>
            <w:tcW w:w="1706"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7.86</w:t>
            </w:r>
          </w:p>
        </w:tc>
        <w:tc>
          <w:tcPr>
            <w:tcW w:w="1707"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9.84</w:t>
            </w:r>
          </w:p>
        </w:tc>
        <w:tc>
          <w:tcPr>
            <w:tcW w:w="1710"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11.82</w:t>
            </w:r>
          </w:p>
        </w:tc>
      </w:tr>
      <w:tr>
        <w:trPr>
          <w:trHeight w:val="288" w:hRule="exact"/>
        </w:trPr>
        <w:tc>
          <w:tcPr>
            <w:tcW w:w="2529"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rFonts w:ascii="Times New Roman" w:hAnsi="Times New Roman"/>
              </w:rPr>
            </w:pPr>
            <w:r>
              <w:rPr/>
              <w:t>R-507A</w:t>
            </w:r>
          </w:p>
        </w:tc>
        <w:tc>
          <w:tcPr>
            <w:tcW w:w="1708"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0.66</w:t>
            </w:r>
          </w:p>
        </w:tc>
        <w:tc>
          <w:tcPr>
            <w:tcW w:w="1706"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2.20</w:t>
            </w:r>
          </w:p>
        </w:tc>
        <w:tc>
          <w:tcPr>
            <w:tcW w:w="1707"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0.35</w:t>
            </w:r>
          </w:p>
        </w:tc>
        <w:tc>
          <w:tcPr>
            <w:tcW w:w="1710"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0.3</w:t>
            </w:r>
          </w:p>
        </w:tc>
      </w:tr>
      <w:tr>
        <w:trPr>
          <w:trHeight w:val="288" w:hRule="exact"/>
        </w:trPr>
        <w:tc>
          <w:tcPr>
            <w:tcW w:w="2529"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rFonts w:ascii="Times New Roman" w:hAnsi="Times New Roman"/>
                <w:bCs/>
              </w:rPr>
            </w:pPr>
            <w:r>
              <w:rPr>
                <w:bCs/>
              </w:rPr>
              <w:t>TOTAL</w:t>
            </w:r>
          </w:p>
        </w:tc>
        <w:tc>
          <w:tcPr>
            <w:tcW w:w="1708"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34.05</w:t>
            </w:r>
          </w:p>
        </w:tc>
        <w:tc>
          <w:tcPr>
            <w:tcW w:w="1706"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42.07</w:t>
            </w:r>
          </w:p>
        </w:tc>
        <w:tc>
          <w:tcPr>
            <w:tcW w:w="1707"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49.97</w:t>
            </w:r>
          </w:p>
        </w:tc>
        <w:tc>
          <w:tcPr>
            <w:tcW w:w="1710"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widowControl w:val="false"/>
              <w:jc w:val="right"/>
              <w:rPr>
                <w:rFonts w:ascii="Times New Roman" w:hAnsi="Times New Roman"/>
                <w:bCs/>
              </w:rPr>
            </w:pPr>
            <w:r>
              <w:rPr>
                <w:bCs/>
              </w:rPr>
              <w:t>59.82</w:t>
            </w:r>
          </w:p>
        </w:tc>
      </w:tr>
    </w:tbl>
    <w:p>
      <w:pPr>
        <w:pStyle w:val="Default"/>
        <w:jc w:val="both"/>
        <w:rPr>
          <w:bCs/>
        </w:rPr>
      </w:pPr>
      <w:r>
        <w:rPr>
          <w:bCs/>
        </w:rPr>
      </w:r>
    </w:p>
    <w:p>
      <w:pPr>
        <w:pStyle w:val="Default"/>
        <w:jc w:val="both"/>
        <w:rPr>
          <w:bCs/>
        </w:rPr>
      </w:pPr>
      <w:r>
        <w:rPr>
          <w:bCs/>
        </w:rPr>
        <w:t>As it can be seen, the most commonly used alternative throughout the years has been HFC-134a.  The second most commonly used alternative is R-404A (heavily used comparing to HFC-134a) with an overall increase from 2012 to 2015 of 59% compared to HFC-134a which has increased by 79% throughout the years.  HFC-227ea has had a regular pattern of increase from around 24% and then 20% reaching its maximum increase of 28% in 2015.  R-507A has increased by 233% from 2012 to 2013 and it has decreased again from 2013 to 2014 by 83%, by keeping the same pattern when it comes to 2015 as well. HFO-1234yf has been introduced in the country during the year 2015.</w:t>
      </w:r>
    </w:p>
    <w:p>
      <w:pPr>
        <w:pStyle w:val="Default"/>
        <w:ind w:left="720" w:hanging="0"/>
        <w:jc w:val="both"/>
        <w:rPr>
          <w:bCs/>
        </w:rPr>
      </w:pPr>
      <w:r>
        <w:rPr>
          <w:bCs/>
        </w:rPr>
      </w:r>
    </w:p>
    <w:p>
      <w:pPr>
        <w:pStyle w:val="Default"/>
        <w:numPr>
          <w:ilvl w:val="0"/>
          <w:numId w:val="18"/>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Tunisia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18"/>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16"/>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16"/>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17"/>
        </w:numPr>
        <w:ind w:left="1440" w:hanging="720"/>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17"/>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17"/>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spacing w:before="0" w:after="0"/>
        <w:contextualSpacing w:val="false"/>
        <w:rPr>
          <w:rFonts w:ascii="Times New Roman" w:hAnsi="Times New Roman"/>
        </w:rPr>
      </w:pPr>
      <w:r>
        <w:rPr/>
      </w:r>
    </w:p>
    <w:p>
      <w:pPr>
        <w:pStyle w:val="ListParagraph"/>
        <w:spacing w:before="0" w:after="0"/>
        <w:contextualSpacing w:val="false"/>
        <w:rPr>
          <w:rFonts w:ascii="Times New Roman" w:hAnsi="Times New Roman"/>
        </w:rPr>
      </w:pPr>
      <w:r>
        <w:rPr/>
      </w:r>
    </w:p>
    <w:p>
      <w:pPr>
        <w:pStyle w:val="ListParagraph"/>
        <w:widowControl/>
        <w:numPr>
          <w:ilvl w:val="0"/>
          <w:numId w:val="16"/>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(refrigeration and air-conditioning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28"/>
          <w:headerReference w:type="default" r:id="rId29"/>
          <w:headerReference w:type="first" r:id="rId30"/>
          <w:footerReference w:type="even" r:id="rId31"/>
          <w:footerReference w:type="default" r:id="rId32"/>
          <w:footerReference w:type="first" r:id="rId33"/>
          <w:footnotePr>
            <w:numFmt w:val="decimal"/>
          </w:footnotePr>
          <w:type w:val="nextPage"/>
          <w:pgSz w:w="12240" w:h="15840"/>
          <w:pgMar w:left="1440" w:right="1440" w:gutter="0" w:header="720" w:top="777" w:footer="475" w:bottom="864"/>
          <w:pgNumType w:fmt="decimal"/>
          <w:formProt w:val="false"/>
          <w:titlePg/>
          <w:textDirection w:val="lrTb"/>
          <w:docGrid w:type="default" w:linePitch="100" w:charSpace="0"/>
        </w:sectPr>
        <w:pStyle w:val="Normal"/>
        <w:rPr>
          <w:rFonts w:ascii="Times New Roman" w:hAnsi="Times New Roman"/>
          <w:b/>
          <w:b/>
          <w:color w:val="000000"/>
        </w:rPr>
      </w:pPr>
      <w:r>
        <w:rPr>
          <w:b/>
          <w:color w:val="000000"/>
        </w:rPr>
      </w:r>
      <w:r>
        <w:br w:type="page"/>
      </w:r>
    </w:p>
    <w:p>
      <w:pPr>
        <w:pStyle w:val="Default"/>
        <w:numPr>
          <w:ilvl w:val="0"/>
          <w:numId w:val="18"/>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t>c. Preparation for national strategies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c.1.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95,000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34"/>
          <w:headerReference w:type="default" r:id="rId35"/>
          <w:headerReference w:type="first" r:id="rId36"/>
          <w:footerReference w:type="even" r:id="rId37"/>
          <w:footerReference w:type="default" r:id="rId38"/>
          <w:footerReference w:type="first" r:id="rId39"/>
          <w:footnotePr>
            <w:numFmt w:val="decimal"/>
          </w:footnotePr>
          <w:type w:val="nextPage"/>
          <w:pgSz w:w="12240" w:h="15840"/>
          <w:pgMar w:left="1440" w:right="1440" w:gutter="0" w:header="720" w:top="777" w:footer="475" w:bottom="864"/>
          <w:pgNumType w:fmt="decimal"/>
          <w:formProt w:val="false"/>
          <w:titlePg/>
          <w:textDirection w:val="lrTb"/>
          <w:docGrid w:type="default" w:linePitch="100" w:charSpace="0"/>
        </w:sectPr>
        <w:pStyle w:val="Normal"/>
        <w:rPr>
          <w:rFonts w:ascii="Times New Roman" w:hAnsi="Times New Roman"/>
          <w:color w:val="000000"/>
        </w:rPr>
      </w:pPr>
      <w:r>
        <w:rPr>
          <w:color w:val="000000"/>
        </w:rPr>
      </w:r>
      <w:r>
        <w:br w:type="page"/>
      </w:r>
    </w:p>
    <w:p>
      <w:pPr>
        <w:pStyle w:val="Default"/>
        <w:numPr>
          <w:ilvl w:val="0"/>
          <w:numId w:val="18"/>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Ministry of Environment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Normal"/>
        <w:rPr>
          <w:rFonts w:ascii="Times New Roman" w:hAnsi="Times New Roman"/>
          <w:color w:val="000000"/>
        </w:rPr>
      </w:pPr>
      <w:r>
        <w:rPr>
          <w:color w:val="000000"/>
        </w:rPr>
      </w:r>
    </w:p>
    <w:p>
      <w:pPr>
        <w:pStyle w:val="Normal"/>
        <w:jc w:val="center"/>
        <w:rPr>
          <w:rFonts w:ascii="Times New Roman" w:hAnsi="Times New Roman"/>
          <w:b/>
          <w:b/>
        </w:rPr>
      </w:pPr>
      <w:r>
        <w:br w:type="page"/>
      </w: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Armenia</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Armenia</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US$150,000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The Government of Armenia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Armenia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Armenia confirms that all activities under Enabling Activities will be implemented following model that UNIDO will administer the funds (UNIDO's execution) instead of national execution.</w:t>
      </w:r>
    </w:p>
    <w:p>
      <w:pPr>
        <w:pStyle w:val="Default"/>
        <w:jc w:val="both"/>
        <w:rPr>
          <w:bCs/>
        </w:rPr>
      </w:pPr>
      <w:r>
        <w:rPr>
          <w:bCs/>
        </w:rPr>
      </w:r>
    </w:p>
    <w:p>
      <w:pPr>
        <w:pStyle w:val="Default"/>
        <w:jc w:val="both"/>
        <w:rPr>
          <w:bCs/>
        </w:rPr>
      </w:pPr>
      <w:r>
        <w:rPr>
          <w:bCs/>
        </w:rPr>
      </w:r>
    </w:p>
    <w:p>
      <w:pPr>
        <w:pStyle w:val="Default"/>
        <w:numPr>
          <w:ilvl w:val="0"/>
          <w:numId w:val="24"/>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 xml:space="preserve">The HCFC baseline in Armenia amounts to 7 ODP tonnes. </w:t>
      </w:r>
    </w:p>
    <w:p>
      <w:pPr>
        <w:pStyle w:val="Default"/>
        <w:jc w:val="both"/>
        <w:rPr>
          <w:bCs/>
          <w:highlight w:val="yellow"/>
        </w:rPr>
      </w:pPr>
      <w:r>
        <w:rPr>
          <w:bCs/>
          <w:highlight w:val="yellow"/>
        </w:rPr>
      </w:r>
    </w:p>
    <w:p>
      <w:pPr>
        <w:pStyle w:val="Default"/>
        <w:jc w:val="both"/>
        <w:rPr>
          <w:bCs/>
        </w:rPr>
      </w:pPr>
      <w:r>
        <w:rPr>
          <w:bCs/>
        </w:rPr>
        <w:t xml:space="preserve">The annual demand of ODS was in the range of 1.044 thousand tonnes in 2012 to 1.307 thousand tonnes in 2015, fluctuating in between to 1.182 thousand tonnes in 2014. </w:t>
      </w:r>
    </w:p>
    <w:p>
      <w:pPr>
        <w:pStyle w:val="Default"/>
        <w:jc w:val="both"/>
        <w:rPr>
          <w:bCs/>
        </w:rPr>
      </w:pPr>
      <w:r>
        <w:rPr>
          <w:bCs/>
        </w:rPr>
      </w:r>
    </w:p>
    <w:p>
      <w:pPr>
        <w:pStyle w:val="Default"/>
        <w:jc w:val="both"/>
        <w:rPr>
          <w:bCs/>
        </w:rPr>
      </w:pPr>
      <w:r>
        <w:rPr>
          <w:bCs/>
        </w:rPr>
        <w:t>The stationary air-conditioning sector accounts for largest share of consumption (21%) in year 2015. The second highest demand is observed in the foam sector (17%), MAC sector accounts for 16 %, fire suppression sector for 15%, domestic refrigeration for 10.7%, industrial refrigeration sector for 9%, commercial refrigeration sector for 11%, and aerosols for 0.3% of the total ODS consumption.</w:t>
      </w:r>
    </w:p>
    <w:p>
      <w:pPr>
        <w:pStyle w:val="Default"/>
        <w:ind w:left="720" w:hanging="0"/>
        <w:jc w:val="both"/>
        <w:rPr>
          <w:bCs/>
        </w:rPr>
      </w:pPr>
      <w:r>
        <w:rPr>
          <w:bCs/>
        </w:rPr>
      </w:r>
    </w:p>
    <w:p>
      <w:pPr>
        <w:pStyle w:val="Default"/>
        <w:numPr>
          <w:ilvl w:val="0"/>
          <w:numId w:val="24"/>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Armenia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24"/>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26"/>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26"/>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27"/>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27"/>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27"/>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26"/>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1232"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of the refrigeration and air-conditioning (RAC) servicing sector (formal and informal sector)</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Accurate analysis of the characteristics of the servicing sector made</w:t>
            </w:r>
          </w:p>
        </w:tc>
      </w:tr>
      <w:tr>
        <w:trPr>
          <w:trHeight w:val="1835"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Inventory of the refrigeration and air-conditioning units currently used in the country and projections for next years (including a chapter on energy efficiency options for these devices) </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the current and future national market of RAC devices increased among decision makers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pStyle w:val="Normal"/>
        <w:rPr>
          <w:rFonts w:ascii="Times New Roman" w:hAnsi="Times New Roman"/>
          <w:b/>
          <w:b/>
          <w:color w:val="000000"/>
        </w:rPr>
      </w:pPr>
      <w:r>
        <w:rPr>
          <w:b/>
          <w:color w:val="000000"/>
        </w:rPr>
      </w:r>
      <w:r>
        <w:br w:type="page"/>
      </w:r>
    </w:p>
    <w:p>
      <w:pPr>
        <w:pStyle w:val="Default"/>
        <w:numPr>
          <w:ilvl w:val="0"/>
          <w:numId w:val="24"/>
        </w:numPr>
        <w:ind w:left="360" w:hanging="360"/>
        <w:jc w:val="both"/>
        <w:rPr>
          <w:b/>
          <w:b/>
        </w:rPr>
      </w:pPr>
      <w:r>
        <w:rPr>
          <w:b/>
        </w:rPr>
      </w:r>
    </w:p>
    <w:p>
      <w:pPr>
        <w:sectPr>
          <w:headerReference w:type="even" r:id="rId40"/>
          <w:headerReference w:type="default" r:id="rId41"/>
          <w:footerReference w:type="even" r:id="rId42"/>
          <w:footerReference w:type="default" r:id="rId43"/>
          <w:footnotePr>
            <w:numFmt w:val="decimal"/>
          </w:footnotePr>
          <w:type w:val="nextPage"/>
          <w:pgSz w:w="12240" w:h="15840"/>
          <w:pgMar w:left="1440" w:right="1440" w:gutter="0" w:header="720" w:top="777" w:footer="475" w:bottom="864"/>
          <w:pgNumType w:fmt="decimal"/>
          <w:formProt w:val="false"/>
          <w:textDirection w:val="lrTb"/>
          <w:docGrid w:type="default" w:linePitch="100" w:charSpace="0"/>
        </w:sectPr>
      </w:pPr>
    </w:p>
    <w:p>
      <w:pPr>
        <w:pStyle w:val="Default"/>
        <w:numPr>
          <w:ilvl w:val="0"/>
          <w:numId w:val="24"/>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620"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70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Preparation for national strategies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c.1. Assessment of the refrigeration and air-conditioning servicing sector</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7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c.2. Inventory of the refrigeration and air-conditioning devices.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c.3.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150,000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c.2.</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44"/>
          <w:headerReference w:type="default" r:id="rId45"/>
          <w:footerReference w:type="even" r:id="rId46"/>
          <w:footerReference w:type="default" r:id="rId47"/>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24"/>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Ministry of Nature Protection of the Republic of Armenia,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Bosnia and Herzegovina</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Bosnia and Herzegovina</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US$95,000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 xml:space="preserve">The Government of Bosnia and Herzegovina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Bosnia and Herzegovina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Bosnia and Herzegovina confirms that all activities under Enabling Activities will be implemented following model that UNIDO will administer the funds (UNIDO's execution) instead of national execution.</w:t>
      </w:r>
    </w:p>
    <w:p>
      <w:pPr>
        <w:pStyle w:val="Default"/>
        <w:jc w:val="both"/>
        <w:rPr>
          <w:i/>
          <w:i/>
        </w:rPr>
      </w:pPr>
      <w:r>
        <w:rPr>
          <w:i/>
        </w:rPr>
      </w:r>
    </w:p>
    <w:p>
      <w:pPr>
        <w:pStyle w:val="Default"/>
        <w:jc w:val="both"/>
        <w:rPr>
          <w:bCs/>
        </w:rPr>
      </w:pPr>
      <w:r>
        <w:rPr>
          <w:bCs/>
        </w:rPr>
      </w:r>
    </w:p>
    <w:p>
      <w:pPr>
        <w:pStyle w:val="Default"/>
        <w:numPr>
          <w:ilvl w:val="0"/>
          <w:numId w:val="25"/>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in Bosnia and Herzegovina amounts to 4.7 ODP tonnes.</w:t>
      </w:r>
    </w:p>
    <w:p>
      <w:pPr>
        <w:pStyle w:val="Default"/>
        <w:jc w:val="both"/>
        <w:rPr>
          <w:bCs/>
          <w:highlight w:val="yellow"/>
        </w:rPr>
      </w:pPr>
      <w:r>
        <w:rPr>
          <w:bCs/>
          <w:highlight w:val="yellow"/>
        </w:rPr>
      </w:r>
    </w:p>
    <w:p>
      <w:pPr>
        <w:pStyle w:val="Default"/>
        <w:jc w:val="both"/>
        <w:rPr>
          <w:bCs/>
        </w:rPr>
      </w:pPr>
      <w:r>
        <w:rPr>
          <w:bCs/>
        </w:rPr>
        <w:t xml:space="preserve">The survey on ODS alternatives in BiH has revealed that estimated use of ODS alternatives in the period 2012-2015 varies between 770 and 860 mt per year. The aerosol sector accounts for the largest share of consumption (42.56%) of ODS alternatives in 2015, followed by the foam sector (29.44%) and commercial refrigeration (11.17%). </w:t>
      </w:r>
    </w:p>
    <w:p>
      <w:pPr>
        <w:pStyle w:val="Default"/>
        <w:jc w:val="both"/>
        <w:rPr>
          <w:bCs/>
        </w:rPr>
      </w:pPr>
      <w:r>
        <w:rPr>
          <w:bCs/>
        </w:rPr>
      </w:r>
    </w:p>
    <w:p>
      <w:pPr>
        <w:pStyle w:val="Default"/>
        <w:jc w:val="both"/>
        <w:rPr>
          <w:bCs/>
        </w:rPr>
      </w:pPr>
      <w:r>
        <w:rPr>
          <w:bCs/>
        </w:rPr>
        <w:t>In RAC sector the highest demand is associated with consumption of HFC-134a (44.53%) and R-404a (30.06%). In the foam, aerosol, solvent and fire suppression sector, the highest consumption is associated with use of hydrocarbons (74.4%) and DME (14.4%), followed by methyl chloride (4.8%) and C-pentane (4.0%).</w:t>
      </w:r>
    </w:p>
    <w:p>
      <w:pPr>
        <w:pStyle w:val="Default"/>
        <w:jc w:val="both"/>
        <w:rPr>
          <w:bCs/>
        </w:rPr>
      </w:pPr>
      <w:r>
        <w:rPr>
          <w:bCs/>
        </w:rPr>
      </w:r>
    </w:p>
    <w:p>
      <w:pPr>
        <w:pStyle w:val="Default"/>
        <w:ind w:left="720" w:hanging="0"/>
        <w:jc w:val="both"/>
        <w:rPr>
          <w:bCs/>
        </w:rPr>
      </w:pPr>
      <w:r>
        <w:rPr>
          <w:bCs/>
        </w:rPr>
      </w:r>
    </w:p>
    <w:p>
      <w:pPr>
        <w:pStyle w:val="Default"/>
        <w:numPr>
          <w:ilvl w:val="0"/>
          <w:numId w:val="25"/>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Bosnia and Herzegovina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25"/>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28"/>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28"/>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29"/>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29"/>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29"/>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28"/>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(refrigeration and air-conditioning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48"/>
          <w:headerReference w:type="default" r:id="rId49"/>
          <w:footerReference w:type="even" r:id="rId50"/>
          <w:footerReference w:type="default" r:id="rId51"/>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25"/>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t>c. Preparation for national strategies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c.1.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95,000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52"/>
          <w:headerReference w:type="default" r:id="rId53"/>
          <w:footerReference w:type="even" r:id="rId54"/>
          <w:footerReference w:type="default" r:id="rId55"/>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25"/>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Ministry of Foreign Trade and Economic Relations,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 xml:space="preserve">Burkina Faso </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 xml:space="preserve">Enabling activities for HFC phase-down in Burkina Faso </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US$150,000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The Government of Burkina Faso as well as UNIDO, as the implementing agency, confirm that implementation of the enabling activities would not delay implementation of HCFC phase-out projects.</w:t>
      </w:r>
    </w:p>
    <w:p>
      <w:pPr>
        <w:pStyle w:val="Default"/>
        <w:jc w:val="both"/>
        <w:rPr>
          <w:i/>
          <w:i/>
        </w:rPr>
      </w:pPr>
      <w:r>
        <w:rPr>
          <w:i/>
        </w:rPr>
      </w:r>
    </w:p>
    <w:p>
      <w:pPr>
        <w:pStyle w:val="Default"/>
        <w:jc w:val="both"/>
        <w:rPr>
          <w:i/>
          <w:i/>
        </w:rPr>
      </w:pPr>
      <w:r>
        <w:rPr>
          <w:i/>
        </w:rPr>
        <w:t xml:space="preserve">The Government of Burkina Faso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Burkina Faso confirms that all activities under Enabling Activities will be implemented following model that UNIDO will administer the funds (UNIDO's execution) instead of national execution.</w:t>
      </w:r>
    </w:p>
    <w:p>
      <w:pPr>
        <w:pStyle w:val="Default"/>
        <w:jc w:val="both"/>
        <w:rPr>
          <w:bCs/>
        </w:rPr>
      </w:pPr>
      <w:r>
        <w:rPr>
          <w:bCs/>
        </w:rPr>
      </w:r>
    </w:p>
    <w:p>
      <w:pPr>
        <w:pStyle w:val="Default"/>
        <w:jc w:val="both"/>
        <w:rPr>
          <w:bCs/>
        </w:rPr>
      </w:pPr>
      <w:r>
        <w:rPr>
          <w:bCs/>
        </w:rPr>
      </w:r>
    </w:p>
    <w:p>
      <w:pPr>
        <w:pStyle w:val="Default"/>
        <w:numPr>
          <w:ilvl w:val="0"/>
          <w:numId w:val="30"/>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 xml:space="preserve">The HCFC baseline amounts to 28.9 ODP tonnes. </w:t>
      </w:r>
    </w:p>
    <w:p>
      <w:pPr>
        <w:pStyle w:val="Default"/>
        <w:jc w:val="both"/>
        <w:rPr>
          <w:bCs/>
          <w:highlight w:val="yellow"/>
        </w:rPr>
      </w:pPr>
      <w:r>
        <w:rPr>
          <w:bCs/>
          <w:highlight w:val="yellow"/>
        </w:rPr>
      </w:r>
    </w:p>
    <w:p>
      <w:pPr>
        <w:pStyle w:val="Default"/>
        <w:jc w:val="both"/>
        <w:rPr>
          <w:bCs/>
        </w:rPr>
      </w:pPr>
      <w:r>
        <w:rPr>
          <w:bCs/>
        </w:rPr>
        <w:t>In Burkina Faso, alternatives to ODS, consisting mainly of HFCs and HCs, are:</w:t>
      </w:r>
    </w:p>
    <w:p>
      <w:pPr>
        <w:pStyle w:val="Default"/>
        <w:jc w:val="both"/>
        <w:rPr>
          <w:bCs/>
        </w:rPr>
      </w:pPr>
      <w:r>
        <w:rPr>
          <w:bCs/>
        </w:rPr>
      </w:r>
    </w:p>
    <w:p>
      <w:pPr>
        <w:pStyle w:val="Default"/>
        <w:numPr>
          <w:ilvl w:val="0"/>
          <w:numId w:val="20"/>
        </w:numPr>
        <w:jc w:val="both"/>
        <w:rPr>
          <w:bCs/>
        </w:rPr>
      </w:pPr>
      <w:r>
        <w:rPr>
          <w:bCs/>
        </w:rPr>
        <w:t>In Refrigeration: HFC 134a, Ammonia, HFC-404 A and HC-600a;</w:t>
      </w:r>
    </w:p>
    <w:p>
      <w:pPr>
        <w:pStyle w:val="Default"/>
        <w:numPr>
          <w:ilvl w:val="0"/>
          <w:numId w:val="20"/>
        </w:numPr>
        <w:jc w:val="both"/>
        <w:rPr>
          <w:bCs/>
        </w:rPr>
      </w:pPr>
      <w:r>
        <w:rPr>
          <w:bCs/>
        </w:rPr>
        <w:t>In Fixed Air Conditioning: HFC-407 C; And HFC-410A;</w:t>
      </w:r>
    </w:p>
    <w:p>
      <w:pPr>
        <w:pStyle w:val="Default"/>
        <w:numPr>
          <w:ilvl w:val="0"/>
          <w:numId w:val="20"/>
        </w:numPr>
        <w:jc w:val="both"/>
        <w:rPr>
          <w:bCs/>
        </w:rPr>
      </w:pPr>
      <w:r>
        <w:rPr>
          <w:bCs/>
        </w:rPr>
        <w:t>In Mobile Air Conditioning: HFC-134a.</w:t>
      </w:r>
    </w:p>
    <w:p>
      <w:pPr>
        <w:pStyle w:val="Default"/>
        <w:jc w:val="both"/>
        <w:rPr>
          <w:bCs/>
        </w:rPr>
      </w:pPr>
      <w:r>
        <w:rPr>
          <w:bCs/>
        </w:rPr>
      </w:r>
    </w:p>
    <w:p>
      <w:pPr>
        <w:pStyle w:val="Normal"/>
        <w:jc w:val="center"/>
        <w:rPr>
          <w:rFonts w:ascii="Times New Roman" w:hAnsi="Times New Roman"/>
          <w:b/>
          <w:b/>
          <w:lang w:val="en-GB"/>
        </w:rPr>
      </w:pPr>
      <w:r>
        <w:rPr>
          <w:b/>
          <w:lang w:val="en-GB"/>
        </w:rPr>
        <w:t>Table 1: Amount of refrigerants used in Metric Tonne</w:t>
      </w:r>
    </w:p>
    <w:tbl>
      <w:tblPr>
        <w:tblStyle w:val="TableGrid"/>
        <w:tblW w:w="920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659"/>
        <w:gridCol w:w="1022"/>
        <w:gridCol w:w="1841"/>
        <w:gridCol w:w="1841"/>
        <w:gridCol w:w="1841"/>
      </w:tblGrid>
      <w:tr>
        <w:trPr/>
        <w:tc>
          <w:tcPr>
            <w:tcW w:w="2659" w:type="dxa"/>
            <w:tcBorders/>
          </w:tcPr>
          <w:p>
            <w:pPr>
              <w:pStyle w:val="Normal"/>
              <w:widowControl w:val="false"/>
              <w:spacing w:before="0" w:after="0"/>
              <w:jc w:val="left"/>
              <w:rPr>
                <w:rFonts w:ascii="Times New Roman" w:hAnsi="Times New Roman"/>
                <w:b/>
                <w:b/>
                <w:lang w:val="fr-FR"/>
              </w:rPr>
            </w:pPr>
            <w:r>
              <w:rPr>
                <w:b/>
                <w:kern w:val="0"/>
                <w:lang w:val="fr-FR" w:eastAsia="en-US" w:bidi="ar-SA"/>
              </w:rPr>
              <w:t>Refrigerant</w:t>
            </w:r>
          </w:p>
        </w:tc>
        <w:tc>
          <w:tcPr>
            <w:tcW w:w="1022" w:type="dxa"/>
            <w:tcBorders/>
            <w:vAlign w:val="bottom"/>
          </w:tcPr>
          <w:p>
            <w:pPr>
              <w:pStyle w:val="Normal"/>
              <w:widowControl w:val="false"/>
              <w:spacing w:before="0" w:after="0"/>
              <w:jc w:val="center"/>
              <w:rPr>
                <w:rFonts w:ascii="Times New Roman" w:hAnsi="Times New Roman"/>
                <w:b/>
                <w:b/>
                <w:lang w:val="fr-FR" w:eastAsia="fr-FR"/>
              </w:rPr>
            </w:pPr>
            <w:r>
              <w:rPr>
                <w:b/>
                <w:kern w:val="0"/>
                <w:lang w:val="fr-FR" w:eastAsia="fr-FR" w:bidi="ar-SA"/>
              </w:rPr>
              <w:t>2012</w:t>
            </w:r>
          </w:p>
        </w:tc>
        <w:tc>
          <w:tcPr>
            <w:tcW w:w="1841" w:type="dxa"/>
            <w:tcBorders/>
            <w:vAlign w:val="bottom"/>
          </w:tcPr>
          <w:p>
            <w:pPr>
              <w:pStyle w:val="Normal"/>
              <w:widowControl w:val="false"/>
              <w:spacing w:before="0" w:after="0"/>
              <w:jc w:val="center"/>
              <w:rPr>
                <w:rFonts w:ascii="Times New Roman" w:hAnsi="Times New Roman"/>
                <w:b/>
                <w:b/>
                <w:lang w:val="fr-FR" w:eastAsia="fr-FR"/>
              </w:rPr>
            </w:pPr>
            <w:r>
              <w:rPr>
                <w:b/>
                <w:kern w:val="0"/>
                <w:lang w:val="fr-FR" w:eastAsia="fr-FR" w:bidi="ar-SA"/>
              </w:rPr>
              <w:t>2013</w:t>
            </w:r>
          </w:p>
        </w:tc>
        <w:tc>
          <w:tcPr>
            <w:tcW w:w="1841" w:type="dxa"/>
            <w:tcBorders/>
            <w:vAlign w:val="bottom"/>
          </w:tcPr>
          <w:p>
            <w:pPr>
              <w:pStyle w:val="Normal"/>
              <w:widowControl w:val="false"/>
              <w:spacing w:before="0" w:after="0"/>
              <w:jc w:val="center"/>
              <w:rPr>
                <w:rFonts w:ascii="Times New Roman" w:hAnsi="Times New Roman"/>
                <w:b/>
                <w:b/>
                <w:lang w:val="fr-FR" w:eastAsia="fr-FR"/>
              </w:rPr>
            </w:pPr>
            <w:r>
              <w:rPr>
                <w:b/>
                <w:kern w:val="0"/>
                <w:lang w:val="fr-FR" w:eastAsia="fr-FR" w:bidi="ar-SA"/>
              </w:rPr>
              <w:t>2014</w:t>
            </w:r>
          </w:p>
        </w:tc>
        <w:tc>
          <w:tcPr>
            <w:tcW w:w="1841" w:type="dxa"/>
            <w:tcBorders/>
            <w:vAlign w:val="bottom"/>
          </w:tcPr>
          <w:p>
            <w:pPr>
              <w:pStyle w:val="Normal"/>
              <w:widowControl w:val="false"/>
              <w:spacing w:before="0" w:after="0"/>
              <w:jc w:val="center"/>
              <w:rPr>
                <w:rFonts w:ascii="Times New Roman" w:hAnsi="Times New Roman"/>
                <w:b/>
                <w:b/>
                <w:lang w:val="fr-FR" w:eastAsia="fr-FR"/>
              </w:rPr>
            </w:pPr>
            <w:r>
              <w:rPr>
                <w:b/>
                <w:kern w:val="0"/>
                <w:lang w:val="fr-FR" w:eastAsia="fr-FR" w:bidi="ar-SA"/>
              </w:rPr>
              <w:t>2015</w:t>
            </w:r>
          </w:p>
        </w:tc>
      </w:tr>
      <w:tr>
        <w:trPr/>
        <w:tc>
          <w:tcPr>
            <w:tcW w:w="2659" w:type="dxa"/>
            <w:tcBorders/>
            <w:vAlign w:val="bottom"/>
          </w:tcPr>
          <w:p>
            <w:pPr>
              <w:pStyle w:val="Normal"/>
              <w:widowControl w:val="false"/>
              <w:spacing w:before="0" w:after="0"/>
              <w:jc w:val="left"/>
              <w:rPr>
                <w:rFonts w:ascii="Times New Roman" w:hAnsi="Times New Roman"/>
                <w:lang w:val="fr-FR" w:eastAsia="fr-FR"/>
              </w:rPr>
            </w:pPr>
            <w:r>
              <w:rPr>
                <w:kern w:val="0"/>
                <w:lang w:val="fr-FR" w:eastAsia="fr-FR" w:bidi="ar-SA"/>
              </w:rPr>
              <w:t>HFC-410a</w:t>
            </w:r>
          </w:p>
        </w:tc>
        <w:tc>
          <w:tcPr>
            <w:tcW w:w="1022" w:type="dxa"/>
            <w:tcBorders/>
            <w:vAlign w:val="bottom"/>
          </w:tcPr>
          <w:p>
            <w:pPr>
              <w:pStyle w:val="Normal"/>
              <w:widowControl w:val="false"/>
              <w:spacing w:before="0" w:after="0"/>
              <w:jc w:val="right"/>
              <w:rPr>
                <w:rFonts w:ascii="Times New Roman" w:hAnsi="Times New Roman"/>
                <w:lang w:val="fr-FR" w:eastAsia="fr-FR"/>
              </w:rPr>
            </w:pPr>
            <w:r>
              <w:rPr>
                <w:kern w:val="0"/>
                <w:lang w:val="fr-FR" w:eastAsia="fr-FR" w:bidi="ar-SA"/>
              </w:rPr>
              <w:t>2</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6,99</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12,36</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20,05</w:t>
            </w:r>
          </w:p>
        </w:tc>
      </w:tr>
      <w:tr>
        <w:trPr/>
        <w:tc>
          <w:tcPr>
            <w:tcW w:w="2659" w:type="dxa"/>
            <w:tcBorders/>
            <w:vAlign w:val="bottom"/>
          </w:tcPr>
          <w:p>
            <w:pPr>
              <w:pStyle w:val="Normal"/>
              <w:widowControl w:val="false"/>
              <w:spacing w:before="0" w:after="0"/>
              <w:jc w:val="left"/>
              <w:rPr>
                <w:rFonts w:ascii="Times New Roman" w:hAnsi="Times New Roman"/>
                <w:lang w:val="fr-FR" w:eastAsia="fr-FR"/>
              </w:rPr>
            </w:pPr>
            <w:r>
              <w:rPr>
                <w:kern w:val="0"/>
                <w:lang w:val="fr-FR" w:eastAsia="fr-FR" w:bidi="ar-SA"/>
              </w:rPr>
              <w:t>HFC-407c</w:t>
            </w:r>
          </w:p>
        </w:tc>
        <w:tc>
          <w:tcPr>
            <w:tcW w:w="1022" w:type="dxa"/>
            <w:tcBorders/>
            <w:vAlign w:val="bottom"/>
          </w:tcPr>
          <w:p>
            <w:pPr>
              <w:pStyle w:val="Normal"/>
              <w:widowControl w:val="false"/>
              <w:spacing w:before="0" w:after="0"/>
              <w:jc w:val="right"/>
              <w:rPr>
                <w:rFonts w:ascii="Times New Roman" w:hAnsi="Times New Roman"/>
                <w:lang w:val="fr-FR" w:eastAsia="fr-FR"/>
              </w:rPr>
            </w:pPr>
            <w:r>
              <w:rPr>
                <w:kern w:val="0"/>
                <w:lang w:val="fr-FR" w:eastAsia="fr-FR" w:bidi="ar-SA"/>
              </w:rPr>
              <w:t>5</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0,10</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3,00</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4,00</w:t>
            </w:r>
          </w:p>
        </w:tc>
      </w:tr>
      <w:tr>
        <w:trPr/>
        <w:tc>
          <w:tcPr>
            <w:tcW w:w="2659" w:type="dxa"/>
            <w:tcBorders/>
            <w:vAlign w:val="bottom"/>
          </w:tcPr>
          <w:p>
            <w:pPr>
              <w:pStyle w:val="Normal"/>
              <w:widowControl w:val="false"/>
              <w:spacing w:before="0" w:after="0"/>
              <w:jc w:val="left"/>
              <w:rPr>
                <w:rFonts w:ascii="Times New Roman" w:hAnsi="Times New Roman"/>
                <w:lang w:val="fr-FR" w:eastAsia="fr-FR"/>
              </w:rPr>
            </w:pPr>
            <w:r>
              <w:rPr>
                <w:kern w:val="0"/>
                <w:lang w:val="fr-FR" w:eastAsia="fr-FR" w:bidi="ar-SA"/>
              </w:rPr>
              <w:t>HFC-404a</w:t>
            </w:r>
          </w:p>
        </w:tc>
        <w:tc>
          <w:tcPr>
            <w:tcW w:w="1022" w:type="dxa"/>
            <w:tcBorders/>
            <w:vAlign w:val="bottom"/>
          </w:tcPr>
          <w:p>
            <w:pPr>
              <w:pStyle w:val="Normal"/>
              <w:widowControl w:val="false"/>
              <w:spacing w:before="0" w:after="0"/>
              <w:jc w:val="right"/>
              <w:rPr>
                <w:rFonts w:ascii="Times New Roman" w:hAnsi="Times New Roman"/>
                <w:lang w:val="fr-FR" w:eastAsia="fr-FR"/>
              </w:rPr>
            </w:pPr>
            <w:r>
              <w:rPr>
                <w:kern w:val="0"/>
                <w:lang w:val="fr-FR" w:eastAsia="fr-FR" w:bidi="ar-SA"/>
              </w:rPr>
              <w:t>0,05</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11,17</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22,13</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34,50</w:t>
            </w:r>
          </w:p>
        </w:tc>
      </w:tr>
      <w:tr>
        <w:trPr/>
        <w:tc>
          <w:tcPr>
            <w:tcW w:w="2659" w:type="dxa"/>
            <w:tcBorders/>
            <w:vAlign w:val="bottom"/>
          </w:tcPr>
          <w:p>
            <w:pPr>
              <w:pStyle w:val="Normal"/>
              <w:widowControl w:val="false"/>
              <w:spacing w:before="0" w:after="0"/>
              <w:jc w:val="left"/>
              <w:rPr>
                <w:rFonts w:ascii="Times New Roman" w:hAnsi="Times New Roman"/>
                <w:lang w:val="fr-FR" w:eastAsia="fr-FR"/>
              </w:rPr>
            </w:pPr>
            <w:r>
              <w:rPr>
                <w:kern w:val="0"/>
                <w:lang w:val="fr-FR" w:eastAsia="fr-FR" w:bidi="ar-SA"/>
              </w:rPr>
              <w:t>HFC-134a</w:t>
            </w:r>
          </w:p>
        </w:tc>
        <w:tc>
          <w:tcPr>
            <w:tcW w:w="1022" w:type="dxa"/>
            <w:tcBorders/>
            <w:vAlign w:val="bottom"/>
          </w:tcPr>
          <w:p>
            <w:pPr>
              <w:pStyle w:val="Normal"/>
              <w:widowControl w:val="false"/>
              <w:spacing w:before="0" w:after="0"/>
              <w:jc w:val="right"/>
              <w:rPr>
                <w:rFonts w:ascii="Times New Roman" w:hAnsi="Times New Roman"/>
                <w:lang w:val="fr-FR" w:eastAsia="fr-FR"/>
              </w:rPr>
            </w:pPr>
            <w:r>
              <w:rPr>
                <w:kern w:val="0"/>
                <w:lang w:val="fr-FR" w:eastAsia="fr-FR" w:bidi="ar-SA"/>
              </w:rPr>
              <w:t>180</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285,50</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346,50</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469,20</w:t>
            </w:r>
          </w:p>
        </w:tc>
      </w:tr>
      <w:tr>
        <w:trPr/>
        <w:tc>
          <w:tcPr>
            <w:tcW w:w="2659" w:type="dxa"/>
            <w:tcBorders/>
            <w:vAlign w:val="bottom"/>
          </w:tcPr>
          <w:p>
            <w:pPr>
              <w:pStyle w:val="Normal"/>
              <w:widowControl w:val="false"/>
              <w:spacing w:before="0" w:after="0"/>
              <w:jc w:val="left"/>
              <w:rPr>
                <w:rFonts w:ascii="Times New Roman" w:hAnsi="Times New Roman"/>
                <w:lang w:val="fr-FR" w:eastAsia="fr-FR"/>
              </w:rPr>
            </w:pPr>
            <w:r>
              <w:rPr>
                <w:kern w:val="0"/>
                <w:lang w:val="fr-FR" w:eastAsia="fr-FR" w:bidi="ar-SA"/>
              </w:rPr>
              <w:t>R717</w:t>
            </w:r>
          </w:p>
        </w:tc>
        <w:tc>
          <w:tcPr>
            <w:tcW w:w="1022" w:type="dxa"/>
            <w:tcBorders/>
            <w:vAlign w:val="bottom"/>
          </w:tcPr>
          <w:p>
            <w:pPr>
              <w:pStyle w:val="Normal"/>
              <w:widowControl w:val="false"/>
              <w:spacing w:before="0" w:after="0"/>
              <w:jc w:val="right"/>
              <w:rPr>
                <w:rFonts w:ascii="Times New Roman" w:hAnsi="Times New Roman"/>
                <w:lang w:val="fr-FR" w:eastAsia="fr-FR"/>
              </w:rPr>
            </w:pPr>
            <w:r>
              <w:rPr>
                <w:kern w:val="0"/>
                <w:lang w:val="fr-FR" w:eastAsia="fr-FR" w:bidi="ar-SA"/>
              </w:rPr>
              <w:t>7</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7,00</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6,50</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8,50</w:t>
            </w:r>
          </w:p>
        </w:tc>
      </w:tr>
      <w:tr>
        <w:trPr/>
        <w:tc>
          <w:tcPr>
            <w:tcW w:w="2659" w:type="dxa"/>
            <w:tcBorders/>
            <w:vAlign w:val="bottom"/>
          </w:tcPr>
          <w:p>
            <w:pPr>
              <w:pStyle w:val="Normal"/>
              <w:widowControl w:val="false"/>
              <w:spacing w:before="0" w:after="0"/>
              <w:jc w:val="left"/>
              <w:rPr>
                <w:rFonts w:ascii="Times New Roman" w:hAnsi="Times New Roman"/>
                <w:lang w:val="fr-FR" w:eastAsia="fr-FR"/>
              </w:rPr>
            </w:pPr>
            <w:r>
              <w:rPr>
                <w:kern w:val="0"/>
                <w:lang w:val="fr-FR" w:eastAsia="fr-FR" w:bidi="ar-SA"/>
              </w:rPr>
              <w:t>HC-600a</w:t>
            </w:r>
          </w:p>
        </w:tc>
        <w:tc>
          <w:tcPr>
            <w:tcW w:w="1022" w:type="dxa"/>
            <w:tcBorders/>
            <w:vAlign w:val="bottom"/>
          </w:tcPr>
          <w:p>
            <w:pPr>
              <w:pStyle w:val="Normal"/>
              <w:widowControl w:val="false"/>
              <w:spacing w:before="0" w:after="0"/>
              <w:jc w:val="right"/>
              <w:rPr>
                <w:rFonts w:ascii="Times New Roman" w:hAnsi="Times New Roman"/>
                <w:lang w:val="fr-FR" w:eastAsia="fr-FR"/>
              </w:rPr>
            </w:pPr>
            <w:r>
              <w:rPr>
                <w:kern w:val="0"/>
                <w:lang w:val="fr-FR" w:eastAsia="fr-FR" w:bidi="ar-SA"/>
              </w:rPr>
              <w:t>0</w:t>
            </w:r>
          </w:p>
        </w:tc>
        <w:tc>
          <w:tcPr>
            <w:tcW w:w="1841" w:type="dxa"/>
            <w:tcBorders/>
            <w:vAlign w:val="bottom"/>
          </w:tcPr>
          <w:p>
            <w:pPr>
              <w:pStyle w:val="Normal"/>
              <w:widowControl w:val="false"/>
              <w:spacing w:before="0" w:after="0"/>
              <w:jc w:val="right"/>
              <w:rPr>
                <w:rFonts w:ascii="Times New Roman" w:hAnsi="Times New Roman"/>
                <w:lang w:val="fr-FR" w:eastAsia="fr-FR"/>
              </w:rPr>
            </w:pPr>
            <w:r>
              <w:rPr>
                <w:kern w:val="0"/>
                <w:lang w:val="fr-FR" w:eastAsia="fr-FR" w:bidi="ar-SA"/>
              </w:rPr>
              <w:t>0</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10,00</w:t>
            </w:r>
          </w:p>
        </w:tc>
        <w:tc>
          <w:tcPr>
            <w:tcW w:w="1841" w:type="dxa"/>
            <w:tcBorders/>
            <w:vAlign w:val="bottom"/>
          </w:tcPr>
          <w:p>
            <w:pPr>
              <w:pStyle w:val="Normal"/>
              <w:widowControl w:val="false"/>
              <w:spacing w:before="0" w:after="0"/>
              <w:ind w:firstLine="240"/>
              <w:jc w:val="right"/>
              <w:rPr>
                <w:rFonts w:ascii="Times New Roman" w:hAnsi="Times New Roman"/>
                <w:lang w:val="fr-FR" w:eastAsia="fr-FR"/>
              </w:rPr>
            </w:pPr>
            <w:r>
              <w:rPr>
                <w:kern w:val="0"/>
                <w:lang w:val="fr-FR" w:eastAsia="fr-FR" w:bidi="ar-SA"/>
              </w:rPr>
              <w:t>10,80</w:t>
            </w:r>
          </w:p>
        </w:tc>
      </w:tr>
    </w:tbl>
    <w:p>
      <w:pPr>
        <w:pStyle w:val="Default"/>
        <w:jc w:val="both"/>
        <w:rPr>
          <w:bCs/>
        </w:rPr>
      </w:pPr>
      <w:r>
        <w:rPr>
          <w:bCs/>
        </w:rPr>
      </w:r>
    </w:p>
    <w:p>
      <w:pPr>
        <w:pStyle w:val="Default"/>
        <w:ind w:left="720" w:hanging="0"/>
        <w:jc w:val="both"/>
        <w:rPr>
          <w:bCs/>
        </w:rPr>
      </w:pPr>
      <w:r>
        <w:rPr>
          <w:bCs/>
        </w:rPr>
      </w:r>
    </w:p>
    <w:p>
      <w:pPr>
        <w:pStyle w:val="Normal"/>
        <w:widowControl/>
        <w:spacing w:lineRule="auto" w:line="276" w:before="0" w:after="200"/>
        <w:rPr>
          <w:rFonts w:ascii="Times New Roman" w:hAnsi="Times New Roman" w:eastAsia="Calibri" w:eastAsiaTheme="minorHAnsi"/>
          <w:b/>
          <w:b/>
          <w:bCs/>
          <w:color w:val="000000"/>
        </w:rPr>
      </w:pPr>
      <w:r>
        <w:rPr>
          <w:rFonts w:eastAsia="Calibri" w:eastAsiaTheme="minorHAnsi"/>
          <w:b/>
          <w:bCs/>
          <w:color w:val="000000"/>
        </w:rPr>
      </w:r>
      <w:r>
        <w:br w:type="page"/>
      </w:r>
    </w:p>
    <w:p>
      <w:pPr>
        <w:pStyle w:val="Default"/>
        <w:numPr>
          <w:ilvl w:val="0"/>
          <w:numId w:val="30"/>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Burkina Faso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30"/>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31"/>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31"/>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32"/>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32"/>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32"/>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Normal"/>
        <w:rPr>
          <w:rFonts w:ascii="Times New Roman" w:hAnsi="Times New Roman"/>
          <w:bCs/>
          <w:u w:val="single"/>
        </w:rPr>
      </w:pPr>
      <w:r>
        <w:rPr>
          <w:bCs/>
          <w:u w:val="single"/>
        </w:rPr>
      </w:r>
      <w:r>
        <w:br w:type="page"/>
      </w:r>
    </w:p>
    <w:p>
      <w:pPr>
        <w:pStyle w:val="ListParagraph"/>
        <w:widowControl/>
        <w:numPr>
          <w:ilvl w:val="0"/>
          <w:numId w:val="31"/>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1232"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of the refrigeration and air-conditioning (RAC) servicing sector (formal and informal sector)</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Accurate analysis of the characteristics of the servicing sector made</w:t>
            </w:r>
          </w:p>
        </w:tc>
      </w:tr>
      <w:tr>
        <w:trPr>
          <w:trHeight w:val="1835"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Inventory of the refrigeration and air-conditioning units currently used in the country and projections for next years (including a chapter on energy efficiency options for these devices) </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the current and future national market of RAC devices increased among decision makers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56"/>
          <w:headerReference w:type="default" r:id="rId57"/>
          <w:footerReference w:type="even" r:id="rId58"/>
          <w:footerReference w:type="default" r:id="rId59"/>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30"/>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620"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70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Preparation for national strategies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c.1. Assessment of the refrigeration and air-conditioning servicing sector</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7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c.2. Inventory of the refrigeration and air-conditioning devices.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c.3.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150,000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c.2.</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60"/>
          <w:headerReference w:type="default" r:id="rId61"/>
          <w:footerReference w:type="even" r:id="rId62"/>
          <w:footerReference w:type="default" r:id="rId63"/>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30"/>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Ministry of Environment of Burkina Faso,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Cameroon</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Cameroon</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US$150,000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 xml:space="preserve">The Government of Cameroon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Cameroon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Cameroon confirms that all activities under Enabling Activities will be implemented following model that UNIDO will administer the funds (UNIDO's execution) instead of national execution.</w:t>
      </w:r>
    </w:p>
    <w:p>
      <w:pPr>
        <w:pStyle w:val="Default"/>
        <w:jc w:val="both"/>
        <w:rPr>
          <w:bCs/>
        </w:rPr>
      </w:pPr>
      <w:r>
        <w:rPr>
          <w:bCs/>
        </w:rPr>
      </w:r>
    </w:p>
    <w:p>
      <w:pPr>
        <w:pStyle w:val="Default"/>
        <w:numPr>
          <w:ilvl w:val="0"/>
          <w:numId w:val="34"/>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in Cameroon amounts to 88.8 ODP tonnes.</w:t>
      </w:r>
    </w:p>
    <w:p>
      <w:pPr>
        <w:pStyle w:val="Default"/>
        <w:jc w:val="both"/>
        <w:rPr>
          <w:bCs/>
          <w:highlight w:val="yellow"/>
        </w:rPr>
      </w:pPr>
      <w:r>
        <w:rPr>
          <w:bCs/>
          <w:highlight w:val="yellow"/>
        </w:rPr>
      </w:r>
    </w:p>
    <w:p>
      <w:pPr>
        <w:pStyle w:val="Normal"/>
        <w:jc w:val="both"/>
        <w:rPr>
          <w:rFonts w:ascii="Times New Roman" w:hAnsi="Times New Roman"/>
        </w:rPr>
      </w:pPr>
      <w:r>
        <w:rPr/>
        <w:t>The result shows an estimated use of the ODS alternatives over the period of 2012 – 2015 as follows:</w:t>
      </w:r>
    </w:p>
    <w:tbl>
      <w:tblPr>
        <w:tblW w:w="64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80"/>
        <w:gridCol w:w="931"/>
        <w:gridCol w:w="930"/>
        <w:gridCol w:w="931"/>
        <w:gridCol w:w="1128"/>
      </w:tblGrid>
      <w:tr>
        <w:trPr>
          <w:trHeight w:val="288" w:hRule="atLeast"/>
        </w:trPr>
        <w:tc>
          <w:tcPr>
            <w:tcW w:w="2480" w:type="dxa"/>
            <w:vMerge w:val="restart"/>
            <w:tcBorders>
              <w:top w:val="single" w:sz="8" w:space="0" w:color="000000"/>
              <w:left w:val="single" w:sz="8" w:space="0" w:color="000000"/>
              <w:bottom w:val="single" w:sz="8" w:space="0" w:color="000000"/>
              <w:right w:val="single" w:sz="8" w:space="0" w:color="000000"/>
            </w:tcBorders>
          </w:tcPr>
          <w:p>
            <w:pPr>
              <w:pStyle w:val="Normal"/>
              <w:widowControl w:val="false"/>
              <w:jc w:val="center"/>
              <w:rPr>
                <w:rFonts w:ascii="Times New Roman" w:hAnsi="Times New Roman" w:eastAsia="Calibri"/>
                <w:b/>
                <w:b/>
                <w:bCs/>
                <w:color w:val="000000"/>
              </w:rPr>
            </w:pPr>
            <w:r>
              <w:rPr>
                <w:rFonts w:eastAsia="Calibri"/>
                <w:b/>
                <w:bCs/>
                <w:color w:val="000000"/>
              </w:rPr>
              <w:t>Alternative</w:t>
            </w:r>
          </w:p>
        </w:tc>
        <w:tc>
          <w:tcPr>
            <w:tcW w:w="3920" w:type="dxa"/>
            <w:gridSpan w:val="4"/>
            <w:tcBorders>
              <w:top w:val="single" w:sz="8" w:space="0" w:color="000000"/>
              <w:bottom w:val="single" w:sz="8" w:space="0" w:color="000000"/>
              <w:right w:val="single" w:sz="8" w:space="0" w:color="000000"/>
            </w:tcBorders>
            <w:shd w:color="auto" w:fill="EEECE1" w:val="clear"/>
          </w:tcPr>
          <w:p>
            <w:pPr>
              <w:pStyle w:val="Normal"/>
              <w:widowControl w:val="false"/>
              <w:jc w:val="center"/>
              <w:rPr>
                <w:rFonts w:ascii="Times New Roman" w:hAnsi="Times New Roman" w:eastAsia="Calibri"/>
                <w:b/>
                <w:b/>
                <w:bCs/>
                <w:color w:val="000000"/>
              </w:rPr>
            </w:pPr>
            <w:r>
              <w:rPr>
                <w:rFonts w:eastAsia="Calibri"/>
                <w:b/>
                <w:bCs/>
                <w:color w:val="000000"/>
              </w:rPr>
              <w:t>Estimated use (mt)</w:t>
            </w:r>
          </w:p>
        </w:tc>
      </w:tr>
      <w:tr>
        <w:trPr>
          <w:trHeight w:val="288" w:hRule="atLeast"/>
        </w:trPr>
        <w:tc>
          <w:tcPr>
            <w:tcW w:w="2480" w:type="dxa"/>
            <w:vMerge w:val="continue"/>
            <w:tcBorders>
              <w:top w:val="single" w:sz="8" w:space="0" w:color="000000"/>
              <w:left w:val="single" w:sz="8" w:space="0" w:color="000000"/>
              <w:bottom w:val="single" w:sz="8" w:space="0" w:color="000000"/>
              <w:right w:val="single" w:sz="8" w:space="0" w:color="000000"/>
            </w:tcBorders>
            <w:tcMar>
              <w:left w:w="10" w:type="dxa"/>
              <w:right w:w="10" w:type="dxa"/>
            </w:tcMar>
            <w:vAlign w:val="center"/>
          </w:tcPr>
          <w:p>
            <w:pPr>
              <w:pStyle w:val="Normal"/>
              <w:widowControl w:val="false"/>
              <w:rPr>
                <w:rFonts w:ascii="Times New Roman" w:hAnsi="Times New Roman" w:eastAsia="Calibri"/>
                <w:b/>
                <w:b/>
                <w:bCs/>
                <w:color w:val="000000"/>
              </w:rPr>
            </w:pPr>
            <w:r>
              <w:rPr>
                <w:rFonts w:eastAsia="Calibri"/>
                <w:b/>
                <w:bCs/>
                <w:color w:val="000000"/>
              </w:rPr>
            </w:r>
          </w:p>
        </w:tc>
        <w:tc>
          <w:tcPr>
            <w:tcW w:w="931" w:type="dxa"/>
            <w:tcBorders>
              <w:bottom w:val="single" w:sz="8" w:space="0" w:color="000000"/>
              <w:right w:val="single" w:sz="8" w:space="0" w:color="000000"/>
            </w:tcBorders>
            <w:shd w:color="auto" w:fill="EEECE1" w:val="clear"/>
          </w:tcPr>
          <w:p>
            <w:pPr>
              <w:pStyle w:val="Normal"/>
              <w:widowControl w:val="false"/>
              <w:jc w:val="center"/>
              <w:rPr>
                <w:rFonts w:ascii="Times New Roman" w:hAnsi="Times New Roman" w:eastAsia="Calibri"/>
                <w:b/>
                <w:b/>
                <w:bCs/>
                <w:color w:val="000000"/>
              </w:rPr>
            </w:pPr>
            <w:r>
              <w:rPr>
                <w:rFonts w:eastAsia="Calibri"/>
                <w:b/>
                <w:bCs/>
                <w:color w:val="000000"/>
              </w:rPr>
              <w:t>2012</w:t>
            </w:r>
          </w:p>
        </w:tc>
        <w:tc>
          <w:tcPr>
            <w:tcW w:w="930" w:type="dxa"/>
            <w:tcBorders>
              <w:bottom w:val="single" w:sz="8" w:space="0" w:color="000000"/>
              <w:right w:val="single" w:sz="8" w:space="0" w:color="000000"/>
            </w:tcBorders>
            <w:shd w:color="auto" w:fill="EEECE1" w:val="clear"/>
          </w:tcPr>
          <w:p>
            <w:pPr>
              <w:pStyle w:val="Normal"/>
              <w:widowControl w:val="false"/>
              <w:jc w:val="center"/>
              <w:rPr>
                <w:rFonts w:ascii="Times New Roman" w:hAnsi="Times New Roman" w:eastAsia="Calibri"/>
                <w:b/>
                <w:b/>
                <w:bCs/>
                <w:color w:val="000000"/>
              </w:rPr>
            </w:pPr>
            <w:r>
              <w:rPr>
                <w:rFonts w:eastAsia="Calibri"/>
                <w:b/>
                <w:bCs/>
                <w:color w:val="000000"/>
              </w:rPr>
              <w:t>2013</w:t>
            </w:r>
          </w:p>
        </w:tc>
        <w:tc>
          <w:tcPr>
            <w:tcW w:w="931" w:type="dxa"/>
            <w:tcBorders>
              <w:bottom w:val="single" w:sz="8" w:space="0" w:color="000000"/>
              <w:right w:val="single" w:sz="8" w:space="0" w:color="000000"/>
            </w:tcBorders>
            <w:shd w:color="auto" w:fill="EEECE1" w:val="clear"/>
          </w:tcPr>
          <w:p>
            <w:pPr>
              <w:pStyle w:val="Normal"/>
              <w:widowControl w:val="false"/>
              <w:jc w:val="center"/>
              <w:rPr>
                <w:rFonts w:ascii="Times New Roman" w:hAnsi="Times New Roman" w:eastAsia="Calibri"/>
                <w:b/>
                <w:b/>
                <w:bCs/>
                <w:color w:val="000000"/>
              </w:rPr>
            </w:pPr>
            <w:r>
              <w:rPr>
                <w:rFonts w:eastAsia="Calibri"/>
                <w:b/>
                <w:bCs/>
                <w:color w:val="000000"/>
              </w:rPr>
              <w:t>2014</w:t>
            </w:r>
          </w:p>
        </w:tc>
        <w:tc>
          <w:tcPr>
            <w:tcW w:w="1128" w:type="dxa"/>
            <w:tcBorders>
              <w:bottom w:val="single" w:sz="8" w:space="0" w:color="000000"/>
              <w:right w:val="single" w:sz="8" w:space="0" w:color="000000"/>
            </w:tcBorders>
            <w:shd w:color="auto" w:fill="EEECE1" w:val="clear"/>
          </w:tcPr>
          <w:p>
            <w:pPr>
              <w:pStyle w:val="Normal"/>
              <w:widowControl w:val="false"/>
              <w:jc w:val="center"/>
              <w:rPr>
                <w:rFonts w:ascii="Times New Roman" w:hAnsi="Times New Roman" w:eastAsia="Calibri"/>
                <w:b/>
                <w:b/>
                <w:bCs/>
                <w:color w:val="000000"/>
              </w:rPr>
            </w:pPr>
            <w:r>
              <w:rPr>
                <w:rFonts w:eastAsia="Calibri"/>
                <w:b/>
                <w:bCs/>
                <w:color w:val="000000"/>
              </w:rPr>
              <w:t>2015</w:t>
            </w:r>
          </w:p>
        </w:tc>
      </w:tr>
      <w:tr>
        <w:trPr>
          <w:trHeight w:val="288" w:hRule="atLeast"/>
        </w:trPr>
        <w:tc>
          <w:tcPr>
            <w:tcW w:w="6400" w:type="dxa"/>
            <w:gridSpan w:val="5"/>
            <w:tcBorders>
              <w:left w:val="single" w:sz="8" w:space="0" w:color="000000"/>
              <w:bottom w:val="single" w:sz="8" w:space="0" w:color="000000"/>
              <w:right w:val="single" w:sz="8" w:space="0" w:color="000000"/>
            </w:tcBorders>
            <w:shd w:color="auto" w:fill="EEECE1" w:val="clear"/>
          </w:tcPr>
          <w:p>
            <w:pPr>
              <w:pStyle w:val="Normal"/>
              <w:widowControl w:val="false"/>
              <w:rPr>
                <w:rFonts w:ascii="Times New Roman" w:hAnsi="Times New Roman" w:eastAsia="Calibri"/>
                <w:b/>
                <w:b/>
                <w:bCs/>
                <w:color w:val="000000"/>
              </w:rPr>
            </w:pPr>
            <w:r>
              <w:rPr>
                <w:rFonts w:eastAsia="Calibri"/>
                <w:b/>
                <w:bCs/>
                <w:color w:val="000000"/>
              </w:rPr>
              <w:t>HFC</w:t>
            </w:r>
          </w:p>
        </w:tc>
      </w:tr>
      <w:tr>
        <w:trPr>
          <w:trHeight w:val="288" w:hRule="atLeast"/>
        </w:trPr>
        <w:tc>
          <w:tcPr>
            <w:tcW w:w="2480"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HFC</w:t>
              <w:noBreakHyphen/>
              <w:t>134a</w:t>
            </w:r>
          </w:p>
        </w:tc>
        <w:tc>
          <w:tcPr>
            <w:tcW w:w="931"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1,700</w:t>
            </w:r>
          </w:p>
        </w:tc>
        <w:tc>
          <w:tcPr>
            <w:tcW w:w="930"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1,768</w:t>
            </w:r>
          </w:p>
        </w:tc>
        <w:tc>
          <w:tcPr>
            <w:tcW w:w="931"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1,904</w:t>
            </w:r>
          </w:p>
        </w:tc>
        <w:tc>
          <w:tcPr>
            <w:tcW w:w="1128"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1,999</w:t>
            </w:r>
          </w:p>
        </w:tc>
      </w:tr>
      <w:tr>
        <w:trPr>
          <w:trHeight w:val="288" w:hRule="atLeast"/>
        </w:trPr>
        <w:tc>
          <w:tcPr>
            <w:tcW w:w="6400" w:type="dxa"/>
            <w:gridSpan w:val="5"/>
            <w:tcBorders>
              <w:left w:val="single" w:sz="8" w:space="0" w:color="000000"/>
              <w:bottom w:val="single" w:sz="8" w:space="0" w:color="000000"/>
              <w:right w:val="single" w:sz="8" w:space="0" w:color="000000"/>
            </w:tcBorders>
            <w:shd w:color="auto" w:fill="EEECE1" w:val="clear"/>
          </w:tcPr>
          <w:p>
            <w:pPr>
              <w:pStyle w:val="Normal"/>
              <w:widowControl w:val="false"/>
              <w:rPr>
                <w:rFonts w:ascii="Times New Roman" w:hAnsi="Times New Roman" w:eastAsia="Calibri"/>
                <w:b/>
                <w:b/>
                <w:bCs/>
                <w:color w:val="000000"/>
              </w:rPr>
            </w:pPr>
            <w:r>
              <w:rPr>
                <w:rFonts w:eastAsia="Calibri"/>
                <w:b/>
                <w:bCs/>
                <w:color w:val="000000"/>
              </w:rPr>
              <w:t>HFC blends</w:t>
            </w:r>
          </w:p>
        </w:tc>
      </w:tr>
      <w:tr>
        <w:trPr>
          <w:trHeight w:val="288" w:hRule="atLeast"/>
        </w:trPr>
        <w:tc>
          <w:tcPr>
            <w:tcW w:w="2480"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R</w:t>
              <w:noBreakHyphen/>
              <w:t>404A</w:t>
            </w:r>
          </w:p>
        </w:tc>
        <w:tc>
          <w:tcPr>
            <w:tcW w:w="931"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141.7</w:t>
            </w:r>
          </w:p>
        </w:tc>
        <w:tc>
          <w:tcPr>
            <w:tcW w:w="930"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152.6</w:t>
            </w:r>
          </w:p>
        </w:tc>
        <w:tc>
          <w:tcPr>
            <w:tcW w:w="931"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163.5</w:t>
            </w:r>
          </w:p>
        </w:tc>
        <w:tc>
          <w:tcPr>
            <w:tcW w:w="1128"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174.4</w:t>
            </w:r>
          </w:p>
        </w:tc>
      </w:tr>
      <w:tr>
        <w:trPr>
          <w:trHeight w:val="288" w:hRule="atLeast"/>
        </w:trPr>
        <w:tc>
          <w:tcPr>
            <w:tcW w:w="2480"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R</w:t>
              <w:noBreakHyphen/>
              <w:t>407C</w:t>
            </w:r>
          </w:p>
        </w:tc>
        <w:tc>
          <w:tcPr>
            <w:tcW w:w="931"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7.9</w:t>
            </w:r>
          </w:p>
        </w:tc>
        <w:tc>
          <w:tcPr>
            <w:tcW w:w="930"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10.2</w:t>
            </w:r>
          </w:p>
        </w:tc>
        <w:tc>
          <w:tcPr>
            <w:tcW w:w="931"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11.3</w:t>
            </w:r>
          </w:p>
        </w:tc>
        <w:tc>
          <w:tcPr>
            <w:tcW w:w="1128"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11.3</w:t>
            </w:r>
          </w:p>
        </w:tc>
      </w:tr>
      <w:tr>
        <w:trPr>
          <w:trHeight w:val="288" w:hRule="atLeast"/>
        </w:trPr>
        <w:tc>
          <w:tcPr>
            <w:tcW w:w="2480"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R</w:t>
              <w:noBreakHyphen/>
              <w:t>410A</w:t>
            </w:r>
          </w:p>
        </w:tc>
        <w:tc>
          <w:tcPr>
            <w:tcW w:w="931"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282.5</w:t>
            </w:r>
          </w:p>
        </w:tc>
        <w:tc>
          <w:tcPr>
            <w:tcW w:w="930"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293.8</w:t>
            </w:r>
          </w:p>
        </w:tc>
        <w:tc>
          <w:tcPr>
            <w:tcW w:w="931"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316.4</w:t>
            </w:r>
          </w:p>
        </w:tc>
        <w:tc>
          <w:tcPr>
            <w:tcW w:w="1128"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327.7</w:t>
            </w:r>
          </w:p>
        </w:tc>
      </w:tr>
      <w:tr>
        <w:trPr>
          <w:trHeight w:val="288" w:hRule="atLeast"/>
        </w:trPr>
        <w:tc>
          <w:tcPr>
            <w:tcW w:w="6400" w:type="dxa"/>
            <w:gridSpan w:val="5"/>
            <w:tcBorders>
              <w:left w:val="single" w:sz="8" w:space="0" w:color="000000"/>
              <w:bottom w:val="single" w:sz="8" w:space="0" w:color="000000"/>
              <w:right w:val="single" w:sz="8" w:space="0" w:color="000000"/>
            </w:tcBorders>
            <w:shd w:color="auto" w:fill="EEECE1" w:val="clear"/>
          </w:tcPr>
          <w:p>
            <w:pPr>
              <w:pStyle w:val="Normal"/>
              <w:widowControl w:val="false"/>
              <w:rPr>
                <w:rFonts w:ascii="Times New Roman" w:hAnsi="Times New Roman" w:eastAsia="Calibri"/>
                <w:b/>
                <w:b/>
                <w:bCs/>
                <w:color w:val="000000"/>
              </w:rPr>
            </w:pPr>
            <w:r>
              <w:rPr>
                <w:rFonts w:eastAsia="Calibri"/>
                <w:b/>
                <w:bCs/>
                <w:color w:val="000000"/>
              </w:rPr>
              <w:t>Other alternatives</w:t>
            </w:r>
          </w:p>
        </w:tc>
      </w:tr>
      <w:tr>
        <w:trPr>
          <w:trHeight w:val="288" w:hRule="atLeast"/>
        </w:trPr>
        <w:tc>
          <w:tcPr>
            <w:tcW w:w="2480"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Methyl formate</w:t>
            </w:r>
          </w:p>
        </w:tc>
        <w:tc>
          <w:tcPr>
            <w:tcW w:w="931"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1.2</w:t>
            </w:r>
          </w:p>
        </w:tc>
        <w:tc>
          <w:tcPr>
            <w:tcW w:w="930"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2.4</w:t>
            </w:r>
          </w:p>
        </w:tc>
        <w:tc>
          <w:tcPr>
            <w:tcW w:w="931"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1.2</w:t>
            </w:r>
          </w:p>
        </w:tc>
        <w:tc>
          <w:tcPr>
            <w:tcW w:w="1128"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3.6</w:t>
            </w:r>
          </w:p>
        </w:tc>
      </w:tr>
      <w:tr>
        <w:trPr>
          <w:trHeight w:val="288" w:hRule="atLeast"/>
        </w:trPr>
        <w:tc>
          <w:tcPr>
            <w:tcW w:w="2480"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HC</w:t>
              <w:noBreakHyphen/>
              <w:t>600a</w:t>
            </w:r>
          </w:p>
        </w:tc>
        <w:tc>
          <w:tcPr>
            <w:tcW w:w="931"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0.07</w:t>
            </w:r>
          </w:p>
        </w:tc>
        <w:tc>
          <w:tcPr>
            <w:tcW w:w="930"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0.13</w:t>
            </w:r>
          </w:p>
        </w:tc>
        <w:tc>
          <w:tcPr>
            <w:tcW w:w="931"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0.13</w:t>
            </w:r>
          </w:p>
        </w:tc>
        <w:tc>
          <w:tcPr>
            <w:tcW w:w="1128"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0.65</w:t>
            </w:r>
          </w:p>
        </w:tc>
      </w:tr>
      <w:tr>
        <w:trPr>
          <w:trHeight w:val="288" w:hRule="atLeast"/>
        </w:trPr>
        <w:tc>
          <w:tcPr>
            <w:tcW w:w="2480"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R</w:t>
              <w:noBreakHyphen/>
              <w:t>717</w:t>
            </w:r>
          </w:p>
        </w:tc>
        <w:tc>
          <w:tcPr>
            <w:tcW w:w="931"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1.5</w:t>
            </w:r>
          </w:p>
        </w:tc>
        <w:tc>
          <w:tcPr>
            <w:tcW w:w="930"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0</w:t>
            </w:r>
          </w:p>
        </w:tc>
        <w:tc>
          <w:tcPr>
            <w:tcW w:w="931"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0</w:t>
            </w:r>
          </w:p>
        </w:tc>
        <w:tc>
          <w:tcPr>
            <w:tcW w:w="1128" w:type="dxa"/>
            <w:tcBorders>
              <w:bottom w:val="single" w:sz="8" w:space="0" w:color="000000"/>
              <w:right w:val="single" w:sz="8" w:space="0" w:color="000000"/>
            </w:tcBorders>
          </w:tcPr>
          <w:p>
            <w:pPr>
              <w:pStyle w:val="Normal"/>
              <w:widowControl w:val="false"/>
              <w:jc w:val="right"/>
              <w:rPr>
                <w:rFonts w:ascii="Times New Roman" w:hAnsi="Times New Roman" w:eastAsia="Calibri"/>
                <w:color w:val="000000"/>
              </w:rPr>
            </w:pPr>
            <w:r>
              <w:rPr>
                <w:rFonts w:eastAsia="Calibri"/>
                <w:color w:val="000000"/>
              </w:rPr>
              <w:t>1.5</w:t>
            </w:r>
          </w:p>
        </w:tc>
      </w:tr>
    </w:tbl>
    <w:p>
      <w:pPr>
        <w:pStyle w:val="Normal"/>
        <w:jc w:val="both"/>
        <w:rPr>
          <w:rFonts w:ascii="Times New Roman" w:hAnsi="Times New Roman"/>
        </w:rPr>
      </w:pPr>
      <w:r>
        <w:rPr/>
      </w:r>
    </w:p>
    <w:p>
      <w:pPr>
        <w:pStyle w:val="Default"/>
        <w:jc w:val="both"/>
        <w:rPr>
          <w:bCs/>
        </w:rPr>
      </w:pPr>
      <w:r>
        <w:rPr>
          <w:bCs/>
        </w:rPr>
        <w:t xml:space="preserve">The conversion of the domestic refrigeration sub-sector to HFC-134a at an early stage is the reason for the large quantities of HFC-134a use.  HFC-134a is also used in chillers and air conditioning equipment.  </w:t>
      </w:r>
    </w:p>
    <w:p>
      <w:pPr>
        <w:pStyle w:val="Default"/>
        <w:jc w:val="both"/>
        <w:rPr>
          <w:bCs/>
        </w:rPr>
      </w:pPr>
      <w:r>
        <w:rPr>
          <w:bCs/>
        </w:rPr>
      </w:r>
    </w:p>
    <w:p>
      <w:pPr>
        <w:pStyle w:val="Default"/>
        <w:jc w:val="both"/>
        <w:rPr>
          <w:bCs/>
        </w:rPr>
      </w:pPr>
      <w:r>
        <w:rPr>
          <w:bCs/>
        </w:rPr>
        <w:t>R-404A is used in the refrigeration sub-sector and of R-407C in chillers has been in use in Cameroon for over ten years.  The bank of R-404A is growing since it is used in both locally manufactured and imported units. As Europe phases out the use of R-404A, more second hand equipment is expected to be sent to Cameroon, amongst other destinations.</w:t>
      </w:r>
    </w:p>
    <w:p>
      <w:pPr>
        <w:pStyle w:val="Default"/>
        <w:jc w:val="both"/>
        <w:rPr>
          <w:bCs/>
        </w:rPr>
      </w:pPr>
      <w:r>
        <w:rPr>
          <w:bCs/>
        </w:rPr>
      </w:r>
    </w:p>
    <w:p>
      <w:pPr>
        <w:pStyle w:val="Default"/>
        <w:jc w:val="both"/>
        <w:rPr>
          <w:bCs/>
        </w:rPr>
      </w:pPr>
      <w:r>
        <w:rPr>
          <w:bCs/>
        </w:rPr>
        <w:t>The use of R-410A is second to R-134a in metric tonnes since this alternative is increasingly being used in the commercial and central air conditioning applications like rooftop packaged units and large splits.  The high leakage rates of this equipment contribute to the high consumption.</w:t>
      </w:r>
    </w:p>
    <w:p>
      <w:pPr>
        <w:pStyle w:val="Default"/>
        <w:jc w:val="both"/>
        <w:rPr>
          <w:bCs/>
        </w:rPr>
      </w:pPr>
      <w:r>
        <w:rPr>
          <w:bCs/>
        </w:rPr>
      </w:r>
    </w:p>
    <w:p>
      <w:pPr>
        <w:pStyle w:val="Default"/>
        <w:ind w:left="720" w:hanging="0"/>
        <w:jc w:val="both"/>
        <w:rPr>
          <w:bCs/>
        </w:rPr>
      </w:pPr>
      <w:r>
        <w:rPr>
          <w:bCs/>
        </w:rPr>
      </w:r>
    </w:p>
    <w:p>
      <w:pPr>
        <w:pStyle w:val="Default"/>
        <w:numPr>
          <w:ilvl w:val="0"/>
          <w:numId w:val="34"/>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Cameroon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jc w:val="both"/>
        <w:rPr>
          <w:bCs/>
        </w:rPr>
      </w:pPr>
      <w:r>
        <w:rPr>
          <w:bCs/>
        </w:rPr>
      </w:r>
    </w:p>
    <w:p>
      <w:pPr>
        <w:pStyle w:val="Default"/>
        <w:numPr>
          <w:ilvl w:val="0"/>
          <w:numId w:val="34"/>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35"/>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35"/>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36"/>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r>
        <w:trPr/>
        <w:tc>
          <w:tcPr>
            <w:tcW w:w="3743" w:type="dxa"/>
            <w:tcBorders/>
          </w:tcPr>
          <w:p>
            <w:pPr>
              <w:pStyle w:val="Normal"/>
              <w:keepNext w:val="true"/>
              <w:widowControl w:val="false"/>
              <w:spacing w:before="0" w:after="0"/>
              <w:jc w:val="left"/>
              <w:rPr>
                <w:rFonts w:ascii="Times New Roman" w:hAnsi="Times New Roman"/>
                <w:bCs/>
              </w:rPr>
            </w:pPr>
            <w:r>
              <w:rPr>
                <w:bCs/>
                <w:kern w:val="0"/>
                <w:lang w:val="en-US" w:eastAsia="en-US" w:bidi="ar-SA"/>
              </w:rPr>
              <w:t xml:space="preserve">Training of technicians on reducing refrigerant emissions as well as on the use of flammable and toxic low-GWP alternatives </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Training centers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Training sessions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handling all type of refrigerants fostered among training centers</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36"/>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36"/>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35"/>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1232"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of the refrigeration and air-conditioning (RAC) servicing sector (formal and informal sector)</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Accurate analysis of the characteristics of the servicing sector made</w:t>
            </w:r>
          </w:p>
        </w:tc>
      </w:tr>
      <w:tr>
        <w:trPr>
          <w:trHeight w:val="1835"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Survey to cover the sectors that have not been analyzed in the ODS alternatives survey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Complete view of the current ODS alternatives’ consumption finalized </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64"/>
          <w:headerReference w:type="default" r:id="rId65"/>
          <w:footerReference w:type="even" r:id="rId66"/>
          <w:footerReference w:type="default" r:id="rId67"/>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34"/>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vMerge w:val="restart"/>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592" w:hRule="atLeast"/>
        </w:trPr>
        <w:tc>
          <w:tcPr>
            <w:tcW w:w="4479" w:type="dxa"/>
            <w:vMerge w:val="continue"/>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b.1.2. Training of technicians on reducing refrigerant emissions as well as on the use of flammable and toxic low-GWP alternatives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10,000</w:t>
            </w:r>
          </w:p>
        </w:tc>
      </w:tr>
      <w:tr>
        <w:trPr>
          <w:trHeight w:val="620"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70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Preparation for national strategies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c.1. Assessment of the refrigeration and air-conditioning servicing sector</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7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c.2. Survey to cover the sectors that have not been analyzed in the ODS alternatives survey.</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c.3.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150,000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vMerge w:val="continue"/>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b.1.2.</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r>
      <w:tr>
        <w:trPr>
          <w:trHeight w:val="31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c.2.</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68"/>
          <w:headerReference w:type="default" r:id="rId69"/>
          <w:footerReference w:type="even" r:id="rId70"/>
          <w:footerReference w:type="default" r:id="rId71"/>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34"/>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Ministry of Environment, Nature Protection and Sustainable Development,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Republic of Congo</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Republic of Congo</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US$150,000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Normal"/>
        <w:rPr>
          <w:rFonts w:ascii="Times New Roman" w:hAnsi="Times New Roman"/>
        </w:rPr>
      </w:pPr>
      <w:r>
        <w:rPr/>
        <w:t>The Government of Republic of Congo as well as UNIDO, as the implementing agency, confirm that implementation of the enabling activities would not delay implementation of HCFC phase-out projects.</w:t>
      </w:r>
    </w:p>
    <w:p>
      <w:pPr>
        <w:pStyle w:val="Normal"/>
        <w:rPr>
          <w:rFonts w:ascii="Times New Roman" w:hAnsi="Times New Roman"/>
        </w:rPr>
      </w:pPr>
      <w:r>
        <w:rPr/>
        <w:t>The Government of Republic of Congo confirms its intention to make best efforts to ratify the Kigali Amendment as early as possible.</w:t>
      </w:r>
    </w:p>
    <w:p>
      <w:pPr>
        <w:pStyle w:val="Normal"/>
        <w:rPr>
          <w:rFonts w:ascii="Times New Roman" w:hAnsi="Times New Roman"/>
        </w:rPr>
      </w:pPr>
      <w:r>
        <w:rPr/>
        <w:t>The Government of Republic of Congo confirms that all activities under Enabling Activities will be implemented following model that UNIDO will administer the funds (UNIDO's execution),  including financial rules; procurement manual and human resource management; recruitment rules and regulations.</w:t>
      </w:r>
    </w:p>
    <w:p>
      <w:pPr>
        <w:pStyle w:val="Default"/>
        <w:numPr>
          <w:ilvl w:val="0"/>
          <w:numId w:val="37"/>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HCFC baseline consumption in the Republic of Congo is 10.14 ODP tonnes.</w:t>
      </w:r>
    </w:p>
    <w:p>
      <w:pPr>
        <w:pStyle w:val="Default"/>
        <w:jc w:val="both"/>
        <w:rPr>
          <w:bCs/>
          <w:highlight w:val="yellow"/>
        </w:rPr>
      </w:pPr>
      <w:r>
        <w:rPr>
          <w:bCs/>
          <w:highlight w:val="yellow"/>
        </w:rPr>
      </w:r>
    </w:p>
    <w:p>
      <w:pPr>
        <w:pStyle w:val="Default"/>
        <w:jc w:val="both"/>
        <w:rPr>
          <w:bCs/>
        </w:rPr>
      </w:pPr>
      <w:r>
        <w:rPr>
          <w:bCs/>
        </w:rPr>
        <w:t>The ODS alternatives survey recently completed in the Republic of Congo shows that in the period 2012-2015 an average amount of more than 83.9 metric tonnes of HFCs have been consumed every year.</w:t>
      </w:r>
    </w:p>
    <w:p>
      <w:pPr>
        <w:pStyle w:val="Default"/>
        <w:spacing w:before="240" w:after="0"/>
        <w:jc w:val="both"/>
        <w:rPr>
          <w:bCs/>
        </w:rPr>
      </w:pPr>
      <w:r>
        <w:rPr>
          <w:bCs/>
        </w:rPr>
        <w:t xml:space="preserve">The most common HFCs for all sectors are HFC-134a (more than 52 % of average) and HFC-410A (almost 35 % of average). In terms of GWP, these are the substances with highest GWP,, </w:t>
      </w:r>
      <w:r>
        <w:rPr/>
        <w:t>1,430 (</w:t>
      </w:r>
      <w:r>
        <w:rPr>
          <w:bCs/>
        </w:rPr>
        <w:t>HFC-134a)</w:t>
      </w:r>
      <w:r>
        <w:rPr/>
        <w:t xml:space="preserve"> and </w:t>
      </w:r>
      <w:r>
        <w:rPr>
          <w:bCs/>
        </w:rPr>
        <w:t xml:space="preserve"> </w:t>
      </w:r>
      <w:r>
        <w:rPr/>
        <w:t>2,088 (</w:t>
      </w:r>
      <w:r>
        <w:rPr>
          <w:bCs/>
        </w:rPr>
        <w:t>HFC-410A ).</w:t>
      </w:r>
    </w:p>
    <w:p>
      <w:pPr>
        <w:pStyle w:val="Default"/>
        <w:spacing w:before="240" w:after="0"/>
        <w:jc w:val="both"/>
        <w:rPr/>
      </w:pPr>
      <w:r>
        <w:rPr>
          <w:bCs/>
        </w:rPr>
        <w:t xml:space="preserve">All consumption of HFCs is found in servicing sector. The installations with the charge of HFC and other alternatives are found in </w:t>
      </w:r>
      <w:r>
        <w:rPr>
          <w:color w:val="151515"/>
          <w:shd w:fill="FFFFFF" w:val="clear"/>
        </w:rPr>
        <w:t xml:space="preserve">Domestic refrigeration, </w:t>
      </w:r>
      <w:r>
        <w:rPr/>
        <w:t>commercial refrigeration, industrial refrigeration, transport refrigeration, stationery air conditioning and mobile air conditioning.</w:t>
      </w:r>
    </w:p>
    <w:p>
      <w:pPr>
        <w:pStyle w:val="Default"/>
        <w:spacing w:before="240" w:after="0"/>
        <w:jc w:val="both"/>
        <w:rPr>
          <w:bCs/>
        </w:rPr>
      </w:pPr>
      <w:r>
        <w:rPr/>
        <w:t>Domestic and commercial refrigeration sub-sectors has a total of 150,058 equipment installed  (98.43%),  followed by industrial refrigeration sub-sector with 2, 397equipment installed (1.57%).</w:t>
      </w:r>
      <w:r>
        <w:rPr>
          <w:bCs/>
        </w:rPr>
        <w:t xml:space="preserve"> </w:t>
      </w:r>
    </w:p>
    <w:p>
      <w:pPr>
        <w:pStyle w:val="Default"/>
        <w:jc w:val="both"/>
        <w:rPr>
          <w:bCs/>
        </w:rPr>
      </w:pPr>
      <w:r>
        <w:rPr>
          <w:bCs/>
        </w:rPr>
      </w:r>
    </w:p>
    <w:p>
      <w:pPr>
        <w:pStyle w:val="Default"/>
        <w:ind w:left="720" w:hanging="0"/>
        <w:jc w:val="both"/>
        <w:rPr>
          <w:bCs/>
        </w:rPr>
      </w:pPr>
      <w:r>
        <w:rPr>
          <w:bCs/>
        </w:rPr>
      </w:r>
    </w:p>
    <w:p>
      <w:pPr>
        <w:pStyle w:val="Default"/>
        <w:numPr>
          <w:ilvl w:val="0"/>
          <w:numId w:val="37"/>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Republic of Congo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jc w:val="both"/>
        <w:rPr>
          <w:bCs/>
        </w:rPr>
      </w:pPr>
      <w:r>
        <w:rPr>
          <w:bCs/>
        </w:rPr>
      </w:r>
    </w:p>
    <w:p>
      <w:pPr>
        <w:pStyle w:val="Default"/>
        <w:numPr>
          <w:ilvl w:val="0"/>
          <w:numId w:val="37"/>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38"/>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Proper technical, administrative and financial support to the NOU to be provided by Implementing Agency/ UNIDO.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38"/>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39"/>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Necessary </w:t>
      </w:r>
      <w:r>
        <w:rPr/>
        <w:t>technical, administrative and financial support to be provided by Implementing Agency/ UNIDO.</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39"/>
        </w:numPr>
        <w:ind w:left="1440" w:hanging="720"/>
        <w:rPr>
          <w:i/>
          <w:i/>
        </w:rPr>
      </w:pPr>
      <w:r>
        <w:rPr>
          <w:bCs/>
          <w:i/>
        </w:rPr>
        <w:t>Review of licensing systems</w:t>
      </w:r>
    </w:p>
    <w:p>
      <w:pPr>
        <w:pStyle w:val="Default"/>
        <w:ind w:left="1080" w:hanging="0"/>
        <w:rPr/>
      </w:pPr>
      <w:r>
        <w:rPr/>
      </w:r>
    </w:p>
    <w:p>
      <w:pPr>
        <w:pStyle w:val="Default"/>
        <w:ind w:left="720" w:hanging="0"/>
        <w:jc w:val="both"/>
        <w:rPr/>
      </w:pPr>
      <w:r>
        <w:rPr/>
        <w:t>Properly established and functioning licensing systems play a key role in sustaining the impressive results achieved so far under the Montreal Protocol and also in facilitating the realization of new, ambitious strategies. Technical, administrative and financial support, to be provided by Implementing Agency/ UNIDO.</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39"/>
        </w:numPr>
        <w:ind w:left="1440" w:hanging="720"/>
        <w:rPr>
          <w:i/>
          <w:i/>
        </w:rPr>
      </w:pPr>
      <w:r>
        <w:rPr>
          <w:bCs/>
          <w:i/>
        </w:rPr>
        <w:t xml:space="preserve">Data reporting on HFC consumption </w:t>
      </w:r>
    </w:p>
    <w:p>
      <w:pPr>
        <w:pStyle w:val="Default"/>
        <w:rPr/>
      </w:pPr>
      <w:r>
        <w:rPr/>
      </w:r>
    </w:p>
    <w:p>
      <w:pPr>
        <w:pStyle w:val="Default"/>
        <w:jc w:val="both"/>
        <w:rPr/>
      </w:pPr>
      <w:r>
        <w:rPr/>
        <w:t>National data reporting is the backbone of the strategic planning, monitoring and evaluation of the institutions of the Montreal Protocol. Proper technical, administrative and financial support to the NOU and to cooperating organizations, e.g. custom authorities; to be provided by Implementing Agency/ UNIDO.</w:t>
      </w:r>
    </w:p>
    <w:p>
      <w:pPr>
        <w:pStyle w:val="Default"/>
        <w:ind w:left="720" w:hanging="0"/>
        <w:jc w:val="both"/>
        <w:rPr/>
      </w:pPr>
      <w:r>
        <w:rPr/>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38"/>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1232"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of the refrigeration and air-conditioning servicing sector (formal and informal sector)</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Accurate analysis of the characteristics of the servicing sector made</w:t>
            </w:r>
          </w:p>
        </w:tc>
      </w:tr>
      <w:tr>
        <w:trPr>
          <w:trHeight w:val="1835"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Inventory of the refrigeration and air-conditioning units currently used in the country and projections for next years (including a chapter on energy efficiency options for these devices) </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the current and future national market of RAC devices increased among decision makers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72"/>
          <w:headerReference w:type="default" r:id="rId73"/>
          <w:footerReference w:type="even" r:id="rId74"/>
          <w:footerReference w:type="default" r:id="rId75"/>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37"/>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620"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70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Preparation for national strategies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c.1. Assessment of the refrigeration and air-conditioning servicing sector</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7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c.2. Inventory of the refrigeration and air-conditioning devices.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c.3.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150,000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c.2.</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76"/>
          <w:headerReference w:type="default" r:id="rId77"/>
          <w:footerReference w:type="even" r:id="rId78"/>
          <w:footerReference w:type="default" r:id="rId79"/>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37"/>
        </w:numPr>
        <w:ind w:left="360" w:hanging="360"/>
        <w:jc w:val="both"/>
        <w:rPr/>
      </w:pPr>
      <w:r>
        <w:rPr>
          <w:b/>
          <w:bCs/>
        </w:rPr>
        <w:t>Institutional</w:t>
      </w:r>
      <w:r>
        <w:rPr/>
        <w:t xml:space="preserve"> </w:t>
      </w:r>
      <w:r>
        <w:rPr>
          <w:b/>
        </w:rPr>
        <w:t>arrangements</w:t>
      </w:r>
    </w:p>
    <w:p>
      <w:pPr>
        <w:pStyle w:val="Default"/>
        <w:jc w:val="both"/>
        <w:rPr/>
      </w:pPr>
      <w:r>
        <w:rPr/>
      </w:r>
    </w:p>
    <w:p>
      <w:pPr>
        <w:pStyle w:val="NormalWeb"/>
        <w:rPr>
          <w:color w:val="000000"/>
        </w:rPr>
      </w:pPr>
      <w:r>
        <w:rPr/>
        <w:t>The National Ozone Unit (NOU) (</w:t>
      </w:r>
      <w:r>
        <w:rPr>
          <w:bCs/>
          <w:color w:val="000000"/>
        </w:rPr>
        <w:t>National Bureau Ozone</w:t>
      </w:r>
      <w:r>
        <w:rPr/>
        <w:t>, Congo) belonging to the Ministry of Environment,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Gambia</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Gambia</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US$95,000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 xml:space="preserve">The Government of Gambia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Gambia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Gambia confirms that all activities under Enabling Activities will be implemented following model that UNIDO will administer the funds (UNIDO's execution) instead of national execution.</w:t>
      </w:r>
    </w:p>
    <w:p>
      <w:pPr>
        <w:pStyle w:val="Default"/>
        <w:jc w:val="both"/>
        <w:rPr>
          <w:bCs/>
        </w:rPr>
      </w:pPr>
      <w:r>
        <w:rPr>
          <w:bCs/>
        </w:rPr>
      </w:r>
    </w:p>
    <w:p>
      <w:pPr>
        <w:pStyle w:val="Default"/>
        <w:jc w:val="both"/>
        <w:rPr>
          <w:bCs/>
        </w:rPr>
      </w:pPr>
      <w:r>
        <w:rPr>
          <w:bCs/>
        </w:rPr>
      </w:r>
    </w:p>
    <w:p>
      <w:pPr>
        <w:pStyle w:val="Default"/>
        <w:numPr>
          <w:ilvl w:val="0"/>
          <w:numId w:val="40"/>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of Gambia amounts to 1.5 ODP tonnes.</w:t>
      </w:r>
    </w:p>
    <w:p>
      <w:pPr>
        <w:pStyle w:val="Default"/>
        <w:jc w:val="both"/>
        <w:rPr>
          <w:bCs/>
          <w:highlight w:val="yellow"/>
        </w:rPr>
      </w:pPr>
      <w:r>
        <w:rPr>
          <w:bCs/>
          <w:highlight w:val="yellow"/>
        </w:rPr>
      </w:r>
    </w:p>
    <w:p>
      <w:pPr>
        <w:pStyle w:val="Default"/>
        <w:jc w:val="both"/>
        <w:rPr>
          <w:bCs/>
        </w:rPr>
      </w:pPr>
      <w:r>
        <w:rPr>
          <w:bCs/>
        </w:rPr>
        <w:t>The major ODS alternatives in use in the country are R-134a, R-404A, R-407C, R-410A, and R-600a. These are used in sectors and subsectors mainly in the Refrigeration and Air conditioning servicing and installation.</w:t>
      </w:r>
    </w:p>
    <w:p>
      <w:pPr>
        <w:pStyle w:val="Default"/>
        <w:jc w:val="both"/>
        <w:rPr>
          <w:bCs/>
        </w:rPr>
      </w:pPr>
      <w:r>
        <w:rPr>
          <w:bCs/>
        </w:rPr>
      </w:r>
    </w:p>
    <w:p>
      <w:pPr>
        <w:pStyle w:val="Default"/>
        <w:jc w:val="both"/>
        <w:rPr>
          <w:bCs/>
        </w:rPr>
      </w:pPr>
      <w:r>
        <w:rPr>
          <w:bCs/>
        </w:rPr>
        <w:t>Consumption of ODS alternatives are generally on the increase from 2012 to 2015 while consumption of HCFC-22 is on the decline in compliance with the accelerated HCFC phase out provisions. Though the use of ODS Alternatives are increasing in most sectors, HCFC-22 is still the predominant refrigerant in the refrigeration and air conditioning sector.</w:t>
      </w:r>
    </w:p>
    <w:p>
      <w:pPr>
        <w:pStyle w:val="Default"/>
        <w:jc w:val="both"/>
        <w:rPr>
          <w:bCs/>
        </w:rPr>
      </w:pPr>
      <w:r>
        <w:rPr>
          <w:bCs/>
        </w:rPr>
      </w:r>
    </w:p>
    <w:p>
      <w:pPr>
        <w:pStyle w:val="Default"/>
        <w:jc w:val="both"/>
        <w:rPr>
          <w:bCs/>
        </w:rPr>
      </w:pPr>
      <w:r>
        <w:rPr>
          <w:bCs/>
        </w:rPr>
        <w:t>The table below summarizes the current consumption of ODS alternatives in the country</w:t>
      </w:r>
    </w:p>
    <w:p>
      <w:pPr>
        <w:pStyle w:val="Default"/>
        <w:jc w:val="both"/>
        <w:rPr>
          <w:bCs/>
        </w:rPr>
      </w:pPr>
      <w:r>
        <w:rPr>
          <w:bCs/>
        </w:rPr>
      </w:r>
    </w:p>
    <w:p>
      <w:pPr>
        <w:pStyle w:val="Default"/>
        <w:jc w:val="both"/>
        <w:rPr>
          <w:bCs/>
        </w:rPr>
      </w:pPr>
      <w:r>
        <w:rPr>
          <w:bCs/>
        </w:rPr>
      </w:r>
    </w:p>
    <w:p>
      <w:pPr>
        <w:pStyle w:val="Default"/>
        <w:jc w:val="both"/>
        <w:rPr>
          <w:bCs/>
        </w:rPr>
      </w:pPr>
      <w:r>
        <w:rPr>
          <w:bCs/>
        </w:rPr>
      </w:r>
    </w:p>
    <w:p>
      <w:pPr>
        <w:pStyle w:val="Default"/>
        <w:jc w:val="both"/>
        <w:rPr>
          <w:bCs/>
        </w:rPr>
      </w:pPr>
      <w:r>
        <w:rPr>
          <w:bCs/>
        </w:rPr>
      </w:r>
    </w:p>
    <w:p>
      <w:pPr>
        <w:pStyle w:val="Default"/>
        <w:jc w:val="both"/>
        <w:rPr>
          <w:bCs/>
        </w:rPr>
      </w:pPr>
      <w:r>
        <w:rPr>
          <w:bCs/>
        </w:rPr>
      </w:r>
    </w:p>
    <w:p>
      <w:pPr>
        <w:pStyle w:val="Default"/>
        <w:jc w:val="both"/>
        <w:rPr>
          <w:bCs/>
        </w:rPr>
      </w:pPr>
      <w:r>
        <w:rPr>
          <w:bCs/>
        </w:rPr>
      </w:r>
    </w:p>
    <w:p>
      <w:pPr>
        <w:pStyle w:val="Default"/>
        <w:jc w:val="both"/>
        <w:rPr>
          <w:bCs/>
        </w:rPr>
      </w:pPr>
      <w:r>
        <w:rPr>
          <w:bCs/>
        </w:rPr>
      </w:r>
    </w:p>
    <w:p>
      <w:pPr>
        <w:pStyle w:val="Normal"/>
        <w:widowControl/>
        <w:spacing w:lineRule="auto" w:line="276" w:before="0" w:after="200"/>
        <w:rPr>
          <w:rFonts w:ascii="Times New Roman" w:hAnsi="Times New Roman" w:eastAsia="Calibri" w:eastAsiaTheme="minorHAnsi"/>
          <w:b/>
          <w:b/>
          <w:bCs/>
          <w:color w:val="000000"/>
        </w:rPr>
      </w:pPr>
      <w:r>
        <w:rPr>
          <w:rFonts w:eastAsia="Calibri" w:eastAsiaTheme="minorHAnsi"/>
          <w:b/>
          <w:bCs/>
          <w:color w:val="000000"/>
        </w:rPr>
      </w:r>
      <w:r>
        <w:br w:type="page"/>
      </w:r>
    </w:p>
    <w:p>
      <w:pPr>
        <w:pStyle w:val="Default"/>
        <w:jc w:val="center"/>
        <w:rPr>
          <w:b/>
          <w:b/>
          <w:bCs/>
        </w:rPr>
      </w:pPr>
      <w:r>
        <w:rPr>
          <w:b/>
          <w:bCs/>
        </w:rPr>
        <w:t>Table 1. Use of ODS alternatives 2012 - 2015</w:t>
      </w:r>
    </w:p>
    <w:p>
      <w:pPr>
        <w:pStyle w:val="Default"/>
        <w:jc w:val="both"/>
        <w:rPr>
          <w:bCs/>
        </w:rPr>
      </w:pPr>
      <w:r>
        <w:rPr>
          <w:bCs/>
        </w:rPr>
      </w:r>
    </w:p>
    <w:tbl>
      <w:tblPr>
        <w:tblW w:w="4650" w:type="pct"/>
        <w:jc w:val="center"/>
        <w:tblInd w:w="0" w:type="dxa"/>
        <w:tblLayout w:type="fixed"/>
        <w:tblCellMar>
          <w:top w:w="0" w:type="dxa"/>
          <w:left w:w="115" w:type="dxa"/>
          <w:bottom w:w="0" w:type="dxa"/>
          <w:right w:w="115" w:type="dxa"/>
        </w:tblCellMar>
        <w:tblLook w:val="04a0" w:noHBand="0" w:noVBand="1" w:firstColumn="1" w:lastRow="0" w:lastColumn="0" w:firstRow="1"/>
      </w:tblPr>
      <w:tblGrid>
        <w:gridCol w:w="3179"/>
        <w:gridCol w:w="1303"/>
        <w:gridCol w:w="1415"/>
        <w:gridCol w:w="1302"/>
        <w:gridCol w:w="1505"/>
      </w:tblGrid>
      <w:tr>
        <w:trPr>
          <w:trHeight w:val="288" w:hRule="atLeast"/>
        </w:trPr>
        <w:tc>
          <w:tcPr>
            <w:tcW w:w="3179" w:type="dxa"/>
            <w:vMerge w:val="restart"/>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rPr>
            </w:pPr>
            <w:r>
              <w:rPr>
                <w:rStyle w:val="BookTitle"/>
                <w:rFonts w:eastAsia="Calibri" w:eastAsiaTheme="minorHAnsi"/>
                <w:bCs/>
              </w:rPr>
              <w:t>Alternative</w:t>
            </w:r>
          </w:p>
        </w:tc>
        <w:tc>
          <w:tcPr>
            <w:tcW w:w="5525" w:type="dxa"/>
            <w:gridSpan w:val="4"/>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bCs/>
              </w:rPr>
            </w:pPr>
            <w:r>
              <w:rPr>
                <w:rStyle w:val="BookTitle"/>
                <w:rFonts w:eastAsia="Calibri" w:eastAsiaTheme="minorHAnsi"/>
                <w:bCs/>
              </w:rPr>
              <w:t>Estimated use (Mt)</w:t>
            </w:r>
          </w:p>
        </w:tc>
      </w:tr>
      <w:tr>
        <w:trPr>
          <w:trHeight w:val="288" w:hRule="atLeast"/>
        </w:trPr>
        <w:tc>
          <w:tcPr>
            <w:tcW w:w="3179" w:type="dxa"/>
            <w:vMerge w:val="continue"/>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rPr>
            </w:pPr>
            <w:r>
              <w:rPr>
                <w:rFonts w:eastAsia="Calibri" w:eastAsiaTheme="minorHAnsi"/>
                <w:b w:val="false"/>
                <w:bCs/>
              </w:rPr>
            </w:r>
          </w:p>
        </w:tc>
        <w:tc>
          <w:tcPr>
            <w:tcW w:w="1303"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2012</w:t>
            </w:r>
          </w:p>
        </w:tc>
        <w:tc>
          <w:tcPr>
            <w:tcW w:w="141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2013</w:t>
            </w:r>
          </w:p>
        </w:tc>
        <w:tc>
          <w:tcPr>
            <w:tcW w:w="1302"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2014</w:t>
            </w:r>
          </w:p>
        </w:tc>
        <w:tc>
          <w:tcPr>
            <w:tcW w:w="150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2015</w:t>
            </w:r>
          </w:p>
        </w:tc>
      </w:tr>
      <w:tr>
        <w:trPr>
          <w:trHeight w:val="288" w:hRule="atLeast"/>
        </w:trPr>
        <w:tc>
          <w:tcPr>
            <w:tcW w:w="8704" w:type="dxa"/>
            <w:gridSpan w:val="5"/>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i w:val="false"/>
                <w:i w:val="false"/>
              </w:rPr>
            </w:pPr>
            <w:r>
              <w:rPr>
                <w:rStyle w:val="BookTitle"/>
                <w:rFonts w:eastAsia="Calibri" w:eastAsiaTheme="minorHAnsi"/>
                <w:bCs/>
              </w:rPr>
              <w:t>HFC*</w:t>
            </w:r>
          </w:p>
        </w:tc>
      </w:tr>
      <w:tr>
        <w:trPr>
          <w:trHeight w:val="288" w:hRule="atLeast"/>
        </w:trPr>
        <w:tc>
          <w:tcPr>
            <w:tcW w:w="3179"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rPr>
            </w:pPr>
            <w:r>
              <w:rPr>
                <w:rStyle w:val="BookTitle"/>
                <w:rFonts w:eastAsia="Calibri" w:eastAsiaTheme="minorHAnsi"/>
                <w:bCs/>
              </w:rPr>
              <w:t>HFC</w:t>
              <w:noBreakHyphen/>
              <w:t>134a</w:t>
            </w:r>
          </w:p>
        </w:tc>
        <w:tc>
          <w:tcPr>
            <w:tcW w:w="1303"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9</w:t>
            </w:r>
          </w:p>
        </w:tc>
        <w:tc>
          <w:tcPr>
            <w:tcW w:w="141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11</w:t>
            </w:r>
          </w:p>
        </w:tc>
        <w:tc>
          <w:tcPr>
            <w:tcW w:w="1302"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13</w:t>
            </w:r>
          </w:p>
        </w:tc>
        <w:tc>
          <w:tcPr>
            <w:tcW w:w="150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15</w:t>
            </w:r>
          </w:p>
        </w:tc>
      </w:tr>
      <w:tr>
        <w:trPr>
          <w:trHeight w:val="288" w:hRule="atLeast"/>
        </w:trPr>
        <w:tc>
          <w:tcPr>
            <w:tcW w:w="8704" w:type="dxa"/>
            <w:gridSpan w:val="5"/>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i w:val="false"/>
                <w:i w:val="false"/>
              </w:rPr>
            </w:pPr>
            <w:r>
              <w:rPr>
                <w:rStyle w:val="BookTitle"/>
                <w:rFonts w:eastAsia="Calibri" w:eastAsiaTheme="minorHAnsi"/>
                <w:bCs/>
              </w:rPr>
              <w:t>HFC blends</w:t>
            </w:r>
          </w:p>
        </w:tc>
      </w:tr>
      <w:tr>
        <w:trPr>
          <w:trHeight w:val="288" w:hRule="atLeast"/>
        </w:trPr>
        <w:tc>
          <w:tcPr>
            <w:tcW w:w="3179"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rPr>
            </w:pPr>
            <w:r>
              <w:rPr>
                <w:rStyle w:val="BookTitle"/>
                <w:rFonts w:eastAsia="Calibri" w:eastAsiaTheme="minorHAnsi"/>
                <w:bCs/>
              </w:rPr>
              <w:t>R</w:t>
              <w:noBreakHyphen/>
              <w:t>404A</w:t>
            </w:r>
          </w:p>
        </w:tc>
        <w:tc>
          <w:tcPr>
            <w:tcW w:w="1303"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6</w:t>
            </w:r>
          </w:p>
        </w:tc>
        <w:tc>
          <w:tcPr>
            <w:tcW w:w="141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7</w:t>
            </w:r>
          </w:p>
        </w:tc>
        <w:tc>
          <w:tcPr>
            <w:tcW w:w="1302"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8</w:t>
            </w:r>
          </w:p>
        </w:tc>
        <w:tc>
          <w:tcPr>
            <w:tcW w:w="150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10</w:t>
            </w:r>
          </w:p>
        </w:tc>
      </w:tr>
      <w:tr>
        <w:trPr>
          <w:trHeight w:val="288" w:hRule="atLeast"/>
        </w:trPr>
        <w:tc>
          <w:tcPr>
            <w:tcW w:w="3179"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rPr>
            </w:pPr>
            <w:r>
              <w:rPr>
                <w:rStyle w:val="BookTitle"/>
                <w:rFonts w:eastAsia="Calibri" w:eastAsiaTheme="minorHAnsi"/>
                <w:bCs/>
              </w:rPr>
              <w:t>R</w:t>
              <w:noBreakHyphen/>
              <w:t>407C</w:t>
            </w:r>
          </w:p>
        </w:tc>
        <w:tc>
          <w:tcPr>
            <w:tcW w:w="1303"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5</w:t>
            </w:r>
          </w:p>
        </w:tc>
        <w:tc>
          <w:tcPr>
            <w:tcW w:w="141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6</w:t>
            </w:r>
          </w:p>
        </w:tc>
        <w:tc>
          <w:tcPr>
            <w:tcW w:w="1302"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10</w:t>
            </w:r>
          </w:p>
        </w:tc>
        <w:tc>
          <w:tcPr>
            <w:tcW w:w="150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12</w:t>
            </w:r>
          </w:p>
        </w:tc>
      </w:tr>
      <w:tr>
        <w:trPr>
          <w:trHeight w:val="288" w:hRule="atLeast"/>
        </w:trPr>
        <w:tc>
          <w:tcPr>
            <w:tcW w:w="3179"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rPr>
            </w:pPr>
            <w:r>
              <w:rPr>
                <w:rStyle w:val="BookTitle"/>
                <w:rFonts w:eastAsia="Calibri" w:eastAsiaTheme="minorHAnsi"/>
                <w:bCs/>
              </w:rPr>
              <w:t>R</w:t>
              <w:noBreakHyphen/>
              <w:t>410A</w:t>
            </w:r>
          </w:p>
        </w:tc>
        <w:tc>
          <w:tcPr>
            <w:tcW w:w="1303"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4</w:t>
            </w:r>
          </w:p>
        </w:tc>
        <w:tc>
          <w:tcPr>
            <w:tcW w:w="141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6</w:t>
            </w:r>
          </w:p>
        </w:tc>
        <w:tc>
          <w:tcPr>
            <w:tcW w:w="1302"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8</w:t>
            </w:r>
          </w:p>
        </w:tc>
        <w:tc>
          <w:tcPr>
            <w:tcW w:w="150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9</w:t>
            </w:r>
          </w:p>
        </w:tc>
      </w:tr>
      <w:tr>
        <w:trPr>
          <w:trHeight w:val="313" w:hRule="atLeast"/>
        </w:trPr>
        <w:tc>
          <w:tcPr>
            <w:tcW w:w="8704" w:type="dxa"/>
            <w:gridSpan w:val="5"/>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bCs/>
              </w:rPr>
              <w:t xml:space="preserve">OTHERS </w:t>
            </w:r>
          </w:p>
        </w:tc>
      </w:tr>
      <w:tr>
        <w:trPr>
          <w:trHeight w:val="288" w:hRule="atLeast"/>
        </w:trPr>
        <w:tc>
          <w:tcPr>
            <w:tcW w:w="3179"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rPr>
            </w:pPr>
            <w:r>
              <w:rPr>
                <w:rStyle w:val="BookTitle"/>
                <w:rFonts w:eastAsia="Calibri" w:eastAsiaTheme="minorHAnsi"/>
                <w:bCs/>
              </w:rPr>
              <w:t>Methyl formate</w:t>
            </w:r>
          </w:p>
        </w:tc>
        <w:tc>
          <w:tcPr>
            <w:tcW w:w="1303"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12</w:t>
            </w:r>
          </w:p>
        </w:tc>
        <w:tc>
          <w:tcPr>
            <w:tcW w:w="141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13</w:t>
            </w:r>
          </w:p>
        </w:tc>
        <w:tc>
          <w:tcPr>
            <w:tcW w:w="1302"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15</w:t>
            </w:r>
          </w:p>
        </w:tc>
        <w:tc>
          <w:tcPr>
            <w:tcW w:w="150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16</w:t>
            </w:r>
          </w:p>
        </w:tc>
      </w:tr>
      <w:tr>
        <w:trPr>
          <w:trHeight w:val="288" w:hRule="atLeast"/>
        </w:trPr>
        <w:tc>
          <w:tcPr>
            <w:tcW w:w="3179"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rPr>
                <w:rStyle w:val="BookTitle"/>
                <w:rFonts w:ascii="Times New Roman" w:hAnsi="Times New Roman" w:eastAsia="Calibri" w:eastAsiaTheme="minorHAnsi"/>
                <w:b w:val="false"/>
                <w:b w:val="false"/>
                <w:bCs/>
              </w:rPr>
            </w:pPr>
            <w:r>
              <w:rPr>
                <w:rStyle w:val="BookTitle"/>
                <w:rFonts w:eastAsia="Calibri" w:eastAsiaTheme="minorHAnsi"/>
                <w:bCs/>
              </w:rPr>
              <w:t>HC</w:t>
              <w:noBreakHyphen/>
              <w:t>600a</w:t>
            </w:r>
          </w:p>
        </w:tc>
        <w:tc>
          <w:tcPr>
            <w:tcW w:w="1303"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4</w:t>
            </w:r>
          </w:p>
        </w:tc>
        <w:tc>
          <w:tcPr>
            <w:tcW w:w="141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5</w:t>
            </w:r>
          </w:p>
        </w:tc>
        <w:tc>
          <w:tcPr>
            <w:tcW w:w="1302"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7</w:t>
            </w:r>
          </w:p>
        </w:tc>
        <w:tc>
          <w:tcPr>
            <w:tcW w:w="1505" w:type="dxa"/>
            <w:tcBorders>
              <w:top w:val="single" w:sz="8" w:space="0" w:color="7BA0CD"/>
              <w:left w:val="single" w:sz="8" w:space="0" w:color="7BA0CD"/>
              <w:bottom w:val="single" w:sz="8" w:space="0" w:color="7BA0CD"/>
              <w:right w:val="single" w:sz="8" w:space="0" w:color="7BA0CD"/>
            </w:tcBorders>
            <w:shd w:color="auto" w:fill="auto" w:val="clear"/>
          </w:tcPr>
          <w:p>
            <w:pPr>
              <w:pStyle w:val="Normal"/>
              <w:keepNext w:val="true"/>
              <w:widowControl w:val="false"/>
              <w:ind w:right="-288" w:hanging="0"/>
              <w:jc w:val="center"/>
              <w:rPr>
                <w:rStyle w:val="BookTitle"/>
                <w:rFonts w:ascii="Times New Roman" w:hAnsi="Times New Roman" w:eastAsia="Calibri" w:eastAsiaTheme="minorHAnsi"/>
                <w:b w:val="false"/>
                <w:b w:val="false"/>
                <w:i w:val="false"/>
                <w:i w:val="false"/>
              </w:rPr>
            </w:pPr>
            <w:r>
              <w:rPr>
                <w:rStyle w:val="BookTitle"/>
                <w:rFonts w:eastAsia="Calibri" w:eastAsiaTheme="minorHAnsi"/>
              </w:rPr>
              <w:t>8</w:t>
            </w:r>
          </w:p>
        </w:tc>
      </w:tr>
    </w:tbl>
    <w:p>
      <w:pPr>
        <w:pStyle w:val="Default"/>
        <w:jc w:val="both"/>
        <w:rPr>
          <w:bCs/>
        </w:rPr>
      </w:pPr>
      <w:r>
        <w:rPr>
          <w:bCs/>
        </w:rPr>
      </w:r>
    </w:p>
    <w:p>
      <w:pPr>
        <w:pStyle w:val="Default"/>
        <w:ind w:left="720" w:hanging="0"/>
        <w:jc w:val="both"/>
        <w:rPr>
          <w:bCs/>
        </w:rPr>
      </w:pPr>
      <w:r>
        <w:rPr>
          <w:bCs/>
        </w:rPr>
      </w:r>
    </w:p>
    <w:p>
      <w:pPr>
        <w:pStyle w:val="Default"/>
        <w:numPr>
          <w:ilvl w:val="0"/>
          <w:numId w:val="40"/>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Tunisia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40"/>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41"/>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41"/>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42"/>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42"/>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42"/>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41"/>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(refrigeration and air-conditioning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sectPr>
          <w:headerReference w:type="even" r:id="rId80"/>
          <w:headerReference w:type="default" r:id="rId81"/>
          <w:footerReference w:type="even" r:id="rId82"/>
          <w:footerReference w:type="default" r:id="rId83"/>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ListParagraph"/>
        <w:spacing w:before="0" w:after="0"/>
        <w:contextualSpacing w:val="false"/>
        <w:jc w:val="both"/>
        <w:rPr>
          <w:rFonts w:ascii="Times New Roman" w:hAnsi="Times New Roman"/>
          <w:bCs/>
        </w:rPr>
      </w:pPr>
      <w:r>
        <w:rPr>
          <w:bCs/>
        </w:rPr>
      </w:r>
    </w:p>
    <w:p>
      <w:pPr>
        <w:pStyle w:val="Default"/>
        <w:numPr>
          <w:ilvl w:val="0"/>
          <w:numId w:val="40"/>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t>c. Preparation for national strategies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c.1.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95,000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84"/>
          <w:headerReference w:type="default" r:id="rId85"/>
          <w:footerReference w:type="even" r:id="rId86"/>
          <w:footerReference w:type="default" r:id="rId87"/>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40"/>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Ministry of Environment, Climate Change and Natural Resources of Gambia,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The Former Yugoslav Republic of Macedonia</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Macedonia</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US$95,000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 xml:space="preserve">The Government of Macedonia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Macedonia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Macedonia confirms that all activities under Enabling Activities will be implemented following model that UNIDO will administer the funds (UNIDO's execution) instead of national execution.</w:t>
      </w:r>
    </w:p>
    <w:p>
      <w:pPr>
        <w:pStyle w:val="Default"/>
        <w:jc w:val="both"/>
        <w:rPr>
          <w:i/>
          <w:i/>
        </w:rPr>
      </w:pPr>
      <w:r>
        <w:rPr>
          <w:i/>
        </w:rPr>
      </w:r>
    </w:p>
    <w:p>
      <w:pPr>
        <w:pStyle w:val="Default"/>
        <w:jc w:val="both"/>
        <w:rPr>
          <w:bCs/>
        </w:rPr>
      </w:pPr>
      <w:r>
        <w:rPr>
          <w:bCs/>
        </w:rPr>
      </w:r>
    </w:p>
    <w:p>
      <w:pPr>
        <w:pStyle w:val="Default"/>
        <w:numPr>
          <w:ilvl w:val="0"/>
          <w:numId w:val="43"/>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in Macedonia amounts to 1.8 ODP tonnes.</w:t>
      </w:r>
    </w:p>
    <w:p>
      <w:pPr>
        <w:pStyle w:val="Default"/>
        <w:jc w:val="both"/>
        <w:rPr>
          <w:bCs/>
          <w:highlight w:val="yellow"/>
        </w:rPr>
      </w:pPr>
      <w:r>
        <w:rPr>
          <w:bCs/>
          <w:highlight w:val="yellow"/>
        </w:rPr>
      </w:r>
    </w:p>
    <w:p>
      <w:pPr>
        <w:pStyle w:val="Default"/>
        <w:jc w:val="both"/>
        <w:rPr>
          <w:bCs/>
        </w:rPr>
      </w:pPr>
      <w:r>
        <w:rPr>
          <w:bCs/>
        </w:rPr>
        <w:t>The estimated use of ODS alternatives in the period 2012-2015 varies between 60 – 112 mt for all types of refrigerants (see Table 1), while the summary of the used alternatives by sectors shows that in the manufacturing sector the rate of consumption is very low ( 1,36-14,66 mt) and in the servicing sector is higher (60-106mt) (see Table 2).</w:t>
      </w:r>
    </w:p>
    <w:p>
      <w:pPr>
        <w:pStyle w:val="Default"/>
        <w:jc w:val="both"/>
        <w:rPr>
          <w:bCs/>
        </w:rPr>
      </w:pPr>
      <w:r>
        <w:rPr>
          <w:bCs/>
        </w:rPr>
      </w:r>
    </w:p>
    <w:p>
      <w:pPr>
        <w:pStyle w:val="Normal"/>
        <w:rPr>
          <w:rFonts w:ascii="Times New Roman" w:hAnsi="Times New Roman"/>
          <w:bCs/>
          <w:color w:val="000000"/>
        </w:rPr>
      </w:pPr>
      <w:r>
        <w:rPr>
          <w:bCs/>
          <w:color w:val="000000"/>
        </w:rPr>
      </w:r>
      <w:r>
        <w:br w:type="page"/>
      </w:r>
    </w:p>
    <w:p>
      <w:pPr>
        <w:pStyle w:val="Default"/>
        <w:jc w:val="center"/>
        <w:rPr>
          <w:bCs/>
        </w:rPr>
      </w:pPr>
      <w:r>
        <w:rPr>
          <w:bCs/>
        </w:rPr>
        <w:t>Table 1: Estimated use by ODS alternative</w:t>
      </w:r>
    </w:p>
    <w:p>
      <w:pPr>
        <w:pStyle w:val="Default"/>
        <w:jc w:val="both"/>
        <w:rPr>
          <w:bCs/>
        </w:rPr>
      </w:pPr>
      <w:r>
        <w:rPr>
          <w:bCs/>
        </w:rPr>
      </w:r>
    </w:p>
    <w:tbl>
      <w:tblPr>
        <w:tblW w:w="705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741"/>
        <w:gridCol w:w="1208"/>
        <w:gridCol w:w="1036"/>
        <w:gridCol w:w="1036"/>
        <w:gridCol w:w="1037"/>
      </w:tblGrid>
      <w:tr>
        <w:trPr>
          <w:trHeight w:val="344" w:hRule="atLeast"/>
        </w:trPr>
        <w:tc>
          <w:tcPr>
            <w:tcW w:w="7058" w:type="dxa"/>
            <w:gridSpan w:val="5"/>
            <w:tcBorders>
              <w:top w:val="single" w:sz="8" w:space="0" w:color="4BACC6"/>
              <w:left w:val="single" w:sz="8" w:space="0" w:color="4BACC6"/>
              <w:right w:val="single" w:sz="8" w:space="0" w:color="4BACC6"/>
            </w:tcBorders>
            <w:shd w:color="auto" w:fill="4BACC6" w:val="clear"/>
          </w:tcPr>
          <w:p>
            <w:pPr>
              <w:pStyle w:val="Normal"/>
              <w:widowControl w:val="false"/>
              <w:rPr>
                <w:rFonts w:ascii="Times New Roman" w:hAnsi="Times New Roman"/>
                <w:b/>
                <w:b/>
                <w:bCs/>
                <w:color w:val="FFFFFF"/>
                <w:lang w:eastAsia="mk-MK"/>
              </w:rPr>
            </w:pPr>
            <w:r>
              <w:rPr>
                <w:b/>
                <w:bCs/>
                <w:color w:val="FFFFFF"/>
                <w:lang w:eastAsia="mk-MK"/>
              </w:rPr>
              <w:t>Estimated use by ODS alternative</w:t>
            </w:r>
          </w:p>
        </w:tc>
      </w:tr>
      <w:tr>
        <w:trPr>
          <w:trHeight w:val="358" w:hRule="exact"/>
        </w:trPr>
        <w:tc>
          <w:tcPr>
            <w:tcW w:w="2741" w:type="dxa"/>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1208" w:type="dxa"/>
            <w:tcBorders>
              <w:top w:val="single" w:sz="8" w:space="0" w:color="4BACC6"/>
              <w:bottom w:val="single" w:sz="8" w:space="0" w:color="4BACC6"/>
            </w:tcBorders>
          </w:tcPr>
          <w:p>
            <w:pPr>
              <w:pStyle w:val="Normal"/>
              <w:widowControl w:val="false"/>
              <w:rPr>
                <w:rFonts w:ascii="Times New Roman" w:hAnsi="Times New Roman"/>
                <w:lang w:eastAsia="mk-MK"/>
              </w:rPr>
            </w:pPr>
            <w:r>
              <w:rPr>
                <w:lang w:eastAsia="mk-MK"/>
              </w:rPr>
            </w:r>
          </w:p>
        </w:tc>
        <w:tc>
          <w:tcPr>
            <w:tcW w:w="1036" w:type="dxa"/>
            <w:tcBorders>
              <w:top w:val="single" w:sz="8" w:space="0" w:color="4BACC6"/>
              <w:bottom w:val="single" w:sz="8" w:space="0" w:color="4BACC6"/>
            </w:tcBorders>
          </w:tcPr>
          <w:p>
            <w:pPr>
              <w:pStyle w:val="Normal"/>
              <w:widowControl w:val="false"/>
              <w:rPr>
                <w:rFonts w:ascii="Times New Roman" w:hAnsi="Times New Roman"/>
                <w:lang w:eastAsia="mk-MK"/>
              </w:rPr>
            </w:pPr>
            <w:r>
              <w:rPr>
                <w:lang w:eastAsia="mk-MK"/>
              </w:rPr>
            </w:r>
          </w:p>
        </w:tc>
        <w:tc>
          <w:tcPr>
            <w:tcW w:w="1036" w:type="dxa"/>
            <w:tcBorders>
              <w:top w:val="single" w:sz="8" w:space="0" w:color="4BACC6"/>
              <w:bottom w:val="single" w:sz="8" w:space="0" w:color="4BACC6"/>
            </w:tcBorders>
          </w:tcPr>
          <w:p>
            <w:pPr>
              <w:pStyle w:val="Normal"/>
              <w:widowControl w:val="false"/>
              <w:rPr>
                <w:rFonts w:ascii="Times New Roman" w:hAnsi="Times New Roman"/>
                <w:lang w:eastAsia="mk-MK"/>
              </w:rPr>
            </w:pPr>
            <w:r>
              <w:rPr>
                <w:lang w:eastAsia="mk-MK"/>
              </w:rPr>
            </w:r>
          </w:p>
        </w:tc>
        <w:tc>
          <w:tcPr>
            <w:tcW w:w="1037" w:type="dxa"/>
            <w:tcBorders>
              <w:top w:val="single" w:sz="8" w:space="0" w:color="4BACC6"/>
              <w:bottom w:val="single" w:sz="8" w:space="0" w:color="4BACC6"/>
              <w:right w:val="single" w:sz="8" w:space="0" w:color="4BACC6"/>
            </w:tcBorders>
          </w:tcPr>
          <w:p>
            <w:pPr>
              <w:pStyle w:val="Normal"/>
              <w:widowControl w:val="false"/>
              <w:rPr>
                <w:rFonts w:ascii="Times New Roman" w:hAnsi="Times New Roman"/>
                <w:lang w:eastAsia="mk-MK"/>
              </w:rPr>
            </w:pPr>
            <w:r>
              <w:rPr>
                <w:lang w:eastAsia="mk-MK"/>
              </w:rPr>
            </w:r>
          </w:p>
        </w:tc>
      </w:tr>
      <w:tr>
        <w:trPr>
          <w:trHeight w:val="609" w:hRule="atLeast"/>
        </w:trPr>
        <w:tc>
          <w:tcPr>
            <w:tcW w:w="2741" w:type="dxa"/>
            <w:vMerge w:val="restart"/>
            <w:tcBorders>
              <w:left w:val="single" w:sz="8" w:space="0" w:color="4BACC6"/>
              <w:bottom w:val="single" w:sz="8" w:space="0" w:color="4BACC6"/>
            </w:tcBorders>
          </w:tcPr>
          <w:p>
            <w:pPr>
              <w:pStyle w:val="Normal"/>
              <w:widowControl w:val="false"/>
              <w:jc w:val="center"/>
              <w:rPr>
                <w:rFonts w:ascii="Times New Roman" w:hAnsi="Times New Roman"/>
                <w:b/>
                <w:b/>
                <w:bCs/>
                <w:lang w:eastAsia="mk-MK"/>
              </w:rPr>
            </w:pPr>
            <w:r>
              <w:rPr>
                <w:b/>
                <w:bCs/>
                <w:lang w:eastAsia="mk-MK"/>
              </w:rPr>
              <w:t>Alternative</w:t>
            </w:r>
          </w:p>
        </w:tc>
        <w:tc>
          <w:tcPr>
            <w:tcW w:w="4317" w:type="dxa"/>
            <w:gridSpan w:val="4"/>
            <w:tcBorders>
              <w:right w:val="single" w:sz="8" w:space="0" w:color="4BACC6"/>
            </w:tcBorders>
          </w:tcPr>
          <w:p>
            <w:pPr>
              <w:pStyle w:val="Normal"/>
              <w:widowControl w:val="false"/>
              <w:jc w:val="center"/>
              <w:rPr>
                <w:rFonts w:ascii="Times New Roman" w:hAnsi="Times New Roman"/>
                <w:b/>
                <w:b/>
                <w:bCs/>
                <w:lang w:eastAsia="mk-MK"/>
              </w:rPr>
            </w:pPr>
            <w:r>
              <w:rPr>
                <w:b/>
                <w:bCs/>
                <w:lang w:eastAsia="mk-MK"/>
              </w:rPr>
              <w:t>Estimated use (mt)</w:t>
            </w:r>
          </w:p>
        </w:tc>
      </w:tr>
      <w:tr>
        <w:trPr>
          <w:trHeight w:val="435" w:hRule="atLeast"/>
        </w:trPr>
        <w:tc>
          <w:tcPr>
            <w:tcW w:w="2741" w:type="dxa"/>
            <w:vMerge w:val="continue"/>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1208" w:type="dxa"/>
            <w:tcBorders>
              <w:top w:val="single" w:sz="8" w:space="0" w:color="4BACC6"/>
              <w:bottom w:val="single" w:sz="8" w:space="0" w:color="4BACC6"/>
            </w:tcBorders>
          </w:tcPr>
          <w:p>
            <w:pPr>
              <w:pStyle w:val="Normal"/>
              <w:widowControl w:val="false"/>
              <w:jc w:val="center"/>
              <w:rPr>
                <w:rFonts w:ascii="Times New Roman" w:hAnsi="Times New Roman"/>
                <w:b/>
                <w:b/>
                <w:bCs/>
                <w:color w:val="000000"/>
                <w:lang w:eastAsia="mk-MK"/>
              </w:rPr>
            </w:pPr>
            <w:r>
              <w:rPr>
                <w:b/>
                <w:bCs/>
                <w:color w:val="000000"/>
                <w:lang w:eastAsia="mk-MK"/>
              </w:rPr>
              <w:t>2012</w:t>
            </w:r>
          </w:p>
        </w:tc>
        <w:tc>
          <w:tcPr>
            <w:tcW w:w="1036" w:type="dxa"/>
            <w:tcBorders>
              <w:top w:val="single" w:sz="8" w:space="0" w:color="4BACC6"/>
              <w:bottom w:val="single" w:sz="8" w:space="0" w:color="4BACC6"/>
            </w:tcBorders>
          </w:tcPr>
          <w:p>
            <w:pPr>
              <w:pStyle w:val="Normal"/>
              <w:widowControl w:val="false"/>
              <w:jc w:val="center"/>
              <w:rPr>
                <w:rFonts w:ascii="Times New Roman" w:hAnsi="Times New Roman"/>
                <w:b/>
                <w:b/>
                <w:bCs/>
                <w:color w:val="000000"/>
                <w:lang w:eastAsia="mk-MK"/>
              </w:rPr>
            </w:pPr>
            <w:r>
              <w:rPr>
                <w:b/>
                <w:bCs/>
                <w:color w:val="000000"/>
                <w:lang w:eastAsia="mk-MK"/>
              </w:rPr>
              <w:t>2013</w:t>
            </w:r>
          </w:p>
        </w:tc>
        <w:tc>
          <w:tcPr>
            <w:tcW w:w="1036" w:type="dxa"/>
            <w:tcBorders>
              <w:top w:val="single" w:sz="8" w:space="0" w:color="4BACC6"/>
              <w:bottom w:val="single" w:sz="8" w:space="0" w:color="4BACC6"/>
            </w:tcBorders>
          </w:tcPr>
          <w:p>
            <w:pPr>
              <w:pStyle w:val="Normal"/>
              <w:widowControl w:val="false"/>
              <w:jc w:val="center"/>
              <w:rPr>
                <w:rFonts w:ascii="Times New Roman" w:hAnsi="Times New Roman"/>
                <w:b/>
                <w:b/>
                <w:bCs/>
                <w:color w:val="000000"/>
                <w:lang w:eastAsia="mk-MK"/>
              </w:rPr>
            </w:pPr>
            <w:r>
              <w:rPr>
                <w:b/>
                <w:bCs/>
                <w:color w:val="000000"/>
                <w:lang w:eastAsia="mk-MK"/>
              </w:rPr>
              <w:t>2014</w:t>
            </w:r>
          </w:p>
        </w:tc>
        <w:tc>
          <w:tcPr>
            <w:tcW w:w="1037" w:type="dxa"/>
            <w:tcBorders>
              <w:top w:val="single" w:sz="8" w:space="0" w:color="4BACC6"/>
              <w:bottom w:val="single" w:sz="8" w:space="0" w:color="4BACC6"/>
              <w:right w:val="single" w:sz="8" w:space="0" w:color="4BACC6"/>
            </w:tcBorders>
          </w:tcPr>
          <w:p>
            <w:pPr>
              <w:pStyle w:val="Normal"/>
              <w:widowControl w:val="false"/>
              <w:jc w:val="center"/>
              <w:rPr>
                <w:rFonts w:ascii="Times New Roman" w:hAnsi="Times New Roman"/>
                <w:b/>
                <w:b/>
                <w:bCs/>
                <w:color w:val="000000"/>
                <w:lang w:eastAsia="mk-MK"/>
              </w:rPr>
            </w:pPr>
            <w:r>
              <w:rPr>
                <w:b/>
                <w:bCs/>
                <w:color w:val="000000"/>
                <w:lang w:eastAsia="mk-MK"/>
              </w:rPr>
              <w:t>2015</w:t>
            </w:r>
          </w:p>
        </w:tc>
      </w:tr>
      <w:tr>
        <w:trPr>
          <w:trHeight w:val="373" w:hRule="atLeast"/>
        </w:trPr>
        <w:tc>
          <w:tcPr>
            <w:tcW w:w="3949" w:type="dxa"/>
            <w:gridSpan w:val="2"/>
            <w:tcBorders>
              <w:left w:val="single" w:sz="8" w:space="0" w:color="4BACC6"/>
            </w:tcBorders>
          </w:tcPr>
          <w:p>
            <w:pPr>
              <w:pStyle w:val="Normal"/>
              <w:widowControl w:val="false"/>
              <w:rPr>
                <w:rFonts w:ascii="Times New Roman" w:hAnsi="Times New Roman"/>
                <w:b/>
                <w:b/>
                <w:bCs/>
                <w:lang w:eastAsia="mk-MK"/>
              </w:rPr>
            </w:pPr>
            <w:r>
              <w:rPr>
                <w:b/>
                <w:bCs/>
                <w:lang w:eastAsia="mk-MK"/>
              </w:rPr>
              <w:t>HFC</w:t>
            </w:r>
          </w:p>
        </w:tc>
        <w:tc>
          <w:tcPr>
            <w:tcW w:w="1036" w:type="dxa"/>
            <w:tcBorders/>
          </w:tcPr>
          <w:p>
            <w:pPr>
              <w:pStyle w:val="Normal"/>
              <w:widowControl w:val="false"/>
              <w:rPr>
                <w:rFonts w:ascii="Times New Roman" w:hAnsi="Times New Roman"/>
                <w:lang w:eastAsia="mk-MK"/>
              </w:rPr>
            </w:pPr>
            <w:r>
              <w:rPr>
                <w:lang w:eastAsia="mk-MK"/>
              </w:rPr>
              <w:t> </w:t>
            </w:r>
          </w:p>
        </w:tc>
        <w:tc>
          <w:tcPr>
            <w:tcW w:w="1036" w:type="dxa"/>
            <w:tcBorders/>
          </w:tcPr>
          <w:p>
            <w:pPr>
              <w:pStyle w:val="Normal"/>
              <w:widowControl w:val="false"/>
              <w:rPr>
                <w:rFonts w:ascii="Times New Roman" w:hAnsi="Times New Roman"/>
                <w:lang w:eastAsia="mk-MK"/>
              </w:rPr>
            </w:pPr>
            <w:r>
              <w:rPr>
                <w:lang w:eastAsia="mk-MK"/>
              </w:rPr>
              <w:t> </w:t>
            </w:r>
          </w:p>
        </w:tc>
        <w:tc>
          <w:tcPr>
            <w:tcW w:w="1037" w:type="dxa"/>
            <w:tcBorders>
              <w:right w:val="single" w:sz="8" w:space="0" w:color="4BACC6"/>
            </w:tcBorders>
          </w:tcPr>
          <w:p>
            <w:pPr>
              <w:pStyle w:val="Normal"/>
              <w:widowControl w:val="false"/>
              <w:rPr>
                <w:rFonts w:ascii="Times New Roman" w:hAnsi="Times New Roman"/>
                <w:lang w:eastAsia="mk-MK"/>
              </w:rPr>
            </w:pPr>
            <w:r>
              <w:rPr>
                <w:lang w:eastAsia="mk-MK"/>
              </w:rPr>
              <w:t> </w:t>
            </w:r>
          </w:p>
        </w:tc>
      </w:tr>
      <w:tr>
        <w:trPr>
          <w:trHeight w:val="305" w:hRule="atLeast"/>
        </w:trPr>
        <w:tc>
          <w:tcPr>
            <w:tcW w:w="2741" w:type="dxa"/>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t>HFC-134a</w:t>
            </w:r>
          </w:p>
        </w:tc>
        <w:tc>
          <w:tcPr>
            <w:tcW w:w="1208" w:type="dxa"/>
            <w:tcBorders>
              <w:top w:val="single" w:sz="8" w:space="0" w:color="4BACC6"/>
              <w:bottom w:val="single" w:sz="8" w:space="0" w:color="4BACC6"/>
            </w:tcBorders>
          </w:tcPr>
          <w:p>
            <w:pPr>
              <w:pStyle w:val="Normal"/>
              <w:widowControl w:val="false"/>
              <w:jc w:val="right"/>
              <w:rPr>
                <w:rFonts w:ascii="Times New Roman" w:hAnsi="Times New Roman"/>
                <w:color w:val="000000"/>
                <w:lang w:eastAsia="mk-MK"/>
              </w:rPr>
            </w:pPr>
            <w:r>
              <w:rPr>
                <w:color w:val="000000"/>
                <w:lang w:eastAsia="mk-MK"/>
              </w:rPr>
              <w:t>31,7</w:t>
            </w:r>
          </w:p>
        </w:tc>
        <w:tc>
          <w:tcPr>
            <w:tcW w:w="1036" w:type="dxa"/>
            <w:tcBorders>
              <w:top w:val="single" w:sz="8" w:space="0" w:color="4BACC6"/>
              <w:bottom w:val="single" w:sz="8" w:space="0" w:color="4BACC6"/>
            </w:tcBorders>
          </w:tcPr>
          <w:p>
            <w:pPr>
              <w:pStyle w:val="Normal"/>
              <w:widowControl w:val="false"/>
              <w:jc w:val="right"/>
              <w:rPr>
                <w:rFonts w:ascii="Times New Roman" w:hAnsi="Times New Roman"/>
                <w:color w:val="000000"/>
                <w:lang w:eastAsia="mk-MK"/>
              </w:rPr>
            </w:pPr>
            <w:r>
              <w:rPr>
                <w:color w:val="000000"/>
                <w:lang w:eastAsia="mk-MK"/>
              </w:rPr>
              <w:t>36,85</w:t>
            </w:r>
          </w:p>
        </w:tc>
        <w:tc>
          <w:tcPr>
            <w:tcW w:w="1036" w:type="dxa"/>
            <w:tcBorders>
              <w:top w:val="single" w:sz="8" w:space="0" w:color="4BACC6"/>
              <w:bottom w:val="single" w:sz="8" w:space="0" w:color="4BACC6"/>
            </w:tcBorders>
          </w:tcPr>
          <w:p>
            <w:pPr>
              <w:pStyle w:val="Normal"/>
              <w:widowControl w:val="false"/>
              <w:jc w:val="right"/>
              <w:rPr>
                <w:rFonts w:ascii="Times New Roman" w:hAnsi="Times New Roman"/>
                <w:color w:val="000000"/>
                <w:lang w:eastAsia="mk-MK"/>
              </w:rPr>
            </w:pPr>
            <w:r>
              <w:rPr>
                <w:color w:val="000000"/>
                <w:lang w:eastAsia="mk-MK"/>
              </w:rPr>
              <w:t>38,87</w:t>
            </w:r>
          </w:p>
        </w:tc>
        <w:tc>
          <w:tcPr>
            <w:tcW w:w="1037" w:type="dxa"/>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color w:val="000000"/>
                <w:lang w:eastAsia="mk-MK"/>
              </w:rPr>
            </w:pPr>
            <w:r>
              <w:rPr>
                <w:color w:val="000000"/>
                <w:lang w:eastAsia="mk-MK"/>
              </w:rPr>
              <w:t>40,89</w:t>
            </w:r>
          </w:p>
        </w:tc>
      </w:tr>
      <w:tr>
        <w:trPr>
          <w:trHeight w:val="373" w:hRule="atLeast"/>
        </w:trPr>
        <w:tc>
          <w:tcPr>
            <w:tcW w:w="7058" w:type="dxa"/>
            <w:gridSpan w:val="5"/>
            <w:tcBorders>
              <w:left w:val="single" w:sz="8" w:space="0" w:color="4BACC6"/>
              <w:right w:val="single" w:sz="8" w:space="0" w:color="4BACC6"/>
            </w:tcBorders>
          </w:tcPr>
          <w:p>
            <w:pPr>
              <w:pStyle w:val="Normal"/>
              <w:widowControl w:val="false"/>
              <w:rPr>
                <w:rFonts w:ascii="Times New Roman" w:hAnsi="Times New Roman"/>
                <w:b/>
                <w:b/>
                <w:bCs/>
                <w:lang w:eastAsia="mk-MK"/>
              </w:rPr>
            </w:pPr>
            <w:r>
              <w:rPr>
                <w:b/>
                <w:bCs/>
                <w:lang w:eastAsia="mk-MK"/>
              </w:rPr>
              <w:t>HFC blends</w:t>
            </w:r>
          </w:p>
        </w:tc>
      </w:tr>
      <w:tr>
        <w:trPr>
          <w:trHeight w:val="373" w:hRule="atLeast"/>
        </w:trPr>
        <w:tc>
          <w:tcPr>
            <w:tcW w:w="2741" w:type="dxa"/>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t>R-404A</w:t>
            </w:r>
          </w:p>
        </w:tc>
        <w:tc>
          <w:tcPr>
            <w:tcW w:w="1208" w:type="dxa"/>
            <w:tcBorders>
              <w:top w:val="single" w:sz="8" w:space="0" w:color="4BACC6"/>
              <w:bottom w:val="single" w:sz="8" w:space="0" w:color="4BACC6"/>
            </w:tcBorders>
          </w:tcPr>
          <w:p>
            <w:pPr>
              <w:pStyle w:val="Normal"/>
              <w:widowControl w:val="false"/>
              <w:jc w:val="right"/>
              <w:rPr>
                <w:rFonts w:ascii="Times New Roman" w:hAnsi="Times New Roman"/>
                <w:color w:val="000000"/>
                <w:lang w:eastAsia="mk-MK"/>
              </w:rPr>
            </w:pPr>
            <w:r>
              <w:rPr>
                <w:color w:val="000000"/>
                <w:lang w:eastAsia="mk-MK"/>
              </w:rPr>
              <w:t>18,52</w:t>
            </w:r>
          </w:p>
        </w:tc>
        <w:tc>
          <w:tcPr>
            <w:tcW w:w="1036" w:type="dxa"/>
            <w:tcBorders>
              <w:top w:val="single" w:sz="8" w:space="0" w:color="4BACC6"/>
              <w:bottom w:val="single" w:sz="8" w:space="0" w:color="4BACC6"/>
            </w:tcBorders>
          </w:tcPr>
          <w:p>
            <w:pPr>
              <w:pStyle w:val="Normal"/>
              <w:widowControl w:val="false"/>
              <w:jc w:val="right"/>
              <w:rPr>
                <w:rFonts w:ascii="Times New Roman" w:hAnsi="Times New Roman"/>
                <w:color w:val="000000"/>
                <w:lang w:eastAsia="mk-MK"/>
              </w:rPr>
            </w:pPr>
            <w:r>
              <w:rPr>
                <w:color w:val="000000"/>
                <w:lang w:eastAsia="mk-MK"/>
              </w:rPr>
              <w:t>18,8</w:t>
            </w:r>
          </w:p>
        </w:tc>
        <w:tc>
          <w:tcPr>
            <w:tcW w:w="1036" w:type="dxa"/>
            <w:tcBorders>
              <w:top w:val="single" w:sz="8" w:space="0" w:color="4BACC6"/>
              <w:bottom w:val="single" w:sz="8" w:space="0" w:color="4BACC6"/>
            </w:tcBorders>
          </w:tcPr>
          <w:p>
            <w:pPr>
              <w:pStyle w:val="Normal"/>
              <w:widowControl w:val="false"/>
              <w:jc w:val="right"/>
              <w:rPr>
                <w:rFonts w:ascii="Times New Roman" w:hAnsi="Times New Roman"/>
                <w:color w:val="000000"/>
                <w:lang w:eastAsia="mk-MK"/>
              </w:rPr>
            </w:pPr>
            <w:r>
              <w:rPr>
                <w:color w:val="000000"/>
                <w:lang w:eastAsia="mk-MK"/>
              </w:rPr>
              <w:t>18,92</w:t>
            </w:r>
          </w:p>
        </w:tc>
        <w:tc>
          <w:tcPr>
            <w:tcW w:w="1037" w:type="dxa"/>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color w:val="000000"/>
                <w:lang w:eastAsia="mk-MK"/>
              </w:rPr>
            </w:pPr>
            <w:r>
              <w:rPr>
                <w:color w:val="000000"/>
                <w:lang w:eastAsia="mk-MK"/>
              </w:rPr>
              <w:t>25,94</w:t>
            </w:r>
          </w:p>
        </w:tc>
      </w:tr>
      <w:tr>
        <w:trPr>
          <w:trHeight w:val="373" w:hRule="atLeast"/>
        </w:trPr>
        <w:tc>
          <w:tcPr>
            <w:tcW w:w="2741" w:type="dxa"/>
            <w:tcBorders>
              <w:left w:val="single" w:sz="8" w:space="0" w:color="4BACC6"/>
            </w:tcBorders>
          </w:tcPr>
          <w:p>
            <w:pPr>
              <w:pStyle w:val="Normal"/>
              <w:widowControl w:val="false"/>
              <w:rPr>
                <w:rFonts w:ascii="Times New Roman" w:hAnsi="Times New Roman"/>
                <w:b/>
                <w:b/>
                <w:bCs/>
                <w:lang w:eastAsia="mk-MK"/>
              </w:rPr>
            </w:pPr>
            <w:r>
              <w:rPr>
                <w:b/>
                <w:bCs/>
                <w:lang w:eastAsia="mk-MK"/>
              </w:rPr>
              <w:t>R-407C</w:t>
            </w:r>
          </w:p>
        </w:tc>
        <w:tc>
          <w:tcPr>
            <w:tcW w:w="1208" w:type="dxa"/>
            <w:tcBorders/>
          </w:tcPr>
          <w:p>
            <w:pPr>
              <w:pStyle w:val="Normal"/>
              <w:widowControl w:val="false"/>
              <w:jc w:val="right"/>
              <w:rPr>
                <w:rFonts w:ascii="Times New Roman" w:hAnsi="Times New Roman"/>
                <w:color w:val="000000"/>
                <w:lang w:eastAsia="mk-MK"/>
              </w:rPr>
            </w:pPr>
            <w:r>
              <w:rPr>
                <w:color w:val="000000"/>
                <w:lang w:eastAsia="mk-MK"/>
              </w:rPr>
              <w:t>6,54</w:t>
            </w:r>
          </w:p>
        </w:tc>
        <w:tc>
          <w:tcPr>
            <w:tcW w:w="1036" w:type="dxa"/>
            <w:tcBorders/>
          </w:tcPr>
          <w:p>
            <w:pPr>
              <w:pStyle w:val="Normal"/>
              <w:widowControl w:val="false"/>
              <w:jc w:val="right"/>
              <w:rPr>
                <w:rFonts w:ascii="Times New Roman" w:hAnsi="Times New Roman"/>
                <w:color w:val="000000"/>
                <w:lang w:eastAsia="mk-MK"/>
              </w:rPr>
            </w:pPr>
            <w:r>
              <w:rPr>
                <w:color w:val="000000"/>
                <w:lang w:eastAsia="mk-MK"/>
              </w:rPr>
              <w:t>6,66</w:t>
            </w:r>
          </w:p>
        </w:tc>
        <w:tc>
          <w:tcPr>
            <w:tcW w:w="1036" w:type="dxa"/>
            <w:tcBorders/>
          </w:tcPr>
          <w:p>
            <w:pPr>
              <w:pStyle w:val="Normal"/>
              <w:widowControl w:val="false"/>
              <w:jc w:val="right"/>
              <w:rPr>
                <w:rFonts w:ascii="Times New Roman" w:hAnsi="Times New Roman"/>
                <w:color w:val="000000"/>
                <w:lang w:eastAsia="mk-MK"/>
              </w:rPr>
            </w:pPr>
            <w:r>
              <w:rPr>
                <w:color w:val="000000"/>
                <w:lang w:eastAsia="mk-MK"/>
              </w:rPr>
              <w:t>6,78</w:t>
            </w:r>
          </w:p>
        </w:tc>
        <w:tc>
          <w:tcPr>
            <w:tcW w:w="1037" w:type="dxa"/>
            <w:tcBorders>
              <w:right w:val="single" w:sz="8" w:space="0" w:color="4BACC6"/>
            </w:tcBorders>
          </w:tcPr>
          <w:p>
            <w:pPr>
              <w:pStyle w:val="Normal"/>
              <w:widowControl w:val="false"/>
              <w:jc w:val="right"/>
              <w:rPr>
                <w:rFonts w:ascii="Times New Roman" w:hAnsi="Times New Roman"/>
                <w:color w:val="000000"/>
                <w:lang w:eastAsia="mk-MK"/>
              </w:rPr>
            </w:pPr>
            <w:r>
              <w:rPr>
                <w:color w:val="000000"/>
                <w:lang w:eastAsia="mk-MK"/>
              </w:rPr>
              <w:t>6,9</w:t>
            </w:r>
          </w:p>
        </w:tc>
      </w:tr>
      <w:tr>
        <w:trPr>
          <w:trHeight w:val="373" w:hRule="atLeast"/>
        </w:trPr>
        <w:tc>
          <w:tcPr>
            <w:tcW w:w="2741" w:type="dxa"/>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t>R-410A</w:t>
            </w:r>
          </w:p>
        </w:tc>
        <w:tc>
          <w:tcPr>
            <w:tcW w:w="1208" w:type="dxa"/>
            <w:tcBorders>
              <w:top w:val="single" w:sz="8" w:space="0" w:color="4BACC6"/>
              <w:bottom w:val="single" w:sz="8" w:space="0" w:color="4BACC6"/>
            </w:tcBorders>
          </w:tcPr>
          <w:p>
            <w:pPr>
              <w:pStyle w:val="Normal"/>
              <w:widowControl w:val="false"/>
              <w:jc w:val="right"/>
              <w:rPr>
                <w:rFonts w:ascii="Times New Roman" w:hAnsi="Times New Roman"/>
                <w:color w:val="000000"/>
                <w:lang w:eastAsia="mk-MK"/>
              </w:rPr>
            </w:pPr>
            <w:r>
              <w:rPr>
                <w:color w:val="000000"/>
                <w:lang w:eastAsia="mk-MK"/>
              </w:rPr>
              <w:t>8,39</w:t>
            </w:r>
          </w:p>
        </w:tc>
        <w:tc>
          <w:tcPr>
            <w:tcW w:w="1036" w:type="dxa"/>
            <w:tcBorders>
              <w:top w:val="single" w:sz="8" w:space="0" w:color="4BACC6"/>
              <w:bottom w:val="single" w:sz="8" w:space="0" w:color="4BACC6"/>
            </w:tcBorders>
          </w:tcPr>
          <w:p>
            <w:pPr>
              <w:pStyle w:val="Normal"/>
              <w:widowControl w:val="false"/>
              <w:jc w:val="right"/>
              <w:rPr>
                <w:rFonts w:ascii="Times New Roman" w:hAnsi="Times New Roman"/>
                <w:color w:val="000000"/>
                <w:lang w:eastAsia="mk-MK"/>
              </w:rPr>
            </w:pPr>
            <w:r>
              <w:rPr>
                <w:color w:val="000000"/>
                <w:lang w:eastAsia="mk-MK"/>
              </w:rPr>
              <w:t>8,96</w:t>
            </w:r>
          </w:p>
        </w:tc>
        <w:tc>
          <w:tcPr>
            <w:tcW w:w="1036" w:type="dxa"/>
            <w:tcBorders>
              <w:top w:val="single" w:sz="8" w:space="0" w:color="4BACC6"/>
              <w:bottom w:val="single" w:sz="8" w:space="0" w:color="4BACC6"/>
            </w:tcBorders>
          </w:tcPr>
          <w:p>
            <w:pPr>
              <w:pStyle w:val="Normal"/>
              <w:widowControl w:val="false"/>
              <w:jc w:val="right"/>
              <w:rPr>
                <w:rFonts w:ascii="Times New Roman" w:hAnsi="Times New Roman"/>
                <w:color w:val="000000"/>
                <w:lang w:eastAsia="mk-MK"/>
              </w:rPr>
            </w:pPr>
            <w:r>
              <w:rPr>
                <w:color w:val="000000"/>
                <w:lang w:eastAsia="mk-MK"/>
              </w:rPr>
              <w:t>9,53</w:t>
            </w:r>
          </w:p>
        </w:tc>
        <w:tc>
          <w:tcPr>
            <w:tcW w:w="1037" w:type="dxa"/>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color w:val="000000"/>
                <w:lang w:eastAsia="mk-MK"/>
              </w:rPr>
            </w:pPr>
            <w:r>
              <w:rPr>
                <w:color w:val="000000"/>
                <w:lang w:eastAsia="mk-MK"/>
              </w:rPr>
              <w:t>10,1</w:t>
            </w:r>
          </w:p>
        </w:tc>
      </w:tr>
      <w:tr>
        <w:trPr>
          <w:trHeight w:val="373" w:hRule="atLeast"/>
        </w:trPr>
        <w:tc>
          <w:tcPr>
            <w:tcW w:w="2741" w:type="dxa"/>
            <w:tcBorders>
              <w:left w:val="single" w:sz="8" w:space="0" w:color="4BACC6"/>
            </w:tcBorders>
          </w:tcPr>
          <w:p>
            <w:pPr>
              <w:pStyle w:val="Normal"/>
              <w:widowControl w:val="false"/>
              <w:rPr>
                <w:rFonts w:ascii="Times New Roman" w:hAnsi="Times New Roman"/>
                <w:b/>
                <w:b/>
                <w:bCs/>
                <w:lang w:eastAsia="mk-MK"/>
              </w:rPr>
            </w:pPr>
            <w:r>
              <w:rPr>
                <w:b/>
                <w:bCs/>
                <w:lang w:eastAsia="mk-MK"/>
              </w:rPr>
              <w:t>R-507</w:t>
            </w:r>
          </w:p>
        </w:tc>
        <w:tc>
          <w:tcPr>
            <w:tcW w:w="1208" w:type="dxa"/>
            <w:tcBorders/>
          </w:tcPr>
          <w:p>
            <w:pPr>
              <w:pStyle w:val="Normal"/>
              <w:widowControl w:val="false"/>
              <w:jc w:val="right"/>
              <w:rPr>
                <w:rFonts w:ascii="Times New Roman" w:hAnsi="Times New Roman"/>
                <w:color w:val="000000"/>
                <w:lang w:eastAsia="mk-MK"/>
              </w:rPr>
            </w:pPr>
            <w:r>
              <w:rPr>
                <w:color w:val="000000"/>
                <w:lang w:eastAsia="mk-MK"/>
              </w:rPr>
              <w:t>1,12</w:t>
            </w:r>
          </w:p>
        </w:tc>
        <w:tc>
          <w:tcPr>
            <w:tcW w:w="1036" w:type="dxa"/>
            <w:tcBorders/>
          </w:tcPr>
          <w:p>
            <w:pPr>
              <w:pStyle w:val="Normal"/>
              <w:widowControl w:val="false"/>
              <w:jc w:val="right"/>
              <w:rPr>
                <w:rFonts w:ascii="Times New Roman" w:hAnsi="Times New Roman"/>
                <w:color w:val="000000"/>
                <w:lang w:eastAsia="mk-MK"/>
              </w:rPr>
            </w:pPr>
            <w:r>
              <w:rPr>
                <w:color w:val="000000"/>
                <w:lang w:eastAsia="mk-MK"/>
              </w:rPr>
              <w:t>0,77</w:t>
            </w:r>
          </w:p>
        </w:tc>
        <w:tc>
          <w:tcPr>
            <w:tcW w:w="1036" w:type="dxa"/>
            <w:tcBorders/>
          </w:tcPr>
          <w:p>
            <w:pPr>
              <w:pStyle w:val="Normal"/>
              <w:widowControl w:val="false"/>
              <w:jc w:val="right"/>
              <w:rPr>
                <w:rFonts w:ascii="Times New Roman" w:hAnsi="Times New Roman"/>
                <w:color w:val="000000"/>
                <w:lang w:eastAsia="mk-MK"/>
              </w:rPr>
            </w:pPr>
            <w:r>
              <w:rPr>
                <w:color w:val="000000"/>
                <w:lang w:eastAsia="mk-MK"/>
              </w:rPr>
              <w:t>0,89</w:t>
            </w:r>
          </w:p>
        </w:tc>
        <w:tc>
          <w:tcPr>
            <w:tcW w:w="1037" w:type="dxa"/>
            <w:tcBorders>
              <w:right w:val="single" w:sz="8" w:space="0" w:color="4BACC6"/>
            </w:tcBorders>
          </w:tcPr>
          <w:p>
            <w:pPr>
              <w:pStyle w:val="Normal"/>
              <w:widowControl w:val="false"/>
              <w:jc w:val="right"/>
              <w:rPr>
                <w:rFonts w:ascii="Times New Roman" w:hAnsi="Times New Roman"/>
                <w:color w:val="000000"/>
                <w:lang w:eastAsia="mk-MK"/>
              </w:rPr>
            </w:pPr>
            <w:r>
              <w:rPr>
                <w:color w:val="000000"/>
                <w:lang w:eastAsia="mk-MK"/>
              </w:rPr>
              <w:t>0,214</w:t>
            </w:r>
          </w:p>
        </w:tc>
      </w:tr>
      <w:tr>
        <w:trPr>
          <w:trHeight w:val="330" w:hRule="atLeast"/>
        </w:trPr>
        <w:tc>
          <w:tcPr>
            <w:tcW w:w="2741" w:type="dxa"/>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t>Total</w:t>
            </w:r>
          </w:p>
        </w:tc>
        <w:tc>
          <w:tcPr>
            <w:tcW w:w="1208" w:type="dxa"/>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66,27</w:t>
            </w:r>
          </w:p>
        </w:tc>
        <w:tc>
          <w:tcPr>
            <w:tcW w:w="1036" w:type="dxa"/>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72,04</w:t>
            </w:r>
          </w:p>
        </w:tc>
        <w:tc>
          <w:tcPr>
            <w:tcW w:w="1036" w:type="dxa"/>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74,99</w:t>
            </w:r>
          </w:p>
        </w:tc>
        <w:tc>
          <w:tcPr>
            <w:tcW w:w="1037" w:type="dxa"/>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b/>
                <w:b/>
                <w:bCs/>
                <w:lang w:eastAsia="mk-MK"/>
              </w:rPr>
            </w:pPr>
            <w:r>
              <w:rPr>
                <w:b/>
                <w:bCs/>
                <w:lang w:eastAsia="mk-MK"/>
              </w:rPr>
              <w:t>84,04</w:t>
            </w:r>
          </w:p>
        </w:tc>
      </w:tr>
    </w:tbl>
    <w:p>
      <w:pPr>
        <w:pStyle w:val="Default"/>
        <w:jc w:val="both"/>
        <w:rPr>
          <w:bCs/>
        </w:rPr>
      </w:pPr>
      <w:r>
        <w:rPr>
          <w:bCs/>
        </w:rPr>
      </w:r>
    </w:p>
    <w:p>
      <w:pPr>
        <w:pStyle w:val="Default"/>
        <w:jc w:val="center"/>
        <w:rPr>
          <w:bCs/>
        </w:rPr>
      </w:pPr>
      <w:r>
        <w:rPr>
          <w:bCs/>
        </w:rPr>
      </w:r>
    </w:p>
    <w:p>
      <w:pPr>
        <w:pStyle w:val="Default"/>
        <w:jc w:val="center"/>
        <w:rPr>
          <w:bCs/>
        </w:rPr>
      </w:pPr>
      <w:r>
        <w:rPr>
          <w:bCs/>
        </w:rPr>
        <w:t>Table 73: Summary of use in all sectors for each year between 2012 - 2015 (mt)</w:t>
      </w:r>
    </w:p>
    <w:p>
      <w:pPr>
        <w:pStyle w:val="Default"/>
        <w:jc w:val="both"/>
        <w:rPr>
          <w:bCs/>
        </w:rPr>
      </w:pPr>
      <w:r>
        <w:rPr>
          <w:bCs/>
        </w:rPr>
      </w:r>
    </w:p>
    <w:tbl>
      <w:tblPr>
        <w:tblW w:w="836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119"/>
        <w:gridCol w:w="191"/>
        <w:gridCol w:w="1267"/>
        <w:gridCol w:w="191"/>
        <w:gridCol w:w="786"/>
        <w:gridCol w:w="191"/>
        <w:gridCol w:w="442"/>
        <w:gridCol w:w="190"/>
        <w:gridCol w:w="192"/>
        <w:gridCol w:w="260"/>
        <w:gridCol w:w="191"/>
        <w:gridCol w:w="190"/>
        <w:gridCol w:w="476"/>
        <w:gridCol w:w="191"/>
        <w:gridCol w:w="191"/>
        <w:gridCol w:w="486"/>
        <w:gridCol w:w="190"/>
        <w:gridCol w:w="191"/>
        <w:gridCol w:w="454"/>
        <w:gridCol w:w="191"/>
        <w:gridCol w:w="190"/>
        <w:gridCol w:w="436"/>
        <w:gridCol w:w="30"/>
        <w:gridCol w:w="76"/>
        <w:gridCol w:w="50"/>
      </w:tblGrid>
      <w:tr>
        <w:trPr>
          <w:trHeight w:val="169" w:hRule="atLeast"/>
        </w:trPr>
        <w:tc>
          <w:tcPr>
            <w:tcW w:w="8236" w:type="dxa"/>
            <w:gridSpan w:val="23"/>
            <w:tcBorders>
              <w:top w:val="single" w:sz="8" w:space="0" w:color="4BACC6"/>
              <w:left w:val="single" w:sz="8" w:space="0" w:color="4BACC6"/>
              <w:right w:val="single" w:sz="8" w:space="0" w:color="4BACC6"/>
            </w:tcBorders>
            <w:shd w:color="auto" w:fill="4BACC6" w:val="clear"/>
          </w:tcPr>
          <w:p>
            <w:pPr>
              <w:pStyle w:val="Normal"/>
              <w:widowControl w:val="false"/>
              <w:rPr>
                <w:rFonts w:ascii="Times New Roman" w:hAnsi="Times New Roman"/>
                <w:b/>
                <w:b/>
                <w:bCs/>
                <w:color w:val="FFFFFF"/>
                <w:lang w:eastAsia="mk-MK"/>
              </w:rPr>
            </w:pPr>
            <w:r>
              <w:rPr>
                <w:b/>
                <w:bCs/>
                <w:color w:val="FFFFFF"/>
                <w:lang w:eastAsia="mk-MK"/>
              </w:rPr>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75" w:hRule="atLeast"/>
        </w:trPr>
        <w:tc>
          <w:tcPr>
            <w:tcW w:w="8236" w:type="dxa"/>
            <w:gridSpan w:val="23"/>
            <w:tcBorders>
              <w:top w:val="single" w:sz="8" w:space="0" w:color="4BACC6"/>
              <w:left w:val="single" w:sz="8" w:space="0" w:color="4BACC6"/>
              <w:bottom w:val="single" w:sz="8" w:space="0" w:color="4BACC6"/>
              <w:right w:val="single" w:sz="8" w:space="0" w:color="4BACC6"/>
            </w:tcBorders>
          </w:tcPr>
          <w:p>
            <w:pPr>
              <w:pStyle w:val="Normal"/>
              <w:widowControl w:val="false"/>
              <w:jc w:val="center"/>
              <w:rPr>
                <w:rFonts w:ascii="Times New Roman" w:hAnsi="Times New Roman"/>
                <w:lang w:eastAsia="mk-MK"/>
              </w:rPr>
            </w:pPr>
            <w:r>
              <w:rPr>
                <w:b/>
                <w:bCs/>
                <w:lang w:eastAsia="mk-MK"/>
              </w:rPr>
              <w:t>2012</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98" w:hRule="atLeast"/>
        </w:trPr>
        <w:tc>
          <w:tcPr>
            <w:tcW w:w="1310" w:type="dxa"/>
            <w:gridSpan w:val="2"/>
            <w:vMerge w:val="restart"/>
            <w:tcBorders>
              <w:left w:val="single" w:sz="8" w:space="0" w:color="4BACC6"/>
              <w:bottom w:val="single" w:sz="8" w:space="0" w:color="4BACC6"/>
            </w:tcBorders>
          </w:tcPr>
          <w:p>
            <w:pPr>
              <w:pStyle w:val="Normal"/>
              <w:widowControl w:val="false"/>
              <w:jc w:val="center"/>
              <w:rPr>
                <w:rFonts w:ascii="Times New Roman" w:hAnsi="Times New Roman"/>
                <w:b/>
                <w:b/>
                <w:bCs/>
                <w:lang w:eastAsia="mk-MK"/>
              </w:rPr>
            </w:pPr>
            <w:r>
              <w:rPr>
                <w:b/>
                <w:bCs/>
                <w:lang w:eastAsia="mk-MK"/>
              </w:rPr>
              <w:t>Alternative</w:t>
            </w:r>
          </w:p>
        </w:tc>
        <w:tc>
          <w:tcPr>
            <w:tcW w:w="2435" w:type="dxa"/>
            <w:gridSpan w:val="4"/>
            <w:tcBorders/>
          </w:tcPr>
          <w:p>
            <w:pPr>
              <w:pStyle w:val="Normal"/>
              <w:widowControl w:val="false"/>
              <w:jc w:val="center"/>
              <w:rPr>
                <w:rFonts w:ascii="Times New Roman" w:hAnsi="Times New Roman"/>
                <w:b/>
                <w:b/>
                <w:bCs/>
                <w:lang w:eastAsia="mk-MK"/>
              </w:rPr>
            </w:pPr>
            <w:r>
              <w:rPr>
                <w:b/>
                <w:bCs/>
                <w:lang w:eastAsia="mk-MK"/>
              </w:rPr>
              <w:t xml:space="preserve">Refrigeration and air-conditioning </w:t>
            </w:r>
          </w:p>
        </w:tc>
        <w:tc>
          <w:tcPr>
            <w:tcW w:w="442" w:type="dxa"/>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PU foam</w:t>
            </w:r>
          </w:p>
        </w:tc>
        <w:tc>
          <w:tcPr>
            <w:tcW w:w="642" w:type="dxa"/>
            <w:gridSpan w:val="3"/>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XPS foam</w:t>
            </w:r>
          </w:p>
        </w:tc>
        <w:tc>
          <w:tcPr>
            <w:tcW w:w="857" w:type="dxa"/>
            <w:gridSpan w:val="3"/>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Aerosol</w:t>
            </w:r>
          </w:p>
        </w:tc>
        <w:tc>
          <w:tcPr>
            <w:tcW w:w="868" w:type="dxa"/>
            <w:gridSpan w:val="3"/>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Fire fighting</w:t>
            </w:r>
          </w:p>
        </w:tc>
        <w:tc>
          <w:tcPr>
            <w:tcW w:w="835" w:type="dxa"/>
            <w:gridSpan w:val="3"/>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Solvent</w:t>
            </w:r>
          </w:p>
        </w:tc>
        <w:tc>
          <w:tcPr>
            <w:tcW w:w="847" w:type="dxa"/>
            <w:gridSpan w:val="4"/>
            <w:vMerge w:val="restart"/>
            <w:tcBorders>
              <w:bottom w:val="single" w:sz="8" w:space="0" w:color="4BACC6"/>
              <w:right w:val="single" w:sz="8" w:space="0" w:color="4BACC6"/>
            </w:tcBorders>
          </w:tcPr>
          <w:p>
            <w:pPr>
              <w:pStyle w:val="Normal"/>
              <w:widowControl w:val="false"/>
              <w:jc w:val="center"/>
              <w:rPr>
                <w:rFonts w:ascii="Times New Roman" w:hAnsi="Times New Roman"/>
                <w:b/>
                <w:b/>
                <w:bCs/>
                <w:lang w:eastAsia="mk-MK"/>
              </w:rPr>
            </w:pPr>
            <w:r>
              <w:rPr>
                <w:b/>
                <w:bCs/>
                <w:lang w:eastAsia="mk-MK"/>
              </w:rPr>
              <w:t>Others</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506" w:hRule="atLeast"/>
        </w:trPr>
        <w:tc>
          <w:tcPr>
            <w:tcW w:w="1310" w:type="dxa"/>
            <w:gridSpan w:val="2"/>
            <w:vMerge w:val="continue"/>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1458" w:type="dxa"/>
            <w:gridSpan w:val="2"/>
            <w:tcBorders>
              <w:top w:val="single" w:sz="8" w:space="0" w:color="4BACC6"/>
              <w:bottom w:val="single" w:sz="8" w:space="0" w:color="4BACC6"/>
            </w:tcBorders>
          </w:tcPr>
          <w:p>
            <w:pPr>
              <w:pStyle w:val="Normal"/>
              <w:widowControl w:val="false"/>
              <w:jc w:val="center"/>
              <w:rPr>
                <w:rFonts w:ascii="Times New Roman" w:hAnsi="Times New Roman"/>
                <w:b/>
                <w:b/>
                <w:bCs/>
                <w:lang w:eastAsia="mk-MK"/>
              </w:rPr>
            </w:pPr>
            <w:r>
              <w:rPr>
                <w:b/>
                <w:bCs/>
                <w:lang w:eastAsia="mk-MK"/>
              </w:rPr>
              <w:t>Manufacturing</w:t>
            </w:r>
          </w:p>
        </w:tc>
        <w:tc>
          <w:tcPr>
            <w:tcW w:w="977" w:type="dxa"/>
            <w:gridSpan w:val="2"/>
            <w:tcBorders>
              <w:top w:val="single" w:sz="8" w:space="0" w:color="4BACC6"/>
              <w:bottom w:val="single" w:sz="8" w:space="0" w:color="4BACC6"/>
            </w:tcBorders>
          </w:tcPr>
          <w:p>
            <w:pPr>
              <w:pStyle w:val="Normal"/>
              <w:widowControl w:val="false"/>
              <w:jc w:val="center"/>
              <w:rPr>
                <w:rFonts w:ascii="Times New Roman" w:hAnsi="Times New Roman"/>
                <w:b/>
                <w:b/>
                <w:bCs/>
                <w:lang w:eastAsia="mk-MK"/>
              </w:rPr>
            </w:pPr>
            <w:r>
              <w:rPr>
                <w:b/>
                <w:bCs/>
                <w:lang w:eastAsia="mk-MK"/>
              </w:rPr>
              <w:t>Servicing</w:t>
            </w:r>
          </w:p>
        </w:tc>
        <w:tc>
          <w:tcPr>
            <w:tcW w:w="442" w:type="dxa"/>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642" w:type="dxa"/>
            <w:gridSpan w:val="3"/>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857" w:type="dxa"/>
            <w:gridSpan w:val="3"/>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868" w:type="dxa"/>
            <w:gridSpan w:val="3"/>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835" w:type="dxa"/>
            <w:gridSpan w:val="3"/>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847" w:type="dxa"/>
            <w:gridSpan w:val="4"/>
            <w:vMerge w:val="continue"/>
            <w:tcBorders>
              <w:top w:val="single" w:sz="8" w:space="0" w:color="4BACC6"/>
              <w:bottom w:val="single" w:sz="8" w:space="0" w:color="4BACC6"/>
              <w:right w:val="single" w:sz="8" w:space="0" w:color="4BACC6"/>
            </w:tcBorders>
          </w:tcPr>
          <w:p>
            <w:pPr>
              <w:pStyle w:val="Normal"/>
              <w:widowControl w:val="false"/>
              <w:rPr>
                <w:rFonts w:ascii="Times New Roman" w:hAnsi="Times New Roman"/>
                <w:b/>
                <w:b/>
                <w:bCs/>
                <w:lang w:eastAsia="mk-MK"/>
              </w:rPr>
            </w:pPr>
            <w:r>
              <w:rPr>
                <w:b/>
                <w:bCs/>
                <w:lang w:eastAsia="mk-MK"/>
              </w:rPr>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84" w:hRule="atLeast"/>
        </w:trPr>
        <w:tc>
          <w:tcPr>
            <w:tcW w:w="8236" w:type="dxa"/>
            <w:gridSpan w:val="23"/>
            <w:tcBorders>
              <w:left w:val="single" w:sz="8" w:space="0" w:color="4BACC6"/>
              <w:right w:val="single" w:sz="8" w:space="0" w:color="4BACC6"/>
            </w:tcBorders>
          </w:tcPr>
          <w:p>
            <w:pPr>
              <w:pStyle w:val="Normal"/>
              <w:widowControl w:val="false"/>
              <w:rPr>
                <w:rFonts w:ascii="Times New Roman" w:hAnsi="Times New Roman"/>
                <w:bCs/>
                <w:lang w:eastAsia="mk-MK"/>
              </w:rPr>
            </w:pPr>
            <w:r>
              <w:rPr>
                <w:bCs/>
                <w:lang w:eastAsia="mk-MK"/>
              </w:rPr>
              <w:t>HFC</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48"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HFC-134a</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0,25</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31,45</w:t>
            </w:r>
          </w:p>
        </w:tc>
        <w:tc>
          <w:tcPr>
            <w:tcW w:w="442" w:type="dxa"/>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2"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8"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5"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47"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84" w:hRule="atLeast"/>
        </w:trPr>
        <w:tc>
          <w:tcPr>
            <w:tcW w:w="8236" w:type="dxa"/>
            <w:gridSpan w:val="23"/>
            <w:tcBorders>
              <w:left w:val="single" w:sz="8" w:space="0" w:color="4BACC6"/>
              <w:right w:val="single" w:sz="8" w:space="0" w:color="4BACC6"/>
            </w:tcBorders>
          </w:tcPr>
          <w:p>
            <w:pPr>
              <w:pStyle w:val="Normal"/>
              <w:widowControl w:val="false"/>
              <w:rPr>
                <w:rFonts w:ascii="Times New Roman" w:hAnsi="Times New Roman"/>
                <w:bCs/>
                <w:lang w:eastAsia="mk-MK"/>
              </w:rPr>
            </w:pPr>
            <w:r>
              <w:rPr>
                <w:bCs/>
                <w:lang w:eastAsia="mk-MK"/>
              </w:rPr>
              <w:t>HFC blends</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84"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R-404A</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1,11</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17,41</w:t>
            </w:r>
          </w:p>
        </w:tc>
        <w:tc>
          <w:tcPr>
            <w:tcW w:w="442" w:type="dxa"/>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2"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8"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5"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47"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84" w:hRule="atLeast"/>
        </w:trPr>
        <w:tc>
          <w:tcPr>
            <w:tcW w:w="1310" w:type="dxa"/>
            <w:gridSpan w:val="2"/>
            <w:tcBorders>
              <w:left w:val="single" w:sz="8" w:space="0" w:color="4BACC6"/>
            </w:tcBorders>
          </w:tcPr>
          <w:p>
            <w:pPr>
              <w:pStyle w:val="Normal"/>
              <w:widowControl w:val="false"/>
              <w:rPr>
                <w:rFonts w:ascii="Times New Roman" w:hAnsi="Times New Roman"/>
                <w:bCs/>
                <w:lang w:eastAsia="mk-MK"/>
              </w:rPr>
            </w:pPr>
            <w:r>
              <w:rPr>
                <w:bCs/>
                <w:lang w:eastAsia="mk-MK"/>
              </w:rPr>
              <w:t>R-407C</w:t>
            </w:r>
          </w:p>
        </w:tc>
        <w:tc>
          <w:tcPr>
            <w:tcW w:w="1458" w:type="dxa"/>
            <w:gridSpan w:val="2"/>
            <w:tcBorders/>
          </w:tcPr>
          <w:p>
            <w:pPr>
              <w:pStyle w:val="Normal"/>
              <w:widowControl w:val="false"/>
              <w:rPr>
                <w:rFonts w:ascii="Times New Roman" w:hAnsi="Times New Roman"/>
                <w:lang w:eastAsia="mk-MK"/>
              </w:rPr>
            </w:pPr>
            <w:r>
              <w:rPr>
                <w:lang w:eastAsia="mk-MK"/>
              </w:rPr>
              <w:t> </w:t>
            </w:r>
          </w:p>
        </w:tc>
        <w:tc>
          <w:tcPr>
            <w:tcW w:w="977" w:type="dxa"/>
            <w:gridSpan w:val="2"/>
            <w:tcBorders/>
          </w:tcPr>
          <w:p>
            <w:pPr>
              <w:pStyle w:val="Normal"/>
              <w:widowControl w:val="false"/>
              <w:jc w:val="right"/>
              <w:rPr>
                <w:rFonts w:ascii="Times New Roman" w:hAnsi="Times New Roman"/>
                <w:lang w:eastAsia="mk-MK"/>
              </w:rPr>
            </w:pPr>
            <w:r>
              <w:rPr>
                <w:lang w:eastAsia="mk-MK"/>
              </w:rPr>
              <w:t>6,51</w:t>
            </w:r>
          </w:p>
        </w:tc>
        <w:tc>
          <w:tcPr>
            <w:tcW w:w="442" w:type="dxa"/>
            <w:tcBorders/>
          </w:tcPr>
          <w:p>
            <w:pPr>
              <w:pStyle w:val="Normal"/>
              <w:widowControl w:val="false"/>
              <w:jc w:val="right"/>
              <w:rPr>
                <w:rFonts w:ascii="Times New Roman" w:hAnsi="Times New Roman"/>
                <w:lang w:eastAsia="mk-MK"/>
              </w:rPr>
            </w:pPr>
            <w:r>
              <w:rPr>
                <w:lang w:eastAsia="mk-MK"/>
              </w:rPr>
              <w:t> </w:t>
            </w:r>
          </w:p>
        </w:tc>
        <w:tc>
          <w:tcPr>
            <w:tcW w:w="642" w:type="dxa"/>
            <w:gridSpan w:val="3"/>
            <w:tcBorders/>
          </w:tcPr>
          <w:p>
            <w:pPr>
              <w:pStyle w:val="Normal"/>
              <w:widowControl w:val="false"/>
              <w:jc w:val="right"/>
              <w:rPr>
                <w:rFonts w:ascii="Times New Roman" w:hAnsi="Times New Roman"/>
                <w:lang w:eastAsia="mk-MK"/>
              </w:rPr>
            </w:pPr>
            <w:r>
              <w:rPr>
                <w:lang w:eastAsia="mk-MK"/>
              </w:rPr>
              <w:t> </w:t>
            </w:r>
          </w:p>
        </w:tc>
        <w:tc>
          <w:tcPr>
            <w:tcW w:w="857" w:type="dxa"/>
            <w:gridSpan w:val="3"/>
            <w:tcBorders/>
          </w:tcPr>
          <w:p>
            <w:pPr>
              <w:pStyle w:val="Normal"/>
              <w:widowControl w:val="false"/>
              <w:jc w:val="right"/>
              <w:rPr>
                <w:rFonts w:ascii="Times New Roman" w:hAnsi="Times New Roman"/>
                <w:lang w:eastAsia="mk-MK"/>
              </w:rPr>
            </w:pPr>
            <w:r>
              <w:rPr>
                <w:lang w:eastAsia="mk-MK"/>
              </w:rPr>
              <w:t> </w:t>
            </w:r>
          </w:p>
        </w:tc>
        <w:tc>
          <w:tcPr>
            <w:tcW w:w="868" w:type="dxa"/>
            <w:gridSpan w:val="3"/>
            <w:tcBorders/>
          </w:tcPr>
          <w:p>
            <w:pPr>
              <w:pStyle w:val="Normal"/>
              <w:widowControl w:val="false"/>
              <w:jc w:val="right"/>
              <w:rPr>
                <w:rFonts w:ascii="Times New Roman" w:hAnsi="Times New Roman"/>
                <w:lang w:eastAsia="mk-MK"/>
              </w:rPr>
            </w:pPr>
            <w:r>
              <w:rPr>
                <w:lang w:eastAsia="mk-MK"/>
              </w:rPr>
              <w:t> </w:t>
            </w:r>
          </w:p>
        </w:tc>
        <w:tc>
          <w:tcPr>
            <w:tcW w:w="835" w:type="dxa"/>
            <w:gridSpan w:val="3"/>
            <w:tcBorders/>
          </w:tcPr>
          <w:p>
            <w:pPr>
              <w:pStyle w:val="Normal"/>
              <w:widowControl w:val="false"/>
              <w:jc w:val="right"/>
              <w:rPr>
                <w:rFonts w:ascii="Times New Roman" w:hAnsi="Times New Roman"/>
                <w:lang w:eastAsia="mk-MK"/>
              </w:rPr>
            </w:pPr>
            <w:r>
              <w:rPr>
                <w:lang w:eastAsia="mk-MK"/>
              </w:rPr>
              <w:t> </w:t>
            </w:r>
          </w:p>
        </w:tc>
        <w:tc>
          <w:tcPr>
            <w:tcW w:w="847"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84"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R-410A</w:t>
            </w:r>
          </w:p>
        </w:tc>
        <w:tc>
          <w:tcPr>
            <w:tcW w:w="1458" w:type="dxa"/>
            <w:gridSpan w:val="2"/>
            <w:tcBorders>
              <w:top w:val="single" w:sz="8" w:space="0" w:color="4BACC6"/>
              <w:bottom w:val="single" w:sz="8" w:space="0" w:color="4BACC6"/>
            </w:tcBorders>
          </w:tcPr>
          <w:p>
            <w:pPr>
              <w:pStyle w:val="Normal"/>
              <w:widowControl w:val="false"/>
              <w:rPr>
                <w:rFonts w:ascii="Times New Roman" w:hAnsi="Times New Roman"/>
                <w:lang w:eastAsia="mk-MK"/>
              </w:rPr>
            </w:pPr>
            <w:r>
              <w:rPr>
                <w:lang w:eastAsia="mk-MK"/>
              </w:rPr>
              <w:t> </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8,39</w:t>
            </w:r>
          </w:p>
        </w:tc>
        <w:tc>
          <w:tcPr>
            <w:tcW w:w="442" w:type="dxa"/>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2"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8"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5"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47"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84" w:hRule="atLeast"/>
        </w:trPr>
        <w:tc>
          <w:tcPr>
            <w:tcW w:w="1310" w:type="dxa"/>
            <w:gridSpan w:val="2"/>
            <w:tcBorders>
              <w:left w:val="single" w:sz="8" w:space="0" w:color="4BACC6"/>
            </w:tcBorders>
          </w:tcPr>
          <w:p>
            <w:pPr>
              <w:pStyle w:val="Normal"/>
              <w:widowControl w:val="false"/>
              <w:rPr>
                <w:rFonts w:ascii="Times New Roman" w:hAnsi="Times New Roman"/>
                <w:bCs/>
                <w:lang w:eastAsia="mk-MK"/>
              </w:rPr>
            </w:pPr>
            <w:r>
              <w:rPr>
                <w:bCs/>
                <w:lang w:eastAsia="mk-MK"/>
              </w:rPr>
              <w:t>R-507</w:t>
            </w:r>
          </w:p>
        </w:tc>
        <w:tc>
          <w:tcPr>
            <w:tcW w:w="1458" w:type="dxa"/>
            <w:gridSpan w:val="2"/>
            <w:tcBorders/>
          </w:tcPr>
          <w:p>
            <w:pPr>
              <w:pStyle w:val="Normal"/>
              <w:widowControl w:val="false"/>
              <w:rPr>
                <w:rFonts w:ascii="Times New Roman" w:hAnsi="Times New Roman"/>
                <w:lang w:eastAsia="mk-MK"/>
              </w:rPr>
            </w:pPr>
            <w:r>
              <w:rPr>
                <w:lang w:eastAsia="mk-MK"/>
              </w:rPr>
              <w:t> </w:t>
            </w:r>
          </w:p>
        </w:tc>
        <w:tc>
          <w:tcPr>
            <w:tcW w:w="977" w:type="dxa"/>
            <w:gridSpan w:val="2"/>
            <w:tcBorders/>
          </w:tcPr>
          <w:p>
            <w:pPr>
              <w:pStyle w:val="Normal"/>
              <w:widowControl w:val="false"/>
              <w:jc w:val="right"/>
              <w:rPr>
                <w:rFonts w:ascii="Times New Roman" w:hAnsi="Times New Roman"/>
                <w:lang w:eastAsia="mk-MK"/>
              </w:rPr>
            </w:pPr>
            <w:r>
              <w:rPr>
                <w:lang w:eastAsia="mk-MK"/>
              </w:rPr>
              <w:t>1,12</w:t>
            </w:r>
          </w:p>
        </w:tc>
        <w:tc>
          <w:tcPr>
            <w:tcW w:w="442" w:type="dxa"/>
            <w:tcBorders/>
          </w:tcPr>
          <w:p>
            <w:pPr>
              <w:pStyle w:val="Normal"/>
              <w:widowControl w:val="false"/>
              <w:jc w:val="right"/>
              <w:rPr>
                <w:rFonts w:ascii="Times New Roman" w:hAnsi="Times New Roman"/>
                <w:lang w:eastAsia="mk-MK"/>
              </w:rPr>
            </w:pPr>
            <w:r>
              <w:rPr>
                <w:lang w:eastAsia="mk-MK"/>
              </w:rPr>
              <w:t> </w:t>
            </w:r>
          </w:p>
        </w:tc>
        <w:tc>
          <w:tcPr>
            <w:tcW w:w="642" w:type="dxa"/>
            <w:gridSpan w:val="3"/>
            <w:tcBorders/>
          </w:tcPr>
          <w:p>
            <w:pPr>
              <w:pStyle w:val="Normal"/>
              <w:widowControl w:val="false"/>
              <w:jc w:val="right"/>
              <w:rPr>
                <w:rFonts w:ascii="Times New Roman" w:hAnsi="Times New Roman"/>
                <w:lang w:eastAsia="mk-MK"/>
              </w:rPr>
            </w:pPr>
            <w:r>
              <w:rPr>
                <w:lang w:eastAsia="mk-MK"/>
              </w:rPr>
              <w:t> </w:t>
            </w:r>
          </w:p>
        </w:tc>
        <w:tc>
          <w:tcPr>
            <w:tcW w:w="857" w:type="dxa"/>
            <w:gridSpan w:val="3"/>
            <w:tcBorders/>
          </w:tcPr>
          <w:p>
            <w:pPr>
              <w:pStyle w:val="Normal"/>
              <w:widowControl w:val="false"/>
              <w:jc w:val="right"/>
              <w:rPr>
                <w:rFonts w:ascii="Times New Roman" w:hAnsi="Times New Roman"/>
                <w:lang w:eastAsia="mk-MK"/>
              </w:rPr>
            </w:pPr>
            <w:r>
              <w:rPr>
                <w:lang w:eastAsia="mk-MK"/>
              </w:rPr>
              <w:t> </w:t>
            </w:r>
          </w:p>
        </w:tc>
        <w:tc>
          <w:tcPr>
            <w:tcW w:w="868" w:type="dxa"/>
            <w:gridSpan w:val="3"/>
            <w:tcBorders/>
          </w:tcPr>
          <w:p>
            <w:pPr>
              <w:pStyle w:val="Normal"/>
              <w:widowControl w:val="false"/>
              <w:jc w:val="right"/>
              <w:rPr>
                <w:rFonts w:ascii="Times New Roman" w:hAnsi="Times New Roman"/>
                <w:lang w:eastAsia="mk-MK"/>
              </w:rPr>
            </w:pPr>
            <w:r>
              <w:rPr>
                <w:lang w:eastAsia="mk-MK"/>
              </w:rPr>
              <w:t> </w:t>
            </w:r>
          </w:p>
        </w:tc>
        <w:tc>
          <w:tcPr>
            <w:tcW w:w="835" w:type="dxa"/>
            <w:gridSpan w:val="3"/>
            <w:tcBorders/>
          </w:tcPr>
          <w:p>
            <w:pPr>
              <w:pStyle w:val="Normal"/>
              <w:widowControl w:val="false"/>
              <w:jc w:val="right"/>
              <w:rPr>
                <w:rFonts w:ascii="Times New Roman" w:hAnsi="Times New Roman"/>
                <w:lang w:eastAsia="mk-MK"/>
              </w:rPr>
            </w:pPr>
            <w:r>
              <w:rPr>
                <w:lang w:eastAsia="mk-MK"/>
              </w:rPr>
              <w:t> </w:t>
            </w:r>
          </w:p>
        </w:tc>
        <w:tc>
          <w:tcPr>
            <w:tcW w:w="847"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84" w:hRule="atLeast"/>
        </w:trPr>
        <w:tc>
          <w:tcPr>
            <w:tcW w:w="1310" w:type="dxa"/>
            <w:gridSpan w:val="2"/>
            <w:tcBorders>
              <w:left w:val="single" w:sz="8" w:space="0" w:color="4BACC6"/>
            </w:tcBorders>
          </w:tcPr>
          <w:p>
            <w:pPr>
              <w:pStyle w:val="Normal"/>
              <w:widowControl w:val="false"/>
              <w:rPr>
                <w:rFonts w:ascii="Times New Roman" w:hAnsi="Times New Roman"/>
                <w:bCs/>
                <w:lang w:eastAsia="mk-MK"/>
              </w:rPr>
            </w:pPr>
            <w:r>
              <w:rPr>
                <w:bCs/>
                <w:lang w:eastAsia="mk-MK"/>
              </w:rPr>
              <w:t>R227ea</w:t>
            </w:r>
          </w:p>
        </w:tc>
        <w:tc>
          <w:tcPr>
            <w:tcW w:w="1458" w:type="dxa"/>
            <w:gridSpan w:val="2"/>
            <w:tcBorders/>
          </w:tcPr>
          <w:p>
            <w:pPr>
              <w:pStyle w:val="Normal"/>
              <w:widowControl w:val="false"/>
              <w:rPr>
                <w:rFonts w:ascii="Times New Roman" w:hAnsi="Times New Roman"/>
                <w:lang w:eastAsia="mk-MK"/>
              </w:rPr>
            </w:pPr>
            <w:r>
              <w:rPr>
                <w:lang w:eastAsia="mk-MK"/>
              </w:rPr>
            </w:r>
          </w:p>
        </w:tc>
        <w:tc>
          <w:tcPr>
            <w:tcW w:w="977" w:type="dxa"/>
            <w:gridSpan w:val="2"/>
            <w:tcBorders/>
          </w:tcPr>
          <w:p>
            <w:pPr>
              <w:pStyle w:val="Normal"/>
              <w:widowControl w:val="false"/>
              <w:jc w:val="right"/>
              <w:rPr>
                <w:rFonts w:ascii="Times New Roman" w:hAnsi="Times New Roman"/>
                <w:lang w:eastAsia="mk-MK"/>
              </w:rPr>
            </w:pPr>
            <w:r>
              <w:rPr>
                <w:lang w:eastAsia="mk-MK"/>
              </w:rPr>
            </w:r>
          </w:p>
        </w:tc>
        <w:tc>
          <w:tcPr>
            <w:tcW w:w="442" w:type="dxa"/>
            <w:tcBorders/>
          </w:tcPr>
          <w:p>
            <w:pPr>
              <w:pStyle w:val="Normal"/>
              <w:widowControl w:val="false"/>
              <w:jc w:val="right"/>
              <w:rPr>
                <w:rFonts w:ascii="Times New Roman" w:hAnsi="Times New Roman"/>
                <w:lang w:eastAsia="mk-MK"/>
              </w:rPr>
            </w:pPr>
            <w:r>
              <w:rPr>
                <w:lang w:eastAsia="mk-MK"/>
              </w:rPr>
            </w:r>
          </w:p>
        </w:tc>
        <w:tc>
          <w:tcPr>
            <w:tcW w:w="642" w:type="dxa"/>
            <w:gridSpan w:val="3"/>
            <w:tcBorders/>
          </w:tcPr>
          <w:p>
            <w:pPr>
              <w:pStyle w:val="Normal"/>
              <w:widowControl w:val="false"/>
              <w:jc w:val="right"/>
              <w:rPr>
                <w:rFonts w:ascii="Times New Roman" w:hAnsi="Times New Roman"/>
                <w:lang w:eastAsia="mk-MK"/>
              </w:rPr>
            </w:pPr>
            <w:r>
              <w:rPr>
                <w:lang w:eastAsia="mk-MK"/>
              </w:rPr>
            </w:r>
          </w:p>
        </w:tc>
        <w:tc>
          <w:tcPr>
            <w:tcW w:w="857" w:type="dxa"/>
            <w:gridSpan w:val="3"/>
            <w:tcBorders/>
          </w:tcPr>
          <w:p>
            <w:pPr>
              <w:pStyle w:val="Normal"/>
              <w:widowControl w:val="false"/>
              <w:jc w:val="right"/>
              <w:rPr>
                <w:rFonts w:ascii="Times New Roman" w:hAnsi="Times New Roman"/>
                <w:lang w:eastAsia="mk-MK"/>
              </w:rPr>
            </w:pPr>
            <w:r>
              <w:rPr>
                <w:lang w:eastAsia="mk-MK"/>
              </w:rPr>
            </w:r>
          </w:p>
        </w:tc>
        <w:tc>
          <w:tcPr>
            <w:tcW w:w="868" w:type="dxa"/>
            <w:gridSpan w:val="3"/>
            <w:tcBorders/>
          </w:tcPr>
          <w:p>
            <w:pPr>
              <w:pStyle w:val="Normal"/>
              <w:widowControl w:val="false"/>
              <w:jc w:val="right"/>
              <w:rPr>
                <w:rFonts w:ascii="Times New Roman" w:hAnsi="Times New Roman"/>
                <w:lang w:eastAsia="mk-MK"/>
              </w:rPr>
            </w:pPr>
            <w:r>
              <w:rPr>
                <w:lang w:eastAsia="mk-MK"/>
              </w:rPr>
              <w:t>7</w:t>
            </w:r>
          </w:p>
        </w:tc>
        <w:tc>
          <w:tcPr>
            <w:tcW w:w="835" w:type="dxa"/>
            <w:gridSpan w:val="3"/>
            <w:tcBorders/>
          </w:tcPr>
          <w:p>
            <w:pPr>
              <w:pStyle w:val="Normal"/>
              <w:widowControl w:val="false"/>
              <w:jc w:val="right"/>
              <w:rPr>
                <w:rFonts w:ascii="Times New Roman" w:hAnsi="Times New Roman"/>
                <w:lang w:eastAsia="mk-MK"/>
              </w:rPr>
            </w:pPr>
            <w:r>
              <w:rPr>
                <w:lang w:eastAsia="mk-MK"/>
              </w:rPr>
            </w:r>
          </w:p>
        </w:tc>
        <w:tc>
          <w:tcPr>
            <w:tcW w:w="847"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161"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t>Total</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1,36</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64,88</w:t>
            </w:r>
          </w:p>
        </w:tc>
        <w:tc>
          <w:tcPr>
            <w:tcW w:w="442" w:type="dxa"/>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642" w:type="dxa"/>
            <w:gridSpan w:val="3"/>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868" w:type="dxa"/>
            <w:gridSpan w:val="3"/>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7</w:t>
            </w:r>
          </w:p>
        </w:tc>
        <w:tc>
          <w:tcPr>
            <w:tcW w:w="835" w:type="dxa"/>
            <w:gridSpan w:val="3"/>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847"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8236" w:type="dxa"/>
            <w:gridSpan w:val="23"/>
            <w:tcBorders>
              <w:left w:val="single" w:sz="8" w:space="0" w:color="4BACC6"/>
              <w:right w:val="single" w:sz="8" w:space="0" w:color="4BACC6"/>
            </w:tcBorders>
          </w:tcPr>
          <w:p>
            <w:pPr>
              <w:pStyle w:val="Normal"/>
              <w:widowControl w:val="false"/>
              <w:jc w:val="center"/>
              <w:rPr>
                <w:rFonts w:ascii="Times New Roman" w:hAnsi="Times New Roman"/>
                <w:b/>
                <w:b/>
                <w:bCs/>
                <w:color w:val="FFFFFF"/>
                <w:lang w:eastAsia="mk-MK"/>
              </w:rPr>
            </w:pPr>
            <w:r>
              <w:rPr>
                <w:b/>
                <w:bCs/>
                <w:lang w:eastAsia="mk-MK"/>
              </w:rPr>
              <w:t>2013</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1310" w:type="dxa"/>
            <w:gridSpan w:val="2"/>
            <w:vMerge w:val="restart"/>
            <w:tcBorders>
              <w:top w:val="single" w:sz="8" w:space="0" w:color="4BACC6"/>
              <w:left w:val="single" w:sz="8" w:space="0" w:color="4BACC6"/>
            </w:tcBorders>
          </w:tcPr>
          <w:p>
            <w:pPr>
              <w:pStyle w:val="Normal"/>
              <w:widowControl w:val="false"/>
              <w:jc w:val="center"/>
              <w:rPr>
                <w:rFonts w:ascii="Times New Roman" w:hAnsi="Times New Roman"/>
                <w:b/>
                <w:b/>
                <w:bCs/>
                <w:lang w:eastAsia="mk-MK"/>
              </w:rPr>
            </w:pPr>
            <w:r>
              <w:rPr>
                <w:b/>
                <w:bCs/>
                <w:lang w:eastAsia="mk-MK"/>
              </w:rPr>
              <w:t>Alternative</w:t>
            </w:r>
          </w:p>
        </w:tc>
        <w:tc>
          <w:tcPr>
            <w:tcW w:w="2435" w:type="dxa"/>
            <w:gridSpan w:val="4"/>
            <w:tcBorders>
              <w:top w:val="single" w:sz="8" w:space="0" w:color="4BACC6"/>
              <w:bottom w:val="single" w:sz="8" w:space="0" w:color="4BACC6"/>
            </w:tcBorders>
          </w:tcPr>
          <w:p>
            <w:pPr>
              <w:pStyle w:val="Normal"/>
              <w:widowControl w:val="false"/>
              <w:jc w:val="center"/>
              <w:rPr>
                <w:rFonts w:ascii="Times New Roman" w:hAnsi="Times New Roman"/>
                <w:b/>
                <w:b/>
                <w:bCs/>
                <w:lang w:eastAsia="mk-MK"/>
              </w:rPr>
            </w:pPr>
            <w:r>
              <w:rPr>
                <w:b/>
                <w:bCs/>
                <w:lang w:eastAsia="mk-MK"/>
              </w:rPr>
              <w:t xml:space="preserve">Refrigeration and air-conditioning </w:t>
            </w:r>
          </w:p>
        </w:tc>
        <w:tc>
          <w:tcPr>
            <w:tcW w:w="442" w:type="dxa"/>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PU foam</w:t>
            </w:r>
          </w:p>
        </w:tc>
        <w:tc>
          <w:tcPr>
            <w:tcW w:w="642" w:type="dxa"/>
            <w:gridSpan w:val="3"/>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XPS foam</w:t>
            </w:r>
          </w:p>
        </w:tc>
        <w:tc>
          <w:tcPr>
            <w:tcW w:w="857" w:type="dxa"/>
            <w:gridSpan w:val="3"/>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Aerosol</w:t>
            </w:r>
          </w:p>
        </w:tc>
        <w:tc>
          <w:tcPr>
            <w:tcW w:w="868" w:type="dxa"/>
            <w:gridSpan w:val="3"/>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Fire fighting</w:t>
            </w:r>
          </w:p>
        </w:tc>
        <w:tc>
          <w:tcPr>
            <w:tcW w:w="835" w:type="dxa"/>
            <w:gridSpan w:val="3"/>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Solvent</w:t>
            </w:r>
          </w:p>
        </w:tc>
        <w:tc>
          <w:tcPr>
            <w:tcW w:w="847" w:type="dxa"/>
            <w:gridSpan w:val="4"/>
            <w:vMerge w:val="restart"/>
            <w:tcBorders>
              <w:top w:val="single" w:sz="8" w:space="0" w:color="4BACC6"/>
              <w:right w:val="single" w:sz="8" w:space="0" w:color="4BACC6"/>
            </w:tcBorders>
          </w:tcPr>
          <w:p>
            <w:pPr>
              <w:pStyle w:val="Normal"/>
              <w:widowControl w:val="false"/>
              <w:jc w:val="center"/>
              <w:rPr>
                <w:rFonts w:ascii="Times New Roman" w:hAnsi="Times New Roman"/>
                <w:b/>
                <w:b/>
                <w:bCs/>
                <w:lang w:eastAsia="mk-MK"/>
              </w:rPr>
            </w:pPr>
            <w:r>
              <w:rPr>
                <w:b/>
                <w:bCs/>
                <w:lang w:eastAsia="mk-MK"/>
              </w:rPr>
              <w:t>Others</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1310" w:type="dxa"/>
            <w:gridSpan w:val="2"/>
            <w:vMerge w:val="continue"/>
            <w:tcBorders>
              <w:left w:val="single" w:sz="8" w:space="0" w:color="4BACC6"/>
            </w:tcBorders>
          </w:tcPr>
          <w:p>
            <w:pPr>
              <w:pStyle w:val="Normal"/>
              <w:widowControl w:val="false"/>
              <w:rPr>
                <w:rFonts w:ascii="Times New Roman" w:hAnsi="Times New Roman"/>
                <w:b/>
                <w:b/>
                <w:bCs/>
                <w:lang w:eastAsia="mk-MK"/>
              </w:rPr>
            </w:pPr>
            <w:r>
              <w:rPr>
                <w:b/>
                <w:bCs/>
                <w:lang w:eastAsia="mk-MK"/>
              </w:rPr>
            </w:r>
          </w:p>
        </w:tc>
        <w:tc>
          <w:tcPr>
            <w:tcW w:w="1458" w:type="dxa"/>
            <w:gridSpan w:val="2"/>
            <w:tcBorders/>
          </w:tcPr>
          <w:p>
            <w:pPr>
              <w:pStyle w:val="Normal"/>
              <w:widowControl w:val="false"/>
              <w:jc w:val="center"/>
              <w:rPr>
                <w:rFonts w:ascii="Times New Roman" w:hAnsi="Times New Roman"/>
                <w:b/>
                <w:b/>
                <w:bCs/>
                <w:lang w:eastAsia="mk-MK"/>
              </w:rPr>
            </w:pPr>
            <w:r>
              <w:rPr>
                <w:b/>
                <w:bCs/>
                <w:lang w:eastAsia="mk-MK"/>
              </w:rPr>
              <w:t>Manufacturing</w:t>
            </w:r>
          </w:p>
        </w:tc>
        <w:tc>
          <w:tcPr>
            <w:tcW w:w="977" w:type="dxa"/>
            <w:gridSpan w:val="2"/>
            <w:tcBorders/>
          </w:tcPr>
          <w:p>
            <w:pPr>
              <w:pStyle w:val="Normal"/>
              <w:widowControl w:val="false"/>
              <w:jc w:val="center"/>
              <w:rPr>
                <w:rFonts w:ascii="Times New Roman" w:hAnsi="Times New Roman"/>
                <w:b/>
                <w:b/>
                <w:bCs/>
                <w:lang w:eastAsia="mk-MK"/>
              </w:rPr>
            </w:pPr>
            <w:r>
              <w:rPr>
                <w:b/>
                <w:bCs/>
                <w:lang w:eastAsia="mk-MK"/>
              </w:rPr>
              <w:t>Servicing</w:t>
            </w:r>
          </w:p>
        </w:tc>
        <w:tc>
          <w:tcPr>
            <w:tcW w:w="442" w:type="dxa"/>
            <w:vMerge w:val="continue"/>
            <w:tcBorders/>
          </w:tcPr>
          <w:p>
            <w:pPr>
              <w:pStyle w:val="Normal"/>
              <w:widowControl w:val="false"/>
              <w:rPr>
                <w:rFonts w:ascii="Times New Roman" w:hAnsi="Times New Roman"/>
                <w:b/>
                <w:b/>
                <w:bCs/>
                <w:lang w:eastAsia="mk-MK"/>
              </w:rPr>
            </w:pPr>
            <w:r>
              <w:rPr>
                <w:b/>
                <w:bCs/>
                <w:lang w:eastAsia="mk-MK"/>
              </w:rPr>
            </w:r>
          </w:p>
        </w:tc>
        <w:tc>
          <w:tcPr>
            <w:tcW w:w="642" w:type="dxa"/>
            <w:gridSpan w:val="3"/>
            <w:vMerge w:val="continue"/>
            <w:tcBorders/>
          </w:tcPr>
          <w:p>
            <w:pPr>
              <w:pStyle w:val="Normal"/>
              <w:widowControl w:val="false"/>
              <w:rPr>
                <w:rFonts w:ascii="Times New Roman" w:hAnsi="Times New Roman"/>
                <w:b/>
                <w:b/>
                <w:bCs/>
                <w:lang w:eastAsia="mk-MK"/>
              </w:rPr>
            </w:pPr>
            <w:r>
              <w:rPr>
                <w:b/>
                <w:bCs/>
                <w:lang w:eastAsia="mk-MK"/>
              </w:rPr>
            </w:r>
          </w:p>
        </w:tc>
        <w:tc>
          <w:tcPr>
            <w:tcW w:w="857" w:type="dxa"/>
            <w:gridSpan w:val="3"/>
            <w:vMerge w:val="continue"/>
            <w:tcBorders/>
          </w:tcPr>
          <w:p>
            <w:pPr>
              <w:pStyle w:val="Normal"/>
              <w:widowControl w:val="false"/>
              <w:rPr>
                <w:rFonts w:ascii="Times New Roman" w:hAnsi="Times New Roman"/>
                <w:b/>
                <w:b/>
                <w:bCs/>
                <w:lang w:eastAsia="mk-MK"/>
              </w:rPr>
            </w:pPr>
            <w:r>
              <w:rPr>
                <w:b/>
                <w:bCs/>
                <w:lang w:eastAsia="mk-MK"/>
              </w:rPr>
            </w:r>
          </w:p>
        </w:tc>
        <w:tc>
          <w:tcPr>
            <w:tcW w:w="868" w:type="dxa"/>
            <w:gridSpan w:val="3"/>
            <w:vMerge w:val="continue"/>
            <w:tcBorders/>
          </w:tcPr>
          <w:p>
            <w:pPr>
              <w:pStyle w:val="Normal"/>
              <w:widowControl w:val="false"/>
              <w:rPr>
                <w:rFonts w:ascii="Times New Roman" w:hAnsi="Times New Roman"/>
                <w:b/>
                <w:b/>
                <w:bCs/>
                <w:lang w:eastAsia="mk-MK"/>
              </w:rPr>
            </w:pPr>
            <w:r>
              <w:rPr>
                <w:b/>
                <w:bCs/>
                <w:lang w:eastAsia="mk-MK"/>
              </w:rPr>
            </w:r>
          </w:p>
        </w:tc>
        <w:tc>
          <w:tcPr>
            <w:tcW w:w="835" w:type="dxa"/>
            <w:gridSpan w:val="3"/>
            <w:vMerge w:val="continue"/>
            <w:tcBorders/>
          </w:tcPr>
          <w:p>
            <w:pPr>
              <w:pStyle w:val="Normal"/>
              <w:widowControl w:val="false"/>
              <w:rPr>
                <w:rFonts w:ascii="Times New Roman" w:hAnsi="Times New Roman"/>
                <w:b/>
                <w:b/>
                <w:bCs/>
                <w:lang w:eastAsia="mk-MK"/>
              </w:rPr>
            </w:pPr>
            <w:r>
              <w:rPr>
                <w:b/>
                <w:bCs/>
                <w:lang w:eastAsia="mk-MK"/>
              </w:rPr>
            </w:r>
          </w:p>
        </w:tc>
        <w:tc>
          <w:tcPr>
            <w:tcW w:w="847" w:type="dxa"/>
            <w:gridSpan w:val="4"/>
            <w:vMerge w:val="continue"/>
            <w:tcBorders>
              <w:right w:val="single" w:sz="8" w:space="0" w:color="4BACC6"/>
            </w:tcBorders>
          </w:tcPr>
          <w:p>
            <w:pPr>
              <w:pStyle w:val="Normal"/>
              <w:widowControl w:val="false"/>
              <w:rPr>
                <w:rFonts w:ascii="Times New Roman" w:hAnsi="Times New Roman"/>
                <w:b/>
                <w:b/>
                <w:bCs/>
                <w:lang w:eastAsia="mk-MK"/>
              </w:rPr>
            </w:pPr>
            <w:r>
              <w:rPr>
                <w:b/>
                <w:bCs/>
                <w:lang w:eastAsia="mk-MK"/>
              </w:rPr>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8236" w:type="dxa"/>
            <w:gridSpan w:val="23"/>
            <w:tcBorders>
              <w:top w:val="single" w:sz="8" w:space="0" w:color="4BACC6"/>
              <w:left w:val="single" w:sz="8" w:space="0" w:color="4BACC6"/>
              <w:bottom w:val="single" w:sz="8" w:space="0" w:color="4BACC6"/>
              <w:right w:val="single" w:sz="8" w:space="0" w:color="4BACC6"/>
            </w:tcBorders>
          </w:tcPr>
          <w:p>
            <w:pPr>
              <w:pStyle w:val="Normal"/>
              <w:widowControl w:val="false"/>
              <w:rPr>
                <w:rFonts w:ascii="Times New Roman" w:hAnsi="Times New Roman"/>
                <w:b/>
                <w:b/>
                <w:bCs/>
                <w:lang w:eastAsia="mk-MK"/>
              </w:rPr>
            </w:pPr>
            <w:r>
              <w:rPr>
                <w:b/>
                <w:bCs/>
                <w:lang w:eastAsia="mk-MK"/>
              </w:rPr>
              <w:t>HFC</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1310" w:type="dxa"/>
            <w:gridSpan w:val="2"/>
            <w:tcBorders>
              <w:left w:val="single" w:sz="8" w:space="0" w:color="4BACC6"/>
            </w:tcBorders>
          </w:tcPr>
          <w:p>
            <w:pPr>
              <w:pStyle w:val="Normal"/>
              <w:widowControl w:val="false"/>
              <w:rPr>
                <w:rFonts w:ascii="Times New Roman" w:hAnsi="Times New Roman"/>
                <w:bCs/>
                <w:lang w:eastAsia="mk-MK"/>
              </w:rPr>
            </w:pPr>
            <w:r>
              <w:rPr>
                <w:bCs/>
                <w:lang w:eastAsia="mk-MK"/>
              </w:rPr>
              <w:t>HFC-134a</w:t>
            </w:r>
          </w:p>
        </w:tc>
        <w:tc>
          <w:tcPr>
            <w:tcW w:w="1458" w:type="dxa"/>
            <w:gridSpan w:val="2"/>
            <w:tcBorders/>
          </w:tcPr>
          <w:p>
            <w:pPr>
              <w:pStyle w:val="Normal"/>
              <w:widowControl w:val="false"/>
              <w:jc w:val="right"/>
              <w:rPr>
                <w:rFonts w:ascii="Times New Roman" w:hAnsi="Times New Roman"/>
                <w:lang w:eastAsia="mk-MK"/>
              </w:rPr>
            </w:pPr>
            <w:r>
              <w:rPr>
                <w:lang w:eastAsia="mk-MK"/>
              </w:rPr>
              <w:t>2,7</w:t>
            </w:r>
          </w:p>
        </w:tc>
        <w:tc>
          <w:tcPr>
            <w:tcW w:w="977" w:type="dxa"/>
            <w:gridSpan w:val="2"/>
            <w:tcBorders/>
          </w:tcPr>
          <w:p>
            <w:pPr>
              <w:pStyle w:val="Normal"/>
              <w:widowControl w:val="false"/>
              <w:jc w:val="right"/>
              <w:rPr>
                <w:rFonts w:ascii="Times New Roman" w:hAnsi="Times New Roman"/>
                <w:lang w:eastAsia="mk-MK"/>
              </w:rPr>
            </w:pPr>
            <w:r>
              <w:rPr>
                <w:lang w:eastAsia="mk-MK"/>
              </w:rPr>
              <w:t>34,15</w:t>
            </w:r>
          </w:p>
        </w:tc>
        <w:tc>
          <w:tcPr>
            <w:tcW w:w="442" w:type="dxa"/>
            <w:tcBorders/>
          </w:tcPr>
          <w:p>
            <w:pPr>
              <w:pStyle w:val="Normal"/>
              <w:widowControl w:val="false"/>
              <w:jc w:val="right"/>
              <w:rPr>
                <w:rFonts w:ascii="Times New Roman" w:hAnsi="Times New Roman"/>
                <w:lang w:eastAsia="mk-MK"/>
              </w:rPr>
            </w:pPr>
            <w:r>
              <w:rPr>
                <w:lang w:eastAsia="mk-MK"/>
              </w:rPr>
              <w:t> </w:t>
            </w:r>
          </w:p>
        </w:tc>
        <w:tc>
          <w:tcPr>
            <w:tcW w:w="642" w:type="dxa"/>
            <w:gridSpan w:val="3"/>
            <w:tcBorders/>
          </w:tcPr>
          <w:p>
            <w:pPr>
              <w:pStyle w:val="Normal"/>
              <w:widowControl w:val="false"/>
              <w:jc w:val="right"/>
              <w:rPr>
                <w:rFonts w:ascii="Times New Roman" w:hAnsi="Times New Roman"/>
                <w:lang w:eastAsia="mk-MK"/>
              </w:rPr>
            </w:pPr>
            <w:r>
              <w:rPr>
                <w:lang w:eastAsia="mk-MK"/>
              </w:rPr>
              <w:t> </w:t>
            </w:r>
          </w:p>
        </w:tc>
        <w:tc>
          <w:tcPr>
            <w:tcW w:w="857" w:type="dxa"/>
            <w:gridSpan w:val="3"/>
            <w:tcBorders/>
          </w:tcPr>
          <w:p>
            <w:pPr>
              <w:pStyle w:val="Normal"/>
              <w:widowControl w:val="false"/>
              <w:jc w:val="right"/>
              <w:rPr>
                <w:rFonts w:ascii="Times New Roman" w:hAnsi="Times New Roman"/>
                <w:lang w:eastAsia="mk-MK"/>
              </w:rPr>
            </w:pPr>
            <w:r>
              <w:rPr>
                <w:lang w:eastAsia="mk-MK"/>
              </w:rPr>
              <w:t> </w:t>
            </w:r>
          </w:p>
        </w:tc>
        <w:tc>
          <w:tcPr>
            <w:tcW w:w="868" w:type="dxa"/>
            <w:gridSpan w:val="3"/>
            <w:tcBorders/>
          </w:tcPr>
          <w:p>
            <w:pPr>
              <w:pStyle w:val="Normal"/>
              <w:widowControl w:val="false"/>
              <w:jc w:val="right"/>
              <w:rPr>
                <w:rFonts w:ascii="Times New Roman" w:hAnsi="Times New Roman"/>
                <w:lang w:eastAsia="mk-MK"/>
              </w:rPr>
            </w:pPr>
            <w:r>
              <w:rPr>
                <w:lang w:eastAsia="mk-MK"/>
              </w:rPr>
              <w:t> </w:t>
            </w:r>
          </w:p>
        </w:tc>
        <w:tc>
          <w:tcPr>
            <w:tcW w:w="835" w:type="dxa"/>
            <w:gridSpan w:val="3"/>
            <w:tcBorders/>
          </w:tcPr>
          <w:p>
            <w:pPr>
              <w:pStyle w:val="Normal"/>
              <w:widowControl w:val="false"/>
              <w:jc w:val="right"/>
              <w:rPr>
                <w:rFonts w:ascii="Times New Roman" w:hAnsi="Times New Roman"/>
                <w:lang w:eastAsia="mk-MK"/>
              </w:rPr>
            </w:pPr>
            <w:r>
              <w:rPr>
                <w:lang w:eastAsia="mk-MK"/>
              </w:rPr>
              <w:t> </w:t>
            </w:r>
          </w:p>
        </w:tc>
        <w:tc>
          <w:tcPr>
            <w:tcW w:w="847"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8236" w:type="dxa"/>
            <w:gridSpan w:val="23"/>
            <w:tcBorders>
              <w:top w:val="single" w:sz="8" w:space="0" w:color="4BACC6"/>
              <w:left w:val="single" w:sz="8" w:space="0" w:color="4BACC6"/>
              <w:bottom w:val="single" w:sz="8" w:space="0" w:color="4BACC6"/>
              <w:right w:val="single" w:sz="8" w:space="0" w:color="4BACC6"/>
            </w:tcBorders>
          </w:tcPr>
          <w:p>
            <w:pPr>
              <w:pStyle w:val="Normal"/>
              <w:widowControl w:val="false"/>
              <w:rPr>
                <w:rFonts w:ascii="Times New Roman" w:hAnsi="Times New Roman"/>
                <w:bCs/>
                <w:lang w:eastAsia="mk-MK"/>
              </w:rPr>
            </w:pPr>
            <w:r>
              <w:rPr>
                <w:bCs/>
                <w:lang w:eastAsia="mk-MK"/>
              </w:rPr>
              <w:t>HFC blends</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1310" w:type="dxa"/>
            <w:gridSpan w:val="2"/>
            <w:tcBorders>
              <w:left w:val="single" w:sz="8" w:space="0" w:color="4BACC6"/>
            </w:tcBorders>
          </w:tcPr>
          <w:p>
            <w:pPr>
              <w:pStyle w:val="Normal"/>
              <w:widowControl w:val="false"/>
              <w:rPr>
                <w:rFonts w:ascii="Times New Roman" w:hAnsi="Times New Roman"/>
                <w:bCs/>
                <w:lang w:eastAsia="mk-MK"/>
              </w:rPr>
            </w:pPr>
            <w:r>
              <w:rPr>
                <w:bCs/>
                <w:lang w:eastAsia="mk-MK"/>
              </w:rPr>
              <w:t>R-404A</w:t>
            </w:r>
          </w:p>
        </w:tc>
        <w:tc>
          <w:tcPr>
            <w:tcW w:w="1458" w:type="dxa"/>
            <w:gridSpan w:val="2"/>
            <w:tcBorders/>
          </w:tcPr>
          <w:p>
            <w:pPr>
              <w:pStyle w:val="Normal"/>
              <w:widowControl w:val="false"/>
              <w:jc w:val="right"/>
              <w:rPr>
                <w:rFonts w:ascii="Times New Roman" w:hAnsi="Times New Roman"/>
                <w:lang w:eastAsia="mk-MK"/>
              </w:rPr>
            </w:pPr>
            <w:r>
              <w:rPr>
                <w:lang w:eastAsia="mk-MK"/>
              </w:rPr>
              <w:t>1,24</w:t>
            </w:r>
          </w:p>
        </w:tc>
        <w:tc>
          <w:tcPr>
            <w:tcW w:w="977" w:type="dxa"/>
            <w:gridSpan w:val="2"/>
            <w:tcBorders/>
          </w:tcPr>
          <w:p>
            <w:pPr>
              <w:pStyle w:val="Normal"/>
              <w:widowControl w:val="false"/>
              <w:jc w:val="right"/>
              <w:rPr>
                <w:rFonts w:ascii="Times New Roman" w:hAnsi="Times New Roman"/>
                <w:lang w:eastAsia="mk-MK"/>
              </w:rPr>
            </w:pPr>
            <w:r>
              <w:rPr>
                <w:lang w:eastAsia="mk-MK"/>
              </w:rPr>
              <w:t>17,56</w:t>
            </w:r>
          </w:p>
        </w:tc>
        <w:tc>
          <w:tcPr>
            <w:tcW w:w="442" w:type="dxa"/>
            <w:tcBorders/>
          </w:tcPr>
          <w:p>
            <w:pPr>
              <w:pStyle w:val="Normal"/>
              <w:widowControl w:val="false"/>
              <w:jc w:val="right"/>
              <w:rPr>
                <w:rFonts w:ascii="Times New Roman" w:hAnsi="Times New Roman"/>
                <w:lang w:eastAsia="mk-MK"/>
              </w:rPr>
            </w:pPr>
            <w:r>
              <w:rPr>
                <w:lang w:eastAsia="mk-MK"/>
              </w:rPr>
              <w:t> </w:t>
            </w:r>
          </w:p>
        </w:tc>
        <w:tc>
          <w:tcPr>
            <w:tcW w:w="642" w:type="dxa"/>
            <w:gridSpan w:val="3"/>
            <w:tcBorders/>
          </w:tcPr>
          <w:p>
            <w:pPr>
              <w:pStyle w:val="Normal"/>
              <w:widowControl w:val="false"/>
              <w:jc w:val="right"/>
              <w:rPr>
                <w:rFonts w:ascii="Times New Roman" w:hAnsi="Times New Roman"/>
                <w:lang w:eastAsia="mk-MK"/>
              </w:rPr>
            </w:pPr>
            <w:r>
              <w:rPr>
                <w:lang w:eastAsia="mk-MK"/>
              </w:rPr>
              <w:t> </w:t>
            </w:r>
          </w:p>
        </w:tc>
        <w:tc>
          <w:tcPr>
            <w:tcW w:w="857" w:type="dxa"/>
            <w:gridSpan w:val="3"/>
            <w:tcBorders/>
          </w:tcPr>
          <w:p>
            <w:pPr>
              <w:pStyle w:val="Normal"/>
              <w:widowControl w:val="false"/>
              <w:jc w:val="right"/>
              <w:rPr>
                <w:rFonts w:ascii="Times New Roman" w:hAnsi="Times New Roman"/>
                <w:lang w:eastAsia="mk-MK"/>
              </w:rPr>
            </w:pPr>
            <w:r>
              <w:rPr>
                <w:lang w:eastAsia="mk-MK"/>
              </w:rPr>
              <w:t> </w:t>
            </w:r>
          </w:p>
        </w:tc>
        <w:tc>
          <w:tcPr>
            <w:tcW w:w="868" w:type="dxa"/>
            <w:gridSpan w:val="3"/>
            <w:tcBorders/>
          </w:tcPr>
          <w:p>
            <w:pPr>
              <w:pStyle w:val="Normal"/>
              <w:widowControl w:val="false"/>
              <w:jc w:val="right"/>
              <w:rPr>
                <w:rFonts w:ascii="Times New Roman" w:hAnsi="Times New Roman"/>
                <w:lang w:eastAsia="mk-MK"/>
              </w:rPr>
            </w:pPr>
            <w:r>
              <w:rPr>
                <w:lang w:eastAsia="mk-MK"/>
              </w:rPr>
              <w:t> </w:t>
            </w:r>
          </w:p>
        </w:tc>
        <w:tc>
          <w:tcPr>
            <w:tcW w:w="835" w:type="dxa"/>
            <w:gridSpan w:val="3"/>
            <w:tcBorders/>
          </w:tcPr>
          <w:p>
            <w:pPr>
              <w:pStyle w:val="Normal"/>
              <w:widowControl w:val="false"/>
              <w:jc w:val="right"/>
              <w:rPr>
                <w:rFonts w:ascii="Times New Roman" w:hAnsi="Times New Roman"/>
                <w:lang w:eastAsia="mk-MK"/>
              </w:rPr>
            </w:pPr>
            <w:r>
              <w:rPr>
                <w:lang w:eastAsia="mk-MK"/>
              </w:rPr>
              <w:t> </w:t>
            </w:r>
          </w:p>
        </w:tc>
        <w:tc>
          <w:tcPr>
            <w:tcW w:w="847"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R-407C</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6,66</w:t>
            </w:r>
          </w:p>
        </w:tc>
        <w:tc>
          <w:tcPr>
            <w:tcW w:w="442" w:type="dxa"/>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2"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8"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5"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47"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1310" w:type="dxa"/>
            <w:gridSpan w:val="2"/>
            <w:tcBorders>
              <w:left w:val="single" w:sz="8" w:space="0" w:color="4BACC6"/>
            </w:tcBorders>
          </w:tcPr>
          <w:p>
            <w:pPr>
              <w:pStyle w:val="Normal"/>
              <w:widowControl w:val="false"/>
              <w:rPr>
                <w:rFonts w:ascii="Times New Roman" w:hAnsi="Times New Roman"/>
                <w:bCs/>
                <w:lang w:eastAsia="mk-MK"/>
              </w:rPr>
            </w:pPr>
            <w:r>
              <w:rPr>
                <w:bCs/>
                <w:lang w:eastAsia="mk-MK"/>
              </w:rPr>
              <w:t>R-410A</w:t>
            </w:r>
          </w:p>
        </w:tc>
        <w:tc>
          <w:tcPr>
            <w:tcW w:w="1458" w:type="dxa"/>
            <w:gridSpan w:val="2"/>
            <w:tcBorders/>
          </w:tcPr>
          <w:p>
            <w:pPr>
              <w:pStyle w:val="Normal"/>
              <w:widowControl w:val="false"/>
              <w:jc w:val="right"/>
              <w:rPr>
                <w:rFonts w:ascii="Times New Roman" w:hAnsi="Times New Roman"/>
                <w:lang w:eastAsia="mk-MK"/>
              </w:rPr>
            </w:pPr>
            <w:r>
              <w:rPr>
                <w:lang w:eastAsia="mk-MK"/>
              </w:rPr>
              <w:t> </w:t>
            </w:r>
          </w:p>
        </w:tc>
        <w:tc>
          <w:tcPr>
            <w:tcW w:w="977" w:type="dxa"/>
            <w:gridSpan w:val="2"/>
            <w:tcBorders/>
          </w:tcPr>
          <w:p>
            <w:pPr>
              <w:pStyle w:val="Normal"/>
              <w:widowControl w:val="false"/>
              <w:jc w:val="right"/>
              <w:rPr>
                <w:rFonts w:ascii="Times New Roman" w:hAnsi="Times New Roman"/>
                <w:lang w:eastAsia="mk-MK"/>
              </w:rPr>
            </w:pPr>
            <w:r>
              <w:rPr>
                <w:lang w:eastAsia="mk-MK"/>
              </w:rPr>
              <w:t>8,96</w:t>
            </w:r>
          </w:p>
        </w:tc>
        <w:tc>
          <w:tcPr>
            <w:tcW w:w="442" w:type="dxa"/>
            <w:tcBorders/>
          </w:tcPr>
          <w:p>
            <w:pPr>
              <w:pStyle w:val="Normal"/>
              <w:widowControl w:val="false"/>
              <w:jc w:val="right"/>
              <w:rPr>
                <w:rFonts w:ascii="Times New Roman" w:hAnsi="Times New Roman"/>
                <w:lang w:eastAsia="mk-MK"/>
              </w:rPr>
            </w:pPr>
            <w:r>
              <w:rPr>
                <w:lang w:eastAsia="mk-MK"/>
              </w:rPr>
              <w:t> </w:t>
            </w:r>
          </w:p>
        </w:tc>
        <w:tc>
          <w:tcPr>
            <w:tcW w:w="642" w:type="dxa"/>
            <w:gridSpan w:val="3"/>
            <w:tcBorders/>
          </w:tcPr>
          <w:p>
            <w:pPr>
              <w:pStyle w:val="Normal"/>
              <w:widowControl w:val="false"/>
              <w:jc w:val="right"/>
              <w:rPr>
                <w:rFonts w:ascii="Times New Roman" w:hAnsi="Times New Roman"/>
                <w:lang w:eastAsia="mk-MK"/>
              </w:rPr>
            </w:pPr>
            <w:r>
              <w:rPr>
                <w:lang w:eastAsia="mk-MK"/>
              </w:rPr>
              <w:t> </w:t>
            </w:r>
          </w:p>
        </w:tc>
        <w:tc>
          <w:tcPr>
            <w:tcW w:w="857" w:type="dxa"/>
            <w:gridSpan w:val="3"/>
            <w:tcBorders/>
          </w:tcPr>
          <w:p>
            <w:pPr>
              <w:pStyle w:val="Normal"/>
              <w:widowControl w:val="false"/>
              <w:jc w:val="right"/>
              <w:rPr>
                <w:rFonts w:ascii="Times New Roman" w:hAnsi="Times New Roman"/>
                <w:lang w:eastAsia="mk-MK"/>
              </w:rPr>
            </w:pPr>
            <w:r>
              <w:rPr>
                <w:lang w:eastAsia="mk-MK"/>
              </w:rPr>
              <w:t> </w:t>
            </w:r>
          </w:p>
        </w:tc>
        <w:tc>
          <w:tcPr>
            <w:tcW w:w="868" w:type="dxa"/>
            <w:gridSpan w:val="3"/>
            <w:tcBorders/>
          </w:tcPr>
          <w:p>
            <w:pPr>
              <w:pStyle w:val="Normal"/>
              <w:widowControl w:val="false"/>
              <w:jc w:val="right"/>
              <w:rPr>
                <w:rFonts w:ascii="Times New Roman" w:hAnsi="Times New Roman"/>
                <w:lang w:eastAsia="mk-MK"/>
              </w:rPr>
            </w:pPr>
            <w:r>
              <w:rPr>
                <w:lang w:eastAsia="mk-MK"/>
              </w:rPr>
              <w:t> </w:t>
            </w:r>
          </w:p>
        </w:tc>
        <w:tc>
          <w:tcPr>
            <w:tcW w:w="835" w:type="dxa"/>
            <w:gridSpan w:val="3"/>
            <w:tcBorders/>
          </w:tcPr>
          <w:p>
            <w:pPr>
              <w:pStyle w:val="Normal"/>
              <w:widowControl w:val="false"/>
              <w:jc w:val="right"/>
              <w:rPr>
                <w:rFonts w:ascii="Times New Roman" w:hAnsi="Times New Roman"/>
                <w:lang w:eastAsia="mk-MK"/>
              </w:rPr>
            </w:pPr>
            <w:r>
              <w:rPr>
                <w:lang w:eastAsia="mk-MK"/>
              </w:rPr>
              <w:t> </w:t>
            </w:r>
          </w:p>
        </w:tc>
        <w:tc>
          <w:tcPr>
            <w:tcW w:w="847"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R-507</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0,77</w:t>
            </w:r>
          </w:p>
        </w:tc>
        <w:tc>
          <w:tcPr>
            <w:tcW w:w="442" w:type="dxa"/>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2"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8"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5"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47"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8" w:hRule="atLeast"/>
        </w:trPr>
        <w:tc>
          <w:tcPr>
            <w:tcW w:w="1310" w:type="dxa"/>
            <w:gridSpan w:val="2"/>
            <w:tcBorders>
              <w:left w:val="single" w:sz="8" w:space="0" w:color="4BACC6"/>
            </w:tcBorders>
          </w:tcPr>
          <w:p>
            <w:pPr>
              <w:pStyle w:val="Normal"/>
              <w:widowControl w:val="false"/>
              <w:rPr>
                <w:rFonts w:ascii="Times New Roman" w:hAnsi="Times New Roman"/>
                <w:b/>
                <w:b/>
                <w:bCs/>
                <w:lang w:eastAsia="mk-MK"/>
              </w:rPr>
            </w:pPr>
            <w:r>
              <w:rPr>
                <w:b/>
                <w:bCs/>
                <w:lang w:eastAsia="mk-MK"/>
              </w:rPr>
              <w:t>Total</w:t>
            </w:r>
          </w:p>
        </w:tc>
        <w:tc>
          <w:tcPr>
            <w:tcW w:w="1458" w:type="dxa"/>
            <w:gridSpan w:val="2"/>
            <w:tcBorders/>
          </w:tcPr>
          <w:p>
            <w:pPr>
              <w:pStyle w:val="Normal"/>
              <w:widowControl w:val="false"/>
              <w:jc w:val="right"/>
              <w:rPr>
                <w:rFonts w:ascii="Times New Roman" w:hAnsi="Times New Roman"/>
                <w:b/>
                <w:b/>
                <w:bCs/>
                <w:lang w:eastAsia="mk-MK"/>
              </w:rPr>
            </w:pPr>
            <w:r>
              <w:rPr>
                <w:b/>
                <w:bCs/>
                <w:lang w:eastAsia="mk-MK"/>
              </w:rPr>
              <w:t>3,94</w:t>
            </w:r>
          </w:p>
        </w:tc>
        <w:tc>
          <w:tcPr>
            <w:tcW w:w="977" w:type="dxa"/>
            <w:gridSpan w:val="2"/>
            <w:tcBorders/>
          </w:tcPr>
          <w:p>
            <w:pPr>
              <w:pStyle w:val="Normal"/>
              <w:widowControl w:val="false"/>
              <w:jc w:val="right"/>
              <w:rPr>
                <w:rFonts w:ascii="Times New Roman" w:hAnsi="Times New Roman"/>
                <w:b/>
                <w:b/>
                <w:bCs/>
                <w:lang w:eastAsia="mk-MK"/>
              </w:rPr>
            </w:pPr>
            <w:r>
              <w:rPr>
                <w:b/>
                <w:bCs/>
                <w:lang w:eastAsia="mk-MK"/>
              </w:rPr>
              <w:t>68,10</w:t>
            </w:r>
          </w:p>
        </w:tc>
        <w:tc>
          <w:tcPr>
            <w:tcW w:w="442" w:type="dxa"/>
            <w:tcBorders/>
          </w:tcPr>
          <w:p>
            <w:pPr>
              <w:pStyle w:val="Normal"/>
              <w:widowControl w:val="false"/>
              <w:jc w:val="right"/>
              <w:rPr>
                <w:rFonts w:ascii="Times New Roman" w:hAnsi="Times New Roman"/>
                <w:b/>
                <w:b/>
                <w:bCs/>
                <w:lang w:eastAsia="mk-MK"/>
              </w:rPr>
            </w:pPr>
            <w:r>
              <w:rPr>
                <w:b/>
                <w:bCs/>
                <w:lang w:eastAsia="mk-MK"/>
              </w:rPr>
              <w:t>0</w:t>
            </w:r>
          </w:p>
        </w:tc>
        <w:tc>
          <w:tcPr>
            <w:tcW w:w="642" w:type="dxa"/>
            <w:gridSpan w:val="3"/>
            <w:tcBorders/>
          </w:tcPr>
          <w:p>
            <w:pPr>
              <w:pStyle w:val="Normal"/>
              <w:widowControl w:val="false"/>
              <w:jc w:val="right"/>
              <w:rPr>
                <w:rFonts w:ascii="Times New Roman" w:hAnsi="Times New Roman"/>
                <w:b/>
                <w:b/>
                <w:bCs/>
                <w:lang w:eastAsia="mk-MK"/>
              </w:rPr>
            </w:pPr>
            <w:r>
              <w:rPr>
                <w:b/>
                <w:bCs/>
                <w:lang w:eastAsia="mk-MK"/>
              </w:rPr>
              <w:t>0</w:t>
            </w:r>
          </w:p>
        </w:tc>
        <w:tc>
          <w:tcPr>
            <w:tcW w:w="857" w:type="dxa"/>
            <w:gridSpan w:val="3"/>
            <w:tcBorders/>
          </w:tcPr>
          <w:p>
            <w:pPr>
              <w:pStyle w:val="Normal"/>
              <w:widowControl w:val="false"/>
              <w:jc w:val="right"/>
              <w:rPr>
                <w:rFonts w:ascii="Times New Roman" w:hAnsi="Times New Roman"/>
                <w:b/>
                <w:b/>
                <w:bCs/>
                <w:lang w:eastAsia="mk-MK"/>
              </w:rPr>
            </w:pPr>
            <w:r>
              <w:rPr>
                <w:b/>
                <w:bCs/>
                <w:lang w:eastAsia="mk-MK"/>
              </w:rPr>
              <w:t>0</w:t>
            </w:r>
          </w:p>
        </w:tc>
        <w:tc>
          <w:tcPr>
            <w:tcW w:w="868" w:type="dxa"/>
            <w:gridSpan w:val="3"/>
            <w:tcBorders/>
          </w:tcPr>
          <w:p>
            <w:pPr>
              <w:pStyle w:val="Normal"/>
              <w:widowControl w:val="false"/>
              <w:jc w:val="right"/>
              <w:rPr>
                <w:rFonts w:ascii="Times New Roman" w:hAnsi="Times New Roman"/>
                <w:b/>
                <w:b/>
                <w:bCs/>
                <w:lang w:eastAsia="mk-MK"/>
              </w:rPr>
            </w:pPr>
            <w:r>
              <w:rPr>
                <w:b/>
                <w:bCs/>
                <w:lang w:eastAsia="mk-MK"/>
              </w:rPr>
              <w:t>0</w:t>
            </w:r>
          </w:p>
        </w:tc>
        <w:tc>
          <w:tcPr>
            <w:tcW w:w="835" w:type="dxa"/>
            <w:gridSpan w:val="3"/>
            <w:tcBorders/>
          </w:tcPr>
          <w:p>
            <w:pPr>
              <w:pStyle w:val="Normal"/>
              <w:widowControl w:val="false"/>
              <w:jc w:val="right"/>
              <w:rPr>
                <w:rFonts w:ascii="Times New Roman" w:hAnsi="Times New Roman"/>
                <w:b/>
                <w:b/>
                <w:bCs/>
                <w:lang w:eastAsia="mk-MK"/>
              </w:rPr>
            </w:pPr>
            <w:r>
              <w:rPr>
                <w:b/>
                <w:bCs/>
                <w:lang w:eastAsia="mk-MK"/>
              </w:rPr>
              <w:t>0</w:t>
            </w:r>
          </w:p>
        </w:tc>
        <w:tc>
          <w:tcPr>
            <w:tcW w:w="847" w:type="dxa"/>
            <w:gridSpan w:val="4"/>
            <w:tcBorders>
              <w:right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0" w:hRule="atLeast"/>
        </w:trPr>
        <w:tc>
          <w:tcPr>
            <w:tcW w:w="8206" w:type="dxa"/>
            <w:gridSpan w:val="22"/>
            <w:tcBorders>
              <w:top w:val="single" w:sz="8" w:space="0" w:color="4BACC6"/>
              <w:left w:val="single" w:sz="8" w:space="0" w:color="4BACC6"/>
              <w:bottom w:val="single" w:sz="8" w:space="0" w:color="4BACC6"/>
              <w:right w:val="single" w:sz="8" w:space="0" w:color="4BACC6"/>
            </w:tcBorders>
          </w:tcPr>
          <w:p>
            <w:pPr>
              <w:pStyle w:val="Normal"/>
              <w:widowControl w:val="false"/>
              <w:jc w:val="center"/>
              <w:rPr>
                <w:rFonts w:ascii="Times New Roman" w:hAnsi="Times New Roman"/>
                <w:b/>
                <w:b/>
                <w:bCs/>
                <w:color w:val="FFFFFF"/>
                <w:lang w:eastAsia="mk-MK"/>
              </w:rPr>
            </w:pPr>
            <w:r>
              <w:rPr>
                <w:b/>
                <w:bCs/>
                <w:lang w:eastAsia="mk-MK"/>
              </w:rPr>
              <w:t>2014</w:t>
            </w:r>
          </w:p>
        </w:tc>
        <w:tc>
          <w:tcPr>
            <w:tcW w:w="30" w:type="dxa"/>
            <w:tcBorders/>
          </w:tcPr>
          <w:p>
            <w:pPr>
              <w:pStyle w:val="Normal"/>
              <w:widowControl w:val="false"/>
              <w:rPr/>
            </w:pPr>
            <w:r>
              <w:rPr/>
            </w:r>
          </w:p>
        </w:tc>
        <w:tc>
          <w:tcPr>
            <w:tcW w:w="76" w:type="dxa"/>
            <w:tcBorders/>
          </w:tcPr>
          <w:p>
            <w:pPr>
              <w:pStyle w:val="Normal"/>
              <w:widowControl w:val="false"/>
              <w:rPr/>
            </w:pPr>
            <w:r>
              <w:rPr/>
            </w:r>
          </w:p>
        </w:tc>
        <w:tc>
          <w:tcPr>
            <w:tcW w:w="50" w:type="dxa"/>
            <w:tcBorders/>
          </w:tcPr>
          <w:p>
            <w:pPr>
              <w:pStyle w:val="Normal"/>
              <w:widowControl w:val="false"/>
              <w:rPr/>
            </w:pPr>
            <w:r>
              <w:rPr/>
            </w:r>
          </w:p>
        </w:tc>
      </w:tr>
      <w:tr>
        <w:trPr>
          <w:trHeight w:val="210" w:hRule="atLeast"/>
        </w:trPr>
        <w:tc>
          <w:tcPr>
            <w:tcW w:w="1310" w:type="dxa"/>
            <w:gridSpan w:val="2"/>
            <w:vMerge w:val="restart"/>
            <w:tcBorders>
              <w:left w:val="single" w:sz="8" w:space="0" w:color="4BACC6"/>
              <w:bottom w:val="single" w:sz="8" w:space="0" w:color="4BACC6"/>
            </w:tcBorders>
          </w:tcPr>
          <w:p>
            <w:pPr>
              <w:pStyle w:val="Normal"/>
              <w:widowControl w:val="false"/>
              <w:jc w:val="center"/>
              <w:rPr>
                <w:rFonts w:ascii="Times New Roman" w:hAnsi="Times New Roman"/>
                <w:b/>
                <w:b/>
                <w:bCs/>
                <w:lang w:eastAsia="mk-MK"/>
              </w:rPr>
            </w:pPr>
            <w:r>
              <w:rPr>
                <w:b/>
                <w:bCs/>
                <w:lang w:eastAsia="mk-MK"/>
              </w:rPr>
              <w:t>Alternative</w:t>
            </w:r>
          </w:p>
        </w:tc>
        <w:tc>
          <w:tcPr>
            <w:tcW w:w="2435" w:type="dxa"/>
            <w:gridSpan w:val="4"/>
            <w:tcBorders/>
          </w:tcPr>
          <w:p>
            <w:pPr>
              <w:pStyle w:val="Normal"/>
              <w:widowControl w:val="false"/>
              <w:jc w:val="center"/>
              <w:rPr>
                <w:rFonts w:ascii="Times New Roman" w:hAnsi="Times New Roman"/>
                <w:b/>
                <w:b/>
                <w:bCs/>
                <w:lang w:eastAsia="mk-MK"/>
              </w:rPr>
            </w:pPr>
            <w:r>
              <w:rPr>
                <w:b/>
                <w:bCs/>
                <w:lang w:eastAsia="mk-MK"/>
              </w:rPr>
              <w:t xml:space="preserve">Refrigeration and air-conditioning </w:t>
            </w:r>
          </w:p>
        </w:tc>
        <w:tc>
          <w:tcPr>
            <w:tcW w:w="632" w:type="dxa"/>
            <w:gridSpan w:val="2"/>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PU foam</w:t>
            </w:r>
          </w:p>
        </w:tc>
        <w:tc>
          <w:tcPr>
            <w:tcW w:w="643" w:type="dxa"/>
            <w:gridSpan w:val="3"/>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XPS foam</w:t>
            </w:r>
          </w:p>
        </w:tc>
        <w:tc>
          <w:tcPr>
            <w:tcW w:w="857" w:type="dxa"/>
            <w:gridSpan w:val="3"/>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Aerosol</w:t>
            </w:r>
          </w:p>
        </w:tc>
        <w:tc>
          <w:tcPr>
            <w:tcW w:w="867" w:type="dxa"/>
            <w:gridSpan w:val="3"/>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Fire fighting</w:t>
            </w:r>
          </w:p>
        </w:tc>
        <w:tc>
          <w:tcPr>
            <w:tcW w:w="836" w:type="dxa"/>
            <w:gridSpan w:val="3"/>
            <w:vMerge w:val="restart"/>
            <w:tcBorders>
              <w:bottom w:val="single" w:sz="8" w:space="0" w:color="4BACC6"/>
            </w:tcBorders>
          </w:tcPr>
          <w:p>
            <w:pPr>
              <w:pStyle w:val="Normal"/>
              <w:widowControl w:val="false"/>
              <w:jc w:val="center"/>
              <w:rPr>
                <w:rFonts w:ascii="Times New Roman" w:hAnsi="Times New Roman"/>
                <w:b/>
                <w:b/>
                <w:bCs/>
                <w:lang w:eastAsia="mk-MK"/>
              </w:rPr>
            </w:pPr>
            <w:r>
              <w:rPr>
                <w:b/>
                <w:bCs/>
                <w:lang w:eastAsia="mk-MK"/>
              </w:rPr>
              <w:t>Solvent</w:t>
            </w:r>
          </w:p>
        </w:tc>
        <w:tc>
          <w:tcPr>
            <w:tcW w:w="732" w:type="dxa"/>
            <w:gridSpan w:val="4"/>
            <w:vMerge w:val="restart"/>
            <w:tcBorders>
              <w:bottom w:val="single" w:sz="8" w:space="0" w:color="4BACC6"/>
              <w:right w:val="single" w:sz="8" w:space="0" w:color="4BACC6"/>
            </w:tcBorders>
          </w:tcPr>
          <w:p>
            <w:pPr>
              <w:pStyle w:val="Normal"/>
              <w:widowControl w:val="false"/>
              <w:jc w:val="center"/>
              <w:rPr>
                <w:rFonts w:ascii="Times New Roman" w:hAnsi="Times New Roman"/>
                <w:b/>
                <w:b/>
                <w:bCs/>
                <w:lang w:eastAsia="mk-MK"/>
              </w:rPr>
            </w:pPr>
            <w:r>
              <w:rPr>
                <w:b/>
                <w:bCs/>
                <w:lang w:eastAsia="mk-MK"/>
              </w:rPr>
              <w:t>Others</w:t>
            </w:r>
          </w:p>
        </w:tc>
        <w:tc>
          <w:tcPr>
            <w:tcW w:w="50" w:type="dxa"/>
            <w:tcBorders/>
          </w:tcPr>
          <w:p>
            <w:pPr>
              <w:pStyle w:val="Normal"/>
              <w:widowControl w:val="false"/>
              <w:rPr/>
            </w:pPr>
            <w:r>
              <w:rPr/>
            </w:r>
          </w:p>
        </w:tc>
      </w:tr>
      <w:tr>
        <w:trPr>
          <w:trHeight w:val="210" w:hRule="atLeast"/>
        </w:trPr>
        <w:tc>
          <w:tcPr>
            <w:tcW w:w="1310" w:type="dxa"/>
            <w:gridSpan w:val="2"/>
            <w:vMerge w:val="continue"/>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1458" w:type="dxa"/>
            <w:gridSpan w:val="2"/>
            <w:tcBorders>
              <w:top w:val="single" w:sz="8" w:space="0" w:color="4BACC6"/>
              <w:bottom w:val="single" w:sz="8" w:space="0" w:color="4BACC6"/>
            </w:tcBorders>
          </w:tcPr>
          <w:p>
            <w:pPr>
              <w:pStyle w:val="Normal"/>
              <w:widowControl w:val="false"/>
              <w:jc w:val="center"/>
              <w:rPr>
                <w:rFonts w:ascii="Times New Roman" w:hAnsi="Times New Roman"/>
                <w:b/>
                <w:b/>
                <w:bCs/>
                <w:lang w:eastAsia="mk-MK"/>
              </w:rPr>
            </w:pPr>
            <w:r>
              <w:rPr>
                <w:b/>
                <w:bCs/>
                <w:lang w:eastAsia="mk-MK"/>
              </w:rPr>
              <w:t>Manufacturing</w:t>
            </w:r>
          </w:p>
        </w:tc>
        <w:tc>
          <w:tcPr>
            <w:tcW w:w="977" w:type="dxa"/>
            <w:gridSpan w:val="2"/>
            <w:tcBorders>
              <w:top w:val="single" w:sz="8" w:space="0" w:color="4BACC6"/>
              <w:bottom w:val="single" w:sz="8" w:space="0" w:color="4BACC6"/>
            </w:tcBorders>
          </w:tcPr>
          <w:p>
            <w:pPr>
              <w:pStyle w:val="Normal"/>
              <w:widowControl w:val="false"/>
              <w:jc w:val="center"/>
              <w:rPr>
                <w:rFonts w:ascii="Times New Roman" w:hAnsi="Times New Roman"/>
                <w:b/>
                <w:b/>
                <w:bCs/>
                <w:lang w:eastAsia="mk-MK"/>
              </w:rPr>
            </w:pPr>
            <w:r>
              <w:rPr>
                <w:b/>
                <w:bCs/>
                <w:lang w:eastAsia="mk-MK"/>
              </w:rPr>
              <w:t>Servicing</w:t>
            </w:r>
          </w:p>
        </w:tc>
        <w:tc>
          <w:tcPr>
            <w:tcW w:w="632" w:type="dxa"/>
            <w:gridSpan w:val="2"/>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643" w:type="dxa"/>
            <w:gridSpan w:val="3"/>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857" w:type="dxa"/>
            <w:gridSpan w:val="3"/>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867" w:type="dxa"/>
            <w:gridSpan w:val="3"/>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836" w:type="dxa"/>
            <w:gridSpan w:val="3"/>
            <w:vMerge w:val="continue"/>
            <w:tcBorders>
              <w:top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r>
          </w:p>
        </w:tc>
        <w:tc>
          <w:tcPr>
            <w:tcW w:w="732" w:type="dxa"/>
            <w:gridSpan w:val="4"/>
            <w:vMerge w:val="continue"/>
            <w:tcBorders>
              <w:top w:val="single" w:sz="8" w:space="0" w:color="4BACC6"/>
              <w:bottom w:val="single" w:sz="8" w:space="0" w:color="4BACC6"/>
              <w:right w:val="single" w:sz="8" w:space="0" w:color="4BACC6"/>
            </w:tcBorders>
          </w:tcPr>
          <w:p>
            <w:pPr>
              <w:pStyle w:val="Normal"/>
              <w:widowControl w:val="false"/>
              <w:rPr>
                <w:rFonts w:ascii="Times New Roman" w:hAnsi="Times New Roman"/>
                <w:b/>
                <w:b/>
                <w:bCs/>
                <w:lang w:eastAsia="mk-MK"/>
              </w:rPr>
            </w:pPr>
            <w:r>
              <w:rPr>
                <w:b/>
                <w:bCs/>
                <w:lang w:eastAsia="mk-MK"/>
              </w:rPr>
            </w:r>
          </w:p>
        </w:tc>
        <w:tc>
          <w:tcPr>
            <w:tcW w:w="50" w:type="dxa"/>
            <w:tcBorders/>
          </w:tcPr>
          <w:p>
            <w:pPr>
              <w:pStyle w:val="Normal"/>
              <w:widowControl w:val="false"/>
              <w:rPr/>
            </w:pPr>
            <w:r>
              <w:rPr/>
            </w:r>
          </w:p>
        </w:tc>
      </w:tr>
      <w:tr>
        <w:trPr>
          <w:trHeight w:val="210" w:hRule="atLeast"/>
        </w:trPr>
        <w:tc>
          <w:tcPr>
            <w:tcW w:w="8312" w:type="dxa"/>
            <w:gridSpan w:val="24"/>
            <w:tcBorders>
              <w:left w:val="single" w:sz="8" w:space="0" w:color="4BACC6"/>
              <w:right w:val="single" w:sz="8" w:space="0" w:color="4BACC6"/>
            </w:tcBorders>
          </w:tcPr>
          <w:p>
            <w:pPr>
              <w:pStyle w:val="Normal"/>
              <w:widowControl w:val="false"/>
              <w:rPr>
                <w:rFonts w:ascii="Times New Roman" w:hAnsi="Times New Roman"/>
                <w:bCs/>
                <w:lang w:eastAsia="mk-MK"/>
              </w:rPr>
            </w:pPr>
            <w:r>
              <w:rPr>
                <w:bCs/>
                <w:lang w:eastAsia="mk-MK"/>
              </w:rPr>
              <w:t>HFC</w:t>
            </w:r>
          </w:p>
        </w:tc>
        <w:tc>
          <w:tcPr>
            <w:tcW w:w="50" w:type="dxa"/>
            <w:tcBorders/>
          </w:tcPr>
          <w:p>
            <w:pPr>
              <w:pStyle w:val="Normal"/>
              <w:widowControl w:val="false"/>
              <w:rPr/>
            </w:pPr>
            <w:r>
              <w:rPr/>
            </w:r>
          </w:p>
        </w:tc>
      </w:tr>
      <w:tr>
        <w:trPr>
          <w:trHeight w:val="210"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HFC-134a</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4,54</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34,33</w:t>
            </w:r>
          </w:p>
        </w:tc>
        <w:tc>
          <w:tcPr>
            <w:tcW w:w="632"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3"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6"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732"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50" w:type="dxa"/>
            <w:tcBorders/>
          </w:tcPr>
          <w:p>
            <w:pPr>
              <w:pStyle w:val="Normal"/>
              <w:widowControl w:val="false"/>
              <w:rPr/>
            </w:pPr>
            <w:r>
              <w:rPr/>
            </w:r>
          </w:p>
        </w:tc>
      </w:tr>
      <w:tr>
        <w:trPr>
          <w:trHeight w:val="210" w:hRule="atLeast"/>
        </w:trPr>
        <w:tc>
          <w:tcPr>
            <w:tcW w:w="8312" w:type="dxa"/>
            <w:gridSpan w:val="24"/>
            <w:tcBorders>
              <w:left w:val="single" w:sz="8" w:space="0" w:color="4BACC6"/>
              <w:right w:val="single" w:sz="8" w:space="0" w:color="4BACC6"/>
            </w:tcBorders>
          </w:tcPr>
          <w:p>
            <w:pPr>
              <w:pStyle w:val="Normal"/>
              <w:widowControl w:val="false"/>
              <w:rPr>
                <w:rFonts w:ascii="Times New Roman" w:hAnsi="Times New Roman"/>
                <w:bCs/>
                <w:lang w:eastAsia="mk-MK"/>
              </w:rPr>
            </w:pPr>
            <w:r>
              <w:rPr>
                <w:bCs/>
                <w:lang w:eastAsia="mk-MK"/>
              </w:rPr>
              <w:t>HFC blends</w:t>
            </w:r>
          </w:p>
        </w:tc>
        <w:tc>
          <w:tcPr>
            <w:tcW w:w="50" w:type="dxa"/>
            <w:tcBorders/>
          </w:tcPr>
          <w:p>
            <w:pPr>
              <w:pStyle w:val="Normal"/>
              <w:widowControl w:val="false"/>
              <w:rPr/>
            </w:pPr>
            <w:r>
              <w:rPr/>
            </w:r>
          </w:p>
        </w:tc>
      </w:tr>
      <w:tr>
        <w:trPr>
          <w:trHeight w:val="210"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R-404A</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1,35</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17,57</w:t>
            </w:r>
          </w:p>
        </w:tc>
        <w:tc>
          <w:tcPr>
            <w:tcW w:w="632"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3"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6"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732"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50" w:type="dxa"/>
            <w:tcBorders/>
          </w:tcPr>
          <w:p>
            <w:pPr>
              <w:pStyle w:val="Normal"/>
              <w:widowControl w:val="false"/>
              <w:rPr/>
            </w:pPr>
            <w:r>
              <w:rPr/>
            </w:r>
          </w:p>
        </w:tc>
      </w:tr>
      <w:tr>
        <w:trPr>
          <w:trHeight w:val="210" w:hRule="atLeast"/>
        </w:trPr>
        <w:tc>
          <w:tcPr>
            <w:tcW w:w="1310" w:type="dxa"/>
            <w:gridSpan w:val="2"/>
            <w:tcBorders>
              <w:left w:val="single" w:sz="8" w:space="0" w:color="4BACC6"/>
            </w:tcBorders>
          </w:tcPr>
          <w:p>
            <w:pPr>
              <w:pStyle w:val="Normal"/>
              <w:widowControl w:val="false"/>
              <w:rPr>
                <w:rFonts w:ascii="Times New Roman" w:hAnsi="Times New Roman"/>
                <w:bCs/>
                <w:lang w:eastAsia="mk-MK"/>
              </w:rPr>
            </w:pPr>
            <w:r>
              <w:rPr>
                <w:bCs/>
                <w:lang w:eastAsia="mk-MK"/>
              </w:rPr>
              <w:t>R-407C</w:t>
            </w:r>
          </w:p>
        </w:tc>
        <w:tc>
          <w:tcPr>
            <w:tcW w:w="1458" w:type="dxa"/>
            <w:gridSpan w:val="2"/>
            <w:tcBorders/>
          </w:tcPr>
          <w:p>
            <w:pPr>
              <w:pStyle w:val="Normal"/>
              <w:widowControl w:val="false"/>
              <w:jc w:val="right"/>
              <w:rPr>
                <w:rFonts w:ascii="Times New Roman" w:hAnsi="Times New Roman"/>
                <w:lang w:eastAsia="mk-MK"/>
              </w:rPr>
            </w:pPr>
            <w:r>
              <w:rPr>
                <w:lang w:eastAsia="mk-MK"/>
              </w:rPr>
              <w:t> </w:t>
            </w:r>
          </w:p>
        </w:tc>
        <w:tc>
          <w:tcPr>
            <w:tcW w:w="977" w:type="dxa"/>
            <w:gridSpan w:val="2"/>
            <w:tcBorders/>
          </w:tcPr>
          <w:p>
            <w:pPr>
              <w:pStyle w:val="Normal"/>
              <w:widowControl w:val="false"/>
              <w:jc w:val="right"/>
              <w:rPr>
                <w:rFonts w:ascii="Times New Roman" w:hAnsi="Times New Roman"/>
                <w:lang w:eastAsia="mk-MK"/>
              </w:rPr>
            </w:pPr>
            <w:r>
              <w:rPr>
                <w:lang w:eastAsia="mk-MK"/>
              </w:rPr>
              <w:t>6,78</w:t>
            </w:r>
          </w:p>
        </w:tc>
        <w:tc>
          <w:tcPr>
            <w:tcW w:w="632" w:type="dxa"/>
            <w:gridSpan w:val="2"/>
            <w:tcBorders/>
          </w:tcPr>
          <w:p>
            <w:pPr>
              <w:pStyle w:val="Normal"/>
              <w:widowControl w:val="false"/>
              <w:jc w:val="right"/>
              <w:rPr>
                <w:rFonts w:ascii="Times New Roman" w:hAnsi="Times New Roman"/>
                <w:lang w:eastAsia="mk-MK"/>
              </w:rPr>
            </w:pPr>
            <w:r>
              <w:rPr>
                <w:lang w:eastAsia="mk-MK"/>
              </w:rPr>
              <w:t> </w:t>
            </w:r>
          </w:p>
        </w:tc>
        <w:tc>
          <w:tcPr>
            <w:tcW w:w="643" w:type="dxa"/>
            <w:gridSpan w:val="3"/>
            <w:tcBorders/>
          </w:tcPr>
          <w:p>
            <w:pPr>
              <w:pStyle w:val="Normal"/>
              <w:widowControl w:val="false"/>
              <w:jc w:val="right"/>
              <w:rPr>
                <w:rFonts w:ascii="Times New Roman" w:hAnsi="Times New Roman"/>
                <w:lang w:eastAsia="mk-MK"/>
              </w:rPr>
            </w:pPr>
            <w:r>
              <w:rPr>
                <w:lang w:eastAsia="mk-MK"/>
              </w:rPr>
              <w:t> </w:t>
            </w:r>
          </w:p>
        </w:tc>
        <w:tc>
          <w:tcPr>
            <w:tcW w:w="857" w:type="dxa"/>
            <w:gridSpan w:val="3"/>
            <w:tcBorders/>
          </w:tcPr>
          <w:p>
            <w:pPr>
              <w:pStyle w:val="Normal"/>
              <w:widowControl w:val="false"/>
              <w:jc w:val="right"/>
              <w:rPr>
                <w:rFonts w:ascii="Times New Roman" w:hAnsi="Times New Roman"/>
                <w:lang w:eastAsia="mk-MK"/>
              </w:rPr>
            </w:pPr>
            <w:r>
              <w:rPr>
                <w:lang w:eastAsia="mk-MK"/>
              </w:rPr>
              <w:t> </w:t>
            </w:r>
          </w:p>
        </w:tc>
        <w:tc>
          <w:tcPr>
            <w:tcW w:w="867" w:type="dxa"/>
            <w:gridSpan w:val="3"/>
            <w:tcBorders/>
          </w:tcPr>
          <w:p>
            <w:pPr>
              <w:pStyle w:val="Normal"/>
              <w:widowControl w:val="false"/>
              <w:jc w:val="right"/>
              <w:rPr>
                <w:rFonts w:ascii="Times New Roman" w:hAnsi="Times New Roman"/>
                <w:lang w:eastAsia="mk-MK"/>
              </w:rPr>
            </w:pPr>
            <w:r>
              <w:rPr>
                <w:lang w:eastAsia="mk-MK"/>
              </w:rPr>
              <w:t> </w:t>
            </w:r>
          </w:p>
        </w:tc>
        <w:tc>
          <w:tcPr>
            <w:tcW w:w="836" w:type="dxa"/>
            <w:gridSpan w:val="3"/>
            <w:tcBorders/>
          </w:tcPr>
          <w:p>
            <w:pPr>
              <w:pStyle w:val="Normal"/>
              <w:widowControl w:val="false"/>
              <w:jc w:val="right"/>
              <w:rPr>
                <w:rFonts w:ascii="Times New Roman" w:hAnsi="Times New Roman"/>
                <w:lang w:eastAsia="mk-MK"/>
              </w:rPr>
            </w:pPr>
            <w:r>
              <w:rPr>
                <w:lang w:eastAsia="mk-MK"/>
              </w:rPr>
              <w:t> </w:t>
            </w:r>
          </w:p>
        </w:tc>
        <w:tc>
          <w:tcPr>
            <w:tcW w:w="732"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50" w:type="dxa"/>
            <w:tcBorders/>
          </w:tcPr>
          <w:p>
            <w:pPr>
              <w:pStyle w:val="Normal"/>
              <w:widowControl w:val="false"/>
              <w:rPr/>
            </w:pPr>
            <w:r>
              <w:rPr/>
            </w:r>
          </w:p>
        </w:tc>
      </w:tr>
      <w:tr>
        <w:trPr>
          <w:trHeight w:val="210"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R-410A</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9,53</w:t>
            </w:r>
          </w:p>
        </w:tc>
        <w:tc>
          <w:tcPr>
            <w:tcW w:w="632"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3"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6"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732"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50" w:type="dxa"/>
            <w:tcBorders/>
          </w:tcPr>
          <w:p>
            <w:pPr>
              <w:pStyle w:val="Normal"/>
              <w:widowControl w:val="false"/>
              <w:rPr/>
            </w:pPr>
            <w:r>
              <w:rPr/>
            </w:r>
          </w:p>
        </w:tc>
      </w:tr>
      <w:tr>
        <w:trPr>
          <w:trHeight w:val="210" w:hRule="atLeast"/>
        </w:trPr>
        <w:tc>
          <w:tcPr>
            <w:tcW w:w="1310" w:type="dxa"/>
            <w:gridSpan w:val="2"/>
            <w:tcBorders>
              <w:left w:val="single" w:sz="8" w:space="0" w:color="4BACC6"/>
            </w:tcBorders>
          </w:tcPr>
          <w:p>
            <w:pPr>
              <w:pStyle w:val="Normal"/>
              <w:widowControl w:val="false"/>
              <w:rPr>
                <w:rFonts w:ascii="Times New Roman" w:hAnsi="Times New Roman"/>
                <w:bCs/>
                <w:lang w:eastAsia="mk-MK"/>
              </w:rPr>
            </w:pPr>
            <w:r>
              <w:rPr>
                <w:bCs/>
                <w:lang w:eastAsia="mk-MK"/>
              </w:rPr>
              <w:t>R-507</w:t>
            </w:r>
          </w:p>
        </w:tc>
        <w:tc>
          <w:tcPr>
            <w:tcW w:w="1458" w:type="dxa"/>
            <w:gridSpan w:val="2"/>
            <w:tcBorders/>
          </w:tcPr>
          <w:p>
            <w:pPr>
              <w:pStyle w:val="Normal"/>
              <w:widowControl w:val="false"/>
              <w:jc w:val="right"/>
              <w:rPr>
                <w:rFonts w:ascii="Times New Roman" w:hAnsi="Times New Roman"/>
                <w:lang w:eastAsia="mk-MK"/>
              </w:rPr>
            </w:pPr>
            <w:r>
              <w:rPr>
                <w:lang w:eastAsia="mk-MK"/>
              </w:rPr>
              <w:t> </w:t>
            </w:r>
          </w:p>
        </w:tc>
        <w:tc>
          <w:tcPr>
            <w:tcW w:w="977" w:type="dxa"/>
            <w:gridSpan w:val="2"/>
            <w:tcBorders/>
          </w:tcPr>
          <w:p>
            <w:pPr>
              <w:pStyle w:val="Normal"/>
              <w:widowControl w:val="false"/>
              <w:jc w:val="right"/>
              <w:rPr>
                <w:rFonts w:ascii="Times New Roman" w:hAnsi="Times New Roman"/>
                <w:lang w:eastAsia="mk-MK"/>
              </w:rPr>
            </w:pPr>
            <w:r>
              <w:rPr>
                <w:lang w:eastAsia="mk-MK"/>
              </w:rPr>
              <w:t>0,89</w:t>
            </w:r>
          </w:p>
        </w:tc>
        <w:tc>
          <w:tcPr>
            <w:tcW w:w="632" w:type="dxa"/>
            <w:gridSpan w:val="2"/>
            <w:tcBorders/>
          </w:tcPr>
          <w:p>
            <w:pPr>
              <w:pStyle w:val="Normal"/>
              <w:widowControl w:val="false"/>
              <w:jc w:val="right"/>
              <w:rPr>
                <w:rFonts w:ascii="Times New Roman" w:hAnsi="Times New Roman"/>
                <w:lang w:eastAsia="mk-MK"/>
              </w:rPr>
            </w:pPr>
            <w:r>
              <w:rPr>
                <w:lang w:eastAsia="mk-MK"/>
              </w:rPr>
              <w:t> </w:t>
            </w:r>
          </w:p>
        </w:tc>
        <w:tc>
          <w:tcPr>
            <w:tcW w:w="643" w:type="dxa"/>
            <w:gridSpan w:val="3"/>
            <w:tcBorders/>
          </w:tcPr>
          <w:p>
            <w:pPr>
              <w:pStyle w:val="Normal"/>
              <w:widowControl w:val="false"/>
              <w:jc w:val="right"/>
              <w:rPr>
                <w:rFonts w:ascii="Times New Roman" w:hAnsi="Times New Roman"/>
                <w:lang w:eastAsia="mk-MK"/>
              </w:rPr>
            </w:pPr>
            <w:r>
              <w:rPr>
                <w:lang w:eastAsia="mk-MK"/>
              </w:rPr>
              <w:t> </w:t>
            </w:r>
          </w:p>
        </w:tc>
        <w:tc>
          <w:tcPr>
            <w:tcW w:w="857" w:type="dxa"/>
            <w:gridSpan w:val="3"/>
            <w:tcBorders/>
          </w:tcPr>
          <w:p>
            <w:pPr>
              <w:pStyle w:val="Normal"/>
              <w:widowControl w:val="false"/>
              <w:jc w:val="right"/>
              <w:rPr>
                <w:rFonts w:ascii="Times New Roman" w:hAnsi="Times New Roman"/>
                <w:lang w:eastAsia="mk-MK"/>
              </w:rPr>
            </w:pPr>
            <w:r>
              <w:rPr>
                <w:lang w:eastAsia="mk-MK"/>
              </w:rPr>
              <w:t> </w:t>
            </w:r>
          </w:p>
        </w:tc>
        <w:tc>
          <w:tcPr>
            <w:tcW w:w="867" w:type="dxa"/>
            <w:gridSpan w:val="3"/>
            <w:tcBorders/>
          </w:tcPr>
          <w:p>
            <w:pPr>
              <w:pStyle w:val="Normal"/>
              <w:widowControl w:val="false"/>
              <w:jc w:val="right"/>
              <w:rPr>
                <w:rFonts w:ascii="Times New Roman" w:hAnsi="Times New Roman"/>
                <w:lang w:eastAsia="mk-MK"/>
              </w:rPr>
            </w:pPr>
            <w:r>
              <w:rPr>
                <w:lang w:eastAsia="mk-MK"/>
              </w:rPr>
              <w:t> </w:t>
            </w:r>
          </w:p>
        </w:tc>
        <w:tc>
          <w:tcPr>
            <w:tcW w:w="836" w:type="dxa"/>
            <w:gridSpan w:val="3"/>
            <w:tcBorders/>
          </w:tcPr>
          <w:p>
            <w:pPr>
              <w:pStyle w:val="Normal"/>
              <w:widowControl w:val="false"/>
              <w:jc w:val="right"/>
              <w:rPr>
                <w:rFonts w:ascii="Times New Roman" w:hAnsi="Times New Roman"/>
                <w:lang w:eastAsia="mk-MK"/>
              </w:rPr>
            </w:pPr>
            <w:r>
              <w:rPr>
                <w:lang w:eastAsia="mk-MK"/>
              </w:rPr>
              <w:t> </w:t>
            </w:r>
          </w:p>
        </w:tc>
        <w:tc>
          <w:tcPr>
            <w:tcW w:w="732"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c>
          <w:tcPr>
            <w:tcW w:w="50" w:type="dxa"/>
            <w:tcBorders/>
          </w:tcPr>
          <w:p>
            <w:pPr>
              <w:pStyle w:val="Normal"/>
              <w:widowControl w:val="false"/>
              <w:rPr/>
            </w:pPr>
            <w:r>
              <w:rPr/>
            </w:r>
          </w:p>
        </w:tc>
      </w:tr>
      <w:tr>
        <w:trPr>
          <w:trHeight w:val="210" w:hRule="atLeast"/>
        </w:trPr>
        <w:tc>
          <w:tcPr>
            <w:tcW w:w="1310" w:type="dxa"/>
            <w:gridSpan w:val="2"/>
            <w:tcBorders>
              <w:top w:val="single" w:sz="8" w:space="0" w:color="4BACC6"/>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t>Total</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5,89</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69,10</w:t>
            </w:r>
          </w:p>
        </w:tc>
        <w:tc>
          <w:tcPr>
            <w:tcW w:w="632" w:type="dxa"/>
            <w:gridSpan w:val="2"/>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643" w:type="dxa"/>
            <w:gridSpan w:val="3"/>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857" w:type="dxa"/>
            <w:gridSpan w:val="3"/>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867" w:type="dxa"/>
            <w:gridSpan w:val="3"/>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836" w:type="dxa"/>
            <w:gridSpan w:val="3"/>
            <w:tcBorders>
              <w:top w:val="single" w:sz="8" w:space="0" w:color="4BACC6"/>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732"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50" w:type="dxa"/>
            <w:tcBorders/>
          </w:tcPr>
          <w:p>
            <w:pPr>
              <w:pStyle w:val="Normal"/>
              <w:widowControl w:val="false"/>
              <w:rPr/>
            </w:pPr>
            <w:r>
              <w:rPr/>
            </w:r>
          </w:p>
        </w:tc>
      </w:tr>
      <w:tr>
        <w:trPr>
          <w:trHeight w:val="238" w:hRule="atLeast"/>
        </w:trPr>
        <w:tc>
          <w:tcPr>
            <w:tcW w:w="8362" w:type="dxa"/>
            <w:gridSpan w:val="25"/>
            <w:tcBorders>
              <w:left w:val="single" w:sz="8" w:space="0" w:color="4BACC6"/>
              <w:right w:val="single" w:sz="8" w:space="0" w:color="4BACC6"/>
            </w:tcBorders>
          </w:tcPr>
          <w:p>
            <w:pPr>
              <w:pStyle w:val="Normal"/>
              <w:widowControl w:val="false"/>
              <w:jc w:val="center"/>
              <w:rPr>
                <w:rFonts w:ascii="Times New Roman" w:hAnsi="Times New Roman"/>
                <w:b/>
                <w:b/>
                <w:bCs/>
                <w:color w:val="FFFFFF"/>
                <w:lang w:eastAsia="mk-MK"/>
              </w:rPr>
            </w:pPr>
            <w:r>
              <w:rPr>
                <w:b/>
                <w:bCs/>
                <w:lang w:eastAsia="mk-MK"/>
              </w:rPr>
              <w:t>2015</w:t>
            </w:r>
          </w:p>
        </w:tc>
      </w:tr>
      <w:tr>
        <w:trPr>
          <w:trHeight w:val="238" w:hRule="atLeast"/>
        </w:trPr>
        <w:tc>
          <w:tcPr>
            <w:tcW w:w="1119" w:type="dxa"/>
            <w:vMerge w:val="restart"/>
            <w:tcBorders>
              <w:top w:val="single" w:sz="8" w:space="0" w:color="4BACC6"/>
              <w:left w:val="single" w:sz="8" w:space="0" w:color="4BACC6"/>
            </w:tcBorders>
          </w:tcPr>
          <w:p>
            <w:pPr>
              <w:pStyle w:val="Normal"/>
              <w:widowControl w:val="false"/>
              <w:jc w:val="center"/>
              <w:rPr>
                <w:rFonts w:ascii="Times New Roman" w:hAnsi="Times New Roman"/>
                <w:b/>
                <w:b/>
                <w:bCs/>
                <w:lang w:eastAsia="mk-MK"/>
              </w:rPr>
            </w:pPr>
            <w:r>
              <w:rPr>
                <w:b/>
                <w:bCs/>
                <w:lang w:eastAsia="mk-MK"/>
              </w:rPr>
              <w:t>Alternative</w:t>
            </w:r>
          </w:p>
        </w:tc>
        <w:tc>
          <w:tcPr>
            <w:tcW w:w="2435" w:type="dxa"/>
            <w:gridSpan w:val="4"/>
            <w:tcBorders>
              <w:top w:val="single" w:sz="8" w:space="0" w:color="4BACC6"/>
              <w:bottom w:val="single" w:sz="8" w:space="0" w:color="4BACC6"/>
            </w:tcBorders>
          </w:tcPr>
          <w:p>
            <w:pPr>
              <w:pStyle w:val="Normal"/>
              <w:widowControl w:val="false"/>
              <w:jc w:val="center"/>
              <w:rPr>
                <w:rFonts w:ascii="Times New Roman" w:hAnsi="Times New Roman"/>
                <w:b/>
                <w:b/>
                <w:bCs/>
                <w:lang w:eastAsia="mk-MK"/>
              </w:rPr>
            </w:pPr>
            <w:r>
              <w:rPr>
                <w:b/>
                <w:bCs/>
                <w:lang w:eastAsia="mk-MK"/>
              </w:rPr>
              <w:t xml:space="preserve">Refrigeration and air-conditioning </w:t>
            </w:r>
          </w:p>
        </w:tc>
        <w:tc>
          <w:tcPr>
            <w:tcW w:w="1015" w:type="dxa"/>
            <w:gridSpan w:val="4"/>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PU foam</w:t>
            </w:r>
          </w:p>
        </w:tc>
        <w:tc>
          <w:tcPr>
            <w:tcW w:w="641" w:type="dxa"/>
            <w:gridSpan w:val="3"/>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XPS foam</w:t>
            </w:r>
          </w:p>
        </w:tc>
        <w:tc>
          <w:tcPr>
            <w:tcW w:w="858" w:type="dxa"/>
            <w:gridSpan w:val="3"/>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Aerosol</w:t>
            </w:r>
          </w:p>
        </w:tc>
        <w:tc>
          <w:tcPr>
            <w:tcW w:w="867" w:type="dxa"/>
            <w:gridSpan w:val="3"/>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Fire fighting</w:t>
            </w:r>
          </w:p>
        </w:tc>
        <w:tc>
          <w:tcPr>
            <w:tcW w:w="835" w:type="dxa"/>
            <w:gridSpan w:val="3"/>
            <w:vMerge w:val="restart"/>
            <w:tcBorders>
              <w:top w:val="single" w:sz="8" w:space="0" w:color="4BACC6"/>
            </w:tcBorders>
          </w:tcPr>
          <w:p>
            <w:pPr>
              <w:pStyle w:val="Normal"/>
              <w:widowControl w:val="false"/>
              <w:jc w:val="center"/>
              <w:rPr>
                <w:rFonts w:ascii="Times New Roman" w:hAnsi="Times New Roman"/>
                <w:b/>
                <w:b/>
                <w:bCs/>
                <w:lang w:eastAsia="mk-MK"/>
              </w:rPr>
            </w:pPr>
            <w:r>
              <w:rPr>
                <w:b/>
                <w:bCs/>
                <w:lang w:eastAsia="mk-MK"/>
              </w:rPr>
              <w:t>Solvent</w:t>
            </w:r>
          </w:p>
        </w:tc>
        <w:tc>
          <w:tcPr>
            <w:tcW w:w="592" w:type="dxa"/>
            <w:gridSpan w:val="4"/>
            <w:vMerge w:val="restart"/>
            <w:tcBorders>
              <w:top w:val="single" w:sz="8" w:space="0" w:color="4BACC6"/>
              <w:right w:val="single" w:sz="8" w:space="0" w:color="4BACC6"/>
            </w:tcBorders>
          </w:tcPr>
          <w:p>
            <w:pPr>
              <w:pStyle w:val="Normal"/>
              <w:widowControl w:val="false"/>
              <w:jc w:val="center"/>
              <w:rPr>
                <w:rFonts w:ascii="Times New Roman" w:hAnsi="Times New Roman"/>
                <w:b/>
                <w:b/>
                <w:bCs/>
                <w:lang w:eastAsia="mk-MK"/>
              </w:rPr>
            </w:pPr>
            <w:r>
              <w:rPr>
                <w:b/>
                <w:bCs/>
                <w:lang w:eastAsia="mk-MK"/>
              </w:rPr>
              <w:t>Others</w:t>
            </w:r>
          </w:p>
        </w:tc>
      </w:tr>
      <w:tr>
        <w:trPr>
          <w:trHeight w:val="238" w:hRule="atLeast"/>
        </w:trPr>
        <w:tc>
          <w:tcPr>
            <w:tcW w:w="1119" w:type="dxa"/>
            <w:vMerge w:val="continue"/>
            <w:tcBorders>
              <w:left w:val="single" w:sz="8" w:space="0" w:color="4BACC6"/>
            </w:tcBorders>
          </w:tcPr>
          <w:p>
            <w:pPr>
              <w:pStyle w:val="Normal"/>
              <w:widowControl w:val="false"/>
              <w:rPr>
                <w:rFonts w:ascii="Times New Roman" w:hAnsi="Times New Roman"/>
                <w:b/>
                <w:b/>
                <w:bCs/>
                <w:lang w:eastAsia="mk-MK"/>
              </w:rPr>
            </w:pPr>
            <w:r>
              <w:rPr>
                <w:b/>
                <w:bCs/>
                <w:lang w:eastAsia="mk-MK"/>
              </w:rPr>
            </w:r>
          </w:p>
        </w:tc>
        <w:tc>
          <w:tcPr>
            <w:tcW w:w="1458" w:type="dxa"/>
            <w:gridSpan w:val="2"/>
            <w:tcBorders/>
          </w:tcPr>
          <w:p>
            <w:pPr>
              <w:pStyle w:val="Normal"/>
              <w:widowControl w:val="false"/>
              <w:jc w:val="center"/>
              <w:rPr>
                <w:rFonts w:ascii="Times New Roman" w:hAnsi="Times New Roman"/>
                <w:b/>
                <w:b/>
                <w:bCs/>
                <w:lang w:eastAsia="mk-MK"/>
              </w:rPr>
            </w:pPr>
            <w:r>
              <w:rPr>
                <w:b/>
                <w:bCs/>
                <w:lang w:eastAsia="mk-MK"/>
              </w:rPr>
              <w:t>Manufacturing</w:t>
            </w:r>
          </w:p>
        </w:tc>
        <w:tc>
          <w:tcPr>
            <w:tcW w:w="977" w:type="dxa"/>
            <w:gridSpan w:val="2"/>
            <w:tcBorders/>
          </w:tcPr>
          <w:p>
            <w:pPr>
              <w:pStyle w:val="Normal"/>
              <w:widowControl w:val="false"/>
              <w:jc w:val="center"/>
              <w:rPr>
                <w:rFonts w:ascii="Times New Roman" w:hAnsi="Times New Roman"/>
                <w:b/>
                <w:b/>
                <w:bCs/>
                <w:lang w:eastAsia="mk-MK"/>
              </w:rPr>
            </w:pPr>
            <w:r>
              <w:rPr>
                <w:b/>
                <w:bCs/>
                <w:lang w:eastAsia="mk-MK"/>
              </w:rPr>
              <w:t>Servicing</w:t>
            </w:r>
          </w:p>
        </w:tc>
        <w:tc>
          <w:tcPr>
            <w:tcW w:w="1015" w:type="dxa"/>
            <w:gridSpan w:val="4"/>
            <w:vMerge w:val="continue"/>
            <w:tcBorders/>
          </w:tcPr>
          <w:p>
            <w:pPr>
              <w:pStyle w:val="Normal"/>
              <w:widowControl w:val="false"/>
              <w:rPr>
                <w:rFonts w:ascii="Times New Roman" w:hAnsi="Times New Roman"/>
                <w:b/>
                <w:b/>
                <w:bCs/>
                <w:lang w:eastAsia="mk-MK"/>
              </w:rPr>
            </w:pPr>
            <w:r>
              <w:rPr>
                <w:b/>
                <w:bCs/>
                <w:lang w:eastAsia="mk-MK"/>
              </w:rPr>
            </w:r>
          </w:p>
        </w:tc>
        <w:tc>
          <w:tcPr>
            <w:tcW w:w="641" w:type="dxa"/>
            <w:gridSpan w:val="3"/>
            <w:vMerge w:val="continue"/>
            <w:tcBorders/>
          </w:tcPr>
          <w:p>
            <w:pPr>
              <w:pStyle w:val="Normal"/>
              <w:widowControl w:val="false"/>
              <w:rPr>
                <w:rFonts w:ascii="Times New Roman" w:hAnsi="Times New Roman"/>
                <w:b/>
                <w:b/>
                <w:bCs/>
                <w:lang w:eastAsia="mk-MK"/>
              </w:rPr>
            </w:pPr>
            <w:r>
              <w:rPr>
                <w:b/>
                <w:bCs/>
                <w:lang w:eastAsia="mk-MK"/>
              </w:rPr>
            </w:r>
          </w:p>
        </w:tc>
        <w:tc>
          <w:tcPr>
            <w:tcW w:w="858" w:type="dxa"/>
            <w:gridSpan w:val="3"/>
            <w:vMerge w:val="continue"/>
            <w:tcBorders/>
          </w:tcPr>
          <w:p>
            <w:pPr>
              <w:pStyle w:val="Normal"/>
              <w:widowControl w:val="false"/>
              <w:rPr>
                <w:rFonts w:ascii="Times New Roman" w:hAnsi="Times New Roman"/>
                <w:b/>
                <w:b/>
                <w:bCs/>
                <w:lang w:eastAsia="mk-MK"/>
              </w:rPr>
            </w:pPr>
            <w:r>
              <w:rPr>
                <w:b/>
                <w:bCs/>
                <w:lang w:eastAsia="mk-MK"/>
              </w:rPr>
            </w:r>
          </w:p>
        </w:tc>
        <w:tc>
          <w:tcPr>
            <w:tcW w:w="867" w:type="dxa"/>
            <w:gridSpan w:val="3"/>
            <w:vMerge w:val="continue"/>
            <w:tcBorders/>
          </w:tcPr>
          <w:p>
            <w:pPr>
              <w:pStyle w:val="Normal"/>
              <w:widowControl w:val="false"/>
              <w:rPr>
                <w:rFonts w:ascii="Times New Roman" w:hAnsi="Times New Roman"/>
                <w:b/>
                <w:b/>
                <w:bCs/>
                <w:lang w:eastAsia="mk-MK"/>
              </w:rPr>
            </w:pPr>
            <w:r>
              <w:rPr>
                <w:b/>
                <w:bCs/>
                <w:lang w:eastAsia="mk-MK"/>
              </w:rPr>
            </w:r>
          </w:p>
        </w:tc>
        <w:tc>
          <w:tcPr>
            <w:tcW w:w="835" w:type="dxa"/>
            <w:gridSpan w:val="3"/>
            <w:vMerge w:val="continue"/>
            <w:tcBorders/>
          </w:tcPr>
          <w:p>
            <w:pPr>
              <w:pStyle w:val="Normal"/>
              <w:widowControl w:val="false"/>
              <w:rPr>
                <w:rFonts w:ascii="Times New Roman" w:hAnsi="Times New Roman"/>
                <w:b/>
                <w:b/>
                <w:bCs/>
                <w:lang w:eastAsia="mk-MK"/>
              </w:rPr>
            </w:pPr>
            <w:r>
              <w:rPr>
                <w:b/>
                <w:bCs/>
                <w:lang w:eastAsia="mk-MK"/>
              </w:rPr>
            </w:r>
          </w:p>
        </w:tc>
        <w:tc>
          <w:tcPr>
            <w:tcW w:w="592" w:type="dxa"/>
            <w:gridSpan w:val="4"/>
            <w:vMerge w:val="continue"/>
            <w:tcBorders>
              <w:right w:val="single" w:sz="8" w:space="0" w:color="4BACC6"/>
            </w:tcBorders>
          </w:tcPr>
          <w:p>
            <w:pPr>
              <w:pStyle w:val="Normal"/>
              <w:widowControl w:val="false"/>
              <w:rPr>
                <w:rFonts w:ascii="Times New Roman" w:hAnsi="Times New Roman"/>
                <w:b/>
                <w:b/>
                <w:bCs/>
                <w:lang w:eastAsia="mk-MK"/>
              </w:rPr>
            </w:pPr>
            <w:r>
              <w:rPr>
                <w:b/>
                <w:bCs/>
                <w:lang w:eastAsia="mk-MK"/>
              </w:rPr>
            </w:r>
          </w:p>
        </w:tc>
      </w:tr>
      <w:tr>
        <w:trPr>
          <w:trHeight w:val="238" w:hRule="atLeast"/>
        </w:trPr>
        <w:tc>
          <w:tcPr>
            <w:tcW w:w="8362" w:type="dxa"/>
            <w:gridSpan w:val="25"/>
            <w:tcBorders>
              <w:top w:val="single" w:sz="8" w:space="0" w:color="4BACC6"/>
              <w:left w:val="single" w:sz="8" w:space="0" w:color="4BACC6"/>
              <w:bottom w:val="single" w:sz="8" w:space="0" w:color="4BACC6"/>
              <w:right w:val="single" w:sz="8" w:space="0" w:color="4BACC6"/>
            </w:tcBorders>
          </w:tcPr>
          <w:p>
            <w:pPr>
              <w:pStyle w:val="Normal"/>
              <w:widowControl w:val="false"/>
              <w:rPr>
                <w:rFonts w:ascii="Times New Roman" w:hAnsi="Times New Roman"/>
                <w:b/>
                <w:b/>
                <w:bCs/>
                <w:lang w:eastAsia="mk-MK"/>
              </w:rPr>
            </w:pPr>
            <w:r>
              <w:rPr>
                <w:b/>
                <w:bCs/>
                <w:lang w:eastAsia="mk-MK"/>
              </w:rPr>
              <w:t>HFC</w:t>
            </w:r>
          </w:p>
        </w:tc>
      </w:tr>
      <w:tr>
        <w:trPr>
          <w:trHeight w:val="238" w:hRule="atLeast"/>
        </w:trPr>
        <w:tc>
          <w:tcPr>
            <w:tcW w:w="1119" w:type="dxa"/>
            <w:tcBorders>
              <w:left w:val="single" w:sz="8" w:space="0" w:color="4BACC6"/>
            </w:tcBorders>
          </w:tcPr>
          <w:p>
            <w:pPr>
              <w:pStyle w:val="Normal"/>
              <w:widowControl w:val="false"/>
              <w:rPr>
                <w:rFonts w:ascii="Times New Roman" w:hAnsi="Times New Roman"/>
                <w:bCs/>
                <w:lang w:eastAsia="mk-MK"/>
              </w:rPr>
            </w:pPr>
            <w:r>
              <w:rPr>
                <w:bCs/>
                <w:lang w:eastAsia="mk-MK"/>
              </w:rPr>
              <w:t>HFC-134a</w:t>
            </w:r>
          </w:p>
        </w:tc>
        <w:tc>
          <w:tcPr>
            <w:tcW w:w="1458" w:type="dxa"/>
            <w:gridSpan w:val="2"/>
            <w:tcBorders/>
          </w:tcPr>
          <w:p>
            <w:pPr>
              <w:pStyle w:val="Normal"/>
              <w:widowControl w:val="false"/>
              <w:jc w:val="right"/>
              <w:rPr>
                <w:rFonts w:ascii="Times New Roman" w:hAnsi="Times New Roman"/>
                <w:lang w:eastAsia="mk-MK"/>
              </w:rPr>
            </w:pPr>
            <w:r>
              <w:rPr>
                <w:lang w:eastAsia="mk-MK"/>
              </w:rPr>
              <w:t>6,</w:t>
            </w:r>
            <w:r>
              <w:rPr>
                <w:lang w:val="en-GB" w:eastAsia="mk-MK"/>
              </w:rPr>
              <w:t>4</w:t>
            </w:r>
            <w:r>
              <w:rPr>
                <w:lang w:eastAsia="mk-MK"/>
              </w:rPr>
              <w:t>8</w:t>
            </w:r>
          </w:p>
        </w:tc>
        <w:tc>
          <w:tcPr>
            <w:tcW w:w="977" w:type="dxa"/>
            <w:gridSpan w:val="2"/>
            <w:tcBorders/>
          </w:tcPr>
          <w:p>
            <w:pPr>
              <w:pStyle w:val="Normal"/>
              <w:widowControl w:val="false"/>
              <w:jc w:val="right"/>
              <w:rPr>
                <w:rFonts w:ascii="Times New Roman" w:hAnsi="Times New Roman"/>
                <w:lang w:eastAsia="mk-MK"/>
              </w:rPr>
            </w:pPr>
            <w:r>
              <w:rPr>
                <w:lang w:eastAsia="mk-MK"/>
              </w:rPr>
              <w:t>34,34</w:t>
            </w:r>
          </w:p>
        </w:tc>
        <w:tc>
          <w:tcPr>
            <w:tcW w:w="1015" w:type="dxa"/>
            <w:gridSpan w:val="4"/>
            <w:tcBorders/>
          </w:tcPr>
          <w:p>
            <w:pPr>
              <w:pStyle w:val="Normal"/>
              <w:widowControl w:val="false"/>
              <w:jc w:val="right"/>
              <w:rPr>
                <w:rFonts w:ascii="Times New Roman" w:hAnsi="Times New Roman"/>
                <w:lang w:eastAsia="mk-MK"/>
              </w:rPr>
            </w:pPr>
            <w:r>
              <w:rPr>
                <w:lang w:eastAsia="mk-MK"/>
              </w:rPr>
              <w:t> </w:t>
            </w:r>
          </w:p>
        </w:tc>
        <w:tc>
          <w:tcPr>
            <w:tcW w:w="641" w:type="dxa"/>
            <w:gridSpan w:val="3"/>
            <w:tcBorders/>
          </w:tcPr>
          <w:p>
            <w:pPr>
              <w:pStyle w:val="Normal"/>
              <w:widowControl w:val="false"/>
              <w:jc w:val="right"/>
              <w:rPr>
                <w:rFonts w:ascii="Times New Roman" w:hAnsi="Times New Roman"/>
                <w:lang w:eastAsia="mk-MK"/>
              </w:rPr>
            </w:pPr>
            <w:r>
              <w:rPr>
                <w:lang w:eastAsia="mk-MK"/>
              </w:rPr>
              <w:t> </w:t>
            </w:r>
          </w:p>
        </w:tc>
        <w:tc>
          <w:tcPr>
            <w:tcW w:w="858" w:type="dxa"/>
            <w:gridSpan w:val="3"/>
            <w:tcBorders/>
          </w:tcPr>
          <w:p>
            <w:pPr>
              <w:pStyle w:val="Normal"/>
              <w:widowControl w:val="false"/>
              <w:jc w:val="right"/>
              <w:rPr>
                <w:rFonts w:ascii="Times New Roman" w:hAnsi="Times New Roman"/>
                <w:lang w:eastAsia="mk-MK"/>
              </w:rPr>
            </w:pPr>
            <w:r>
              <w:rPr>
                <w:lang w:eastAsia="mk-MK"/>
              </w:rPr>
              <w:t> </w:t>
            </w:r>
          </w:p>
        </w:tc>
        <w:tc>
          <w:tcPr>
            <w:tcW w:w="867" w:type="dxa"/>
            <w:gridSpan w:val="3"/>
            <w:tcBorders/>
          </w:tcPr>
          <w:p>
            <w:pPr>
              <w:pStyle w:val="Normal"/>
              <w:widowControl w:val="false"/>
              <w:jc w:val="right"/>
              <w:rPr>
                <w:rFonts w:ascii="Times New Roman" w:hAnsi="Times New Roman"/>
                <w:lang w:eastAsia="mk-MK"/>
              </w:rPr>
            </w:pPr>
            <w:r>
              <w:rPr>
                <w:lang w:eastAsia="mk-MK"/>
              </w:rPr>
              <w:t> </w:t>
            </w:r>
          </w:p>
        </w:tc>
        <w:tc>
          <w:tcPr>
            <w:tcW w:w="835" w:type="dxa"/>
            <w:gridSpan w:val="3"/>
            <w:tcBorders/>
          </w:tcPr>
          <w:p>
            <w:pPr>
              <w:pStyle w:val="Normal"/>
              <w:widowControl w:val="false"/>
              <w:jc w:val="right"/>
              <w:rPr>
                <w:rFonts w:ascii="Times New Roman" w:hAnsi="Times New Roman"/>
                <w:lang w:eastAsia="mk-MK"/>
              </w:rPr>
            </w:pPr>
            <w:r>
              <w:rPr>
                <w:lang w:eastAsia="mk-MK"/>
              </w:rPr>
              <w:t> </w:t>
            </w:r>
          </w:p>
        </w:tc>
        <w:tc>
          <w:tcPr>
            <w:tcW w:w="592"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r>
      <w:tr>
        <w:trPr>
          <w:trHeight w:val="238" w:hRule="atLeast"/>
        </w:trPr>
        <w:tc>
          <w:tcPr>
            <w:tcW w:w="8362" w:type="dxa"/>
            <w:gridSpan w:val="25"/>
            <w:tcBorders>
              <w:top w:val="single" w:sz="8" w:space="0" w:color="4BACC6"/>
              <w:left w:val="single" w:sz="8" w:space="0" w:color="4BACC6"/>
              <w:bottom w:val="single" w:sz="8" w:space="0" w:color="4BACC6"/>
              <w:right w:val="single" w:sz="8" w:space="0" w:color="4BACC6"/>
            </w:tcBorders>
          </w:tcPr>
          <w:p>
            <w:pPr>
              <w:pStyle w:val="Normal"/>
              <w:widowControl w:val="false"/>
              <w:rPr>
                <w:rFonts w:ascii="Times New Roman" w:hAnsi="Times New Roman"/>
                <w:bCs/>
                <w:lang w:eastAsia="mk-MK"/>
              </w:rPr>
            </w:pPr>
            <w:r>
              <w:rPr>
                <w:bCs/>
                <w:lang w:eastAsia="mk-MK"/>
              </w:rPr>
              <w:t>HFC blends</w:t>
            </w:r>
          </w:p>
        </w:tc>
      </w:tr>
      <w:tr>
        <w:trPr>
          <w:trHeight w:val="238" w:hRule="atLeast"/>
        </w:trPr>
        <w:tc>
          <w:tcPr>
            <w:tcW w:w="1119" w:type="dxa"/>
            <w:tcBorders>
              <w:left w:val="single" w:sz="8" w:space="0" w:color="4BACC6"/>
            </w:tcBorders>
          </w:tcPr>
          <w:p>
            <w:pPr>
              <w:pStyle w:val="Normal"/>
              <w:widowControl w:val="false"/>
              <w:rPr>
                <w:rFonts w:ascii="Times New Roman" w:hAnsi="Times New Roman"/>
                <w:bCs/>
                <w:lang w:eastAsia="mk-MK"/>
              </w:rPr>
            </w:pPr>
            <w:r>
              <w:rPr>
                <w:bCs/>
                <w:lang w:eastAsia="mk-MK"/>
              </w:rPr>
              <w:t>R-404A</w:t>
            </w:r>
          </w:p>
        </w:tc>
        <w:tc>
          <w:tcPr>
            <w:tcW w:w="1458" w:type="dxa"/>
            <w:gridSpan w:val="2"/>
            <w:tcBorders/>
          </w:tcPr>
          <w:p>
            <w:pPr>
              <w:pStyle w:val="Normal"/>
              <w:widowControl w:val="false"/>
              <w:jc w:val="right"/>
              <w:rPr>
                <w:rFonts w:ascii="Times New Roman" w:hAnsi="Times New Roman"/>
                <w:lang w:val="en-GB" w:eastAsia="mk-MK"/>
              </w:rPr>
            </w:pPr>
            <w:r>
              <w:rPr>
                <w:lang w:eastAsia="mk-MK"/>
              </w:rPr>
              <w:t>8,</w:t>
            </w:r>
            <w:r>
              <w:rPr>
                <w:lang w:val="en-GB" w:eastAsia="mk-MK"/>
              </w:rPr>
              <w:t>66</w:t>
            </w:r>
          </w:p>
        </w:tc>
        <w:tc>
          <w:tcPr>
            <w:tcW w:w="977" w:type="dxa"/>
            <w:gridSpan w:val="2"/>
            <w:tcBorders/>
          </w:tcPr>
          <w:p>
            <w:pPr>
              <w:pStyle w:val="Normal"/>
              <w:widowControl w:val="false"/>
              <w:jc w:val="right"/>
              <w:rPr>
                <w:rFonts w:ascii="Times New Roman" w:hAnsi="Times New Roman"/>
                <w:lang w:eastAsia="mk-MK"/>
              </w:rPr>
            </w:pPr>
            <w:r>
              <w:rPr>
                <w:lang w:eastAsia="mk-MK"/>
              </w:rPr>
              <w:t>17,12</w:t>
            </w:r>
          </w:p>
        </w:tc>
        <w:tc>
          <w:tcPr>
            <w:tcW w:w="1015" w:type="dxa"/>
            <w:gridSpan w:val="4"/>
            <w:tcBorders/>
          </w:tcPr>
          <w:p>
            <w:pPr>
              <w:pStyle w:val="Normal"/>
              <w:widowControl w:val="false"/>
              <w:jc w:val="right"/>
              <w:rPr>
                <w:rFonts w:ascii="Times New Roman" w:hAnsi="Times New Roman"/>
                <w:lang w:eastAsia="mk-MK"/>
              </w:rPr>
            </w:pPr>
            <w:r>
              <w:rPr>
                <w:lang w:eastAsia="mk-MK"/>
              </w:rPr>
              <w:t> </w:t>
            </w:r>
          </w:p>
        </w:tc>
        <w:tc>
          <w:tcPr>
            <w:tcW w:w="641" w:type="dxa"/>
            <w:gridSpan w:val="3"/>
            <w:tcBorders/>
          </w:tcPr>
          <w:p>
            <w:pPr>
              <w:pStyle w:val="Normal"/>
              <w:widowControl w:val="false"/>
              <w:jc w:val="right"/>
              <w:rPr>
                <w:rFonts w:ascii="Times New Roman" w:hAnsi="Times New Roman"/>
                <w:lang w:eastAsia="mk-MK"/>
              </w:rPr>
            </w:pPr>
            <w:r>
              <w:rPr>
                <w:lang w:eastAsia="mk-MK"/>
              </w:rPr>
              <w:t> </w:t>
            </w:r>
          </w:p>
        </w:tc>
        <w:tc>
          <w:tcPr>
            <w:tcW w:w="858" w:type="dxa"/>
            <w:gridSpan w:val="3"/>
            <w:tcBorders/>
          </w:tcPr>
          <w:p>
            <w:pPr>
              <w:pStyle w:val="Normal"/>
              <w:widowControl w:val="false"/>
              <w:jc w:val="right"/>
              <w:rPr>
                <w:rFonts w:ascii="Times New Roman" w:hAnsi="Times New Roman"/>
                <w:lang w:eastAsia="mk-MK"/>
              </w:rPr>
            </w:pPr>
            <w:r>
              <w:rPr>
                <w:lang w:eastAsia="mk-MK"/>
              </w:rPr>
              <w:t> </w:t>
            </w:r>
          </w:p>
        </w:tc>
        <w:tc>
          <w:tcPr>
            <w:tcW w:w="867" w:type="dxa"/>
            <w:gridSpan w:val="3"/>
            <w:tcBorders/>
          </w:tcPr>
          <w:p>
            <w:pPr>
              <w:pStyle w:val="Normal"/>
              <w:widowControl w:val="false"/>
              <w:jc w:val="right"/>
              <w:rPr>
                <w:rFonts w:ascii="Times New Roman" w:hAnsi="Times New Roman"/>
                <w:lang w:eastAsia="mk-MK"/>
              </w:rPr>
            </w:pPr>
            <w:r>
              <w:rPr>
                <w:lang w:eastAsia="mk-MK"/>
              </w:rPr>
              <w:t> </w:t>
            </w:r>
          </w:p>
        </w:tc>
        <w:tc>
          <w:tcPr>
            <w:tcW w:w="835" w:type="dxa"/>
            <w:gridSpan w:val="3"/>
            <w:tcBorders/>
          </w:tcPr>
          <w:p>
            <w:pPr>
              <w:pStyle w:val="Normal"/>
              <w:widowControl w:val="false"/>
              <w:jc w:val="right"/>
              <w:rPr>
                <w:rFonts w:ascii="Times New Roman" w:hAnsi="Times New Roman"/>
                <w:lang w:eastAsia="mk-MK"/>
              </w:rPr>
            </w:pPr>
            <w:r>
              <w:rPr>
                <w:lang w:eastAsia="mk-MK"/>
              </w:rPr>
              <w:t> </w:t>
            </w:r>
          </w:p>
        </w:tc>
        <w:tc>
          <w:tcPr>
            <w:tcW w:w="592"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r>
      <w:tr>
        <w:trPr>
          <w:trHeight w:val="238" w:hRule="atLeast"/>
        </w:trPr>
        <w:tc>
          <w:tcPr>
            <w:tcW w:w="1119" w:type="dxa"/>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R-407C</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0</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6,90</w:t>
            </w:r>
          </w:p>
        </w:tc>
        <w:tc>
          <w:tcPr>
            <w:tcW w:w="1015" w:type="dxa"/>
            <w:gridSpan w:val="4"/>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1"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8"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5"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592"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r>
      <w:tr>
        <w:trPr>
          <w:trHeight w:val="238" w:hRule="atLeast"/>
        </w:trPr>
        <w:tc>
          <w:tcPr>
            <w:tcW w:w="1119" w:type="dxa"/>
            <w:tcBorders>
              <w:left w:val="single" w:sz="8" w:space="0" w:color="4BACC6"/>
            </w:tcBorders>
          </w:tcPr>
          <w:p>
            <w:pPr>
              <w:pStyle w:val="Normal"/>
              <w:widowControl w:val="false"/>
              <w:rPr>
                <w:rFonts w:ascii="Times New Roman" w:hAnsi="Times New Roman"/>
                <w:bCs/>
                <w:lang w:eastAsia="mk-MK"/>
              </w:rPr>
            </w:pPr>
            <w:r>
              <w:rPr>
                <w:bCs/>
                <w:lang w:eastAsia="mk-MK"/>
              </w:rPr>
              <w:t>R-410A</w:t>
            </w:r>
          </w:p>
        </w:tc>
        <w:tc>
          <w:tcPr>
            <w:tcW w:w="1458" w:type="dxa"/>
            <w:gridSpan w:val="2"/>
            <w:tcBorders/>
          </w:tcPr>
          <w:p>
            <w:pPr>
              <w:pStyle w:val="Normal"/>
              <w:widowControl w:val="false"/>
              <w:jc w:val="right"/>
              <w:rPr>
                <w:rFonts w:ascii="Times New Roman" w:hAnsi="Times New Roman"/>
                <w:lang w:eastAsia="mk-MK"/>
              </w:rPr>
            </w:pPr>
            <w:r>
              <w:rPr>
                <w:lang w:eastAsia="mk-MK"/>
              </w:rPr>
              <w:t>0</w:t>
            </w:r>
          </w:p>
        </w:tc>
        <w:tc>
          <w:tcPr>
            <w:tcW w:w="977" w:type="dxa"/>
            <w:gridSpan w:val="2"/>
            <w:tcBorders/>
          </w:tcPr>
          <w:p>
            <w:pPr>
              <w:pStyle w:val="Normal"/>
              <w:widowControl w:val="false"/>
              <w:jc w:val="right"/>
              <w:rPr>
                <w:rFonts w:ascii="Times New Roman" w:hAnsi="Times New Roman"/>
                <w:lang w:eastAsia="mk-MK"/>
              </w:rPr>
            </w:pPr>
            <w:r>
              <w:rPr>
                <w:lang w:eastAsia="mk-MK"/>
              </w:rPr>
              <w:t>10,1</w:t>
            </w:r>
          </w:p>
        </w:tc>
        <w:tc>
          <w:tcPr>
            <w:tcW w:w="1015" w:type="dxa"/>
            <w:gridSpan w:val="4"/>
            <w:tcBorders/>
          </w:tcPr>
          <w:p>
            <w:pPr>
              <w:pStyle w:val="Normal"/>
              <w:widowControl w:val="false"/>
              <w:jc w:val="right"/>
              <w:rPr>
                <w:rFonts w:ascii="Times New Roman" w:hAnsi="Times New Roman"/>
                <w:lang w:eastAsia="mk-MK"/>
              </w:rPr>
            </w:pPr>
            <w:r>
              <w:rPr>
                <w:lang w:eastAsia="mk-MK"/>
              </w:rPr>
              <w:t> </w:t>
            </w:r>
          </w:p>
        </w:tc>
        <w:tc>
          <w:tcPr>
            <w:tcW w:w="641" w:type="dxa"/>
            <w:gridSpan w:val="3"/>
            <w:tcBorders/>
          </w:tcPr>
          <w:p>
            <w:pPr>
              <w:pStyle w:val="Normal"/>
              <w:widowControl w:val="false"/>
              <w:jc w:val="right"/>
              <w:rPr>
                <w:rFonts w:ascii="Times New Roman" w:hAnsi="Times New Roman"/>
                <w:lang w:eastAsia="mk-MK"/>
              </w:rPr>
            </w:pPr>
            <w:r>
              <w:rPr>
                <w:lang w:eastAsia="mk-MK"/>
              </w:rPr>
              <w:t> </w:t>
            </w:r>
          </w:p>
        </w:tc>
        <w:tc>
          <w:tcPr>
            <w:tcW w:w="858" w:type="dxa"/>
            <w:gridSpan w:val="3"/>
            <w:tcBorders/>
          </w:tcPr>
          <w:p>
            <w:pPr>
              <w:pStyle w:val="Normal"/>
              <w:widowControl w:val="false"/>
              <w:jc w:val="right"/>
              <w:rPr>
                <w:rFonts w:ascii="Times New Roman" w:hAnsi="Times New Roman"/>
                <w:lang w:eastAsia="mk-MK"/>
              </w:rPr>
            </w:pPr>
            <w:r>
              <w:rPr>
                <w:lang w:eastAsia="mk-MK"/>
              </w:rPr>
              <w:t> </w:t>
            </w:r>
          </w:p>
        </w:tc>
        <w:tc>
          <w:tcPr>
            <w:tcW w:w="867" w:type="dxa"/>
            <w:gridSpan w:val="3"/>
            <w:tcBorders/>
          </w:tcPr>
          <w:p>
            <w:pPr>
              <w:pStyle w:val="Normal"/>
              <w:widowControl w:val="false"/>
              <w:jc w:val="right"/>
              <w:rPr>
                <w:rFonts w:ascii="Times New Roman" w:hAnsi="Times New Roman"/>
                <w:lang w:eastAsia="mk-MK"/>
              </w:rPr>
            </w:pPr>
            <w:r>
              <w:rPr>
                <w:lang w:eastAsia="mk-MK"/>
              </w:rPr>
              <w:t> </w:t>
            </w:r>
          </w:p>
        </w:tc>
        <w:tc>
          <w:tcPr>
            <w:tcW w:w="835" w:type="dxa"/>
            <w:gridSpan w:val="3"/>
            <w:tcBorders/>
          </w:tcPr>
          <w:p>
            <w:pPr>
              <w:pStyle w:val="Normal"/>
              <w:widowControl w:val="false"/>
              <w:jc w:val="right"/>
              <w:rPr>
                <w:rFonts w:ascii="Times New Roman" w:hAnsi="Times New Roman"/>
                <w:lang w:eastAsia="mk-MK"/>
              </w:rPr>
            </w:pPr>
            <w:r>
              <w:rPr>
                <w:lang w:eastAsia="mk-MK"/>
              </w:rPr>
              <w:t> </w:t>
            </w:r>
          </w:p>
        </w:tc>
        <w:tc>
          <w:tcPr>
            <w:tcW w:w="592" w:type="dxa"/>
            <w:gridSpan w:val="4"/>
            <w:tcBorders>
              <w:right w:val="single" w:sz="8" w:space="0" w:color="4BACC6"/>
            </w:tcBorders>
          </w:tcPr>
          <w:p>
            <w:pPr>
              <w:pStyle w:val="Normal"/>
              <w:widowControl w:val="false"/>
              <w:jc w:val="right"/>
              <w:rPr>
                <w:rFonts w:ascii="Times New Roman" w:hAnsi="Times New Roman"/>
                <w:lang w:eastAsia="mk-MK"/>
              </w:rPr>
            </w:pPr>
            <w:r>
              <w:rPr>
                <w:lang w:eastAsia="mk-MK"/>
              </w:rPr>
              <w:t> </w:t>
            </w:r>
          </w:p>
        </w:tc>
      </w:tr>
      <w:tr>
        <w:trPr>
          <w:trHeight w:val="238" w:hRule="atLeast"/>
        </w:trPr>
        <w:tc>
          <w:tcPr>
            <w:tcW w:w="1119" w:type="dxa"/>
            <w:tcBorders>
              <w:top w:val="single" w:sz="8" w:space="0" w:color="4BACC6"/>
              <w:left w:val="single" w:sz="8" w:space="0" w:color="4BACC6"/>
              <w:bottom w:val="single" w:sz="8" w:space="0" w:color="4BACC6"/>
            </w:tcBorders>
          </w:tcPr>
          <w:p>
            <w:pPr>
              <w:pStyle w:val="Normal"/>
              <w:widowControl w:val="false"/>
              <w:rPr>
                <w:rFonts w:ascii="Times New Roman" w:hAnsi="Times New Roman"/>
                <w:bCs/>
                <w:lang w:eastAsia="mk-MK"/>
              </w:rPr>
            </w:pPr>
            <w:r>
              <w:rPr>
                <w:bCs/>
                <w:lang w:eastAsia="mk-MK"/>
              </w:rPr>
              <w:t>R-507</w:t>
            </w:r>
          </w:p>
        </w:tc>
        <w:tc>
          <w:tcPr>
            <w:tcW w:w="1458"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977" w:type="dxa"/>
            <w:gridSpan w:val="2"/>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0,214</w:t>
            </w:r>
          </w:p>
        </w:tc>
        <w:tc>
          <w:tcPr>
            <w:tcW w:w="1015" w:type="dxa"/>
            <w:gridSpan w:val="4"/>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641"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58"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67"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835" w:type="dxa"/>
            <w:gridSpan w:val="3"/>
            <w:tcBorders>
              <w:top w:val="single" w:sz="8" w:space="0" w:color="4BACC6"/>
              <w:bottom w:val="single" w:sz="8" w:space="0" w:color="4BACC6"/>
            </w:tcBorders>
          </w:tcPr>
          <w:p>
            <w:pPr>
              <w:pStyle w:val="Normal"/>
              <w:widowControl w:val="false"/>
              <w:jc w:val="right"/>
              <w:rPr>
                <w:rFonts w:ascii="Times New Roman" w:hAnsi="Times New Roman"/>
                <w:lang w:eastAsia="mk-MK"/>
              </w:rPr>
            </w:pPr>
            <w:r>
              <w:rPr>
                <w:lang w:eastAsia="mk-MK"/>
              </w:rPr>
              <w:t> </w:t>
            </w:r>
          </w:p>
        </w:tc>
        <w:tc>
          <w:tcPr>
            <w:tcW w:w="592" w:type="dxa"/>
            <w:gridSpan w:val="4"/>
            <w:tcBorders>
              <w:top w:val="single" w:sz="8" w:space="0" w:color="4BACC6"/>
              <w:bottom w:val="single" w:sz="8" w:space="0" w:color="4BACC6"/>
              <w:right w:val="single" w:sz="8" w:space="0" w:color="4BACC6"/>
            </w:tcBorders>
          </w:tcPr>
          <w:p>
            <w:pPr>
              <w:pStyle w:val="Normal"/>
              <w:widowControl w:val="false"/>
              <w:jc w:val="right"/>
              <w:rPr>
                <w:rFonts w:ascii="Times New Roman" w:hAnsi="Times New Roman"/>
                <w:lang w:eastAsia="mk-MK"/>
              </w:rPr>
            </w:pPr>
            <w:r>
              <w:rPr>
                <w:lang w:eastAsia="mk-MK"/>
              </w:rPr>
              <w:t> </w:t>
            </w:r>
          </w:p>
        </w:tc>
      </w:tr>
      <w:tr>
        <w:trPr>
          <w:trHeight w:val="238" w:hRule="atLeast"/>
        </w:trPr>
        <w:tc>
          <w:tcPr>
            <w:tcW w:w="1119" w:type="dxa"/>
            <w:tcBorders>
              <w:left w:val="single" w:sz="8" w:space="0" w:color="4BACC6"/>
              <w:bottom w:val="single" w:sz="8" w:space="0" w:color="4BACC6"/>
            </w:tcBorders>
          </w:tcPr>
          <w:p>
            <w:pPr>
              <w:pStyle w:val="Normal"/>
              <w:widowControl w:val="false"/>
              <w:rPr>
                <w:rFonts w:ascii="Times New Roman" w:hAnsi="Times New Roman"/>
                <w:b/>
                <w:b/>
                <w:bCs/>
                <w:lang w:eastAsia="mk-MK"/>
              </w:rPr>
            </w:pPr>
            <w:r>
              <w:rPr>
                <w:b/>
                <w:bCs/>
                <w:lang w:eastAsia="mk-MK"/>
              </w:rPr>
              <w:t>Total</w:t>
            </w:r>
          </w:p>
        </w:tc>
        <w:tc>
          <w:tcPr>
            <w:tcW w:w="1458" w:type="dxa"/>
            <w:gridSpan w:val="2"/>
            <w:tcBorders>
              <w:bottom w:val="single" w:sz="8" w:space="0" w:color="4BACC6"/>
            </w:tcBorders>
          </w:tcPr>
          <w:p>
            <w:pPr>
              <w:pStyle w:val="Normal"/>
              <w:widowControl w:val="false"/>
              <w:jc w:val="right"/>
              <w:rPr>
                <w:rFonts w:ascii="Times New Roman" w:hAnsi="Times New Roman"/>
                <w:b/>
                <w:b/>
                <w:bCs/>
                <w:lang w:eastAsia="mk-MK"/>
              </w:rPr>
            </w:pPr>
            <w:r>
              <w:rPr>
                <w:b/>
                <w:bCs/>
                <w:lang w:eastAsia="mk-MK"/>
              </w:rPr>
              <w:t>15,14</w:t>
            </w:r>
          </w:p>
        </w:tc>
        <w:tc>
          <w:tcPr>
            <w:tcW w:w="977" w:type="dxa"/>
            <w:gridSpan w:val="2"/>
            <w:tcBorders>
              <w:bottom w:val="single" w:sz="8" w:space="0" w:color="4BACC6"/>
            </w:tcBorders>
          </w:tcPr>
          <w:p>
            <w:pPr>
              <w:pStyle w:val="Normal"/>
              <w:widowControl w:val="false"/>
              <w:jc w:val="right"/>
              <w:rPr>
                <w:rFonts w:ascii="Times New Roman" w:hAnsi="Times New Roman"/>
                <w:b/>
                <w:b/>
                <w:bCs/>
                <w:lang w:eastAsia="mk-MK"/>
              </w:rPr>
            </w:pPr>
            <w:r>
              <w:rPr>
                <w:b/>
                <w:bCs/>
                <w:lang w:eastAsia="mk-MK"/>
              </w:rPr>
              <w:t>68,67</w:t>
            </w:r>
          </w:p>
        </w:tc>
        <w:tc>
          <w:tcPr>
            <w:tcW w:w="1015" w:type="dxa"/>
            <w:gridSpan w:val="4"/>
            <w:tcBorders>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641" w:type="dxa"/>
            <w:gridSpan w:val="3"/>
            <w:tcBorders>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858" w:type="dxa"/>
            <w:gridSpan w:val="3"/>
            <w:tcBorders>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867" w:type="dxa"/>
            <w:gridSpan w:val="3"/>
            <w:tcBorders>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835" w:type="dxa"/>
            <w:gridSpan w:val="3"/>
            <w:tcBorders>
              <w:bottom w:val="single" w:sz="8" w:space="0" w:color="4BACC6"/>
            </w:tcBorders>
          </w:tcPr>
          <w:p>
            <w:pPr>
              <w:pStyle w:val="Normal"/>
              <w:widowControl w:val="false"/>
              <w:jc w:val="right"/>
              <w:rPr>
                <w:rFonts w:ascii="Times New Roman" w:hAnsi="Times New Roman"/>
                <w:b/>
                <w:b/>
                <w:bCs/>
                <w:lang w:eastAsia="mk-MK"/>
              </w:rPr>
            </w:pPr>
            <w:r>
              <w:rPr>
                <w:b/>
                <w:bCs/>
                <w:lang w:eastAsia="mk-MK"/>
              </w:rPr>
              <w:t>0</w:t>
            </w:r>
          </w:p>
        </w:tc>
        <w:tc>
          <w:tcPr>
            <w:tcW w:w="592" w:type="dxa"/>
            <w:gridSpan w:val="4"/>
            <w:tcBorders>
              <w:bottom w:val="single" w:sz="8" w:space="0" w:color="4BACC6"/>
              <w:right w:val="single" w:sz="8" w:space="0" w:color="4BACC6"/>
            </w:tcBorders>
          </w:tcPr>
          <w:p>
            <w:pPr>
              <w:pStyle w:val="Normal"/>
              <w:widowControl w:val="false"/>
              <w:jc w:val="right"/>
              <w:rPr>
                <w:rFonts w:ascii="Times New Roman" w:hAnsi="Times New Roman"/>
                <w:b/>
                <w:b/>
                <w:bCs/>
                <w:lang w:eastAsia="mk-MK"/>
              </w:rPr>
            </w:pPr>
            <w:r>
              <w:rPr>
                <w:b/>
                <w:bCs/>
                <w:lang w:eastAsia="mk-MK"/>
              </w:rPr>
              <w:t>0</w:t>
            </w:r>
          </w:p>
        </w:tc>
      </w:tr>
    </w:tbl>
    <w:p>
      <w:pPr>
        <w:pStyle w:val="Default"/>
        <w:jc w:val="both"/>
        <w:rPr>
          <w:bCs/>
        </w:rPr>
      </w:pPr>
      <w:r>
        <w:rPr>
          <w:bCs/>
        </w:rPr>
      </w:r>
    </w:p>
    <w:p>
      <w:pPr>
        <w:pStyle w:val="Default"/>
        <w:ind w:left="720" w:hanging="0"/>
        <w:jc w:val="both"/>
        <w:rPr>
          <w:bCs/>
        </w:rPr>
      </w:pPr>
      <w:r>
        <w:rPr>
          <w:bCs/>
        </w:rPr>
      </w:r>
    </w:p>
    <w:p>
      <w:pPr>
        <w:pStyle w:val="Default"/>
        <w:numPr>
          <w:ilvl w:val="0"/>
          <w:numId w:val="43"/>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Macedonia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numPr>
          <w:ilvl w:val="0"/>
          <w:numId w:val="43"/>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44"/>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44"/>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45"/>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45"/>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bCs/>
              </w:rPr>
            </w:pPr>
            <w:r>
              <w:rPr>
                <w:kern w:val="0"/>
                <w:lang w:val="en-US" w:eastAsia="en-US" w:bidi="ar-SA"/>
              </w:rPr>
              <w:t>Enhancement of the import and export license system to include HFCs and other alternatives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necessary regulatory and administrative measures for the control of HFCs’ imports and exports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45"/>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r>
        <w:trPr/>
        <w:tc>
          <w:tcPr>
            <w:tcW w:w="3847" w:type="dxa"/>
            <w:tcBorders/>
          </w:tcPr>
          <w:p>
            <w:pPr>
              <w:pStyle w:val="Default"/>
              <w:widowControl/>
              <w:tabs>
                <w:tab w:val="left" w:pos="720" w:leader="none"/>
              </w:tabs>
              <w:spacing w:lineRule="auto" w:line="276" w:before="0" w:after="0"/>
              <w:jc w:val="left"/>
              <w:rPr>
                <w:bCs/>
              </w:rPr>
            </w:pPr>
            <w:r>
              <w:rPr>
                <w:rFonts w:eastAsia="Calibri"/>
                <w:bCs/>
                <w:kern w:val="0"/>
                <w:lang w:val="en-US" w:eastAsia="en-US" w:bidi="ar-SA"/>
              </w:rPr>
              <w:t>Improving a national database to include HFCs and other ODS alternatives</w:t>
            </w:r>
          </w:p>
          <w:p>
            <w:pPr>
              <w:pStyle w:val="Normal"/>
              <w:keepNext w:val="true"/>
              <w:widowControl w:val="false"/>
              <w:spacing w:before="0" w:after="0"/>
              <w:jc w:val="left"/>
              <w:rPr>
                <w:rFonts w:ascii="Times New Roman" w:hAnsi="Times New Roman"/>
              </w:rPr>
            </w:pPr>
            <w:r>
              <w:rPr>
                <w:kern w:val="0"/>
                <w:lang w:val="en-US" w:eastAsia="en-US" w:bidi="ar-SA"/>
              </w:rPr>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database updated</w:t>
            </w:r>
          </w:p>
        </w:tc>
      </w:tr>
    </w:tbl>
    <w:p>
      <w:pPr>
        <w:pStyle w:val="Default"/>
        <w:ind w:left="720" w:hanging="0"/>
        <w:jc w:val="both"/>
        <w:rPr/>
      </w:pPr>
      <w:r>
        <w:rPr/>
      </w:r>
    </w:p>
    <w:p>
      <w:pPr>
        <w:pStyle w:val="Default"/>
        <w:rPr/>
      </w:pPr>
      <w:r>
        <w:rPr/>
      </w:r>
    </w:p>
    <w:p>
      <w:pPr>
        <w:pStyle w:val="ListParagraph"/>
        <w:spacing w:before="0" w:after="0"/>
        <w:contextualSpacing w:val="false"/>
        <w:jc w:val="both"/>
        <w:rPr>
          <w:rFonts w:ascii="Times New Roman" w:hAnsi="Times New Roman"/>
          <w:bCs/>
        </w:rPr>
      </w:pPr>
      <w:r>
        <w:rPr>
          <w:bCs/>
        </w:rPr>
      </w:r>
    </w:p>
    <w:p>
      <w:pPr>
        <w:sectPr>
          <w:headerReference w:type="even" r:id="rId88"/>
          <w:headerReference w:type="default" r:id="rId89"/>
          <w:footerReference w:type="even" r:id="rId90"/>
          <w:footerReference w:type="default" r:id="rId91"/>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43"/>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vMerge w:val="restart"/>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b.2.1. Enhancement of the import and export license system</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15,000</w:t>
            </w:r>
          </w:p>
        </w:tc>
      </w:tr>
      <w:tr>
        <w:trPr>
          <w:trHeight w:val="620" w:hRule="atLeast"/>
        </w:trPr>
        <w:tc>
          <w:tcPr>
            <w:tcW w:w="4479" w:type="dxa"/>
            <w:vMerge w:val="continue"/>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b.3.1.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20" w:hRule="atLeast"/>
        </w:trPr>
        <w:tc>
          <w:tcPr>
            <w:tcW w:w="4479" w:type="dxa"/>
            <w:vMerge w:val="continue"/>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b.3.2. Improving a national database</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10,000</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95,000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82"/>
        <w:gridCol w:w="550"/>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82"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5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82"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5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82"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5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82"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5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57"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b.2.1. </w:t>
            </w:r>
          </w:p>
        </w:tc>
        <w:tc>
          <w:tcPr>
            <w:tcW w:w="482"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5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30" w:hRule="atLeast"/>
        </w:trPr>
        <w:tc>
          <w:tcPr>
            <w:tcW w:w="2444" w:type="dxa"/>
            <w:vMerge w:val="continue"/>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b.2.2.</w:t>
            </w:r>
          </w:p>
        </w:tc>
        <w:tc>
          <w:tcPr>
            <w:tcW w:w="482"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r>
          </w:p>
        </w:tc>
        <w:tc>
          <w:tcPr>
            <w:tcW w:w="55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r>
      <w:tr>
        <w:trPr>
          <w:trHeight w:val="49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b.3.1. </w:t>
            </w:r>
          </w:p>
        </w:tc>
        <w:tc>
          <w:tcPr>
            <w:tcW w:w="482"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5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vMerge w:val="continue"/>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b.3.2.</w:t>
            </w:r>
          </w:p>
        </w:tc>
        <w:tc>
          <w:tcPr>
            <w:tcW w:w="482"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r>
          </w:p>
        </w:tc>
        <w:tc>
          <w:tcPr>
            <w:tcW w:w="55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488"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486"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r>
    </w:tbl>
    <w:p>
      <w:pPr>
        <w:pStyle w:val="Default"/>
        <w:jc w:val="both"/>
        <w:rPr/>
      </w:pPr>
      <w:r>
        <w:rPr/>
      </w:r>
    </w:p>
    <w:p>
      <w:pPr>
        <w:sectPr>
          <w:headerReference w:type="even" r:id="rId92"/>
          <w:headerReference w:type="default" r:id="rId93"/>
          <w:footerReference w:type="even" r:id="rId94"/>
          <w:footerReference w:type="default" r:id="rId95"/>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43"/>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Ministry of Environment and Physical Planning,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Mexico</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Mexico</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US$250,000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 and UN Environment</w:t>
      </w:r>
    </w:p>
    <w:p>
      <w:pPr>
        <w:pStyle w:val="Normal"/>
        <w:jc w:val="both"/>
        <w:rPr>
          <w:rFonts w:ascii="Times New Roman" w:hAnsi="Times New Roman"/>
          <w:b/>
          <w:b/>
        </w:rPr>
      </w:pPr>
      <w:r>
        <w:rPr>
          <w:b/>
        </w:rPr>
      </w:r>
    </w:p>
    <w:p>
      <w:pPr>
        <w:pStyle w:val="ListParagraph"/>
        <w:widowControl/>
        <w:numPr>
          <w:ilvl w:val="0"/>
          <w:numId w:val="46"/>
        </w:numPr>
        <w:spacing w:lineRule="auto" w:line="259" w:before="0" w:after="160"/>
        <w:contextualSpacing/>
        <w:jc w:val="both"/>
        <w:rPr>
          <w:rFonts w:ascii="Times New Roman" w:hAnsi="Times New Roman"/>
          <w:b/>
          <w:b/>
        </w:rPr>
      </w:pPr>
      <w:r>
        <w:rPr>
          <w:b/>
        </w:rPr>
        <w:t>Proposal enabling activities to be implemented by UNIDO as lead Agency, UNE as cooperating agency and the Government of Mexico.</w:t>
      </w:r>
    </w:p>
    <w:p>
      <w:pPr>
        <w:pStyle w:val="Normal"/>
        <w:jc w:val="both"/>
        <w:rPr>
          <w:rFonts w:ascii="Times New Roman" w:hAnsi="Times New Roman"/>
        </w:rPr>
      </w:pPr>
      <w:r>
        <w:rPr/>
        <w:t>The Government of Mexico through SEMARNAT has been very active in implementing the NPP and HPMP during the last years, phasing-out CFC and advancing on the phase-out of HCFCs. Besides, it is relevant to highlight that for over 8 years, Mexico was a key player in the negotiations to amend the Montreal Protocol in order to control the production and consumption of HFCs.</w:t>
      </w:r>
    </w:p>
    <w:p>
      <w:pPr>
        <w:pStyle w:val="Normal"/>
        <w:jc w:val="both"/>
        <w:rPr>
          <w:rFonts w:ascii="Times New Roman" w:hAnsi="Times New Roman"/>
        </w:rPr>
      </w:pPr>
      <w:r>
        <w:rPr/>
        <w:t>Following the historic pronouncement of the Kigali Amendment, at its 79</w:t>
      </w:r>
      <w:r>
        <w:rPr>
          <w:vertAlign w:val="superscript"/>
        </w:rPr>
        <w:t>th</w:t>
      </w:r>
      <w:r>
        <w:rPr/>
        <w:t xml:space="preserve"> Meeting, the Executive Committee approved decision 79/46, which allows A5 countries to undertake a range of enabling activities to assist national ozone units to fulfil their initial obligations with regard to HFC phase-down under the Kigali Amendment.</w:t>
      </w:r>
    </w:p>
    <w:p>
      <w:pPr>
        <w:pStyle w:val="Normal"/>
        <w:jc w:val="both"/>
        <w:rPr>
          <w:rFonts w:ascii="Times New Roman" w:hAnsi="Times New Roman"/>
        </w:rPr>
      </w:pPr>
      <w:r>
        <w:rPr/>
        <w:t>Primary activities identified by the Government of Mexico are targeted to initiate institutional provisions which can facilitate the introduction of HFC phase-down obligations in future and can enforce the role of the National Ozone Unit in terms of HFC and energy efficiency. Description of each one of the enabling activities proposed by Mexico, including cost breakdown and the schedule for implementation, is described below.</w:t>
      </w:r>
    </w:p>
    <w:p>
      <w:pPr>
        <w:pStyle w:val="Normal"/>
        <w:jc w:val="both"/>
        <w:rPr>
          <w:rFonts w:ascii="Times New Roman" w:hAnsi="Times New Roman"/>
        </w:rPr>
      </w:pPr>
      <w:r>
        <w:rPr/>
      </w:r>
    </w:p>
    <w:p>
      <w:pPr>
        <w:pStyle w:val="ListParagraph"/>
        <w:widowControl/>
        <w:numPr>
          <w:ilvl w:val="0"/>
          <w:numId w:val="21"/>
        </w:numPr>
        <w:spacing w:lineRule="auto" w:line="259" w:before="0" w:after="160"/>
        <w:contextualSpacing/>
        <w:jc w:val="both"/>
        <w:rPr>
          <w:rFonts w:ascii="Times New Roman" w:hAnsi="Times New Roman"/>
          <w:b/>
          <w:b/>
        </w:rPr>
      </w:pPr>
      <w:r>
        <w:rPr>
          <w:b/>
        </w:rPr>
        <w:t>PREPARATION OF THE HFC PHASE-DOWN ROAD MAP IN MEXICO.</w:t>
      </w:r>
    </w:p>
    <w:p>
      <w:pPr>
        <w:pStyle w:val="NoSpacing"/>
        <w:jc w:val="both"/>
        <w:rPr>
          <w:rFonts w:ascii="Times New Roman" w:hAnsi="Times New Roman" w:cs="Times New Roman"/>
          <w:sz w:val="24"/>
          <w:szCs w:val="24"/>
        </w:rPr>
      </w:pPr>
      <w:r>
        <w:rPr>
          <w:rFonts w:cs="Times New Roman"/>
          <w:sz w:val="24"/>
          <w:szCs w:val="24"/>
        </w:rPr>
        <w:t>The Montreal Protocol has demonstrated that formulation of national plans to control ODSs is the basis to assist A5 Countries to meet their obligations, consequently, it is essential to start with the preparation of a Road Map which should contain the main general supporting activities for the phase-down of HFC including capacity building for handling HFC alternatives.</w:t>
      </w:r>
    </w:p>
    <w:p>
      <w:pPr>
        <w:pStyle w:val="NoSpacing"/>
        <w:jc w:val="both"/>
        <w:rPr>
          <w:rFonts w:ascii="Times New Roman" w:hAnsi="Times New Roman" w:cs="Times New Roman"/>
          <w:sz w:val="24"/>
          <w:szCs w:val="24"/>
        </w:rPr>
      </w:pPr>
      <w:r>
        <w:rPr>
          <w:rFonts w:cs="Times New Roman"/>
          <w:sz w:val="24"/>
          <w:szCs w:val="24"/>
        </w:rPr>
      </w:r>
    </w:p>
    <w:p>
      <w:pPr>
        <w:pStyle w:val="NoSpacing"/>
        <w:jc w:val="both"/>
        <w:rPr>
          <w:rFonts w:ascii="Times New Roman" w:hAnsi="Times New Roman" w:cs="Times New Roman"/>
          <w:sz w:val="24"/>
          <w:szCs w:val="24"/>
        </w:rPr>
      </w:pPr>
      <w:r>
        <w:rPr>
          <w:rFonts w:cs="Times New Roman"/>
          <w:sz w:val="24"/>
          <w:szCs w:val="24"/>
        </w:rPr>
        <w:t>As further detailed below, Mexico suggest the design of a Road Map to HFC phase-down made up in three segments: the first component will assess the impact of the HCFC Phase-Out in the potential consumption of HFC in México, while second component will address the HFC scenario in Mexico taking into account the national survey on ODS alternatives  and the present conditions in terms of availability of technologies and costs, finally the third component will identify the policies and regulations to facilitate the HFCs phase-down and the introduction of low-GWP alternative technologies. These three main components will allow the further design of an implementation strategy of the Kigali amendment in Mexico.</w:t>
      </w:r>
    </w:p>
    <w:p>
      <w:pPr>
        <w:pStyle w:val="NoSpacing"/>
        <w:jc w:val="both"/>
        <w:rPr>
          <w:rFonts w:ascii="Times New Roman" w:hAnsi="Times New Roman" w:cs="Times New Roman"/>
          <w:sz w:val="24"/>
          <w:szCs w:val="24"/>
        </w:rPr>
      </w:pPr>
      <w:r>
        <w:rPr>
          <w:rFonts w:cs="Times New Roman"/>
          <w:sz w:val="24"/>
          <w:szCs w:val="24"/>
        </w:rPr>
      </w:r>
    </w:p>
    <w:p>
      <w:pPr>
        <w:pStyle w:val="Normal"/>
        <w:widowControl/>
        <w:spacing w:lineRule="auto" w:line="276" w:before="0" w:after="200"/>
        <w:rPr>
          <w:rFonts w:ascii="Times New Roman" w:hAnsi="Times New Roman" w:eastAsia="Calibri" w:eastAsiaTheme="minorHAnsi"/>
          <w:b/>
          <w:b/>
          <w:lang w:val="en-GB"/>
        </w:rPr>
      </w:pPr>
      <w:r>
        <w:rPr>
          <w:rFonts w:eastAsia="Calibri" w:eastAsiaTheme="minorHAnsi"/>
          <w:b/>
          <w:lang w:val="en-GB"/>
        </w:rPr>
      </w:r>
      <w:r>
        <w:br w:type="page"/>
      </w:r>
    </w:p>
    <w:p>
      <w:pPr>
        <w:pStyle w:val="NoSpacing"/>
        <w:ind w:left="720" w:hanging="0"/>
        <w:rPr>
          <w:rFonts w:ascii="Times New Roman" w:hAnsi="Times New Roman" w:cs="Times New Roman"/>
          <w:b/>
          <w:b/>
          <w:sz w:val="24"/>
          <w:szCs w:val="24"/>
        </w:rPr>
      </w:pPr>
      <w:r>
        <w:rPr>
          <w:rFonts w:cs="Times New Roman"/>
          <w:b/>
          <w:sz w:val="24"/>
          <w:szCs w:val="24"/>
        </w:rPr>
        <w:t>Component 1. Assessment report on the impact of the Phase out of HCFC in the potential consumption of HFC in Mexico.</w:t>
      </w:r>
    </w:p>
    <w:p>
      <w:pPr>
        <w:pStyle w:val="NoSpacing"/>
        <w:rPr>
          <w:rFonts w:ascii="Times New Roman" w:hAnsi="Times New Roman" w:cs="Times New Roman"/>
          <w:sz w:val="24"/>
          <w:szCs w:val="24"/>
        </w:rPr>
      </w:pPr>
      <w:r>
        <w:rPr>
          <w:rFonts w:cs="Times New Roman"/>
          <w:sz w:val="24"/>
          <w:szCs w:val="24"/>
        </w:rPr>
      </w:r>
    </w:p>
    <w:tbl>
      <w:tblPr>
        <w:tblStyle w:val="TableGrid"/>
        <w:tblW w:w="957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26"/>
        <w:gridCol w:w="3683"/>
        <w:gridCol w:w="800"/>
        <w:gridCol w:w="1600"/>
        <w:gridCol w:w="1267"/>
      </w:tblGrid>
      <w:tr>
        <w:trPr>
          <w:trHeight w:val="315" w:hRule="atLeast"/>
        </w:trPr>
        <w:tc>
          <w:tcPr>
            <w:tcW w:w="2226"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Output</w:t>
            </w:r>
          </w:p>
        </w:tc>
        <w:tc>
          <w:tcPr>
            <w:tcW w:w="3683"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00"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1600"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67"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765" w:hRule="atLeast"/>
        </w:trPr>
        <w:tc>
          <w:tcPr>
            <w:tcW w:w="2226"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ODS Policy, legislative/regulatory and framework conditions and Stakeholders</w:t>
            </w:r>
          </w:p>
        </w:tc>
        <w:tc>
          <w:tcPr>
            <w:tcW w:w="3683" w:type="dxa"/>
            <w:tcBorders/>
            <w:vAlign w:val="center"/>
          </w:tcPr>
          <w:p>
            <w:pPr>
              <w:pStyle w:val="Normal"/>
              <w:widowControl w:val="false"/>
              <w:spacing w:before="0" w:after="0"/>
              <w:jc w:val="both"/>
              <w:rPr>
                <w:rFonts w:ascii="Times New Roman" w:hAnsi="Times New Roman"/>
              </w:rPr>
            </w:pPr>
            <w:r>
              <w:rPr>
                <w:kern w:val="0"/>
                <w:lang w:val="en-US" w:eastAsia="en-US" w:bidi="ar-SA"/>
              </w:rPr>
              <w:t>Update of the information on the regulations regarding to the management and use of ODS. And its impact on the consumption of HFC</w:t>
            </w:r>
          </w:p>
        </w:tc>
        <w:tc>
          <w:tcPr>
            <w:tcW w:w="800" w:type="dxa"/>
            <w:tcBorders/>
            <w:vAlign w:val="center"/>
          </w:tcPr>
          <w:p>
            <w:pPr>
              <w:pStyle w:val="Normal"/>
              <w:widowControl w:val="false"/>
              <w:spacing w:before="0" w:after="0"/>
              <w:jc w:val="left"/>
              <w:rPr>
                <w:rFonts w:ascii="Times New Roman" w:hAnsi="Times New Roman"/>
              </w:rPr>
            </w:pPr>
            <w:r>
              <w:rPr>
                <w:kern w:val="0"/>
                <w:lang w:val="en-US" w:eastAsia="en-US" w:bidi="ar-SA"/>
              </w:rPr>
              <w:t>1</w:t>
            </w:r>
          </w:p>
        </w:tc>
        <w:tc>
          <w:tcPr>
            <w:tcW w:w="1600"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Assessment report on the impact of the Phase out of HCFC in the potential consumption of HFC in México</w:t>
            </w:r>
          </w:p>
        </w:tc>
        <w:tc>
          <w:tcPr>
            <w:tcW w:w="1267" w:type="dxa"/>
            <w:vMerge w:val="restart"/>
            <w:tcBorders/>
            <w:vAlign w:val="center"/>
          </w:tcPr>
          <w:p>
            <w:pPr>
              <w:pStyle w:val="Normal"/>
              <w:widowControl w:val="false"/>
              <w:spacing w:before="0" w:after="0"/>
              <w:jc w:val="right"/>
              <w:rPr>
                <w:rFonts w:ascii="Times New Roman" w:hAnsi="Times New Roman"/>
                <w:b/>
                <w:b/>
              </w:rPr>
            </w:pPr>
            <w:r>
              <w:rPr>
                <w:b/>
                <w:kern w:val="0"/>
                <w:lang w:val="en-US" w:eastAsia="en-US" w:bidi="ar-SA"/>
              </w:rPr>
              <w:t>12,000</w:t>
            </w:r>
          </w:p>
        </w:tc>
      </w:tr>
      <w:tr>
        <w:trPr>
          <w:trHeight w:val="765" w:hRule="atLeast"/>
        </w:trPr>
        <w:tc>
          <w:tcPr>
            <w:tcW w:w="2226"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3683" w:type="dxa"/>
            <w:tcBorders/>
            <w:vAlign w:val="center"/>
          </w:tcPr>
          <w:p>
            <w:pPr>
              <w:pStyle w:val="Normal"/>
              <w:widowControl w:val="false"/>
              <w:spacing w:before="0" w:after="0"/>
              <w:jc w:val="both"/>
              <w:rPr>
                <w:rFonts w:ascii="Times New Roman" w:hAnsi="Times New Roman"/>
              </w:rPr>
            </w:pPr>
            <w:r>
              <w:rPr>
                <w:kern w:val="0"/>
                <w:lang w:val="en-US" w:eastAsia="en-US" w:bidi="ar-SA"/>
              </w:rPr>
              <w:t>Identify the list of associations, academy, other governmental stakeholders involved in  the phase out of HCFC and HFC</w:t>
            </w:r>
          </w:p>
        </w:tc>
        <w:tc>
          <w:tcPr>
            <w:tcW w:w="800" w:type="dxa"/>
            <w:tcBorders/>
            <w:vAlign w:val="center"/>
          </w:tcPr>
          <w:p>
            <w:pPr>
              <w:pStyle w:val="Normal"/>
              <w:widowControl w:val="false"/>
              <w:spacing w:before="0" w:after="0"/>
              <w:jc w:val="left"/>
              <w:rPr>
                <w:rFonts w:ascii="Times New Roman" w:hAnsi="Times New Roman"/>
              </w:rPr>
            </w:pPr>
            <w:r>
              <w:rPr>
                <w:kern w:val="0"/>
                <w:lang w:val="en-US" w:eastAsia="en-US" w:bidi="ar-SA"/>
              </w:rPr>
              <w:t>0.5</w:t>
            </w:r>
          </w:p>
        </w:tc>
        <w:tc>
          <w:tcPr>
            <w:tcW w:w="1600"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67"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525" w:hRule="atLeast"/>
        </w:trPr>
        <w:tc>
          <w:tcPr>
            <w:tcW w:w="2226" w:type="dxa"/>
            <w:tcBorders/>
            <w:vAlign w:val="center"/>
          </w:tcPr>
          <w:p>
            <w:pPr>
              <w:pStyle w:val="Normal"/>
              <w:widowControl w:val="false"/>
              <w:spacing w:before="0" w:after="0"/>
              <w:jc w:val="left"/>
              <w:rPr>
                <w:rFonts w:ascii="Times New Roman" w:hAnsi="Times New Roman"/>
              </w:rPr>
            </w:pPr>
            <w:r>
              <w:rPr>
                <w:kern w:val="0"/>
                <w:lang w:val="en-US" w:eastAsia="en-US" w:bidi="ar-SA"/>
              </w:rPr>
              <w:t>HCFC Phase Out Projects</w:t>
            </w:r>
          </w:p>
        </w:tc>
        <w:tc>
          <w:tcPr>
            <w:tcW w:w="3683" w:type="dxa"/>
            <w:tcBorders/>
            <w:vAlign w:val="center"/>
          </w:tcPr>
          <w:p>
            <w:pPr>
              <w:pStyle w:val="Normal"/>
              <w:widowControl w:val="false"/>
              <w:spacing w:before="0" w:after="0"/>
              <w:jc w:val="both"/>
              <w:rPr>
                <w:rFonts w:ascii="Times New Roman" w:hAnsi="Times New Roman"/>
              </w:rPr>
            </w:pPr>
            <w:r>
              <w:rPr>
                <w:kern w:val="0"/>
                <w:lang w:val="en-US" w:eastAsia="en-US" w:bidi="ar-SA"/>
              </w:rPr>
              <w:t>Assessment of the impact of the HPMP implementation</w:t>
            </w:r>
          </w:p>
        </w:tc>
        <w:tc>
          <w:tcPr>
            <w:tcW w:w="800" w:type="dxa"/>
            <w:tcBorders/>
            <w:vAlign w:val="center"/>
          </w:tcPr>
          <w:p>
            <w:pPr>
              <w:pStyle w:val="Normal"/>
              <w:widowControl w:val="false"/>
              <w:spacing w:before="0" w:after="0"/>
              <w:jc w:val="left"/>
              <w:rPr>
                <w:rFonts w:ascii="Times New Roman" w:hAnsi="Times New Roman"/>
              </w:rPr>
            </w:pPr>
            <w:r>
              <w:rPr>
                <w:kern w:val="0"/>
                <w:lang w:val="en-US" w:eastAsia="en-US" w:bidi="ar-SA"/>
              </w:rPr>
              <w:t>2.5</w:t>
            </w:r>
          </w:p>
        </w:tc>
        <w:tc>
          <w:tcPr>
            <w:tcW w:w="1600"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67"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132" w:hRule="atLeast"/>
        </w:trPr>
        <w:tc>
          <w:tcPr>
            <w:tcW w:w="5909" w:type="dxa"/>
            <w:gridSpan w:val="2"/>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800" w:type="dxa"/>
            <w:tcBorders/>
            <w:vAlign w:val="center"/>
          </w:tcPr>
          <w:p>
            <w:pPr>
              <w:pStyle w:val="Normal"/>
              <w:widowControl w:val="false"/>
              <w:spacing w:before="0" w:after="0"/>
              <w:jc w:val="right"/>
              <w:rPr>
                <w:rFonts w:ascii="Times New Roman" w:hAnsi="Times New Roman"/>
                <w:b/>
                <w:b/>
              </w:rPr>
            </w:pPr>
            <w:r>
              <w:rPr>
                <w:b/>
                <w:kern w:val="0"/>
                <w:lang w:val="en-US" w:eastAsia="en-US" w:bidi="ar-SA"/>
              </w:rPr>
              <w:t>4.0</w:t>
            </w:r>
          </w:p>
        </w:tc>
        <w:tc>
          <w:tcPr>
            <w:tcW w:w="1600"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67"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bl>
    <w:p>
      <w:pPr>
        <w:pStyle w:val="Normal"/>
        <w:rPr>
          <w:rFonts w:ascii="Times New Roman" w:hAnsi="Times New Roman"/>
        </w:rPr>
      </w:pPr>
      <w:r>
        <w:rPr/>
      </w:r>
    </w:p>
    <w:p>
      <w:pPr>
        <w:pStyle w:val="Normal"/>
        <w:ind w:left="720" w:hanging="0"/>
        <w:rPr>
          <w:rFonts w:ascii="Times New Roman" w:hAnsi="Times New Roman"/>
          <w:b/>
          <w:b/>
        </w:rPr>
      </w:pPr>
      <w:r>
        <w:rPr>
          <w:b/>
        </w:rPr>
        <w:t>Component 2. Update and upgrade of the HFC consumption survey.</w:t>
      </w:r>
    </w:p>
    <w:tbl>
      <w:tblPr>
        <w:tblStyle w:val="TableGrid"/>
        <w:tblW w:w="893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94"/>
        <w:gridCol w:w="3404"/>
        <w:gridCol w:w="851"/>
        <w:gridCol w:w="1701"/>
        <w:gridCol w:w="1283"/>
      </w:tblGrid>
      <w:tr>
        <w:trPr>
          <w:trHeight w:val="315" w:hRule="atLeast"/>
        </w:trPr>
        <w:tc>
          <w:tcPr>
            <w:tcW w:w="1694"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Output</w:t>
            </w:r>
          </w:p>
        </w:tc>
        <w:tc>
          <w:tcPr>
            <w:tcW w:w="3404"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1"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1701"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3"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300" w:hRule="atLeast"/>
        </w:trPr>
        <w:tc>
          <w:tcPr>
            <w:tcW w:w="1694" w:type="dxa"/>
            <w:tcBorders/>
            <w:vAlign w:val="center"/>
          </w:tcPr>
          <w:p>
            <w:pPr>
              <w:pStyle w:val="Normal"/>
              <w:widowControl w:val="false"/>
              <w:spacing w:before="0" w:after="0"/>
              <w:jc w:val="left"/>
              <w:rPr>
                <w:rFonts w:ascii="Times New Roman" w:hAnsi="Times New Roman"/>
              </w:rPr>
            </w:pPr>
            <w:r>
              <w:rPr>
                <w:kern w:val="0"/>
                <w:lang w:val="en-US" w:eastAsia="en-US" w:bidi="ar-SA"/>
              </w:rPr>
              <w:t>Methodology and validation</w:t>
            </w:r>
          </w:p>
        </w:tc>
        <w:tc>
          <w:tcPr>
            <w:tcW w:w="3404" w:type="dxa"/>
            <w:tcBorders/>
            <w:vAlign w:val="center"/>
          </w:tcPr>
          <w:p>
            <w:pPr>
              <w:pStyle w:val="Normal"/>
              <w:widowControl w:val="false"/>
              <w:spacing w:before="0" w:after="0"/>
              <w:jc w:val="both"/>
              <w:rPr>
                <w:rFonts w:ascii="Times New Roman" w:hAnsi="Times New Roman"/>
              </w:rPr>
            </w:pPr>
            <w:r>
              <w:rPr>
                <w:kern w:val="0"/>
                <w:lang w:val="en-US" w:eastAsia="en-US" w:bidi="ar-SA"/>
              </w:rPr>
              <w:t>Data Verification</w:t>
            </w:r>
          </w:p>
        </w:tc>
        <w:tc>
          <w:tcPr>
            <w:tcW w:w="851" w:type="dxa"/>
            <w:tcBorders/>
            <w:vAlign w:val="center"/>
          </w:tcPr>
          <w:p>
            <w:pPr>
              <w:pStyle w:val="Normal"/>
              <w:widowControl w:val="false"/>
              <w:spacing w:before="0" w:after="0"/>
              <w:jc w:val="center"/>
              <w:rPr>
                <w:rFonts w:ascii="Times New Roman" w:hAnsi="Times New Roman"/>
              </w:rPr>
            </w:pPr>
            <w:r>
              <w:rPr>
                <w:kern w:val="0"/>
                <w:lang w:val="en-US" w:eastAsia="en-US" w:bidi="ar-SA"/>
              </w:rPr>
              <w:t>3.5</w:t>
            </w:r>
          </w:p>
        </w:tc>
        <w:tc>
          <w:tcPr>
            <w:tcW w:w="1701"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Update and upgrade of the HFC consumption survey</w:t>
            </w:r>
          </w:p>
        </w:tc>
        <w:tc>
          <w:tcPr>
            <w:tcW w:w="1283" w:type="dxa"/>
            <w:vMerge w:val="restart"/>
            <w:tcBorders/>
            <w:vAlign w:val="center"/>
          </w:tcPr>
          <w:p>
            <w:pPr>
              <w:pStyle w:val="Normal"/>
              <w:widowControl w:val="false"/>
              <w:spacing w:before="0" w:after="0"/>
              <w:jc w:val="left"/>
              <w:rPr>
                <w:rFonts w:ascii="Times New Roman" w:hAnsi="Times New Roman"/>
                <w:b/>
                <w:b/>
              </w:rPr>
            </w:pPr>
            <w:r>
              <w:rPr>
                <w:b/>
                <w:kern w:val="0"/>
                <w:lang w:val="en-US" w:eastAsia="en-US" w:bidi="ar-SA"/>
              </w:rPr>
              <w:t>40,000</w:t>
            </w:r>
          </w:p>
        </w:tc>
      </w:tr>
      <w:tr>
        <w:trPr>
          <w:trHeight w:val="300" w:hRule="atLeast"/>
        </w:trPr>
        <w:tc>
          <w:tcPr>
            <w:tcW w:w="1694"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HFC Consumption Data assessment</w:t>
            </w:r>
          </w:p>
        </w:tc>
        <w:tc>
          <w:tcPr>
            <w:tcW w:w="3404" w:type="dxa"/>
            <w:tcBorders/>
            <w:vAlign w:val="center"/>
          </w:tcPr>
          <w:p>
            <w:pPr>
              <w:pStyle w:val="Normal"/>
              <w:widowControl w:val="false"/>
              <w:spacing w:before="0" w:after="0"/>
              <w:jc w:val="both"/>
              <w:rPr>
                <w:rFonts w:ascii="Times New Roman" w:hAnsi="Times New Roman"/>
              </w:rPr>
            </w:pPr>
            <w:r>
              <w:rPr>
                <w:kern w:val="0"/>
                <w:lang w:val="en-US" w:eastAsia="en-US" w:bidi="ar-SA"/>
              </w:rPr>
              <w:t>HFC importers</w:t>
            </w:r>
          </w:p>
        </w:tc>
        <w:tc>
          <w:tcPr>
            <w:tcW w:w="851" w:type="dxa"/>
            <w:tcBorders/>
            <w:vAlign w:val="center"/>
          </w:tcPr>
          <w:p>
            <w:pPr>
              <w:pStyle w:val="Normal"/>
              <w:widowControl w:val="false"/>
              <w:spacing w:before="0" w:after="0"/>
              <w:jc w:val="center"/>
              <w:rPr>
                <w:rFonts w:ascii="Times New Roman" w:hAnsi="Times New Roman"/>
              </w:rPr>
            </w:pPr>
            <w:r>
              <w:rPr>
                <w:kern w:val="0"/>
                <w:lang w:val="en-US" w:eastAsia="en-US" w:bidi="ar-SA"/>
              </w:rPr>
              <w:t>0.5</w:t>
            </w:r>
          </w:p>
        </w:tc>
        <w:tc>
          <w:tcPr>
            <w:tcW w:w="1701"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83"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300" w:hRule="atLeast"/>
        </w:trPr>
        <w:tc>
          <w:tcPr>
            <w:tcW w:w="169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3404" w:type="dxa"/>
            <w:tcBorders/>
            <w:vAlign w:val="center"/>
          </w:tcPr>
          <w:p>
            <w:pPr>
              <w:pStyle w:val="Normal"/>
              <w:widowControl w:val="false"/>
              <w:spacing w:before="0" w:after="0"/>
              <w:jc w:val="both"/>
              <w:rPr>
                <w:rFonts w:ascii="Times New Roman" w:hAnsi="Times New Roman"/>
              </w:rPr>
            </w:pPr>
            <w:r>
              <w:rPr>
                <w:kern w:val="0"/>
                <w:lang w:val="en-US" w:eastAsia="en-US" w:bidi="ar-SA"/>
              </w:rPr>
              <w:t>HFC exporters</w:t>
            </w:r>
          </w:p>
        </w:tc>
        <w:tc>
          <w:tcPr>
            <w:tcW w:w="851" w:type="dxa"/>
            <w:tcBorders/>
            <w:vAlign w:val="center"/>
          </w:tcPr>
          <w:p>
            <w:pPr>
              <w:pStyle w:val="Normal"/>
              <w:widowControl w:val="false"/>
              <w:spacing w:before="0" w:after="0"/>
              <w:jc w:val="center"/>
              <w:rPr>
                <w:rFonts w:ascii="Times New Roman" w:hAnsi="Times New Roman"/>
              </w:rPr>
            </w:pPr>
            <w:r>
              <w:rPr>
                <w:kern w:val="0"/>
                <w:lang w:val="en-US" w:eastAsia="en-US" w:bidi="ar-SA"/>
              </w:rPr>
              <w:t>0.5</w:t>
            </w:r>
          </w:p>
        </w:tc>
        <w:tc>
          <w:tcPr>
            <w:tcW w:w="1701"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83"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510" w:hRule="atLeast"/>
        </w:trPr>
        <w:tc>
          <w:tcPr>
            <w:tcW w:w="169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3404" w:type="dxa"/>
            <w:tcBorders/>
            <w:vAlign w:val="center"/>
          </w:tcPr>
          <w:p>
            <w:pPr>
              <w:pStyle w:val="Normal"/>
              <w:widowControl w:val="false"/>
              <w:spacing w:before="0" w:after="0"/>
              <w:jc w:val="both"/>
              <w:rPr>
                <w:rFonts w:ascii="Times New Roman" w:hAnsi="Times New Roman"/>
              </w:rPr>
            </w:pPr>
            <w:r>
              <w:rPr>
                <w:kern w:val="0"/>
                <w:lang w:val="en-US" w:eastAsia="en-US" w:bidi="ar-SA"/>
              </w:rPr>
              <w:t>HFC Consumption 2016-2018 and projections until 2022</w:t>
            </w:r>
          </w:p>
        </w:tc>
        <w:tc>
          <w:tcPr>
            <w:tcW w:w="851" w:type="dxa"/>
            <w:tcBorders/>
            <w:vAlign w:val="center"/>
          </w:tcPr>
          <w:p>
            <w:pPr>
              <w:pStyle w:val="Normal"/>
              <w:widowControl w:val="false"/>
              <w:spacing w:before="0" w:after="0"/>
              <w:jc w:val="center"/>
              <w:rPr>
                <w:rFonts w:ascii="Times New Roman" w:hAnsi="Times New Roman"/>
              </w:rPr>
            </w:pPr>
            <w:r>
              <w:rPr>
                <w:kern w:val="0"/>
                <w:lang w:val="en-US" w:eastAsia="en-US" w:bidi="ar-SA"/>
              </w:rPr>
              <w:t>1.5</w:t>
            </w:r>
          </w:p>
        </w:tc>
        <w:tc>
          <w:tcPr>
            <w:tcW w:w="1701"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83"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765" w:hRule="atLeast"/>
        </w:trPr>
        <w:tc>
          <w:tcPr>
            <w:tcW w:w="169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3404" w:type="dxa"/>
            <w:tcBorders/>
            <w:vAlign w:val="center"/>
          </w:tcPr>
          <w:p>
            <w:pPr>
              <w:pStyle w:val="Normal"/>
              <w:widowControl w:val="false"/>
              <w:spacing w:before="0" w:after="0"/>
              <w:jc w:val="both"/>
              <w:rPr>
                <w:rFonts w:ascii="Times New Roman" w:hAnsi="Times New Roman"/>
              </w:rPr>
            </w:pPr>
            <w:r>
              <w:rPr>
                <w:kern w:val="0"/>
                <w:lang w:val="en-US" w:eastAsia="en-US" w:bidi="ar-SA"/>
              </w:rPr>
              <w:t>Estimation of the HFC base line and starting point for aggregate reduction in HFC consumption</w:t>
            </w:r>
          </w:p>
        </w:tc>
        <w:tc>
          <w:tcPr>
            <w:tcW w:w="851" w:type="dxa"/>
            <w:tcBorders/>
            <w:vAlign w:val="center"/>
          </w:tcPr>
          <w:p>
            <w:pPr>
              <w:pStyle w:val="Normal"/>
              <w:widowControl w:val="false"/>
              <w:spacing w:before="0" w:after="0"/>
              <w:jc w:val="center"/>
              <w:rPr>
                <w:rFonts w:ascii="Times New Roman" w:hAnsi="Times New Roman"/>
              </w:rPr>
            </w:pPr>
            <w:r>
              <w:rPr>
                <w:kern w:val="0"/>
                <w:lang w:val="en-US" w:eastAsia="en-US" w:bidi="ar-SA"/>
              </w:rPr>
              <w:t>1</w:t>
            </w:r>
          </w:p>
        </w:tc>
        <w:tc>
          <w:tcPr>
            <w:tcW w:w="1701"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83"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1020" w:hRule="atLeast"/>
        </w:trPr>
        <w:tc>
          <w:tcPr>
            <w:tcW w:w="169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3404" w:type="dxa"/>
            <w:tcBorders/>
            <w:vAlign w:val="center"/>
          </w:tcPr>
          <w:p>
            <w:pPr>
              <w:pStyle w:val="Normal"/>
              <w:widowControl w:val="false"/>
              <w:spacing w:before="0" w:after="0"/>
              <w:jc w:val="both"/>
              <w:rPr>
                <w:rFonts w:ascii="Times New Roman" w:hAnsi="Times New Roman"/>
              </w:rPr>
            </w:pPr>
            <w:r>
              <w:rPr>
                <w:kern w:val="0"/>
                <w:lang w:val="en-US" w:eastAsia="en-US" w:bidi="ar-SA"/>
              </w:rPr>
              <w:t>HFC alternatives in terms of availability in the Mexican market and in the international markets.  Technology, safety and operative costs.  Cost/Effectiveness analysis</w:t>
            </w:r>
          </w:p>
        </w:tc>
        <w:tc>
          <w:tcPr>
            <w:tcW w:w="851" w:type="dxa"/>
            <w:tcBorders/>
            <w:vAlign w:val="center"/>
          </w:tcPr>
          <w:p>
            <w:pPr>
              <w:pStyle w:val="Normal"/>
              <w:widowControl w:val="false"/>
              <w:spacing w:before="0" w:after="0"/>
              <w:jc w:val="center"/>
              <w:rPr>
                <w:rFonts w:ascii="Times New Roman" w:hAnsi="Times New Roman"/>
              </w:rPr>
            </w:pPr>
            <w:r>
              <w:rPr>
                <w:kern w:val="0"/>
                <w:lang w:val="en-US" w:eastAsia="en-US" w:bidi="ar-SA"/>
              </w:rPr>
              <w:t>3</w:t>
            </w:r>
          </w:p>
        </w:tc>
        <w:tc>
          <w:tcPr>
            <w:tcW w:w="1701"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83"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694" w:hRule="atLeast"/>
        </w:trPr>
        <w:tc>
          <w:tcPr>
            <w:tcW w:w="169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3404" w:type="dxa"/>
            <w:tcBorders/>
            <w:vAlign w:val="center"/>
          </w:tcPr>
          <w:p>
            <w:pPr>
              <w:pStyle w:val="Normal"/>
              <w:widowControl w:val="false"/>
              <w:spacing w:before="0" w:after="0"/>
              <w:jc w:val="both"/>
              <w:rPr>
                <w:rFonts w:ascii="Times New Roman" w:hAnsi="Times New Roman"/>
              </w:rPr>
            </w:pPr>
            <w:r>
              <w:rPr>
                <w:kern w:val="0"/>
                <w:lang w:val="en-US" w:eastAsia="en-US" w:bidi="ar-SA"/>
              </w:rPr>
              <w:t>Sectorial Distribution: RAC, MAC, Foams, Aerosols, Solvents, fire Suppressors and others</w:t>
            </w:r>
          </w:p>
        </w:tc>
        <w:tc>
          <w:tcPr>
            <w:tcW w:w="851" w:type="dxa"/>
            <w:tcBorders/>
            <w:vAlign w:val="center"/>
          </w:tcPr>
          <w:p>
            <w:pPr>
              <w:pStyle w:val="Normal"/>
              <w:widowControl w:val="false"/>
              <w:spacing w:before="0" w:after="0"/>
              <w:jc w:val="center"/>
              <w:rPr>
                <w:rFonts w:ascii="Times New Roman" w:hAnsi="Times New Roman"/>
              </w:rPr>
            </w:pPr>
            <w:r>
              <w:rPr>
                <w:kern w:val="0"/>
                <w:lang w:val="en-US" w:eastAsia="en-US" w:bidi="ar-SA"/>
              </w:rPr>
              <w:t>2</w:t>
            </w:r>
          </w:p>
        </w:tc>
        <w:tc>
          <w:tcPr>
            <w:tcW w:w="1701"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83"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315" w:hRule="atLeast"/>
        </w:trPr>
        <w:tc>
          <w:tcPr>
            <w:tcW w:w="5098" w:type="dxa"/>
            <w:gridSpan w:val="2"/>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851" w:type="dxa"/>
            <w:tcBorders/>
            <w:vAlign w:val="center"/>
          </w:tcPr>
          <w:p>
            <w:pPr>
              <w:pStyle w:val="Normal"/>
              <w:widowControl w:val="false"/>
              <w:spacing w:before="0" w:after="0"/>
              <w:jc w:val="left"/>
              <w:rPr>
                <w:rFonts w:ascii="Times New Roman" w:hAnsi="Times New Roman"/>
                <w:b/>
                <w:b/>
              </w:rPr>
            </w:pPr>
            <w:r>
              <w:rPr>
                <w:b/>
                <w:kern w:val="0"/>
                <w:lang w:val="en-US" w:eastAsia="en-US" w:bidi="ar-SA"/>
              </w:rPr>
              <w:t>11</w:t>
            </w:r>
          </w:p>
        </w:tc>
        <w:tc>
          <w:tcPr>
            <w:tcW w:w="1701" w:type="dxa"/>
            <w:vMerge w:val="continue"/>
            <w:tcBorders/>
            <w:vAlign w:val="center"/>
          </w:tcPr>
          <w:p>
            <w:pPr>
              <w:pStyle w:val="Normal"/>
              <w:widowControl w:val="false"/>
              <w:spacing w:before="0" w:after="0"/>
              <w:jc w:val="left"/>
              <w:rPr>
                <w:rFonts w:ascii="Times New Roman" w:hAnsi="Times New Roman"/>
                <w:b/>
                <w:b/>
              </w:rPr>
            </w:pPr>
            <w:r>
              <w:rPr>
                <w:b/>
                <w:kern w:val="0"/>
                <w:lang w:val="en-US" w:eastAsia="en-US" w:bidi="ar-SA"/>
              </w:rPr>
            </w:r>
          </w:p>
        </w:tc>
        <w:tc>
          <w:tcPr>
            <w:tcW w:w="1283" w:type="dxa"/>
            <w:vMerge w:val="continue"/>
            <w:tcBorders/>
            <w:vAlign w:val="center"/>
          </w:tcPr>
          <w:p>
            <w:pPr>
              <w:pStyle w:val="Normal"/>
              <w:widowControl w:val="false"/>
              <w:spacing w:before="0" w:after="0"/>
              <w:jc w:val="left"/>
              <w:rPr>
                <w:rFonts w:ascii="Times New Roman" w:hAnsi="Times New Roman"/>
                <w:b/>
                <w:b/>
              </w:rPr>
            </w:pPr>
            <w:r>
              <w:rPr>
                <w:b/>
                <w:kern w:val="0"/>
                <w:lang w:val="en-US" w:eastAsia="en-US" w:bidi="ar-SA"/>
              </w:rPr>
            </w:r>
          </w:p>
        </w:tc>
      </w:tr>
    </w:tbl>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ind w:left="720" w:hanging="0"/>
        <w:rPr>
          <w:rFonts w:ascii="Times New Roman" w:hAnsi="Times New Roman"/>
          <w:b/>
          <w:b/>
        </w:rPr>
      </w:pPr>
      <w:r>
        <w:rPr>
          <w:b/>
        </w:rPr>
        <w:t>Component 3. Policy Support</w:t>
      </w:r>
    </w:p>
    <w:p>
      <w:pPr>
        <w:pStyle w:val="Normal"/>
        <w:ind w:left="1440" w:hanging="0"/>
        <w:rPr>
          <w:rFonts w:ascii="Times New Roman" w:hAnsi="Times New Roman"/>
          <w:b/>
          <w:b/>
        </w:rPr>
      </w:pPr>
      <w:r>
        <w:rPr>
          <w:b/>
        </w:rPr>
        <w:t>Subcomponent 3A- Policies and Regulations</w:t>
      </w:r>
    </w:p>
    <w:p>
      <w:pPr>
        <w:pStyle w:val="Normal"/>
        <w:rPr>
          <w:rFonts w:ascii="Times New Roman" w:hAnsi="Times New Roman"/>
        </w:rPr>
      </w:pPr>
      <w:r>
        <w:rPr/>
      </w:r>
    </w:p>
    <w:tbl>
      <w:tblPr>
        <w:tblStyle w:val="TableGrid"/>
        <w:tblW w:w="893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797"/>
        <w:gridCol w:w="2450"/>
        <w:gridCol w:w="851"/>
        <w:gridCol w:w="2552"/>
        <w:gridCol w:w="1283"/>
      </w:tblGrid>
      <w:tr>
        <w:trPr>
          <w:tblHeader w:val="true"/>
          <w:trHeight w:val="315" w:hRule="atLeast"/>
        </w:trPr>
        <w:tc>
          <w:tcPr>
            <w:tcW w:w="1797"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Output</w:t>
            </w:r>
          </w:p>
        </w:tc>
        <w:tc>
          <w:tcPr>
            <w:tcW w:w="2450"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1"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2552"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3" w:type="dxa"/>
            <w:tcBorders/>
            <w:shd w:color="auto" w:fill="DBE5F1" w:themeFill="accent1" w:themeFillTint="33" w:val="clear"/>
            <w:vAlign w:val="cente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780" w:hRule="atLeast"/>
        </w:trPr>
        <w:tc>
          <w:tcPr>
            <w:tcW w:w="1797"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 xml:space="preserve">Identification of Policies and regulations to facilitate the phase-down of HFCs and the introduction of low-GWP alternative technologies </w:t>
            </w:r>
          </w:p>
        </w:tc>
        <w:tc>
          <w:tcPr>
            <w:tcW w:w="2450" w:type="dxa"/>
            <w:tcBorders/>
            <w:vAlign w:val="center"/>
          </w:tcPr>
          <w:p>
            <w:pPr>
              <w:pStyle w:val="Normal"/>
              <w:widowControl w:val="false"/>
              <w:spacing w:before="0" w:after="0"/>
              <w:jc w:val="left"/>
              <w:rPr>
                <w:rFonts w:ascii="Times New Roman" w:hAnsi="Times New Roman"/>
              </w:rPr>
            </w:pPr>
            <w:r>
              <w:rPr>
                <w:kern w:val="0"/>
                <w:lang w:val="en-US" w:eastAsia="en-US" w:bidi="ar-SA"/>
              </w:rPr>
              <w:t>Potential controls on the import of HFC-based equipment when nationally appropriate</w:t>
            </w:r>
          </w:p>
        </w:tc>
        <w:tc>
          <w:tcPr>
            <w:tcW w:w="851" w:type="dxa"/>
            <w:tcBorders/>
            <w:vAlign w:val="center"/>
          </w:tcPr>
          <w:p>
            <w:pPr>
              <w:pStyle w:val="Normal"/>
              <w:widowControl w:val="false"/>
              <w:spacing w:before="0" w:after="0"/>
              <w:jc w:val="left"/>
              <w:rPr>
                <w:rFonts w:ascii="Times New Roman" w:hAnsi="Times New Roman"/>
              </w:rPr>
            </w:pPr>
            <w:r>
              <w:rPr>
                <w:kern w:val="0"/>
                <w:lang w:val="en-US" w:eastAsia="en-US" w:bidi="ar-SA"/>
              </w:rPr>
              <w:t>3</w:t>
            </w:r>
          </w:p>
        </w:tc>
        <w:tc>
          <w:tcPr>
            <w:tcW w:w="2552" w:type="dxa"/>
            <w:tcBorders/>
            <w:vAlign w:val="center"/>
          </w:tcPr>
          <w:p>
            <w:pPr>
              <w:pStyle w:val="Normal"/>
              <w:widowControl w:val="false"/>
              <w:spacing w:before="0" w:after="0"/>
              <w:jc w:val="left"/>
              <w:rPr>
                <w:rFonts w:ascii="Times New Roman" w:hAnsi="Times New Roman"/>
              </w:rPr>
            </w:pPr>
            <w:r>
              <w:rPr>
                <w:kern w:val="0"/>
                <w:lang w:val="en-US" w:eastAsia="en-US" w:bidi="ar-SA"/>
              </w:rPr>
              <w:t>Feasibility study to determine the options to control the imports of HFC based equipment and avoid its installation in México</w:t>
            </w:r>
          </w:p>
        </w:tc>
        <w:tc>
          <w:tcPr>
            <w:tcW w:w="1283" w:type="dxa"/>
            <w:tcBorders/>
            <w:vAlign w:val="center"/>
          </w:tcPr>
          <w:p>
            <w:pPr>
              <w:pStyle w:val="Normal"/>
              <w:widowControl w:val="false"/>
              <w:spacing w:before="0" w:after="0"/>
              <w:jc w:val="left"/>
              <w:rPr>
                <w:rFonts w:ascii="Times New Roman" w:hAnsi="Times New Roman"/>
              </w:rPr>
            </w:pPr>
            <w:r>
              <w:rPr>
                <w:kern w:val="0"/>
                <w:lang w:val="en-US" w:eastAsia="en-US" w:bidi="ar-SA"/>
              </w:rPr>
              <w:t>7,000</w:t>
            </w:r>
          </w:p>
        </w:tc>
      </w:tr>
      <w:tr>
        <w:trPr>
          <w:trHeight w:val="780" w:hRule="atLeast"/>
        </w:trPr>
        <w:tc>
          <w:tcPr>
            <w:tcW w:w="1797"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50" w:type="dxa"/>
            <w:tcBorders/>
            <w:vAlign w:val="center"/>
          </w:tcPr>
          <w:p>
            <w:pPr>
              <w:pStyle w:val="Normal"/>
              <w:widowControl w:val="false"/>
              <w:spacing w:before="0" w:after="0"/>
              <w:jc w:val="left"/>
              <w:rPr>
                <w:rFonts w:ascii="Times New Roman" w:hAnsi="Times New Roman"/>
              </w:rPr>
            </w:pPr>
            <w:r>
              <w:rPr>
                <w:kern w:val="0"/>
                <w:lang w:val="en-US" w:eastAsia="en-US" w:bidi="ar-SA"/>
              </w:rPr>
              <w:t>Updated Quota and licence system to control HFCs</w:t>
            </w:r>
          </w:p>
        </w:tc>
        <w:tc>
          <w:tcPr>
            <w:tcW w:w="851" w:type="dxa"/>
            <w:tcBorders/>
            <w:vAlign w:val="center"/>
          </w:tcPr>
          <w:p>
            <w:pPr>
              <w:pStyle w:val="Normal"/>
              <w:widowControl w:val="false"/>
              <w:spacing w:before="0" w:after="0"/>
              <w:jc w:val="left"/>
              <w:rPr>
                <w:rFonts w:ascii="Times New Roman" w:hAnsi="Times New Roman"/>
              </w:rPr>
            </w:pPr>
            <w:r>
              <w:rPr>
                <w:kern w:val="0"/>
                <w:lang w:val="en-US" w:eastAsia="en-US" w:bidi="ar-SA"/>
              </w:rPr>
              <w:t>4</w:t>
            </w:r>
          </w:p>
        </w:tc>
        <w:tc>
          <w:tcPr>
            <w:tcW w:w="2552" w:type="dxa"/>
            <w:tcBorders/>
            <w:vAlign w:val="center"/>
          </w:tcPr>
          <w:p>
            <w:pPr>
              <w:pStyle w:val="Normal"/>
              <w:widowControl w:val="false"/>
              <w:spacing w:before="0" w:after="0"/>
              <w:jc w:val="left"/>
              <w:rPr>
                <w:rFonts w:ascii="Times New Roman" w:hAnsi="Times New Roman"/>
              </w:rPr>
            </w:pPr>
            <w:r>
              <w:rPr>
                <w:kern w:val="0"/>
                <w:lang w:val="en-US" w:eastAsia="en-US" w:bidi="ar-SA"/>
              </w:rPr>
              <w:t>Assessment on the requirements to implement the quota and licensing system for the HFC and its blends</w:t>
            </w:r>
          </w:p>
        </w:tc>
        <w:tc>
          <w:tcPr>
            <w:tcW w:w="1283" w:type="dxa"/>
            <w:tcBorders/>
            <w:vAlign w:val="center"/>
          </w:tcPr>
          <w:p>
            <w:pPr>
              <w:pStyle w:val="Normal"/>
              <w:widowControl w:val="false"/>
              <w:spacing w:before="0" w:after="0"/>
              <w:jc w:val="left"/>
              <w:rPr>
                <w:rFonts w:ascii="Times New Roman" w:hAnsi="Times New Roman"/>
              </w:rPr>
            </w:pPr>
            <w:r>
              <w:rPr>
                <w:kern w:val="0"/>
                <w:lang w:val="en-US" w:eastAsia="en-US" w:bidi="ar-SA"/>
              </w:rPr>
              <w:t>8,000</w:t>
            </w:r>
          </w:p>
        </w:tc>
      </w:tr>
      <w:tr>
        <w:trPr>
          <w:trHeight w:val="1020" w:hRule="atLeast"/>
        </w:trPr>
        <w:tc>
          <w:tcPr>
            <w:tcW w:w="1797"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50" w:type="dxa"/>
            <w:tcBorders/>
            <w:vAlign w:val="center"/>
          </w:tcPr>
          <w:p>
            <w:pPr>
              <w:pStyle w:val="Normal"/>
              <w:widowControl w:val="false"/>
              <w:spacing w:before="0" w:after="0"/>
              <w:jc w:val="left"/>
              <w:rPr>
                <w:rFonts w:ascii="Times New Roman" w:hAnsi="Times New Roman"/>
              </w:rPr>
            </w:pPr>
            <w:r>
              <w:rPr>
                <w:kern w:val="0"/>
                <w:lang w:val="en-US" w:eastAsia="en-US" w:bidi="ar-SA"/>
              </w:rPr>
              <w:t>Identification of the regulations and safety standards for handling flammable and toxic alternatives</w:t>
            </w:r>
          </w:p>
        </w:tc>
        <w:tc>
          <w:tcPr>
            <w:tcW w:w="851" w:type="dxa"/>
            <w:tcBorders/>
            <w:vAlign w:val="center"/>
          </w:tcPr>
          <w:p>
            <w:pPr>
              <w:pStyle w:val="Normal"/>
              <w:widowControl w:val="false"/>
              <w:spacing w:before="0" w:after="0"/>
              <w:jc w:val="left"/>
              <w:rPr>
                <w:rFonts w:ascii="Times New Roman" w:hAnsi="Times New Roman"/>
              </w:rPr>
            </w:pPr>
            <w:r>
              <w:rPr>
                <w:kern w:val="0"/>
                <w:lang w:val="en-US" w:eastAsia="en-US" w:bidi="ar-SA"/>
              </w:rPr>
              <w:t>4</w:t>
            </w:r>
          </w:p>
        </w:tc>
        <w:tc>
          <w:tcPr>
            <w:tcW w:w="2552" w:type="dxa"/>
            <w:tcBorders/>
            <w:vAlign w:val="center"/>
          </w:tcPr>
          <w:p>
            <w:pPr>
              <w:pStyle w:val="Normal"/>
              <w:widowControl w:val="false"/>
              <w:spacing w:before="0" w:after="0"/>
              <w:jc w:val="left"/>
              <w:rPr>
                <w:rFonts w:ascii="Times New Roman" w:hAnsi="Times New Roman"/>
              </w:rPr>
            </w:pPr>
            <w:r>
              <w:rPr>
                <w:kern w:val="0"/>
                <w:lang w:val="en-US" w:eastAsia="en-US" w:bidi="ar-SA"/>
              </w:rPr>
              <w:t>Evaluation of the existing safety standards for handling flammable and toxic alternatives and the general regulation modifications needed</w:t>
            </w:r>
          </w:p>
        </w:tc>
        <w:tc>
          <w:tcPr>
            <w:tcW w:w="1283" w:type="dxa"/>
            <w:tcBorders/>
            <w:vAlign w:val="center"/>
          </w:tcPr>
          <w:p>
            <w:pPr>
              <w:pStyle w:val="Normal"/>
              <w:widowControl w:val="false"/>
              <w:spacing w:before="0" w:after="0"/>
              <w:jc w:val="left"/>
              <w:rPr>
                <w:rFonts w:ascii="Times New Roman" w:hAnsi="Times New Roman"/>
              </w:rPr>
            </w:pPr>
            <w:r>
              <w:rPr>
                <w:kern w:val="0"/>
                <w:lang w:val="en-US" w:eastAsia="en-US" w:bidi="ar-SA"/>
              </w:rPr>
              <w:t>12,000</w:t>
            </w:r>
          </w:p>
        </w:tc>
      </w:tr>
      <w:tr>
        <w:trPr>
          <w:trHeight w:val="1290" w:hRule="atLeast"/>
        </w:trPr>
        <w:tc>
          <w:tcPr>
            <w:tcW w:w="1797"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50" w:type="dxa"/>
            <w:tcBorders/>
            <w:vAlign w:val="center"/>
          </w:tcPr>
          <w:p>
            <w:pPr>
              <w:pStyle w:val="Normal"/>
              <w:widowControl w:val="false"/>
              <w:spacing w:before="0" w:after="0"/>
              <w:jc w:val="left"/>
              <w:rPr>
                <w:rFonts w:ascii="Times New Roman" w:hAnsi="Times New Roman"/>
              </w:rPr>
            </w:pPr>
            <w:r>
              <w:rPr>
                <w:kern w:val="0"/>
                <w:lang w:val="en-US" w:eastAsia="en-US" w:bidi="ar-SA"/>
              </w:rPr>
              <w:t>Assessment of the actual standards for the energy efficiency for RAC equipment, and identification of the new standards to adopt of new technologies</w:t>
            </w:r>
          </w:p>
        </w:tc>
        <w:tc>
          <w:tcPr>
            <w:tcW w:w="851" w:type="dxa"/>
            <w:tcBorders/>
            <w:vAlign w:val="center"/>
          </w:tcPr>
          <w:p>
            <w:pPr>
              <w:pStyle w:val="Normal"/>
              <w:widowControl w:val="false"/>
              <w:spacing w:before="0" w:after="0"/>
              <w:jc w:val="left"/>
              <w:rPr>
                <w:rFonts w:ascii="Times New Roman" w:hAnsi="Times New Roman"/>
              </w:rPr>
            </w:pPr>
            <w:r>
              <w:rPr>
                <w:kern w:val="0"/>
                <w:lang w:val="en-US" w:eastAsia="en-US" w:bidi="ar-SA"/>
              </w:rPr>
              <w:t>4</w:t>
            </w:r>
          </w:p>
        </w:tc>
        <w:tc>
          <w:tcPr>
            <w:tcW w:w="2552" w:type="dxa"/>
            <w:tcBorders/>
            <w:vAlign w:val="center"/>
          </w:tcPr>
          <w:p>
            <w:pPr>
              <w:pStyle w:val="Normal"/>
              <w:widowControl w:val="false"/>
              <w:spacing w:before="0" w:after="0"/>
              <w:jc w:val="left"/>
              <w:rPr>
                <w:rFonts w:ascii="Times New Roman" w:hAnsi="Times New Roman"/>
              </w:rPr>
            </w:pPr>
            <w:r>
              <w:rPr>
                <w:kern w:val="0"/>
                <w:lang w:val="en-US" w:eastAsia="en-US" w:bidi="ar-SA"/>
              </w:rPr>
              <w:t>Comparative assessment of the actual energy efficiency standards and the requirements for the adoption of the new technologies, including the possible new developments in equipment design for its efficiency</w:t>
            </w:r>
          </w:p>
        </w:tc>
        <w:tc>
          <w:tcPr>
            <w:tcW w:w="1283" w:type="dxa"/>
            <w:tcBorders/>
            <w:vAlign w:val="center"/>
          </w:tcPr>
          <w:p>
            <w:pPr>
              <w:pStyle w:val="Normal"/>
              <w:widowControl w:val="false"/>
              <w:spacing w:before="0" w:after="0"/>
              <w:jc w:val="left"/>
              <w:rPr>
                <w:rFonts w:ascii="Times New Roman" w:hAnsi="Times New Roman"/>
              </w:rPr>
            </w:pPr>
            <w:r>
              <w:rPr>
                <w:kern w:val="0"/>
                <w:lang w:val="en-US" w:eastAsia="en-US" w:bidi="ar-SA"/>
              </w:rPr>
              <w:t>8,000</w:t>
            </w:r>
          </w:p>
        </w:tc>
      </w:tr>
      <w:tr>
        <w:trPr>
          <w:trHeight w:val="1035" w:hRule="atLeast"/>
        </w:trPr>
        <w:tc>
          <w:tcPr>
            <w:tcW w:w="1797"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50" w:type="dxa"/>
            <w:tcBorders/>
            <w:vAlign w:val="center"/>
          </w:tcPr>
          <w:p>
            <w:pPr>
              <w:pStyle w:val="Normal"/>
              <w:widowControl w:val="false"/>
              <w:spacing w:before="0" w:after="0"/>
              <w:jc w:val="left"/>
              <w:rPr>
                <w:rFonts w:ascii="Times New Roman" w:hAnsi="Times New Roman"/>
              </w:rPr>
            </w:pPr>
            <w:r>
              <w:rPr>
                <w:kern w:val="0"/>
                <w:lang w:val="en-US" w:eastAsia="en-US" w:bidi="ar-SA"/>
              </w:rPr>
              <w:t>Identification of required regulations or its possible adaptation for disposal of old appliances, management of recovered refrigerants and the destruction of HFCs in its case</w:t>
            </w:r>
          </w:p>
        </w:tc>
        <w:tc>
          <w:tcPr>
            <w:tcW w:w="851" w:type="dxa"/>
            <w:tcBorders/>
            <w:vAlign w:val="center"/>
          </w:tcPr>
          <w:p>
            <w:pPr>
              <w:pStyle w:val="Normal"/>
              <w:widowControl w:val="false"/>
              <w:spacing w:before="0" w:after="0"/>
              <w:jc w:val="left"/>
              <w:rPr>
                <w:rFonts w:ascii="Times New Roman" w:hAnsi="Times New Roman"/>
              </w:rPr>
            </w:pPr>
            <w:r>
              <w:rPr>
                <w:kern w:val="0"/>
                <w:lang w:val="en-US" w:eastAsia="en-US" w:bidi="ar-SA"/>
              </w:rPr>
              <w:t>5</w:t>
            </w:r>
          </w:p>
        </w:tc>
        <w:tc>
          <w:tcPr>
            <w:tcW w:w="2552" w:type="dxa"/>
            <w:tcBorders/>
            <w:vAlign w:val="center"/>
          </w:tcPr>
          <w:p>
            <w:pPr>
              <w:pStyle w:val="Normal"/>
              <w:widowControl w:val="false"/>
              <w:spacing w:before="0" w:after="0"/>
              <w:jc w:val="left"/>
              <w:rPr>
                <w:rFonts w:ascii="Times New Roman" w:hAnsi="Times New Roman"/>
              </w:rPr>
            </w:pPr>
            <w:r>
              <w:rPr>
                <w:kern w:val="0"/>
                <w:lang w:val="en-US" w:eastAsia="en-US" w:bidi="ar-SA"/>
              </w:rPr>
              <w:t>Development of the guidelines for the management of old RAC appliances and recovered refrigerants including its possible destruction</w:t>
            </w:r>
          </w:p>
        </w:tc>
        <w:tc>
          <w:tcPr>
            <w:tcW w:w="1283" w:type="dxa"/>
            <w:tcBorders/>
            <w:vAlign w:val="center"/>
          </w:tcPr>
          <w:p>
            <w:pPr>
              <w:pStyle w:val="Normal"/>
              <w:widowControl w:val="false"/>
              <w:spacing w:before="0" w:after="0"/>
              <w:jc w:val="left"/>
              <w:rPr>
                <w:rFonts w:ascii="Times New Roman" w:hAnsi="Times New Roman"/>
              </w:rPr>
            </w:pPr>
            <w:r>
              <w:rPr>
                <w:kern w:val="0"/>
                <w:lang w:val="en-US" w:eastAsia="en-US" w:bidi="ar-SA"/>
              </w:rPr>
              <w:t>8,000</w:t>
            </w:r>
          </w:p>
        </w:tc>
      </w:tr>
      <w:tr>
        <w:trPr>
          <w:trHeight w:val="1050" w:hRule="atLeast"/>
        </w:trPr>
        <w:tc>
          <w:tcPr>
            <w:tcW w:w="1797"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50" w:type="dxa"/>
            <w:tcBorders/>
            <w:vAlign w:val="center"/>
          </w:tcPr>
          <w:p>
            <w:pPr>
              <w:pStyle w:val="Normal"/>
              <w:widowControl w:val="false"/>
              <w:spacing w:before="0" w:after="0"/>
              <w:jc w:val="left"/>
              <w:rPr>
                <w:rFonts w:ascii="Times New Roman" w:hAnsi="Times New Roman"/>
              </w:rPr>
            </w:pPr>
            <w:r>
              <w:rPr>
                <w:kern w:val="0"/>
                <w:lang w:val="en-US" w:eastAsia="en-US" w:bidi="ar-SA"/>
              </w:rPr>
              <w:t>Diagnosis of the conditions for the emission control obligations of HFC-23, considering the different funding sources.</w:t>
            </w:r>
          </w:p>
        </w:tc>
        <w:tc>
          <w:tcPr>
            <w:tcW w:w="851" w:type="dxa"/>
            <w:tcBorders/>
            <w:vAlign w:val="center"/>
          </w:tcPr>
          <w:p>
            <w:pPr>
              <w:pStyle w:val="Normal"/>
              <w:widowControl w:val="false"/>
              <w:spacing w:before="0" w:after="0"/>
              <w:jc w:val="left"/>
              <w:rPr>
                <w:rFonts w:ascii="Times New Roman" w:hAnsi="Times New Roman"/>
              </w:rPr>
            </w:pPr>
            <w:r>
              <w:rPr>
                <w:kern w:val="0"/>
                <w:lang w:val="en-US" w:eastAsia="en-US" w:bidi="ar-SA"/>
              </w:rPr>
              <w:t>4</w:t>
            </w:r>
          </w:p>
        </w:tc>
        <w:tc>
          <w:tcPr>
            <w:tcW w:w="2552" w:type="dxa"/>
            <w:tcBorders/>
            <w:vAlign w:val="center"/>
          </w:tcPr>
          <w:p>
            <w:pPr>
              <w:pStyle w:val="Normal"/>
              <w:widowControl w:val="false"/>
              <w:spacing w:before="0" w:after="0"/>
              <w:jc w:val="left"/>
              <w:rPr>
                <w:rFonts w:ascii="Times New Roman" w:hAnsi="Times New Roman"/>
              </w:rPr>
            </w:pPr>
            <w:r>
              <w:rPr>
                <w:kern w:val="0"/>
                <w:lang w:val="en-US" w:eastAsia="en-US" w:bidi="ar-SA"/>
              </w:rPr>
              <w:t>Identification of the requirements to control the emissions of HFC-23, and consideration of technical assistance for process optimization and leakage control</w:t>
            </w:r>
          </w:p>
        </w:tc>
        <w:tc>
          <w:tcPr>
            <w:tcW w:w="1283" w:type="dxa"/>
            <w:tcBorders/>
            <w:vAlign w:val="center"/>
          </w:tcPr>
          <w:p>
            <w:pPr>
              <w:pStyle w:val="Normal"/>
              <w:widowControl w:val="false"/>
              <w:spacing w:before="0" w:after="0"/>
              <w:jc w:val="left"/>
              <w:rPr>
                <w:rFonts w:ascii="Times New Roman" w:hAnsi="Times New Roman"/>
              </w:rPr>
            </w:pPr>
            <w:r>
              <w:rPr>
                <w:kern w:val="0"/>
                <w:lang w:val="en-US" w:eastAsia="en-US" w:bidi="ar-SA"/>
              </w:rPr>
              <w:t>8,000</w:t>
            </w:r>
          </w:p>
        </w:tc>
      </w:tr>
      <w:tr>
        <w:trPr>
          <w:trHeight w:val="332" w:hRule="atLeast"/>
        </w:trPr>
        <w:tc>
          <w:tcPr>
            <w:tcW w:w="4247" w:type="dxa"/>
            <w:gridSpan w:val="2"/>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851" w:type="dxa"/>
            <w:tcBorders/>
            <w:vAlign w:val="center"/>
          </w:tcPr>
          <w:p>
            <w:pPr>
              <w:pStyle w:val="Normal"/>
              <w:widowControl w:val="false"/>
              <w:spacing w:before="0" w:after="0"/>
              <w:jc w:val="center"/>
              <w:rPr>
                <w:rFonts w:ascii="Times New Roman" w:hAnsi="Times New Roman"/>
                <w:b/>
                <w:b/>
              </w:rPr>
            </w:pPr>
            <w:r>
              <w:rPr>
                <w:rStyle w:val="FootnoteAnchor"/>
                <w:b/>
                <w:kern w:val="0"/>
                <w:lang w:val="en-US" w:eastAsia="en-US" w:bidi="ar-SA"/>
              </w:rPr>
              <w:footnoteReference w:id="12"/>
            </w:r>
            <w:r>
              <w:rPr>
                <w:b/>
                <w:kern w:val="0"/>
                <w:lang w:val="en-US" w:eastAsia="en-US" w:bidi="ar-SA"/>
              </w:rPr>
              <w:t>24</w:t>
            </w:r>
          </w:p>
        </w:tc>
        <w:tc>
          <w:tcPr>
            <w:tcW w:w="2552" w:type="dxa"/>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1283" w:type="dxa"/>
            <w:tcBorders/>
            <w:vAlign w:val="center"/>
          </w:tcPr>
          <w:p>
            <w:pPr>
              <w:pStyle w:val="Normal"/>
              <w:widowControl w:val="false"/>
              <w:spacing w:before="0" w:after="0"/>
              <w:jc w:val="left"/>
              <w:rPr>
                <w:rFonts w:ascii="Times New Roman" w:hAnsi="Times New Roman"/>
                <w:b/>
                <w:b/>
              </w:rPr>
            </w:pPr>
            <w:r>
              <w:rPr>
                <w:b/>
                <w:kern w:val="0"/>
                <w:lang w:val="en-US" w:eastAsia="en-US" w:bidi="ar-SA"/>
              </w:rPr>
              <w:t>51,000</w:t>
            </w:r>
          </w:p>
        </w:tc>
      </w:tr>
    </w:tbl>
    <w:p>
      <w:pPr>
        <w:pStyle w:val="Normal"/>
        <w:rPr>
          <w:rFonts w:ascii="Times New Roman" w:hAnsi="Times New Roman"/>
        </w:rPr>
      </w:pPr>
      <w:r>
        <w:rPr/>
      </w:r>
    </w:p>
    <w:p>
      <w:pPr>
        <w:pStyle w:val="Normal"/>
        <w:ind w:left="1440" w:hanging="0"/>
        <w:rPr>
          <w:rFonts w:ascii="Times New Roman" w:hAnsi="Times New Roman"/>
          <w:b/>
          <w:b/>
        </w:rPr>
      </w:pPr>
      <w:r>
        <w:rPr>
          <w:b/>
        </w:rPr>
      </w:r>
    </w:p>
    <w:p>
      <w:pPr>
        <w:pStyle w:val="Normal"/>
        <w:ind w:left="1440" w:hanging="0"/>
        <w:rPr>
          <w:rFonts w:ascii="Times New Roman" w:hAnsi="Times New Roman"/>
          <w:b/>
          <w:b/>
        </w:rPr>
      </w:pPr>
      <w:r>
        <w:rPr>
          <w:b/>
        </w:rPr>
      </w:r>
    </w:p>
    <w:p>
      <w:pPr>
        <w:pStyle w:val="Normal"/>
        <w:widowControl/>
        <w:spacing w:lineRule="auto" w:line="276" w:before="0" w:after="200"/>
        <w:rPr>
          <w:rFonts w:ascii="Times New Roman" w:hAnsi="Times New Roman"/>
          <w:b/>
          <w:b/>
        </w:rPr>
      </w:pPr>
      <w:r>
        <w:rPr>
          <w:b/>
        </w:rPr>
      </w:r>
      <w:r>
        <w:br w:type="page"/>
      </w:r>
    </w:p>
    <w:p>
      <w:pPr>
        <w:pStyle w:val="Normal"/>
        <w:ind w:left="1440" w:hanging="0"/>
        <w:rPr>
          <w:rFonts w:ascii="Times New Roman" w:hAnsi="Times New Roman"/>
          <w:b/>
          <w:b/>
        </w:rPr>
      </w:pPr>
      <w:r>
        <w:rPr>
          <w:b/>
        </w:rPr>
        <w:t>Subcomponent 3B – Kigali Amendment Road Map</w:t>
      </w:r>
    </w:p>
    <w:p>
      <w:pPr>
        <w:pStyle w:val="Normal"/>
        <w:rPr>
          <w:rFonts w:ascii="Times New Roman" w:hAnsi="Times New Roman"/>
        </w:rPr>
      </w:pPr>
      <w:r>
        <w:rPr/>
      </w:r>
    </w:p>
    <w:tbl>
      <w:tblPr>
        <w:tblStyle w:val="TableGrid"/>
        <w:tblW w:w="907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796"/>
        <w:gridCol w:w="2452"/>
        <w:gridCol w:w="850"/>
        <w:gridCol w:w="2693"/>
        <w:gridCol w:w="1284"/>
      </w:tblGrid>
      <w:tr>
        <w:trPr>
          <w:trHeight w:val="315" w:hRule="atLeast"/>
        </w:trPr>
        <w:tc>
          <w:tcPr>
            <w:tcW w:w="1796"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Output</w:t>
            </w:r>
          </w:p>
        </w:tc>
        <w:tc>
          <w:tcPr>
            <w:tcW w:w="2452"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2693"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4"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2295" w:hRule="atLeast"/>
        </w:trPr>
        <w:tc>
          <w:tcPr>
            <w:tcW w:w="1796"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Design of the Road map for the implementation of the Kigali Amendment in México.</w:t>
            </w:r>
          </w:p>
        </w:tc>
        <w:tc>
          <w:tcPr>
            <w:tcW w:w="2452" w:type="dxa"/>
            <w:tcBorders/>
            <w:vAlign w:val="center"/>
          </w:tcPr>
          <w:p>
            <w:pPr>
              <w:pStyle w:val="Normal"/>
              <w:widowControl w:val="false"/>
              <w:spacing w:before="0" w:after="0"/>
              <w:jc w:val="left"/>
              <w:rPr>
                <w:rFonts w:ascii="Times New Roman" w:hAnsi="Times New Roman"/>
              </w:rPr>
            </w:pPr>
            <w:r>
              <w:rPr>
                <w:kern w:val="0"/>
                <w:lang w:val="en-US" w:eastAsia="en-US" w:bidi="ar-SA"/>
              </w:rPr>
              <w:t>Policy and regulatory measures, and overarching activities to phase-down HFCs</w:t>
            </w:r>
          </w:p>
        </w:tc>
        <w:tc>
          <w:tcPr>
            <w:tcW w:w="850" w:type="dxa"/>
            <w:tcBorders/>
            <w:vAlign w:val="center"/>
          </w:tcPr>
          <w:p>
            <w:pPr>
              <w:pStyle w:val="Normal"/>
              <w:widowControl w:val="false"/>
              <w:spacing w:before="0" w:after="0"/>
              <w:jc w:val="center"/>
              <w:rPr>
                <w:rFonts w:ascii="Times New Roman" w:hAnsi="Times New Roman"/>
              </w:rPr>
            </w:pPr>
            <w:r>
              <w:rPr>
                <w:kern w:val="0"/>
                <w:lang w:val="en-US" w:eastAsia="en-US" w:bidi="ar-SA"/>
              </w:rPr>
              <w:t>3</w:t>
            </w:r>
          </w:p>
        </w:tc>
        <w:tc>
          <w:tcPr>
            <w:tcW w:w="2693" w:type="dxa"/>
            <w:tcBorders/>
            <w:vAlign w:val="center"/>
          </w:tcPr>
          <w:p>
            <w:pPr>
              <w:pStyle w:val="Normal"/>
              <w:widowControl w:val="false"/>
              <w:spacing w:before="0" w:after="0"/>
              <w:jc w:val="left"/>
              <w:rPr>
                <w:rFonts w:ascii="Times New Roman" w:hAnsi="Times New Roman"/>
              </w:rPr>
            </w:pPr>
            <w:r>
              <w:rPr>
                <w:kern w:val="0"/>
                <w:lang w:val="en-US" w:eastAsia="en-US" w:bidi="ar-SA"/>
              </w:rPr>
              <w:t>Assessment report on the requirements of policies and overarching activities, considering: Linkage with the Stage III of the HPMP, Design of the quota and licensing system</w:t>
              <w:br/>
              <w:t>Safety and Energy Efficiency standards, Customs controls and</w:t>
              <w:br/>
              <w:t>Public awareness</w:t>
            </w:r>
          </w:p>
        </w:tc>
        <w:tc>
          <w:tcPr>
            <w:tcW w:w="1284"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15,000</w:t>
            </w:r>
          </w:p>
        </w:tc>
      </w:tr>
      <w:tr>
        <w:trPr>
          <w:trHeight w:val="510" w:hRule="atLeast"/>
        </w:trPr>
        <w:tc>
          <w:tcPr>
            <w:tcW w:w="1796"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52" w:type="dxa"/>
            <w:tcBorders/>
            <w:vAlign w:val="center"/>
          </w:tcPr>
          <w:p>
            <w:pPr>
              <w:pStyle w:val="Normal"/>
              <w:widowControl w:val="false"/>
              <w:spacing w:before="0" w:after="0"/>
              <w:jc w:val="left"/>
              <w:rPr>
                <w:rFonts w:ascii="Times New Roman" w:hAnsi="Times New Roman"/>
              </w:rPr>
            </w:pPr>
            <w:r>
              <w:rPr>
                <w:kern w:val="0"/>
                <w:lang w:val="en-US" w:eastAsia="en-US" w:bidi="ar-SA"/>
              </w:rPr>
              <w:t xml:space="preserve">HFC-23 Monitoring Emissions </w:t>
            </w:r>
          </w:p>
        </w:tc>
        <w:tc>
          <w:tcPr>
            <w:tcW w:w="850" w:type="dxa"/>
            <w:tcBorders/>
            <w:vAlign w:val="center"/>
          </w:tcPr>
          <w:p>
            <w:pPr>
              <w:pStyle w:val="Normal"/>
              <w:widowControl w:val="false"/>
              <w:spacing w:before="0" w:after="0"/>
              <w:jc w:val="center"/>
              <w:rPr>
                <w:rFonts w:ascii="Times New Roman" w:hAnsi="Times New Roman"/>
              </w:rPr>
            </w:pPr>
            <w:r>
              <w:rPr>
                <w:kern w:val="0"/>
                <w:lang w:val="en-US" w:eastAsia="en-US" w:bidi="ar-SA"/>
              </w:rPr>
              <w:t>1</w:t>
            </w:r>
          </w:p>
        </w:tc>
        <w:tc>
          <w:tcPr>
            <w:tcW w:w="2693" w:type="dxa"/>
            <w:tcBorders/>
            <w:vAlign w:val="center"/>
          </w:tcPr>
          <w:p>
            <w:pPr>
              <w:pStyle w:val="Normal"/>
              <w:widowControl w:val="false"/>
              <w:spacing w:before="0" w:after="0"/>
              <w:jc w:val="left"/>
              <w:rPr>
                <w:rFonts w:ascii="Times New Roman" w:hAnsi="Times New Roman"/>
              </w:rPr>
            </w:pPr>
            <w:r>
              <w:rPr>
                <w:kern w:val="0"/>
                <w:lang w:val="en-US" w:eastAsia="en-US" w:bidi="ar-SA"/>
              </w:rPr>
              <w:t>Design of an emission monitoring, report and verification model</w:t>
            </w:r>
          </w:p>
        </w:tc>
        <w:tc>
          <w:tcPr>
            <w:tcW w:w="128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300" w:hRule="atLeast"/>
        </w:trPr>
        <w:tc>
          <w:tcPr>
            <w:tcW w:w="1796"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52"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Identification of the possible Investment and non-investment projects</w:t>
            </w:r>
          </w:p>
        </w:tc>
        <w:tc>
          <w:tcPr>
            <w:tcW w:w="850" w:type="dxa"/>
            <w:vMerge w:val="restart"/>
            <w:tcBorders/>
            <w:vAlign w:val="center"/>
          </w:tcPr>
          <w:p>
            <w:pPr>
              <w:pStyle w:val="Normal"/>
              <w:widowControl w:val="false"/>
              <w:spacing w:before="0" w:after="0"/>
              <w:jc w:val="center"/>
              <w:rPr>
                <w:rFonts w:ascii="Times New Roman" w:hAnsi="Times New Roman"/>
              </w:rPr>
            </w:pPr>
            <w:r>
              <w:rPr>
                <w:kern w:val="0"/>
                <w:lang w:val="en-US" w:eastAsia="en-US" w:bidi="ar-SA"/>
              </w:rPr>
              <w:t>3</w:t>
            </w:r>
          </w:p>
        </w:tc>
        <w:tc>
          <w:tcPr>
            <w:tcW w:w="2693"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Assessment on the upgraded survey to determine the possible initial projects and its priority</w:t>
            </w:r>
          </w:p>
        </w:tc>
        <w:tc>
          <w:tcPr>
            <w:tcW w:w="128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300" w:hRule="atLeast"/>
        </w:trPr>
        <w:tc>
          <w:tcPr>
            <w:tcW w:w="1796"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52"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850" w:type="dxa"/>
            <w:vMerge w:val="continue"/>
            <w:tcBorders/>
            <w:vAlign w:val="center"/>
          </w:tcPr>
          <w:p>
            <w:pPr>
              <w:pStyle w:val="Normal"/>
              <w:widowControl w:val="false"/>
              <w:spacing w:before="0" w:after="0"/>
              <w:jc w:val="center"/>
              <w:rPr>
                <w:rFonts w:ascii="Times New Roman" w:hAnsi="Times New Roman"/>
              </w:rPr>
            </w:pPr>
            <w:r>
              <w:rPr>
                <w:kern w:val="0"/>
                <w:lang w:val="en-US" w:eastAsia="en-US" w:bidi="ar-SA"/>
              </w:rPr>
            </w:r>
          </w:p>
        </w:tc>
        <w:tc>
          <w:tcPr>
            <w:tcW w:w="2693"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128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780" w:hRule="atLeast"/>
        </w:trPr>
        <w:tc>
          <w:tcPr>
            <w:tcW w:w="1796"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52" w:type="dxa"/>
            <w:tcBorders/>
            <w:vAlign w:val="center"/>
          </w:tcPr>
          <w:p>
            <w:pPr>
              <w:pStyle w:val="Normal"/>
              <w:widowControl w:val="false"/>
              <w:spacing w:before="0" w:after="0"/>
              <w:jc w:val="left"/>
              <w:rPr>
                <w:rFonts w:ascii="Times New Roman" w:hAnsi="Times New Roman"/>
              </w:rPr>
            </w:pPr>
            <w:r>
              <w:rPr>
                <w:kern w:val="0"/>
                <w:lang w:val="en-US" w:eastAsia="en-US" w:bidi="ar-SA"/>
              </w:rPr>
              <w:t>Climate Impact</w:t>
            </w:r>
          </w:p>
        </w:tc>
        <w:tc>
          <w:tcPr>
            <w:tcW w:w="850" w:type="dxa"/>
            <w:tcBorders/>
            <w:vAlign w:val="center"/>
          </w:tcPr>
          <w:p>
            <w:pPr>
              <w:pStyle w:val="Normal"/>
              <w:widowControl w:val="false"/>
              <w:spacing w:before="0" w:after="0"/>
              <w:jc w:val="center"/>
              <w:rPr>
                <w:rFonts w:ascii="Times New Roman" w:hAnsi="Times New Roman"/>
              </w:rPr>
            </w:pPr>
            <w:r>
              <w:rPr>
                <w:kern w:val="0"/>
                <w:lang w:val="en-US" w:eastAsia="en-US" w:bidi="ar-SA"/>
              </w:rPr>
              <w:t>1</w:t>
            </w:r>
          </w:p>
        </w:tc>
        <w:tc>
          <w:tcPr>
            <w:tcW w:w="2693" w:type="dxa"/>
            <w:tcBorders/>
            <w:vAlign w:val="center"/>
          </w:tcPr>
          <w:p>
            <w:pPr>
              <w:pStyle w:val="Normal"/>
              <w:widowControl w:val="false"/>
              <w:spacing w:before="0" w:after="0"/>
              <w:jc w:val="left"/>
              <w:rPr>
                <w:rFonts w:ascii="Times New Roman" w:hAnsi="Times New Roman"/>
              </w:rPr>
            </w:pPr>
            <w:r>
              <w:rPr>
                <w:kern w:val="0"/>
                <w:lang w:val="en-US" w:eastAsia="en-US" w:bidi="ar-SA"/>
              </w:rPr>
              <w:t>Assessment on the climate impact of the strategy and the harmonization with the National policies on Climate Change</w:t>
            </w:r>
          </w:p>
        </w:tc>
        <w:tc>
          <w:tcPr>
            <w:tcW w:w="128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r>
      <w:tr>
        <w:trPr>
          <w:trHeight w:val="390" w:hRule="atLeast"/>
        </w:trPr>
        <w:tc>
          <w:tcPr>
            <w:tcW w:w="4248" w:type="dxa"/>
            <w:gridSpan w:val="2"/>
            <w:tcBorders/>
            <w:vAlign w:val="center"/>
          </w:tcPr>
          <w:p>
            <w:pPr>
              <w:pStyle w:val="Normal"/>
              <w:widowControl w:val="false"/>
              <w:spacing w:before="0" w:after="0"/>
              <w:jc w:val="center"/>
              <w:rPr>
                <w:rFonts w:ascii="Times New Roman" w:hAnsi="Times New Roman"/>
                <w:b/>
                <w:b/>
              </w:rPr>
            </w:pPr>
            <w:r>
              <w:rPr>
                <w:b/>
                <w:kern w:val="0"/>
                <w:lang w:val="en-US" w:eastAsia="en-US" w:bidi="ar-SA"/>
              </w:rPr>
              <w:t>Total</w:t>
            </w:r>
          </w:p>
        </w:tc>
        <w:tc>
          <w:tcPr>
            <w:tcW w:w="850"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8</w:t>
            </w:r>
          </w:p>
        </w:tc>
        <w:tc>
          <w:tcPr>
            <w:tcW w:w="2693" w:type="dxa"/>
            <w:tcBorders/>
            <w:vAlign w:val="center"/>
          </w:tcPr>
          <w:p>
            <w:pPr>
              <w:pStyle w:val="Normal"/>
              <w:widowControl w:val="false"/>
              <w:spacing w:before="0" w:after="0"/>
              <w:jc w:val="center"/>
              <w:rPr>
                <w:rFonts w:ascii="Times New Roman" w:hAnsi="Times New Roman"/>
                <w:b/>
                <w:b/>
              </w:rPr>
            </w:pPr>
            <w:r>
              <w:rPr>
                <w:b/>
                <w:kern w:val="0"/>
                <w:lang w:val="en-US" w:eastAsia="en-US" w:bidi="ar-SA"/>
              </w:rPr>
            </w:r>
          </w:p>
        </w:tc>
        <w:tc>
          <w:tcPr>
            <w:tcW w:w="1284"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15,000</w:t>
            </w:r>
          </w:p>
        </w:tc>
      </w:tr>
    </w:tbl>
    <w:p>
      <w:pPr>
        <w:pStyle w:val="Normal"/>
        <w:rPr>
          <w:rFonts w:ascii="Times New Roman" w:hAnsi="Times New Roman"/>
        </w:rPr>
      </w:pPr>
      <w:r>
        <w:rPr/>
      </w:r>
    </w:p>
    <w:p>
      <w:pPr>
        <w:pStyle w:val="ListParagraph"/>
        <w:widowControl/>
        <w:numPr>
          <w:ilvl w:val="0"/>
          <w:numId w:val="21"/>
        </w:numPr>
        <w:spacing w:lineRule="auto" w:line="259" w:before="0" w:after="160"/>
        <w:contextualSpacing/>
        <w:rPr>
          <w:rFonts w:ascii="Times New Roman" w:hAnsi="Times New Roman"/>
          <w:b/>
          <w:b/>
        </w:rPr>
      </w:pPr>
      <w:r>
        <w:rPr>
          <w:b/>
        </w:rPr>
        <w:t>PRELIMINARY ACTIVITIES.</w:t>
      </w:r>
    </w:p>
    <w:p>
      <w:pPr>
        <w:pStyle w:val="Normal"/>
        <w:ind w:left="1440" w:hanging="0"/>
        <w:rPr>
          <w:rFonts w:ascii="Times New Roman" w:hAnsi="Times New Roman"/>
          <w:b/>
          <w:b/>
        </w:rPr>
      </w:pPr>
      <w:r>
        <w:rPr>
          <w:b/>
        </w:rPr>
        <w:t>Capacity Building</w:t>
      </w:r>
    </w:p>
    <w:p>
      <w:pPr>
        <w:pStyle w:val="Normal"/>
        <w:jc w:val="both"/>
        <w:rPr>
          <w:rFonts w:ascii="Times New Roman" w:hAnsi="Times New Roman"/>
        </w:rPr>
      </w:pPr>
      <w:r>
        <w:rPr/>
        <w:t>With the implementation of the Kigali Amendment it would be essential to initiate with several preliminary capacity building activities paving the way to the HFC phase-down. A number of actions have been identified by Mexico including enforcement of the national ozone unit in energy efficiency issues, the identification of energy saving opportunities in RAC sectors as well as training programs for trainers addressing the handling of the flammable and toxic refrigerants.</w:t>
      </w:r>
    </w:p>
    <w:tbl>
      <w:tblPr>
        <w:tblStyle w:val="TableGrid"/>
        <w:tblW w:w="907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820"/>
        <w:gridCol w:w="2428"/>
        <w:gridCol w:w="850"/>
        <w:gridCol w:w="2693"/>
        <w:gridCol w:w="1284"/>
      </w:tblGrid>
      <w:tr>
        <w:trPr>
          <w:tblHeader w:val="true"/>
          <w:trHeight w:val="315" w:hRule="atLeast"/>
        </w:trPr>
        <w:tc>
          <w:tcPr>
            <w:tcW w:w="1820" w:type="dxa"/>
            <w:tcBorders/>
            <w:shd w:color="auto" w:fill="DBE5F1" w:themeFill="accent1" w:themeFillTint="33" w:val="clear"/>
            <w:vAlign w:val="center"/>
          </w:tcPr>
          <w:p>
            <w:pPr>
              <w:pStyle w:val="Normal"/>
              <w:widowControl w:val="false"/>
              <w:spacing w:before="0" w:after="0"/>
              <w:jc w:val="left"/>
              <w:rPr>
                <w:rFonts w:ascii="Times New Roman" w:hAnsi="Times New Roman"/>
                <w:b/>
                <w:b/>
                <w:bCs/>
              </w:rPr>
            </w:pPr>
            <w:r>
              <w:rPr>
                <w:b/>
                <w:bCs/>
                <w:kern w:val="0"/>
                <w:lang w:val="en-US" w:eastAsia="en-US" w:bidi="ar-SA"/>
              </w:rPr>
              <w:t>Output</w:t>
            </w:r>
          </w:p>
        </w:tc>
        <w:tc>
          <w:tcPr>
            <w:tcW w:w="2428"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2693"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4"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1050" w:hRule="atLeast"/>
        </w:trPr>
        <w:tc>
          <w:tcPr>
            <w:tcW w:w="1820" w:type="dxa"/>
            <w:vMerge w:val="restart"/>
            <w:tcBorders/>
            <w:vAlign w:val="center"/>
          </w:tcPr>
          <w:p>
            <w:pPr>
              <w:pStyle w:val="Normal"/>
              <w:widowControl w:val="false"/>
              <w:spacing w:before="0" w:after="0"/>
              <w:jc w:val="left"/>
              <w:rPr>
                <w:rFonts w:ascii="Times New Roman" w:hAnsi="Times New Roman"/>
              </w:rPr>
            </w:pPr>
            <w:r>
              <w:rPr>
                <w:kern w:val="0"/>
                <w:lang w:val="en-US" w:eastAsia="en-US" w:bidi="ar-SA"/>
              </w:rPr>
              <w:t>Preliminary capacity building requirements for the implementation of the Kigali Amendment and its related matters.</w:t>
            </w:r>
          </w:p>
        </w:tc>
        <w:tc>
          <w:tcPr>
            <w:tcW w:w="2428" w:type="dxa"/>
            <w:tcBorders/>
            <w:vAlign w:val="center"/>
          </w:tcPr>
          <w:p>
            <w:pPr>
              <w:pStyle w:val="Normal"/>
              <w:widowControl w:val="false"/>
              <w:spacing w:before="0" w:after="0"/>
              <w:jc w:val="left"/>
              <w:rPr>
                <w:rFonts w:ascii="Times New Roman" w:hAnsi="Times New Roman"/>
              </w:rPr>
            </w:pPr>
            <w:r>
              <w:rPr>
                <w:kern w:val="0"/>
                <w:lang w:val="en-US" w:eastAsia="en-US" w:bidi="ar-SA"/>
              </w:rPr>
              <w:t>Training programmes for refrigeration service technicians addressing issues related to flammability and/or toxicity of refrigerants being phased in.</w:t>
            </w:r>
          </w:p>
        </w:tc>
        <w:tc>
          <w:tcPr>
            <w:tcW w:w="850" w:type="dxa"/>
            <w:tcBorders/>
            <w:vAlign w:val="center"/>
          </w:tcPr>
          <w:p>
            <w:pPr>
              <w:pStyle w:val="Normal"/>
              <w:widowControl w:val="false"/>
              <w:spacing w:before="0" w:after="0"/>
              <w:jc w:val="center"/>
              <w:rPr>
                <w:rFonts w:ascii="Times New Roman" w:hAnsi="Times New Roman"/>
              </w:rPr>
            </w:pPr>
            <w:r>
              <w:rPr>
                <w:kern w:val="0"/>
                <w:lang w:val="en-US" w:eastAsia="en-US" w:bidi="ar-SA"/>
              </w:rPr>
              <w:t>2</w:t>
            </w:r>
          </w:p>
        </w:tc>
        <w:tc>
          <w:tcPr>
            <w:tcW w:w="2693" w:type="dxa"/>
            <w:tcBorders/>
            <w:vAlign w:val="center"/>
          </w:tcPr>
          <w:p>
            <w:pPr>
              <w:pStyle w:val="Normal"/>
              <w:widowControl w:val="false"/>
              <w:spacing w:before="0" w:after="0"/>
              <w:jc w:val="left"/>
              <w:rPr>
                <w:rFonts w:ascii="Times New Roman" w:hAnsi="Times New Roman"/>
              </w:rPr>
            </w:pPr>
            <w:r>
              <w:rPr>
                <w:kern w:val="0"/>
                <w:lang w:val="en-US" w:eastAsia="en-US" w:bidi="ar-SA"/>
              </w:rPr>
              <w:t>Train the trainers course for the identification of all kind of alternatives to the HFC (including other HFC and its blends)</w:t>
            </w:r>
          </w:p>
        </w:tc>
        <w:tc>
          <w:tcPr>
            <w:tcW w:w="1284" w:type="dxa"/>
            <w:tcBorders/>
            <w:vAlign w:val="center"/>
          </w:tcPr>
          <w:p>
            <w:pPr>
              <w:pStyle w:val="Normal"/>
              <w:widowControl w:val="false"/>
              <w:spacing w:before="0" w:after="0"/>
              <w:jc w:val="left"/>
              <w:rPr>
                <w:rFonts w:ascii="Times New Roman" w:hAnsi="Times New Roman"/>
              </w:rPr>
            </w:pPr>
            <w:r>
              <w:rPr>
                <w:kern w:val="0"/>
                <w:lang w:val="en-US" w:eastAsia="en-US" w:bidi="ar-SA"/>
              </w:rPr>
              <w:t>15,000</w:t>
            </w:r>
          </w:p>
        </w:tc>
      </w:tr>
      <w:tr>
        <w:trPr>
          <w:trHeight w:val="220" w:hRule="atLeast"/>
        </w:trPr>
        <w:tc>
          <w:tcPr>
            <w:tcW w:w="1820"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28" w:type="dxa"/>
            <w:tcBorders/>
            <w:vAlign w:val="center"/>
          </w:tcPr>
          <w:p>
            <w:pPr>
              <w:pStyle w:val="Normal"/>
              <w:widowControl w:val="false"/>
              <w:spacing w:before="0" w:after="0"/>
              <w:jc w:val="left"/>
              <w:rPr>
                <w:rFonts w:ascii="Times New Roman" w:hAnsi="Times New Roman"/>
              </w:rPr>
            </w:pPr>
            <w:r>
              <w:rPr>
                <w:kern w:val="0"/>
                <w:lang w:val="en-US" w:eastAsia="en-US" w:bidi="ar-SA"/>
              </w:rPr>
              <w:t>Identification of the possible energy savings opportunities in the RAC sectors considering the implementation of the Kigali Amendment.</w:t>
            </w:r>
          </w:p>
        </w:tc>
        <w:tc>
          <w:tcPr>
            <w:tcW w:w="850" w:type="dxa"/>
            <w:tcBorders/>
            <w:vAlign w:val="center"/>
          </w:tcPr>
          <w:p>
            <w:pPr>
              <w:pStyle w:val="Normal"/>
              <w:widowControl w:val="false"/>
              <w:spacing w:before="0" w:after="0"/>
              <w:jc w:val="center"/>
              <w:rPr>
                <w:rFonts w:ascii="Times New Roman" w:hAnsi="Times New Roman"/>
              </w:rPr>
            </w:pPr>
            <w:r>
              <w:rPr>
                <w:kern w:val="0"/>
                <w:lang w:val="en-US" w:eastAsia="en-US" w:bidi="ar-SA"/>
              </w:rPr>
              <w:t>3</w:t>
            </w:r>
          </w:p>
        </w:tc>
        <w:tc>
          <w:tcPr>
            <w:tcW w:w="2693" w:type="dxa"/>
            <w:tcBorders/>
            <w:vAlign w:val="center"/>
          </w:tcPr>
          <w:p>
            <w:pPr>
              <w:pStyle w:val="Normal"/>
              <w:widowControl w:val="false"/>
              <w:spacing w:before="0" w:after="0"/>
              <w:jc w:val="left"/>
              <w:rPr>
                <w:rFonts w:ascii="Times New Roman" w:hAnsi="Times New Roman"/>
              </w:rPr>
            </w:pPr>
            <w:r>
              <w:rPr>
                <w:kern w:val="0"/>
                <w:lang w:val="en-US" w:eastAsia="en-US" w:bidi="ar-SA"/>
              </w:rPr>
              <w:t>Report on the assessment of the EE policies, availability of new technologies, the potential energy savings per sector and feasible applications in the Mexican market</w:t>
            </w:r>
          </w:p>
        </w:tc>
        <w:tc>
          <w:tcPr>
            <w:tcW w:w="1284" w:type="dxa"/>
            <w:tcBorders/>
            <w:vAlign w:val="center"/>
          </w:tcPr>
          <w:p>
            <w:pPr>
              <w:pStyle w:val="Normal"/>
              <w:widowControl w:val="false"/>
              <w:spacing w:before="0" w:after="0"/>
              <w:jc w:val="left"/>
              <w:rPr>
                <w:rFonts w:ascii="Times New Roman" w:hAnsi="Times New Roman"/>
              </w:rPr>
            </w:pPr>
            <w:r>
              <w:rPr>
                <w:kern w:val="0"/>
                <w:lang w:val="en-US" w:eastAsia="en-US" w:bidi="ar-SA"/>
              </w:rPr>
              <w:t>10,000</w:t>
            </w:r>
          </w:p>
        </w:tc>
      </w:tr>
      <w:tr>
        <w:trPr>
          <w:trHeight w:val="1050" w:hRule="atLeast"/>
        </w:trPr>
        <w:tc>
          <w:tcPr>
            <w:tcW w:w="1820"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2428" w:type="dxa"/>
            <w:tcBorders/>
            <w:vAlign w:val="center"/>
          </w:tcPr>
          <w:p>
            <w:pPr>
              <w:pStyle w:val="Normal"/>
              <w:widowControl w:val="false"/>
              <w:spacing w:before="0" w:after="0"/>
              <w:jc w:val="left"/>
              <w:rPr>
                <w:rFonts w:ascii="Times New Roman" w:hAnsi="Times New Roman"/>
              </w:rPr>
            </w:pPr>
            <w:r>
              <w:rPr>
                <w:kern w:val="0"/>
                <w:lang w:val="en-US" w:eastAsia="en-US" w:bidi="ar-SA"/>
              </w:rPr>
              <w:t>Training for National Ozone officers and other related stakeholders on energy efficiency developments in the RAC systems.</w:t>
            </w:r>
          </w:p>
        </w:tc>
        <w:tc>
          <w:tcPr>
            <w:tcW w:w="850" w:type="dxa"/>
            <w:tcBorders/>
            <w:vAlign w:val="center"/>
          </w:tcPr>
          <w:p>
            <w:pPr>
              <w:pStyle w:val="Normal"/>
              <w:widowControl w:val="false"/>
              <w:spacing w:before="0" w:after="0"/>
              <w:jc w:val="center"/>
              <w:rPr>
                <w:rFonts w:ascii="Times New Roman" w:hAnsi="Times New Roman"/>
              </w:rPr>
            </w:pPr>
            <w:r>
              <w:rPr>
                <w:kern w:val="0"/>
                <w:lang w:val="en-US" w:eastAsia="en-US" w:bidi="ar-SA"/>
              </w:rPr>
              <w:t>2</w:t>
            </w:r>
          </w:p>
        </w:tc>
        <w:tc>
          <w:tcPr>
            <w:tcW w:w="2693" w:type="dxa"/>
            <w:tcBorders/>
            <w:vAlign w:val="center"/>
          </w:tcPr>
          <w:p>
            <w:pPr>
              <w:pStyle w:val="Normal"/>
              <w:widowControl w:val="false"/>
              <w:spacing w:before="0" w:after="0"/>
              <w:jc w:val="left"/>
              <w:rPr>
                <w:rFonts w:ascii="Times New Roman" w:hAnsi="Times New Roman"/>
              </w:rPr>
            </w:pPr>
            <w:r>
              <w:rPr>
                <w:kern w:val="0"/>
                <w:lang w:val="en-US" w:eastAsia="en-US" w:bidi="ar-SA"/>
              </w:rPr>
              <w:t>Train to the NOO, Energy officers and other related stakeholders and technical experts in energy efficiency and the new developments to increase efficiency in RAC systems</w:t>
            </w:r>
          </w:p>
        </w:tc>
        <w:tc>
          <w:tcPr>
            <w:tcW w:w="1284" w:type="dxa"/>
            <w:tcBorders/>
            <w:vAlign w:val="center"/>
          </w:tcPr>
          <w:p>
            <w:pPr>
              <w:pStyle w:val="Normal"/>
              <w:widowControl w:val="false"/>
              <w:spacing w:before="0" w:after="0"/>
              <w:jc w:val="left"/>
              <w:rPr>
                <w:rFonts w:ascii="Times New Roman" w:hAnsi="Times New Roman"/>
              </w:rPr>
            </w:pPr>
            <w:r>
              <w:rPr>
                <w:kern w:val="0"/>
                <w:lang w:val="en-US" w:eastAsia="en-US" w:bidi="ar-SA"/>
              </w:rPr>
              <w:t>18,000</w:t>
            </w:r>
          </w:p>
        </w:tc>
      </w:tr>
      <w:tr>
        <w:trPr>
          <w:trHeight w:val="283" w:hRule="atLeast"/>
        </w:trPr>
        <w:tc>
          <w:tcPr>
            <w:tcW w:w="4248" w:type="dxa"/>
            <w:gridSpan w:val="2"/>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850"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7</w:t>
            </w:r>
          </w:p>
        </w:tc>
        <w:tc>
          <w:tcPr>
            <w:tcW w:w="2693" w:type="dxa"/>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1284"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43,000</w:t>
            </w:r>
          </w:p>
        </w:tc>
      </w:tr>
    </w:tbl>
    <w:p>
      <w:pPr>
        <w:pStyle w:val="Normal"/>
        <w:rPr>
          <w:rFonts w:ascii="Times New Roman" w:hAnsi="Times New Roman"/>
        </w:rPr>
      </w:pPr>
      <w:r>
        <w:rPr/>
      </w:r>
    </w:p>
    <w:p>
      <w:pPr>
        <w:pStyle w:val="ListParagraph"/>
        <w:widowControl/>
        <w:numPr>
          <w:ilvl w:val="0"/>
          <w:numId w:val="21"/>
        </w:numPr>
        <w:spacing w:lineRule="auto" w:line="259" w:before="0" w:after="160"/>
        <w:contextualSpacing/>
        <w:rPr>
          <w:rFonts w:ascii="Times New Roman" w:hAnsi="Times New Roman"/>
          <w:b/>
          <w:b/>
        </w:rPr>
      </w:pPr>
      <w:r>
        <w:rPr>
          <w:b/>
        </w:rPr>
        <w:t>PUBLIC AWARENESS.</w:t>
      </w:r>
    </w:p>
    <w:p>
      <w:pPr>
        <w:pStyle w:val="Normal"/>
        <w:jc w:val="both"/>
        <w:rPr>
          <w:rFonts w:ascii="Times New Roman" w:hAnsi="Times New Roman"/>
        </w:rPr>
      </w:pPr>
      <w:r>
        <w:rPr/>
        <w:t>In order to disseminate the new commitments of Mexico under the Montreal Protocol and the possible effects of the Kigali Amendment in the Mexican policies in terms of climate change, as one of the first enabling activities it is planned that one informative workshop will be organized aiming at the Industry, Academy, Government and other representatives.</w:t>
      </w:r>
    </w:p>
    <w:p>
      <w:pPr>
        <w:pStyle w:val="Normal"/>
        <w:jc w:val="both"/>
        <w:rPr>
          <w:rFonts w:ascii="Times New Roman" w:hAnsi="Times New Roman"/>
        </w:rPr>
      </w:pPr>
      <w:r>
        <w:rPr/>
        <w:t>Moreover, it would be very relevant to produce outreach materials that demonstrate the impact and benefits of the Kigali amendment as well as the documentation of the project within Mexico using low- GWP alternatives.</w:t>
      </w:r>
    </w:p>
    <w:tbl>
      <w:tblPr>
        <w:tblStyle w:val="TableGrid"/>
        <w:tblW w:w="907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980"/>
        <w:gridCol w:w="2268"/>
        <w:gridCol w:w="850"/>
        <w:gridCol w:w="2693"/>
        <w:gridCol w:w="1284"/>
      </w:tblGrid>
      <w:tr>
        <w:trPr>
          <w:trHeight w:val="315" w:hRule="atLeast"/>
        </w:trPr>
        <w:tc>
          <w:tcPr>
            <w:tcW w:w="198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Output</w:t>
            </w:r>
          </w:p>
        </w:tc>
        <w:tc>
          <w:tcPr>
            <w:tcW w:w="2268"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2693"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4"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300" w:hRule="atLeast"/>
        </w:trPr>
        <w:tc>
          <w:tcPr>
            <w:tcW w:w="1980" w:type="dxa"/>
            <w:tcBorders/>
          </w:tcPr>
          <w:p>
            <w:pPr>
              <w:pStyle w:val="Normal"/>
              <w:widowControl w:val="false"/>
              <w:spacing w:before="0" w:after="0"/>
              <w:jc w:val="both"/>
              <w:rPr>
                <w:rFonts w:ascii="Times New Roman" w:hAnsi="Times New Roman"/>
              </w:rPr>
            </w:pPr>
            <w:r>
              <w:rPr>
                <w:kern w:val="0"/>
                <w:lang w:val="en-US" w:eastAsia="en-US" w:bidi="ar-SA"/>
              </w:rPr>
              <w:t>Kigali Amendment informative workshop</w:t>
            </w:r>
          </w:p>
        </w:tc>
        <w:tc>
          <w:tcPr>
            <w:tcW w:w="2268" w:type="dxa"/>
            <w:tcBorders/>
          </w:tcPr>
          <w:p>
            <w:pPr>
              <w:pStyle w:val="Normal"/>
              <w:widowControl w:val="false"/>
              <w:spacing w:before="0" w:after="0"/>
              <w:jc w:val="both"/>
              <w:rPr>
                <w:rFonts w:ascii="Times New Roman" w:hAnsi="Times New Roman"/>
              </w:rPr>
            </w:pPr>
            <w:r>
              <w:rPr>
                <w:kern w:val="0"/>
                <w:lang w:val="en-US" w:eastAsia="en-US" w:bidi="ar-SA"/>
              </w:rPr>
              <w:t>Arrangement of one event in a city of Mexico.</w:t>
            </w:r>
          </w:p>
        </w:tc>
        <w:tc>
          <w:tcPr>
            <w:tcW w:w="850" w:type="dxa"/>
            <w:tcBorders/>
          </w:tcPr>
          <w:p>
            <w:pPr>
              <w:pStyle w:val="Normal"/>
              <w:widowControl w:val="false"/>
              <w:spacing w:before="0" w:after="0"/>
              <w:jc w:val="center"/>
              <w:rPr>
                <w:rFonts w:ascii="Times New Roman" w:hAnsi="Times New Roman"/>
              </w:rPr>
            </w:pPr>
            <w:r>
              <w:rPr>
                <w:kern w:val="0"/>
                <w:lang w:val="en-US" w:eastAsia="en-US" w:bidi="ar-SA"/>
              </w:rPr>
              <w:t>3</w:t>
            </w:r>
          </w:p>
        </w:tc>
        <w:tc>
          <w:tcPr>
            <w:tcW w:w="2693" w:type="dxa"/>
            <w:tcBorders/>
          </w:tcPr>
          <w:p>
            <w:pPr>
              <w:pStyle w:val="Normal"/>
              <w:widowControl w:val="false"/>
              <w:spacing w:before="0" w:after="0"/>
              <w:jc w:val="both"/>
              <w:rPr>
                <w:rFonts w:ascii="Times New Roman" w:hAnsi="Times New Roman"/>
              </w:rPr>
            </w:pPr>
            <w:r>
              <w:rPr>
                <w:kern w:val="0"/>
                <w:lang w:val="en-US" w:eastAsia="en-US" w:bidi="ar-SA"/>
              </w:rPr>
              <w:t>One workshop for 100 participants</w:t>
            </w:r>
          </w:p>
        </w:tc>
        <w:tc>
          <w:tcPr>
            <w:tcW w:w="1284" w:type="dxa"/>
            <w:tcBorders/>
          </w:tcPr>
          <w:p>
            <w:pPr>
              <w:pStyle w:val="Normal"/>
              <w:widowControl w:val="false"/>
              <w:spacing w:before="0" w:after="0"/>
              <w:jc w:val="both"/>
              <w:rPr>
                <w:rFonts w:ascii="Times New Roman" w:hAnsi="Times New Roman"/>
              </w:rPr>
            </w:pPr>
            <w:r>
              <w:rPr>
                <w:kern w:val="0"/>
                <w:lang w:val="en-US" w:eastAsia="en-US" w:bidi="ar-SA"/>
              </w:rPr>
              <w:t>15,000</w:t>
            </w:r>
          </w:p>
        </w:tc>
      </w:tr>
      <w:tr>
        <w:trPr>
          <w:trHeight w:val="600" w:hRule="atLeast"/>
        </w:trPr>
        <w:tc>
          <w:tcPr>
            <w:tcW w:w="1980" w:type="dxa"/>
            <w:tcBorders/>
          </w:tcPr>
          <w:p>
            <w:pPr>
              <w:pStyle w:val="Normal"/>
              <w:widowControl w:val="false"/>
              <w:spacing w:before="0" w:after="0"/>
              <w:jc w:val="both"/>
              <w:rPr>
                <w:rFonts w:ascii="Times New Roman" w:hAnsi="Times New Roman"/>
              </w:rPr>
            </w:pPr>
            <w:r>
              <w:rPr>
                <w:kern w:val="0"/>
                <w:lang w:val="en-US" w:eastAsia="en-US" w:bidi="ar-SA"/>
              </w:rPr>
              <w:t>Fact Sheets and Case Studies on Transitioning to Low-GWP Alternatives in Various Applications</w:t>
            </w:r>
          </w:p>
        </w:tc>
        <w:tc>
          <w:tcPr>
            <w:tcW w:w="2268" w:type="dxa"/>
            <w:tcBorders/>
          </w:tcPr>
          <w:p>
            <w:pPr>
              <w:pStyle w:val="Normal"/>
              <w:widowControl w:val="false"/>
              <w:spacing w:before="0" w:after="0"/>
              <w:jc w:val="both"/>
              <w:rPr>
                <w:rFonts w:ascii="Times New Roman" w:hAnsi="Times New Roman"/>
              </w:rPr>
            </w:pPr>
            <w:r>
              <w:rPr>
                <w:kern w:val="0"/>
                <w:lang w:val="en-US" w:eastAsia="en-US" w:bidi="ar-SA"/>
              </w:rPr>
              <w:t>Documentation of projects using low-GWP alternatives.</w:t>
            </w:r>
          </w:p>
        </w:tc>
        <w:tc>
          <w:tcPr>
            <w:tcW w:w="850" w:type="dxa"/>
            <w:tcBorders/>
          </w:tcPr>
          <w:p>
            <w:pPr>
              <w:pStyle w:val="Normal"/>
              <w:widowControl w:val="false"/>
              <w:spacing w:before="0" w:after="0"/>
              <w:jc w:val="center"/>
              <w:rPr>
                <w:rFonts w:ascii="Times New Roman" w:hAnsi="Times New Roman"/>
              </w:rPr>
            </w:pPr>
            <w:r>
              <w:rPr>
                <w:kern w:val="0"/>
                <w:lang w:val="en-US" w:eastAsia="en-US" w:bidi="ar-SA"/>
              </w:rPr>
              <w:t>3</w:t>
            </w:r>
          </w:p>
        </w:tc>
        <w:tc>
          <w:tcPr>
            <w:tcW w:w="2693" w:type="dxa"/>
            <w:tcBorders/>
          </w:tcPr>
          <w:p>
            <w:pPr>
              <w:pStyle w:val="Normal"/>
              <w:widowControl w:val="false"/>
              <w:spacing w:before="0" w:after="0"/>
              <w:jc w:val="both"/>
              <w:rPr>
                <w:rFonts w:ascii="Times New Roman" w:hAnsi="Times New Roman"/>
              </w:rPr>
            </w:pPr>
            <w:r>
              <w:rPr>
                <w:kern w:val="0"/>
                <w:lang w:val="en-US" w:eastAsia="en-US" w:bidi="ar-SA"/>
              </w:rPr>
              <w:t>10 fact sheets on experiences using Low GWP alternatives in Mexico.</w:t>
            </w:r>
          </w:p>
        </w:tc>
        <w:tc>
          <w:tcPr>
            <w:tcW w:w="1284" w:type="dxa"/>
            <w:tcBorders/>
          </w:tcPr>
          <w:p>
            <w:pPr>
              <w:pStyle w:val="Normal"/>
              <w:widowControl w:val="false"/>
              <w:spacing w:before="0" w:after="0"/>
              <w:jc w:val="both"/>
              <w:rPr>
                <w:rFonts w:ascii="Times New Roman" w:hAnsi="Times New Roman"/>
              </w:rPr>
            </w:pPr>
            <w:r>
              <w:rPr>
                <w:kern w:val="0"/>
                <w:lang w:val="en-US" w:eastAsia="en-US" w:bidi="ar-SA"/>
              </w:rPr>
              <w:t>8,000</w:t>
            </w:r>
          </w:p>
        </w:tc>
      </w:tr>
      <w:tr>
        <w:trPr>
          <w:trHeight w:val="615" w:hRule="atLeast"/>
        </w:trPr>
        <w:tc>
          <w:tcPr>
            <w:tcW w:w="4248" w:type="dxa"/>
            <w:gridSpan w:val="2"/>
            <w:tcBorders/>
          </w:tcPr>
          <w:p>
            <w:pPr>
              <w:pStyle w:val="Normal"/>
              <w:widowControl w:val="false"/>
              <w:spacing w:before="0" w:after="0"/>
              <w:jc w:val="right"/>
              <w:rPr>
                <w:rFonts w:ascii="Times New Roman" w:hAnsi="Times New Roman"/>
                <w:b/>
                <w:b/>
              </w:rPr>
            </w:pPr>
            <w:r>
              <w:rPr>
                <w:b/>
                <w:kern w:val="0"/>
                <w:lang w:val="en-US" w:eastAsia="en-US" w:bidi="ar-SA"/>
              </w:rPr>
              <w:t>Total</w:t>
            </w:r>
          </w:p>
        </w:tc>
        <w:tc>
          <w:tcPr>
            <w:tcW w:w="850" w:type="dxa"/>
            <w:tcBorders/>
          </w:tcPr>
          <w:p>
            <w:pPr>
              <w:pStyle w:val="Normal"/>
              <w:widowControl w:val="false"/>
              <w:spacing w:before="0" w:after="0"/>
              <w:jc w:val="center"/>
              <w:rPr>
                <w:rFonts w:ascii="Times New Roman" w:hAnsi="Times New Roman"/>
                <w:b/>
                <w:b/>
              </w:rPr>
            </w:pPr>
            <w:r>
              <w:rPr>
                <w:b/>
                <w:kern w:val="0"/>
                <w:lang w:val="en-US" w:eastAsia="en-US" w:bidi="ar-SA"/>
              </w:rPr>
              <w:t>9</w:t>
            </w:r>
          </w:p>
        </w:tc>
        <w:tc>
          <w:tcPr>
            <w:tcW w:w="2693" w:type="dxa"/>
            <w:tcBorders/>
          </w:tcPr>
          <w:p>
            <w:pPr>
              <w:pStyle w:val="Normal"/>
              <w:widowControl w:val="false"/>
              <w:spacing w:before="0" w:after="0"/>
              <w:jc w:val="right"/>
              <w:rPr>
                <w:rFonts w:ascii="Times New Roman" w:hAnsi="Times New Roman"/>
                <w:b/>
                <w:b/>
              </w:rPr>
            </w:pPr>
            <w:r>
              <w:rPr>
                <w:b/>
                <w:kern w:val="0"/>
                <w:lang w:val="en-US" w:eastAsia="en-US" w:bidi="ar-SA"/>
              </w:rPr>
              <w:t>Total</w:t>
            </w:r>
          </w:p>
        </w:tc>
        <w:tc>
          <w:tcPr>
            <w:tcW w:w="1284" w:type="dxa"/>
            <w:tcBorders/>
          </w:tcPr>
          <w:p>
            <w:pPr>
              <w:pStyle w:val="Normal"/>
              <w:widowControl w:val="false"/>
              <w:spacing w:before="0" w:after="0"/>
              <w:jc w:val="both"/>
              <w:rPr>
                <w:rFonts w:ascii="Times New Roman" w:hAnsi="Times New Roman"/>
                <w:b/>
                <w:b/>
              </w:rPr>
            </w:pPr>
            <w:r>
              <w:rPr>
                <w:b/>
                <w:kern w:val="0"/>
                <w:lang w:val="en-US" w:eastAsia="en-US" w:bidi="ar-SA"/>
              </w:rPr>
              <w:t>23,000</w:t>
            </w:r>
          </w:p>
        </w:tc>
      </w:tr>
    </w:tbl>
    <w:p>
      <w:pPr>
        <w:pStyle w:val="Normal"/>
        <w:jc w:val="both"/>
        <w:rPr>
          <w:rFonts w:ascii="Times New Roman" w:hAnsi="Times New Roman"/>
        </w:rPr>
      </w:pPr>
      <w:r>
        <w:rPr/>
      </w:r>
    </w:p>
    <w:p>
      <w:pPr>
        <w:pStyle w:val="ListParagraph"/>
        <w:widowControl/>
        <w:numPr>
          <w:ilvl w:val="0"/>
          <w:numId w:val="21"/>
        </w:numPr>
        <w:spacing w:lineRule="auto" w:line="259" w:before="0" w:after="160"/>
        <w:contextualSpacing/>
        <w:rPr>
          <w:rFonts w:ascii="Times New Roman" w:hAnsi="Times New Roman"/>
          <w:b/>
          <w:b/>
        </w:rPr>
      </w:pPr>
      <w:r>
        <w:rPr>
          <w:b/>
        </w:rPr>
        <w:t>COORDINATION OF ENABLING ACTIVITIES.</w:t>
      </w:r>
    </w:p>
    <w:p>
      <w:pPr>
        <w:pStyle w:val="Normal"/>
        <w:jc w:val="both"/>
        <w:rPr>
          <w:rFonts w:ascii="Times New Roman" w:hAnsi="Times New Roman"/>
        </w:rPr>
      </w:pPr>
      <w:r>
        <w:rPr/>
        <w:t>In order to maximize the impacts, enabling activities will be executed in harmony with the HPMP and National Climate Policies. The coordination of these actions is an essential element of the National Strategy, since there must be regular coordination meetings with industry stakeholders, HFC importers and exporters, ministries, various industry associations, and all sectors involved, in order to identify the necessary measures to implement the Kigali Amendment on time and in a coordinated way.</w:t>
      </w:r>
    </w:p>
    <w:tbl>
      <w:tblPr>
        <w:tblStyle w:val="TableGrid"/>
        <w:tblW w:w="907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980"/>
        <w:gridCol w:w="2268"/>
        <w:gridCol w:w="850"/>
        <w:gridCol w:w="2693"/>
        <w:gridCol w:w="1284"/>
      </w:tblGrid>
      <w:tr>
        <w:trPr>
          <w:trHeight w:val="315" w:hRule="atLeast"/>
        </w:trPr>
        <w:tc>
          <w:tcPr>
            <w:tcW w:w="198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Output</w:t>
            </w:r>
          </w:p>
        </w:tc>
        <w:tc>
          <w:tcPr>
            <w:tcW w:w="2268"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2693"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4"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300" w:hRule="atLeast"/>
        </w:trPr>
        <w:tc>
          <w:tcPr>
            <w:tcW w:w="4248" w:type="dxa"/>
            <w:gridSpan w:val="2"/>
            <w:tcBorders/>
          </w:tcPr>
          <w:p>
            <w:pPr>
              <w:pStyle w:val="Normal"/>
              <w:widowControl w:val="false"/>
              <w:spacing w:before="0" w:after="0"/>
              <w:jc w:val="both"/>
              <w:rPr>
                <w:rFonts w:ascii="Times New Roman" w:hAnsi="Times New Roman"/>
              </w:rPr>
            </w:pPr>
            <w:r>
              <w:rPr>
                <w:kern w:val="0"/>
                <w:lang w:val="en-US" w:eastAsia="en-US" w:bidi="ar-SA"/>
              </w:rPr>
              <w:t>General Coordination and Monitoring of the Enabling Activities</w:t>
            </w:r>
          </w:p>
        </w:tc>
        <w:tc>
          <w:tcPr>
            <w:tcW w:w="850" w:type="dxa"/>
            <w:tcBorders/>
          </w:tcPr>
          <w:p>
            <w:pPr>
              <w:pStyle w:val="Normal"/>
              <w:widowControl w:val="false"/>
              <w:spacing w:before="0" w:after="0"/>
              <w:jc w:val="center"/>
              <w:rPr>
                <w:rFonts w:ascii="Times New Roman" w:hAnsi="Times New Roman"/>
              </w:rPr>
            </w:pPr>
            <w:r>
              <w:rPr>
                <w:kern w:val="0"/>
                <w:lang w:val="en-US" w:eastAsia="en-US" w:bidi="ar-SA"/>
              </w:rPr>
              <w:t>12</w:t>
            </w:r>
          </w:p>
        </w:tc>
        <w:tc>
          <w:tcPr>
            <w:tcW w:w="2693" w:type="dxa"/>
            <w:tcBorders/>
          </w:tcPr>
          <w:p>
            <w:pPr>
              <w:pStyle w:val="Normal"/>
              <w:widowControl w:val="false"/>
              <w:spacing w:before="0" w:after="0"/>
              <w:jc w:val="both"/>
              <w:rPr>
                <w:rFonts w:ascii="Times New Roman" w:hAnsi="Times New Roman"/>
              </w:rPr>
            </w:pPr>
            <w:r>
              <w:rPr>
                <w:kern w:val="0"/>
                <w:lang w:val="en-US" w:eastAsia="en-US" w:bidi="ar-SA"/>
              </w:rPr>
              <w:t>Enabling activities for HFC phase-down coordinated.</w:t>
            </w:r>
          </w:p>
        </w:tc>
        <w:tc>
          <w:tcPr>
            <w:tcW w:w="1284" w:type="dxa"/>
            <w:tcBorders/>
          </w:tcPr>
          <w:p>
            <w:pPr>
              <w:pStyle w:val="Normal"/>
              <w:widowControl w:val="false"/>
              <w:spacing w:before="0" w:after="0"/>
              <w:jc w:val="both"/>
              <w:rPr>
                <w:rFonts w:ascii="Times New Roman" w:hAnsi="Times New Roman"/>
                <w:b/>
                <w:b/>
              </w:rPr>
            </w:pPr>
            <w:r>
              <w:rPr>
                <w:b/>
                <w:kern w:val="0"/>
                <w:lang w:val="en-US" w:eastAsia="en-US" w:bidi="ar-SA"/>
              </w:rPr>
              <w:t>36,000</w:t>
            </w:r>
          </w:p>
        </w:tc>
      </w:tr>
    </w:tbl>
    <w:p>
      <w:pPr>
        <w:pStyle w:val="Normal"/>
        <w:jc w:val="both"/>
        <w:rPr>
          <w:rFonts w:ascii="Times New Roman" w:hAnsi="Times New Roman"/>
        </w:rPr>
      </w:pPr>
      <w:r>
        <w:rPr/>
      </w:r>
    </w:p>
    <w:p>
      <w:pPr>
        <w:pStyle w:val="ListParagraph"/>
        <w:widowControl/>
        <w:numPr>
          <w:ilvl w:val="0"/>
          <w:numId w:val="21"/>
        </w:numPr>
        <w:spacing w:lineRule="auto" w:line="259" w:before="0" w:after="160"/>
        <w:contextualSpacing/>
        <w:rPr>
          <w:rFonts w:ascii="Times New Roman" w:hAnsi="Times New Roman"/>
          <w:b/>
          <w:b/>
        </w:rPr>
      </w:pPr>
      <w:r>
        <w:rPr>
          <w:b/>
        </w:rPr>
        <w:t>COST BREAKDOWN AND SCHEDULE FOR IMPLEMENTATION</w:t>
      </w:r>
    </w:p>
    <w:p>
      <w:pPr>
        <w:pStyle w:val="Normal"/>
        <w:jc w:val="both"/>
        <w:rPr>
          <w:rFonts w:ascii="Times New Roman" w:hAnsi="Times New Roman"/>
        </w:rPr>
      </w:pPr>
      <w:r>
        <w:rPr/>
      </w:r>
    </w:p>
    <w:tbl>
      <w:tblPr>
        <w:tblStyle w:val="TableGrid"/>
        <w:tblW w:w="882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4"/>
        <w:gridCol w:w="4962"/>
        <w:gridCol w:w="1462"/>
      </w:tblGrid>
      <w:tr>
        <w:trPr>
          <w:trHeight w:val="531" w:hRule="atLeast"/>
        </w:trPr>
        <w:tc>
          <w:tcPr>
            <w:tcW w:w="2404"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kern w:val="0"/>
                <w:lang w:val="en-US" w:eastAsia="en-US" w:bidi="ar-SA"/>
              </w:rPr>
              <w:t>Enabling Activity</w:t>
            </w:r>
          </w:p>
        </w:tc>
        <w:tc>
          <w:tcPr>
            <w:tcW w:w="4962"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kern w:val="0"/>
                <w:lang w:val="en-US" w:eastAsia="en-US" w:bidi="ar-SA"/>
              </w:rPr>
              <w:t>Line of Activity</w:t>
            </w:r>
          </w:p>
        </w:tc>
        <w:tc>
          <w:tcPr>
            <w:tcW w:w="1462"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bCs/>
                <w:kern w:val="0"/>
                <w:lang w:val="en-US" w:eastAsia="en-US" w:bidi="ar-SA"/>
              </w:rPr>
              <w:t>Budget Requested (USD)</w:t>
            </w:r>
          </w:p>
        </w:tc>
      </w:tr>
      <w:tr>
        <w:trPr/>
        <w:tc>
          <w:tcPr>
            <w:tcW w:w="2404" w:type="dxa"/>
            <w:vMerge w:val="restart"/>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t>1.Preparation of the HFC phase-down Road map in Mexico</w:t>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t>1.1 Assessment report on the impact of the Phase out of HCFC in the potential consumption of HFC in Mexico</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rPr>
            </w:pPr>
            <w:r>
              <w:rPr>
                <w:color w:val="000000"/>
                <w:kern w:val="0"/>
                <w:lang w:val="en-US" w:eastAsia="en-US" w:bidi="ar-SA"/>
              </w:rPr>
              <w:t>12,000</w:t>
            </w:r>
          </w:p>
        </w:tc>
      </w:tr>
      <w:tr>
        <w:trPr/>
        <w:tc>
          <w:tcPr>
            <w:tcW w:w="240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t>1.2 Update and upgrade of the HFC consumption survey</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rPr>
            </w:pPr>
            <w:r>
              <w:rPr>
                <w:color w:val="000000"/>
                <w:kern w:val="0"/>
                <w:lang w:val="en-US" w:eastAsia="en-US" w:bidi="ar-SA"/>
              </w:rPr>
              <w:t>40,000</w:t>
            </w:r>
          </w:p>
        </w:tc>
      </w:tr>
      <w:tr>
        <w:trPr/>
        <w:tc>
          <w:tcPr>
            <w:tcW w:w="240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t>1.3 Policies and Regulations</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rPr>
            </w:pPr>
            <w:r>
              <w:rPr>
                <w:color w:val="000000"/>
                <w:kern w:val="0"/>
                <w:lang w:val="en-US" w:eastAsia="en-US" w:bidi="ar-SA"/>
              </w:rPr>
              <w:t>51,000</w:t>
            </w:r>
          </w:p>
        </w:tc>
      </w:tr>
      <w:tr>
        <w:trPr/>
        <w:tc>
          <w:tcPr>
            <w:tcW w:w="240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t>1.4 Kigali Amendment Road map</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rPr>
            </w:pPr>
            <w:r>
              <w:rPr>
                <w:color w:val="000000"/>
                <w:kern w:val="0"/>
                <w:lang w:val="en-US" w:eastAsia="en-US" w:bidi="ar-SA"/>
              </w:rPr>
              <w:t>15,000</w:t>
            </w:r>
          </w:p>
        </w:tc>
      </w:tr>
      <w:tr>
        <w:trPr/>
        <w:tc>
          <w:tcPr>
            <w:tcW w:w="240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right"/>
              <w:rPr>
                <w:rFonts w:ascii="Times New Roman" w:hAnsi="Times New Roman"/>
                <w:b/>
                <w:b/>
                <w:i/>
                <w:i/>
              </w:rPr>
            </w:pPr>
            <w:r>
              <w:rPr>
                <w:b/>
                <w:i/>
                <w:kern w:val="0"/>
                <w:lang w:val="en-US" w:eastAsia="en-US" w:bidi="ar-SA"/>
              </w:rPr>
              <w:t>Subtotal 1</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b/>
                <w:b/>
              </w:rPr>
            </w:pPr>
            <w:r>
              <w:rPr>
                <w:b/>
                <w:bCs/>
                <w:color w:val="000000"/>
                <w:kern w:val="0"/>
                <w:lang w:val="en-US" w:eastAsia="en-US" w:bidi="ar-SA"/>
              </w:rPr>
              <w:t>118,000</w:t>
            </w:r>
          </w:p>
        </w:tc>
      </w:tr>
      <w:tr>
        <w:trPr/>
        <w:tc>
          <w:tcPr>
            <w:tcW w:w="2404" w:type="dxa"/>
            <w:vMerge w:val="restart"/>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t>2. Preliminary capacity building requirements for the implementation of the Kigali Amendment and its related matters</w:t>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t>2.1 Training programmes for refrigeration service technicians</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rPr>
            </w:pPr>
            <w:r>
              <w:rPr>
                <w:color w:val="000000"/>
                <w:kern w:val="0"/>
                <w:lang w:val="en-US" w:eastAsia="en-US" w:bidi="ar-SA"/>
              </w:rPr>
              <w:t>15,000</w:t>
            </w:r>
          </w:p>
        </w:tc>
      </w:tr>
      <w:tr>
        <w:trPr/>
        <w:tc>
          <w:tcPr>
            <w:tcW w:w="2404" w:type="dxa"/>
            <w:vMerge w:val="continue"/>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t>2.2 Identification of the possible energy savings opportunities in the RAC sectors</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rPr>
            </w:pPr>
            <w:r>
              <w:rPr>
                <w:color w:val="000000"/>
                <w:kern w:val="0"/>
                <w:lang w:val="en-US" w:eastAsia="en-US" w:bidi="ar-SA"/>
              </w:rPr>
              <w:t>10,000</w:t>
            </w:r>
          </w:p>
        </w:tc>
      </w:tr>
      <w:tr>
        <w:trPr/>
        <w:tc>
          <w:tcPr>
            <w:tcW w:w="2404" w:type="dxa"/>
            <w:vMerge w:val="continue"/>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t>2.3 Training for National Ozone officers and other related stakeholders on energy efficiency</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rPr>
            </w:pPr>
            <w:r>
              <w:rPr>
                <w:color w:val="000000"/>
                <w:kern w:val="0"/>
                <w:lang w:val="en-US" w:eastAsia="en-US" w:bidi="ar-SA"/>
              </w:rPr>
              <w:t>18,000</w:t>
            </w:r>
          </w:p>
        </w:tc>
      </w:tr>
      <w:tr>
        <w:trPr/>
        <w:tc>
          <w:tcPr>
            <w:tcW w:w="2404" w:type="dxa"/>
            <w:vMerge w:val="continue"/>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right"/>
              <w:rPr>
                <w:rFonts w:ascii="Times New Roman" w:hAnsi="Times New Roman"/>
              </w:rPr>
            </w:pPr>
            <w:r>
              <w:rPr>
                <w:b/>
                <w:i/>
                <w:kern w:val="0"/>
                <w:lang w:val="en-US" w:eastAsia="en-US" w:bidi="ar-SA"/>
              </w:rPr>
              <w:t>Subtotal 2</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b/>
                <w:b/>
              </w:rPr>
            </w:pPr>
            <w:r>
              <w:rPr>
                <w:b/>
                <w:bCs/>
                <w:color w:val="000000"/>
                <w:kern w:val="0"/>
                <w:lang w:val="en-US" w:eastAsia="en-US" w:bidi="ar-SA"/>
              </w:rPr>
              <w:t>43,000</w:t>
            </w:r>
          </w:p>
        </w:tc>
      </w:tr>
      <w:tr>
        <w:trPr/>
        <w:tc>
          <w:tcPr>
            <w:tcW w:w="2404" w:type="dxa"/>
            <w:vMerge w:val="restart"/>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t>3.Public awareness</w:t>
            </w:r>
          </w:p>
          <w:p>
            <w:pPr>
              <w:pStyle w:val="ListParagraph"/>
              <w:widowControl w:val="false"/>
              <w:spacing w:before="0" w:after="0"/>
              <w:ind w:left="313" w:hanging="0"/>
              <w:contextualSpacing/>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t>3.1 Kigali Amendment informative workshop</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rPr>
            </w:pPr>
            <w:r>
              <w:rPr>
                <w:color w:val="000000"/>
                <w:kern w:val="0"/>
                <w:lang w:val="en-US" w:eastAsia="en-US" w:bidi="ar-SA"/>
              </w:rPr>
              <w:t>15,000</w:t>
            </w:r>
          </w:p>
        </w:tc>
      </w:tr>
      <w:tr>
        <w:trPr/>
        <w:tc>
          <w:tcPr>
            <w:tcW w:w="2404" w:type="dxa"/>
            <w:vMerge w:val="continue"/>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t>3.2 Fact Sheets on Transitioning to Low-GWP Alternatives in Various Applications</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rPr>
            </w:pPr>
            <w:r>
              <w:rPr>
                <w:color w:val="000000"/>
                <w:kern w:val="0"/>
                <w:lang w:val="en-US" w:eastAsia="en-US" w:bidi="ar-SA"/>
              </w:rPr>
              <w:t>8,000</w:t>
            </w:r>
          </w:p>
        </w:tc>
      </w:tr>
      <w:tr>
        <w:trPr/>
        <w:tc>
          <w:tcPr>
            <w:tcW w:w="2404" w:type="dxa"/>
            <w:vMerge w:val="continue"/>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right"/>
              <w:rPr>
                <w:rFonts w:ascii="Times New Roman" w:hAnsi="Times New Roman"/>
              </w:rPr>
            </w:pPr>
            <w:r>
              <w:rPr>
                <w:b/>
                <w:i/>
                <w:kern w:val="0"/>
                <w:lang w:val="en-US" w:eastAsia="en-US" w:bidi="ar-SA"/>
              </w:rPr>
              <w:t>Subtotal 3</w:t>
            </w:r>
          </w:p>
        </w:tc>
        <w:tc>
          <w:tcPr>
            <w:tcW w:w="1462" w:type="dxa"/>
            <w:tcBorders>
              <w:top w:val="nil"/>
              <w:left w:val="nil"/>
              <w:bottom w:val="single" w:sz="8" w:space="0" w:color="000000"/>
              <w:right w:val="single" w:sz="8" w:space="0" w:color="000000"/>
            </w:tcBorders>
            <w:shd w:color="auto" w:fill="auto" w:val="clear"/>
            <w:vAlign w:val="center"/>
          </w:tcPr>
          <w:p>
            <w:pPr>
              <w:pStyle w:val="Normal"/>
              <w:widowControl w:val="false"/>
              <w:spacing w:before="0" w:after="0"/>
              <w:jc w:val="center"/>
              <w:rPr>
                <w:rFonts w:ascii="Times New Roman" w:hAnsi="Times New Roman"/>
                <w:b/>
                <w:b/>
              </w:rPr>
            </w:pPr>
            <w:r>
              <w:rPr>
                <w:b/>
                <w:bCs/>
                <w:color w:val="000000"/>
                <w:kern w:val="0"/>
                <w:lang w:val="en-US" w:eastAsia="en-US" w:bidi="ar-SA"/>
              </w:rPr>
              <w:t>23,000</w:t>
            </w:r>
          </w:p>
        </w:tc>
      </w:tr>
      <w:tr>
        <w:trPr/>
        <w:tc>
          <w:tcPr>
            <w:tcW w:w="2404" w:type="dxa"/>
            <w:vMerge w:val="restart"/>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t>4. Coordination of enabling activities.</w:t>
            </w:r>
          </w:p>
          <w:p>
            <w:pPr>
              <w:pStyle w:val="ListParagraph"/>
              <w:widowControl w:val="false"/>
              <w:spacing w:before="0" w:after="0"/>
              <w:ind w:left="313" w:hanging="0"/>
              <w:contextualSpacing/>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left"/>
              <w:rPr>
                <w:rFonts w:ascii="Times New Roman" w:hAnsi="Times New Roman"/>
              </w:rPr>
            </w:pPr>
            <w:r>
              <w:rPr>
                <w:kern w:val="0"/>
                <w:lang w:val="en-US" w:eastAsia="en-US" w:bidi="ar-SA"/>
              </w:rPr>
            </w:r>
          </w:p>
          <w:p>
            <w:pPr>
              <w:pStyle w:val="Normal"/>
              <w:widowControl w:val="false"/>
              <w:spacing w:before="0" w:after="0"/>
              <w:jc w:val="left"/>
              <w:rPr>
                <w:rFonts w:ascii="Times New Roman" w:hAnsi="Times New Roman"/>
              </w:rPr>
            </w:pPr>
            <w:r>
              <w:rPr>
                <w:kern w:val="0"/>
                <w:lang w:val="en-US" w:eastAsia="en-US" w:bidi="ar-SA"/>
              </w:rPr>
              <w:t>4.1 General Coordination and Monitoring of the Enabling Activities</w:t>
            </w:r>
          </w:p>
        </w:tc>
        <w:tc>
          <w:tcPr>
            <w:tcW w:w="1462" w:type="dxa"/>
            <w:tcBorders/>
            <w:vAlign w:val="center"/>
          </w:tcPr>
          <w:p>
            <w:pPr>
              <w:pStyle w:val="Normal"/>
              <w:widowControl w:val="false"/>
              <w:spacing w:before="0" w:after="0"/>
              <w:jc w:val="center"/>
              <w:rPr>
                <w:rFonts w:ascii="Times New Roman" w:hAnsi="Times New Roman"/>
              </w:rPr>
            </w:pPr>
            <w:r>
              <w:rPr>
                <w:kern w:val="0"/>
                <w:lang w:val="en-US" w:eastAsia="en-US" w:bidi="ar-SA"/>
              </w:rPr>
              <w:t>36,000</w:t>
            </w:r>
          </w:p>
        </w:tc>
      </w:tr>
      <w:tr>
        <w:trPr/>
        <w:tc>
          <w:tcPr>
            <w:tcW w:w="2404" w:type="dxa"/>
            <w:vMerge w:val="continue"/>
            <w:tcBorders/>
            <w:vAlign w:val="center"/>
          </w:tcPr>
          <w:p>
            <w:pPr>
              <w:pStyle w:val="Normal"/>
              <w:widowControl w:val="false"/>
              <w:spacing w:before="0" w:after="0"/>
              <w:jc w:val="left"/>
              <w:rPr>
                <w:rFonts w:ascii="Times New Roman" w:hAnsi="Times New Roman"/>
              </w:rPr>
            </w:pPr>
            <w:r>
              <w:rPr>
                <w:kern w:val="0"/>
                <w:lang w:val="en-US" w:eastAsia="en-US" w:bidi="ar-SA"/>
              </w:rPr>
            </w:r>
          </w:p>
        </w:tc>
        <w:tc>
          <w:tcPr>
            <w:tcW w:w="4962" w:type="dxa"/>
            <w:tcBorders/>
            <w:vAlign w:val="center"/>
          </w:tcPr>
          <w:p>
            <w:pPr>
              <w:pStyle w:val="Normal"/>
              <w:widowControl w:val="false"/>
              <w:spacing w:before="0" w:after="0"/>
              <w:jc w:val="right"/>
              <w:rPr>
                <w:rFonts w:ascii="Times New Roman" w:hAnsi="Times New Roman"/>
              </w:rPr>
            </w:pPr>
            <w:r>
              <w:rPr>
                <w:b/>
                <w:i/>
                <w:kern w:val="0"/>
                <w:lang w:val="en-US" w:eastAsia="en-US" w:bidi="ar-SA"/>
              </w:rPr>
              <w:t>Subtotal 4</w:t>
            </w:r>
          </w:p>
        </w:tc>
        <w:tc>
          <w:tcPr>
            <w:tcW w:w="1462"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36,000</w:t>
            </w:r>
          </w:p>
        </w:tc>
      </w:tr>
      <w:tr>
        <w:trPr/>
        <w:tc>
          <w:tcPr>
            <w:tcW w:w="7366" w:type="dxa"/>
            <w:gridSpan w:val="2"/>
            <w:tcBorders/>
            <w:shd w:color="auto" w:fill="DBE5F1" w:themeFill="accent1" w:themeFillTint="33" w:val="clear"/>
            <w:vAlign w:val="center"/>
          </w:tcPr>
          <w:p>
            <w:pPr>
              <w:pStyle w:val="Normal"/>
              <w:widowControl w:val="false"/>
              <w:spacing w:before="0" w:after="0"/>
              <w:jc w:val="right"/>
              <w:rPr>
                <w:rFonts w:ascii="Times New Roman" w:hAnsi="Times New Roman"/>
                <w:b/>
                <w:b/>
                <w:i/>
                <w:i/>
              </w:rPr>
            </w:pPr>
            <w:r>
              <w:rPr>
                <w:b/>
                <w:i/>
                <w:kern w:val="0"/>
                <w:lang w:val="en-US" w:eastAsia="en-US" w:bidi="ar-SA"/>
              </w:rPr>
              <w:t>Total</w:t>
            </w:r>
          </w:p>
        </w:tc>
        <w:tc>
          <w:tcPr>
            <w:tcW w:w="1462"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kern w:val="0"/>
                <w:lang w:val="en-US" w:eastAsia="en-US" w:bidi="ar-SA"/>
              </w:rPr>
              <w:t>220,000</w:t>
            </w:r>
          </w:p>
        </w:tc>
      </w:tr>
    </w:tbl>
    <w:p>
      <w:pPr>
        <w:pStyle w:val="Normal"/>
        <w:jc w:val="both"/>
        <w:rPr>
          <w:rFonts w:ascii="Times New Roman" w:hAnsi="Times New Roman"/>
        </w:rPr>
      </w:pPr>
      <w:r>
        <w:rPr/>
      </w:r>
    </w:p>
    <w:p>
      <w:pPr>
        <w:pStyle w:val="Normal"/>
        <w:jc w:val="both"/>
        <w:rPr>
          <w:rFonts w:ascii="Times New Roman" w:hAnsi="Times New Roman"/>
        </w:rPr>
      </w:pPr>
      <w:r>
        <w:rPr/>
      </w:r>
    </w:p>
    <w:p>
      <w:pPr>
        <w:pStyle w:val="Normal"/>
        <w:jc w:val="both"/>
        <w:rPr>
          <w:rFonts w:ascii="Times New Roman" w:hAnsi="Times New Roman"/>
          <w:b/>
          <w:b/>
        </w:rPr>
      </w:pPr>
      <w:r>
        <w:rPr>
          <w:b/>
        </w:rPr>
        <w:t>TIME SCHEDULE</w:t>
      </w:r>
      <w:r>
        <w:fldChar w:fldCharType="begin"/>
      </w:r>
      <w:r>
        <w:rPr>
          <w:b/>
        </w:rPr>
        <w:instrText xml:space="preserve">LINK Excel.Sheet.12 "C:\\Users\\alan.bastida\\Documents\\HFCs\\Enabling activities\\HFC Projects- EU-KCEP-IS  Enabling act 2017 - .xlsx" UNIDO!F47C10:F58C29 \a \f 4 \h  \* MERGEFORMAT</w:instrText>
      </w:r>
      <w:r>
        <w:rPr>
          <w:b/>
        </w:rPr>
      </w:r>
      <w:r>
        <w:rPr>
          <w:b/>
        </w:rPr>
        <w:fldChar w:fldCharType="separate"/>
      </w:r>
      <w:r>
        <w:rPr>
          <w:b/>
        </w:rPr>
      </w:r>
    </w:p>
    <w:tbl>
      <w:tblPr>
        <w:tblW w:w="8979" w:type="dxa"/>
        <w:jc w:val="left"/>
        <w:tblInd w:w="-11" w:type="dxa"/>
        <w:tblLayout w:type="fixed"/>
        <w:tblCellMar>
          <w:top w:w="0" w:type="dxa"/>
          <w:left w:w="108" w:type="dxa"/>
          <w:bottom w:w="0" w:type="dxa"/>
          <w:right w:w="108" w:type="dxa"/>
        </w:tblCellMar>
        <w:tblLook w:val="04a0" w:noHBand="0" w:noVBand="1" w:firstColumn="1" w:lastRow="0" w:lastColumn="0" w:firstRow="1"/>
      </w:tblPr>
      <w:tblGrid>
        <w:gridCol w:w="1458"/>
        <w:gridCol w:w="863"/>
        <w:gridCol w:w="313"/>
        <w:gridCol w:w="313"/>
        <w:gridCol w:w="313"/>
        <w:gridCol w:w="313"/>
        <w:gridCol w:w="313"/>
        <w:gridCol w:w="313"/>
        <w:gridCol w:w="312"/>
        <w:gridCol w:w="313"/>
        <w:gridCol w:w="313"/>
        <w:gridCol w:w="422"/>
        <w:gridCol w:w="423"/>
        <w:gridCol w:w="422"/>
        <w:gridCol w:w="423"/>
        <w:gridCol w:w="422"/>
        <w:gridCol w:w="423"/>
        <w:gridCol w:w="422"/>
        <w:gridCol w:w="423"/>
        <w:gridCol w:w="459"/>
      </w:tblGrid>
      <w:tr>
        <w:trPr>
          <w:trHeight w:val="300" w:hRule="atLeast"/>
        </w:trPr>
        <w:tc>
          <w:tcPr>
            <w:tcW w:w="1458" w:type="dxa"/>
            <w:vMerge w:val="restart"/>
            <w:tcBorders>
              <w:top w:val="single" w:sz="8" w:space="0" w:color="000000"/>
              <w:left w:val="single" w:sz="8" w:space="0" w:color="000000"/>
              <w:bottom w:val="single" w:sz="8" w:space="0" w:color="000000"/>
            </w:tcBorders>
            <w:shd w:color="auto" w:fill="auto" w:val="clear"/>
            <w:vAlign w:val="center"/>
          </w:tcPr>
          <w:p>
            <w:pPr>
              <w:pStyle w:val="Normal"/>
              <w:widowControl w:val="false"/>
              <w:jc w:val="center"/>
              <w:rPr>
                <w:rFonts w:ascii="Times New Roman" w:hAnsi="Times New Roman"/>
                <w:bCs/>
                <w:color w:val="000000"/>
                <w:lang w:eastAsia="en-GB"/>
              </w:rPr>
            </w:pPr>
            <w:r>
              <w:rPr>
                <w:bCs/>
                <w:color w:val="000000"/>
                <w:lang w:eastAsia="en-GB"/>
              </w:rPr>
              <w:t>Enabling Activity</w:t>
            </w:r>
          </w:p>
        </w:tc>
        <w:tc>
          <w:tcPr>
            <w:tcW w:w="863" w:type="dxa"/>
            <w:vMerge w:val="restart"/>
            <w:tcBorders>
              <w:top w:val="single" w:sz="8" w:space="0" w:color="000000"/>
              <w:bottom w:val="single" w:sz="8" w:space="0" w:color="000000"/>
            </w:tcBorders>
            <w:shd w:color="auto" w:fill="auto" w:val="clear"/>
            <w:vAlign w:val="center"/>
          </w:tcPr>
          <w:p>
            <w:pPr>
              <w:pStyle w:val="Normal"/>
              <w:widowControl w:val="false"/>
              <w:jc w:val="center"/>
              <w:rPr>
                <w:rFonts w:ascii="Times New Roman" w:hAnsi="Times New Roman"/>
                <w:bCs/>
                <w:color w:val="000000"/>
                <w:lang w:eastAsia="en-GB"/>
              </w:rPr>
            </w:pPr>
            <w:r>
              <w:rPr>
                <w:bCs/>
                <w:color w:val="000000"/>
                <w:lang w:eastAsia="en-GB"/>
              </w:rPr>
              <w:t>Line of activity</w:t>
            </w:r>
          </w:p>
        </w:tc>
        <w:tc>
          <w:tcPr>
            <w:tcW w:w="6655" w:type="dxa"/>
            <w:gridSpan w:val="18"/>
            <w:tcBorders>
              <w:top w:val="single" w:sz="8" w:space="0" w:color="000000"/>
              <w:right w:val="single" w:sz="8" w:space="0" w:color="000000"/>
            </w:tcBorders>
            <w:shd w:color="auto" w:fill="auto" w:val="clear"/>
            <w:vAlign w:val="bottom"/>
          </w:tcPr>
          <w:p>
            <w:pPr>
              <w:pStyle w:val="Normal"/>
              <w:widowControl w:val="false"/>
              <w:jc w:val="center"/>
              <w:rPr>
                <w:rFonts w:ascii="Times New Roman" w:hAnsi="Times New Roman"/>
                <w:bCs/>
                <w:color w:val="000000"/>
                <w:lang w:eastAsia="en-GB"/>
              </w:rPr>
            </w:pPr>
            <w:r>
              <w:rPr>
                <w:bCs/>
                <w:color w:val="000000"/>
                <w:lang w:eastAsia="en-GB"/>
              </w:rPr>
              <w:t>Months</w:t>
            </w:r>
          </w:p>
        </w:tc>
      </w:tr>
      <w:tr>
        <w:trPr>
          <w:trHeight w:val="315" w:hRule="atLeast"/>
        </w:trPr>
        <w:tc>
          <w:tcPr>
            <w:tcW w:w="1458" w:type="dxa"/>
            <w:vMerge w:val="continue"/>
            <w:tcBorders>
              <w:top w:val="single" w:sz="8" w:space="0" w:color="000000"/>
              <w:left w:val="single" w:sz="8" w:space="0" w:color="000000"/>
              <w:bottom w:val="single" w:sz="8" w:space="0" w:color="000000"/>
            </w:tcBorders>
            <w:vAlign w:val="center"/>
          </w:tcPr>
          <w:p>
            <w:pPr>
              <w:pStyle w:val="Normal"/>
              <w:widowControl w:val="false"/>
              <w:rPr>
                <w:rFonts w:ascii="Times New Roman" w:hAnsi="Times New Roman"/>
                <w:bCs/>
                <w:color w:val="000000"/>
                <w:lang w:eastAsia="en-GB"/>
              </w:rPr>
            </w:pPr>
            <w:r>
              <w:rPr>
                <w:bCs/>
                <w:color w:val="000000"/>
                <w:lang w:eastAsia="en-GB"/>
              </w:rPr>
            </w:r>
          </w:p>
        </w:tc>
        <w:tc>
          <w:tcPr>
            <w:tcW w:w="863" w:type="dxa"/>
            <w:vMerge w:val="continue"/>
            <w:tcBorders>
              <w:top w:val="single" w:sz="8" w:space="0" w:color="000000"/>
              <w:bottom w:val="single" w:sz="8" w:space="0" w:color="000000"/>
            </w:tcBorders>
            <w:vAlign w:val="center"/>
          </w:tcPr>
          <w:p>
            <w:pPr>
              <w:pStyle w:val="Normal"/>
              <w:widowControl w:val="false"/>
              <w:rPr>
                <w:rFonts w:ascii="Times New Roman" w:hAnsi="Times New Roman"/>
                <w:bCs/>
                <w:color w:val="000000"/>
                <w:lang w:eastAsia="en-GB"/>
              </w:rPr>
            </w:pPr>
            <w:r>
              <w:rPr>
                <w:bCs/>
                <w:color w:val="000000"/>
                <w:lang w:eastAsia="en-GB"/>
              </w:rPr>
            </w:r>
          </w:p>
        </w:tc>
        <w:tc>
          <w:tcPr>
            <w:tcW w:w="31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w:t>
            </w:r>
          </w:p>
        </w:tc>
        <w:tc>
          <w:tcPr>
            <w:tcW w:w="31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2</w:t>
            </w:r>
          </w:p>
        </w:tc>
        <w:tc>
          <w:tcPr>
            <w:tcW w:w="31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3</w:t>
            </w:r>
          </w:p>
        </w:tc>
        <w:tc>
          <w:tcPr>
            <w:tcW w:w="31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4</w:t>
            </w:r>
          </w:p>
        </w:tc>
        <w:tc>
          <w:tcPr>
            <w:tcW w:w="31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5</w:t>
            </w:r>
          </w:p>
        </w:tc>
        <w:tc>
          <w:tcPr>
            <w:tcW w:w="31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6</w:t>
            </w:r>
          </w:p>
        </w:tc>
        <w:tc>
          <w:tcPr>
            <w:tcW w:w="312"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7</w:t>
            </w:r>
          </w:p>
        </w:tc>
        <w:tc>
          <w:tcPr>
            <w:tcW w:w="31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8</w:t>
            </w:r>
          </w:p>
        </w:tc>
        <w:tc>
          <w:tcPr>
            <w:tcW w:w="31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9</w:t>
            </w:r>
          </w:p>
        </w:tc>
        <w:tc>
          <w:tcPr>
            <w:tcW w:w="422"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10</w:t>
            </w:r>
          </w:p>
        </w:tc>
        <w:tc>
          <w:tcPr>
            <w:tcW w:w="42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11</w:t>
            </w:r>
          </w:p>
        </w:tc>
        <w:tc>
          <w:tcPr>
            <w:tcW w:w="422"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12</w:t>
            </w:r>
          </w:p>
        </w:tc>
        <w:tc>
          <w:tcPr>
            <w:tcW w:w="42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13</w:t>
            </w:r>
          </w:p>
        </w:tc>
        <w:tc>
          <w:tcPr>
            <w:tcW w:w="422"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14</w:t>
            </w:r>
          </w:p>
        </w:tc>
        <w:tc>
          <w:tcPr>
            <w:tcW w:w="42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15</w:t>
            </w:r>
          </w:p>
        </w:tc>
        <w:tc>
          <w:tcPr>
            <w:tcW w:w="422"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16</w:t>
            </w:r>
          </w:p>
        </w:tc>
        <w:tc>
          <w:tcPr>
            <w:tcW w:w="42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17</w:t>
            </w:r>
          </w:p>
        </w:tc>
        <w:tc>
          <w:tcPr>
            <w:tcW w:w="459" w:type="dxa"/>
            <w:tcBorders>
              <w:bottom w:val="single" w:sz="8" w:space="0" w:color="000000"/>
              <w:right w:val="single" w:sz="8" w:space="0" w:color="000000"/>
            </w:tcBorders>
            <w:shd w:color="auto" w:fill="auto" w:val="clear"/>
            <w:vAlign w:val="bottom"/>
          </w:tcPr>
          <w:p>
            <w:pPr>
              <w:pStyle w:val="Normal"/>
              <w:widowControl w:val="false"/>
              <w:jc w:val="right"/>
              <w:rPr>
                <w:rFonts w:ascii="Times New Roman" w:hAnsi="Times New Roman"/>
                <w:bCs/>
                <w:color w:val="000000"/>
                <w:lang w:eastAsia="en-GB"/>
              </w:rPr>
            </w:pPr>
            <w:r>
              <w:rPr>
                <w:bCs/>
                <w:color w:val="000000"/>
                <w:lang w:eastAsia="en-GB"/>
              </w:rPr>
              <w:t>18</w:t>
            </w:r>
          </w:p>
        </w:tc>
      </w:tr>
      <w:tr>
        <w:trPr>
          <w:trHeight w:val="315" w:hRule="atLeast"/>
        </w:trPr>
        <w:tc>
          <w:tcPr>
            <w:tcW w:w="1458" w:type="dxa"/>
            <w:vMerge w:val="restart"/>
            <w:tcBorders>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xml:space="preserve">1. HFC phase-down strategy </w:t>
            </w:r>
          </w:p>
        </w:tc>
        <w:tc>
          <w:tcPr>
            <w:tcW w:w="863" w:type="dxa"/>
            <w:tcBorders>
              <w:top w:val="single" w:sz="8" w:space="0" w:color="000000"/>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1.1</w:t>
            </w:r>
          </w:p>
        </w:tc>
        <w:tc>
          <w:tcPr>
            <w:tcW w:w="313" w:type="dxa"/>
            <w:tcBorders>
              <w:top w:val="single" w:sz="8" w:space="0" w:color="000000"/>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top w:val="single" w:sz="8" w:space="0" w:color="000000"/>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top w:val="single" w:sz="8" w:space="0" w:color="000000"/>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458"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eastAsia="en-GB"/>
              </w:rPr>
            </w:pPr>
            <w:r>
              <w:rPr>
                <w:color w:val="000000"/>
                <w:lang w:eastAsia="en-GB"/>
              </w:rPr>
            </w:r>
          </w:p>
        </w:tc>
        <w:tc>
          <w:tcPr>
            <w:tcW w:w="863"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1.2</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458"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eastAsia="en-GB"/>
              </w:rPr>
            </w:pPr>
            <w:r>
              <w:rPr>
                <w:color w:val="000000"/>
                <w:lang w:eastAsia="en-GB"/>
              </w:rPr>
            </w:r>
          </w:p>
        </w:tc>
        <w:tc>
          <w:tcPr>
            <w:tcW w:w="863"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1.3</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458"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eastAsia="en-GB"/>
              </w:rPr>
            </w:pPr>
            <w:r>
              <w:rPr>
                <w:color w:val="000000"/>
                <w:lang w:eastAsia="en-GB"/>
              </w:rPr>
            </w:r>
          </w:p>
        </w:tc>
        <w:tc>
          <w:tcPr>
            <w:tcW w:w="863"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1.4</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458" w:type="dxa"/>
            <w:vMerge w:val="restart"/>
            <w:tcBorders>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2. Capacity Building</w:t>
            </w:r>
          </w:p>
        </w:tc>
        <w:tc>
          <w:tcPr>
            <w:tcW w:w="863"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2.1</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458"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eastAsia="en-GB"/>
              </w:rPr>
            </w:pPr>
            <w:r>
              <w:rPr>
                <w:color w:val="000000"/>
                <w:lang w:eastAsia="en-GB"/>
              </w:rPr>
            </w:r>
          </w:p>
        </w:tc>
        <w:tc>
          <w:tcPr>
            <w:tcW w:w="863"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2.2</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458"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eastAsia="en-GB"/>
              </w:rPr>
            </w:pPr>
            <w:r>
              <w:rPr>
                <w:color w:val="000000"/>
                <w:lang w:eastAsia="en-GB"/>
              </w:rPr>
            </w:r>
          </w:p>
        </w:tc>
        <w:tc>
          <w:tcPr>
            <w:tcW w:w="863"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2.3</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D0CECE"/>
              <w:right w:val="single" w:sz="8" w:space="0" w:color="000000"/>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458" w:type="dxa"/>
            <w:vMerge w:val="restart"/>
            <w:tcBorders>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3. Public awareness</w:t>
            </w:r>
          </w:p>
        </w:tc>
        <w:tc>
          <w:tcPr>
            <w:tcW w:w="863"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3.1</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458"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eastAsia="en-GB"/>
              </w:rPr>
            </w:pPr>
            <w:r>
              <w:rPr>
                <w:color w:val="000000"/>
                <w:lang w:eastAsia="en-GB"/>
              </w:rPr>
            </w:r>
          </w:p>
        </w:tc>
        <w:tc>
          <w:tcPr>
            <w:tcW w:w="863"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3.2</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458" w:type="dxa"/>
            <w:tcBorders>
              <w:left w:val="single" w:sz="8" w:space="0" w:color="000000"/>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4. Coordination</w:t>
            </w:r>
          </w:p>
        </w:tc>
        <w:tc>
          <w:tcPr>
            <w:tcW w:w="863" w:type="dxa"/>
            <w:tcBorders>
              <w:bottom w:val="single" w:sz="8" w:space="0" w:color="000000"/>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4.1</w:t>
            </w:r>
          </w:p>
        </w:tc>
        <w:tc>
          <w:tcPr>
            <w:tcW w:w="313"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12"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13"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2"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23"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59" w:type="dxa"/>
            <w:tcBorders>
              <w:bottom w:val="single" w:sz="8" w:space="0" w:color="000000"/>
              <w:right w:val="single" w:sz="8" w:space="0" w:color="000000"/>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r>
    </w:tbl>
    <w:p>
      <w:pPr>
        <w:pStyle w:val="Normal"/>
        <w:jc w:val="both"/>
        <w:rPr>
          <w:rFonts w:ascii="Times New Roman" w:hAnsi="Times New Roman"/>
        </w:rPr>
      </w:pPr>
      <w:r>
        <w:rPr>
          <w:b/>
        </w:rPr>
      </w:r>
      <w:r>
        <w:rPr>
          <w:b/>
        </w:rPr>
        <w:fldChar w:fldCharType="end"/>
      </w:r>
      <w:r>
        <w:rPr/>
        <w:t>UNE, as cooperating agency, will implement the following activities:</w:t>
      </w:r>
    </w:p>
    <w:p>
      <w:pPr>
        <w:pStyle w:val="Normal"/>
        <w:jc w:val="both"/>
        <w:rPr>
          <w:rFonts w:ascii="Times New Roman" w:hAnsi="Times New Roman"/>
        </w:rPr>
      </w:pPr>
      <w:r>
        <w:rPr/>
      </w:r>
    </w:p>
    <w:p>
      <w:pPr>
        <w:pStyle w:val="ListParagraph"/>
        <w:widowControl/>
        <w:numPr>
          <w:ilvl w:val="0"/>
          <w:numId w:val="47"/>
        </w:numPr>
        <w:spacing w:lineRule="auto" w:line="259" w:before="0" w:after="160"/>
        <w:contextualSpacing/>
        <w:rPr>
          <w:rFonts w:ascii="Times New Roman" w:hAnsi="Times New Roman"/>
          <w:b/>
          <w:b/>
        </w:rPr>
      </w:pPr>
      <w:r>
        <w:rPr>
          <w:b/>
        </w:rPr>
        <w:t>PRELIMINARY ACTIVITIES.</w:t>
      </w:r>
    </w:p>
    <w:p>
      <w:pPr>
        <w:pStyle w:val="Normal"/>
        <w:ind w:left="1440" w:hanging="0"/>
        <w:rPr>
          <w:rFonts w:ascii="Times New Roman" w:hAnsi="Times New Roman"/>
          <w:b/>
          <w:b/>
        </w:rPr>
      </w:pPr>
      <w:r>
        <w:rPr>
          <w:b/>
        </w:rPr>
        <w:t>Capacity Building</w:t>
      </w:r>
    </w:p>
    <w:p>
      <w:pPr>
        <w:pStyle w:val="Normal"/>
        <w:jc w:val="both"/>
        <w:rPr>
          <w:rFonts w:ascii="Times New Roman" w:hAnsi="Times New Roman"/>
        </w:rPr>
      </w:pPr>
      <w:r>
        <w:rPr/>
        <w:t>With the implementation of the Kigali Amendment, it would be essential to start with several preliminary capacity building activities paving the way to the HFC phase-down. A number of actions has been identified by Mexico, one of the most important ones is to enforce Mexican customs and other stakeholders in the controls and obligations necessary to regulate HFC and its alternatives. In order to maximize the impact, this component will be harmonized with the efforts stablished under HPMP 2 by creating co-benefits in terms of prevention of illicit traffic of HCFC while controlling the import of HFC.</w:t>
      </w:r>
    </w:p>
    <w:tbl>
      <w:tblPr>
        <w:tblStyle w:val="TableGrid"/>
        <w:tblW w:w="907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820"/>
        <w:gridCol w:w="2428"/>
        <w:gridCol w:w="850"/>
        <w:gridCol w:w="2693"/>
        <w:gridCol w:w="1284"/>
      </w:tblGrid>
      <w:tr>
        <w:trPr>
          <w:tblHeader w:val="true"/>
          <w:trHeight w:val="315" w:hRule="atLeast"/>
        </w:trPr>
        <w:tc>
          <w:tcPr>
            <w:tcW w:w="1820" w:type="dxa"/>
            <w:tcBorders/>
            <w:shd w:color="auto" w:fill="DBE5F1" w:themeFill="accent1" w:themeFillTint="33" w:val="clear"/>
            <w:vAlign w:val="center"/>
          </w:tcPr>
          <w:p>
            <w:pPr>
              <w:pStyle w:val="Normal"/>
              <w:widowControl w:val="false"/>
              <w:spacing w:before="0" w:after="0"/>
              <w:jc w:val="left"/>
              <w:rPr>
                <w:rFonts w:ascii="Times New Roman" w:hAnsi="Times New Roman"/>
                <w:b/>
                <w:b/>
                <w:bCs/>
              </w:rPr>
            </w:pPr>
            <w:r>
              <w:rPr>
                <w:b/>
                <w:bCs/>
                <w:kern w:val="0"/>
                <w:lang w:val="en-US" w:eastAsia="en-US" w:bidi="ar-SA"/>
              </w:rPr>
              <w:t>Output</w:t>
            </w:r>
          </w:p>
        </w:tc>
        <w:tc>
          <w:tcPr>
            <w:tcW w:w="2428"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2693"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4"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1050" w:hRule="atLeast"/>
        </w:trPr>
        <w:tc>
          <w:tcPr>
            <w:tcW w:w="1820" w:type="dxa"/>
            <w:tcBorders/>
            <w:vAlign w:val="center"/>
          </w:tcPr>
          <w:p>
            <w:pPr>
              <w:pStyle w:val="Normal"/>
              <w:widowControl w:val="false"/>
              <w:spacing w:before="0" w:after="0"/>
              <w:jc w:val="left"/>
              <w:rPr>
                <w:rFonts w:ascii="Times New Roman" w:hAnsi="Times New Roman"/>
              </w:rPr>
            </w:pPr>
            <w:r>
              <w:rPr>
                <w:kern w:val="0"/>
                <w:lang w:val="en-US" w:eastAsia="en-US" w:bidi="ar-SA"/>
              </w:rPr>
              <w:t>Preliminary capacity building requirements for the implementation of the Kigali Amendment and its related matters.</w:t>
            </w:r>
          </w:p>
        </w:tc>
        <w:tc>
          <w:tcPr>
            <w:tcW w:w="2428" w:type="dxa"/>
            <w:tcBorders/>
            <w:vAlign w:val="center"/>
          </w:tcPr>
          <w:p>
            <w:pPr>
              <w:pStyle w:val="Normal"/>
              <w:widowControl w:val="false"/>
              <w:spacing w:before="0" w:after="0"/>
              <w:jc w:val="left"/>
              <w:rPr>
                <w:rFonts w:ascii="Times New Roman" w:hAnsi="Times New Roman"/>
              </w:rPr>
            </w:pPr>
            <w:r>
              <w:rPr>
                <w:kern w:val="0"/>
                <w:lang w:val="en-US" w:eastAsia="en-US" w:bidi="ar-SA"/>
              </w:rPr>
              <w:t>Training for customs and enforcement officers addressing the obligations under the Kigali Amendment, including the revised import/export licensing systems.</w:t>
            </w:r>
          </w:p>
        </w:tc>
        <w:tc>
          <w:tcPr>
            <w:tcW w:w="850" w:type="dxa"/>
            <w:tcBorders/>
            <w:vAlign w:val="center"/>
          </w:tcPr>
          <w:p>
            <w:pPr>
              <w:pStyle w:val="Normal"/>
              <w:widowControl w:val="false"/>
              <w:spacing w:before="0" w:after="0"/>
              <w:jc w:val="center"/>
              <w:rPr>
                <w:rFonts w:ascii="Times New Roman" w:hAnsi="Times New Roman"/>
              </w:rPr>
            </w:pPr>
            <w:r>
              <w:rPr>
                <w:kern w:val="0"/>
                <w:lang w:val="en-US" w:eastAsia="en-US" w:bidi="ar-SA"/>
              </w:rPr>
              <w:t>6</w:t>
            </w:r>
          </w:p>
        </w:tc>
        <w:tc>
          <w:tcPr>
            <w:tcW w:w="2693" w:type="dxa"/>
            <w:tcBorders/>
            <w:vAlign w:val="center"/>
          </w:tcPr>
          <w:p>
            <w:pPr>
              <w:pStyle w:val="Normal"/>
              <w:widowControl w:val="false"/>
              <w:spacing w:before="0" w:after="0"/>
              <w:jc w:val="left"/>
              <w:rPr>
                <w:rFonts w:ascii="Times New Roman" w:hAnsi="Times New Roman"/>
              </w:rPr>
            </w:pPr>
            <w:r>
              <w:rPr>
                <w:kern w:val="0"/>
                <w:lang w:val="en-US" w:eastAsia="en-US" w:bidi="ar-SA"/>
              </w:rPr>
              <w:t>Update to the custom and enforcement officers on the regulations for the imports of HFC and its alternatives.  Including the identification of the tools required for the control these substances.</w:t>
            </w:r>
          </w:p>
        </w:tc>
        <w:tc>
          <w:tcPr>
            <w:tcW w:w="1284" w:type="dxa"/>
            <w:tcBorders/>
            <w:vAlign w:val="center"/>
          </w:tcPr>
          <w:p>
            <w:pPr>
              <w:pStyle w:val="Normal"/>
              <w:widowControl w:val="false"/>
              <w:spacing w:before="0" w:after="0"/>
              <w:jc w:val="left"/>
              <w:rPr>
                <w:rFonts w:ascii="Times New Roman" w:hAnsi="Times New Roman"/>
              </w:rPr>
            </w:pPr>
            <w:r>
              <w:rPr>
                <w:kern w:val="0"/>
                <w:lang w:val="en-US" w:eastAsia="en-US" w:bidi="ar-SA"/>
              </w:rPr>
              <w:t>20,000</w:t>
            </w:r>
          </w:p>
        </w:tc>
      </w:tr>
      <w:tr>
        <w:trPr>
          <w:trHeight w:val="283" w:hRule="atLeast"/>
        </w:trPr>
        <w:tc>
          <w:tcPr>
            <w:tcW w:w="4248" w:type="dxa"/>
            <w:gridSpan w:val="2"/>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850"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6</w:t>
            </w:r>
          </w:p>
        </w:tc>
        <w:tc>
          <w:tcPr>
            <w:tcW w:w="2693" w:type="dxa"/>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1284"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20,000</w:t>
            </w:r>
          </w:p>
        </w:tc>
      </w:tr>
    </w:tbl>
    <w:p>
      <w:pPr>
        <w:pStyle w:val="Normal"/>
        <w:rPr>
          <w:rFonts w:ascii="Times New Roman" w:hAnsi="Times New Roman"/>
        </w:rPr>
      </w:pPr>
      <w:r>
        <w:rPr/>
      </w:r>
    </w:p>
    <w:p>
      <w:pPr>
        <w:pStyle w:val="ListParagraph"/>
        <w:widowControl/>
        <w:numPr>
          <w:ilvl w:val="0"/>
          <w:numId w:val="47"/>
        </w:numPr>
        <w:spacing w:lineRule="auto" w:line="259" w:before="0" w:after="160"/>
        <w:contextualSpacing/>
        <w:rPr>
          <w:rFonts w:ascii="Times New Roman" w:hAnsi="Times New Roman"/>
          <w:b/>
          <w:b/>
        </w:rPr>
      </w:pPr>
      <w:r>
        <w:rPr>
          <w:b/>
        </w:rPr>
        <w:t>PUBLIC AWARENESS.</w:t>
      </w:r>
    </w:p>
    <w:p>
      <w:pPr>
        <w:pStyle w:val="Normal"/>
        <w:jc w:val="both"/>
        <w:rPr>
          <w:rFonts w:ascii="Times New Roman" w:hAnsi="Times New Roman"/>
        </w:rPr>
      </w:pPr>
      <w:r>
        <w:rPr/>
        <w:t>In order to disseminate Mexico’s new commitments under the Montreal Protocol and the possible effects of the Kigali Amendment in the Mexican policies, in terms of climate change, as one of the first enabling activities, the organization of one informative workshop is planned, aiming at the Industry, Academy, Government, and other representatives. This way, the Mexican government considers it would be very relevant to produce outreach materials that demonstrate the impact and benefits of the Kigali amendment, as well as the documentation of the project within Mexico using low- GWP alternatives.</w:t>
      </w:r>
    </w:p>
    <w:p>
      <w:pPr>
        <w:pStyle w:val="Normal"/>
        <w:jc w:val="both"/>
        <w:rPr>
          <w:rFonts w:ascii="Times New Roman" w:hAnsi="Times New Roman"/>
        </w:rPr>
      </w:pPr>
      <w:r>
        <w:rPr/>
      </w:r>
    </w:p>
    <w:tbl>
      <w:tblPr>
        <w:tblStyle w:val="TableGrid"/>
        <w:tblW w:w="907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980"/>
        <w:gridCol w:w="2268"/>
        <w:gridCol w:w="850"/>
        <w:gridCol w:w="2693"/>
        <w:gridCol w:w="1284"/>
      </w:tblGrid>
      <w:tr>
        <w:trPr>
          <w:trHeight w:val="315" w:hRule="atLeast"/>
        </w:trPr>
        <w:tc>
          <w:tcPr>
            <w:tcW w:w="198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Output</w:t>
            </w:r>
          </w:p>
        </w:tc>
        <w:tc>
          <w:tcPr>
            <w:tcW w:w="2268"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2693"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4"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300" w:hRule="atLeast"/>
        </w:trPr>
        <w:tc>
          <w:tcPr>
            <w:tcW w:w="1980" w:type="dxa"/>
            <w:tcBorders/>
          </w:tcPr>
          <w:p>
            <w:pPr>
              <w:pStyle w:val="Normal"/>
              <w:widowControl w:val="false"/>
              <w:spacing w:before="0" w:after="0"/>
              <w:jc w:val="both"/>
              <w:rPr>
                <w:rFonts w:ascii="Times New Roman" w:hAnsi="Times New Roman"/>
              </w:rPr>
            </w:pPr>
            <w:r>
              <w:rPr>
                <w:kern w:val="0"/>
                <w:lang w:val="en-US" w:eastAsia="en-US" w:bidi="ar-SA"/>
              </w:rPr>
              <w:t>Kigali Amendment informative workshop</w:t>
            </w:r>
          </w:p>
        </w:tc>
        <w:tc>
          <w:tcPr>
            <w:tcW w:w="2268" w:type="dxa"/>
            <w:tcBorders/>
          </w:tcPr>
          <w:p>
            <w:pPr>
              <w:pStyle w:val="Normal"/>
              <w:widowControl w:val="false"/>
              <w:spacing w:before="0" w:after="0"/>
              <w:jc w:val="both"/>
              <w:rPr>
                <w:rFonts w:ascii="Times New Roman" w:hAnsi="Times New Roman"/>
              </w:rPr>
            </w:pPr>
            <w:r>
              <w:rPr>
                <w:kern w:val="0"/>
                <w:lang w:val="en-US" w:eastAsia="en-US" w:bidi="ar-SA"/>
              </w:rPr>
              <w:t>Elaboration of dissemination material for the different national actors with regard to the Kigali Amendment.</w:t>
            </w:r>
          </w:p>
        </w:tc>
        <w:tc>
          <w:tcPr>
            <w:tcW w:w="850" w:type="dxa"/>
            <w:tcBorders/>
          </w:tcPr>
          <w:p>
            <w:pPr>
              <w:pStyle w:val="Normal"/>
              <w:widowControl w:val="false"/>
              <w:spacing w:before="0" w:after="0"/>
              <w:jc w:val="center"/>
              <w:rPr>
                <w:rFonts w:ascii="Times New Roman" w:hAnsi="Times New Roman"/>
              </w:rPr>
            </w:pPr>
            <w:r>
              <w:rPr>
                <w:kern w:val="0"/>
                <w:lang w:val="en-US" w:eastAsia="en-US" w:bidi="ar-SA"/>
              </w:rPr>
              <w:t>3</w:t>
            </w:r>
          </w:p>
        </w:tc>
        <w:tc>
          <w:tcPr>
            <w:tcW w:w="2693" w:type="dxa"/>
            <w:tcBorders/>
          </w:tcPr>
          <w:p>
            <w:pPr>
              <w:pStyle w:val="Normal"/>
              <w:widowControl w:val="false"/>
              <w:spacing w:before="0" w:after="0"/>
              <w:jc w:val="both"/>
              <w:rPr>
                <w:rFonts w:ascii="Times New Roman" w:hAnsi="Times New Roman"/>
              </w:rPr>
            </w:pPr>
            <w:r>
              <w:rPr>
                <w:kern w:val="0"/>
                <w:lang w:val="en-US" w:eastAsia="en-US" w:bidi="ar-SA"/>
              </w:rPr>
              <w:t>Design and printing of notebooks, posters, handbook and other promotional materials regarding Kigali Amendment.</w:t>
            </w:r>
          </w:p>
        </w:tc>
        <w:tc>
          <w:tcPr>
            <w:tcW w:w="1284" w:type="dxa"/>
            <w:tcBorders/>
          </w:tcPr>
          <w:p>
            <w:pPr>
              <w:pStyle w:val="Normal"/>
              <w:widowControl w:val="false"/>
              <w:spacing w:before="0" w:after="0"/>
              <w:jc w:val="both"/>
              <w:rPr>
                <w:rFonts w:ascii="Times New Roman" w:hAnsi="Times New Roman"/>
              </w:rPr>
            </w:pPr>
            <w:r>
              <w:rPr>
                <w:kern w:val="0"/>
                <w:lang w:val="en-US" w:eastAsia="en-US" w:bidi="ar-SA"/>
              </w:rPr>
              <w:t>10,000</w:t>
            </w:r>
          </w:p>
        </w:tc>
      </w:tr>
      <w:tr>
        <w:trPr>
          <w:trHeight w:val="318" w:hRule="atLeast"/>
        </w:trPr>
        <w:tc>
          <w:tcPr>
            <w:tcW w:w="4248" w:type="dxa"/>
            <w:gridSpan w:val="2"/>
            <w:tcBorders/>
          </w:tcPr>
          <w:p>
            <w:pPr>
              <w:pStyle w:val="Normal"/>
              <w:widowControl w:val="false"/>
              <w:spacing w:before="0" w:after="0"/>
              <w:jc w:val="right"/>
              <w:rPr>
                <w:rFonts w:ascii="Times New Roman" w:hAnsi="Times New Roman"/>
                <w:b/>
                <w:b/>
              </w:rPr>
            </w:pPr>
            <w:r>
              <w:rPr>
                <w:b/>
                <w:kern w:val="0"/>
                <w:lang w:val="en-US" w:eastAsia="en-US" w:bidi="ar-SA"/>
              </w:rPr>
              <w:t>Total</w:t>
            </w:r>
          </w:p>
        </w:tc>
        <w:tc>
          <w:tcPr>
            <w:tcW w:w="850" w:type="dxa"/>
            <w:tcBorders/>
          </w:tcPr>
          <w:p>
            <w:pPr>
              <w:pStyle w:val="Normal"/>
              <w:widowControl w:val="false"/>
              <w:spacing w:before="0" w:after="0"/>
              <w:jc w:val="center"/>
              <w:rPr>
                <w:rFonts w:ascii="Times New Roman" w:hAnsi="Times New Roman"/>
                <w:b/>
                <w:b/>
              </w:rPr>
            </w:pPr>
            <w:r>
              <w:rPr>
                <w:b/>
                <w:kern w:val="0"/>
                <w:lang w:val="en-US" w:eastAsia="en-US" w:bidi="ar-SA"/>
              </w:rPr>
              <w:t>3</w:t>
            </w:r>
          </w:p>
        </w:tc>
        <w:tc>
          <w:tcPr>
            <w:tcW w:w="2693" w:type="dxa"/>
            <w:tcBorders/>
          </w:tcPr>
          <w:p>
            <w:pPr>
              <w:pStyle w:val="Normal"/>
              <w:widowControl w:val="false"/>
              <w:spacing w:before="0" w:after="0"/>
              <w:jc w:val="right"/>
              <w:rPr>
                <w:rFonts w:ascii="Times New Roman" w:hAnsi="Times New Roman"/>
                <w:b/>
                <w:b/>
              </w:rPr>
            </w:pPr>
            <w:r>
              <w:rPr>
                <w:b/>
                <w:kern w:val="0"/>
                <w:lang w:val="en-US" w:eastAsia="en-US" w:bidi="ar-SA"/>
              </w:rPr>
              <w:t>Total</w:t>
            </w:r>
          </w:p>
        </w:tc>
        <w:tc>
          <w:tcPr>
            <w:tcW w:w="1284" w:type="dxa"/>
            <w:tcBorders/>
          </w:tcPr>
          <w:p>
            <w:pPr>
              <w:pStyle w:val="Normal"/>
              <w:widowControl w:val="false"/>
              <w:spacing w:before="0" w:after="0"/>
              <w:jc w:val="both"/>
              <w:rPr>
                <w:rFonts w:ascii="Times New Roman" w:hAnsi="Times New Roman"/>
                <w:b/>
                <w:b/>
              </w:rPr>
            </w:pPr>
            <w:r>
              <w:rPr>
                <w:b/>
                <w:kern w:val="0"/>
                <w:lang w:val="en-US" w:eastAsia="en-US" w:bidi="ar-SA"/>
              </w:rPr>
              <w:t>10,000</w:t>
            </w:r>
          </w:p>
        </w:tc>
      </w:tr>
    </w:tbl>
    <w:p>
      <w:pPr>
        <w:pStyle w:val="Normal"/>
        <w:jc w:val="both"/>
        <w:rPr>
          <w:rFonts w:ascii="Times New Roman" w:hAnsi="Times New Roman"/>
        </w:rPr>
      </w:pPr>
      <w:r>
        <w:rPr/>
      </w:r>
    </w:p>
    <w:p>
      <w:pPr>
        <w:pStyle w:val="ListParagraph"/>
        <w:widowControl/>
        <w:numPr>
          <w:ilvl w:val="0"/>
          <w:numId w:val="47"/>
        </w:numPr>
        <w:spacing w:lineRule="auto" w:line="259" w:before="0" w:after="160"/>
        <w:contextualSpacing/>
        <w:rPr>
          <w:rFonts w:ascii="Times New Roman" w:hAnsi="Times New Roman"/>
          <w:b/>
          <w:b/>
        </w:rPr>
      </w:pPr>
      <w:r>
        <w:rPr>
          <w:b/>
        </w:rPr>
        <w:t>COST BREAKDOWN AND SCHEDULE FOR IMPLEMENTATION</w:t>
      </w:r>
    </w:p>
    <w:tbl>
      <w:tblPr>
        <w:tblStyle w:val="TableGrid"/>
        <w:tblW w:w="882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823"/>
        <w:gridCol w:w="3543"/>
        <w:gridCol w:w="1462"/>
      </w:tblGrid>
      <w:tr>
        <w:trPr>
          <w:trHeight w:val="531" w:hRule="atLeast"/>
        </w:trPr>
        <w:tc>
          <w:tcPr>
            <w:tcW w:w="3823"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kern w:val="0"/>
                <w:lang w:val="en-US" w:eastAsia="en-US" w:bidi="ar-SA"/>
              </w:rPr>
              <w:t>Enabling Activity</w:t>
            </w:r>
          </w:p>
        </w:tc>
        <w:tc>
          <w:tcPr>
            <w:tcW w:w="3543"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kern w:val="0"/>
                <w:lang w:val="en-US" w:eastAsia="en-US" w:bidi="ar-SA"/>
              </w:rPr>
              <w:t>Line of Activity</w:t>
            </w:r>
          </w:p>
        </w:tc>
        <w:tc>
          <w:tcPr>
            <w:tcW w:w="1462"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bCs/>
                <w:kern w:val="0"/>
                <w:lang w:val="en-US" w:eastAsia="en-US" w:bidi="ar-SA"/>
              </w:rPr>
              <w:t>Budget Requested (USD)</w:t>
            </w:r>
          </w:p>
        </w:tc>
      </w:tr>
      <w:tr>
        <w:trPr/>
        <w:tc>
          <w:tcPr>
            <w:tcW w:w="3823" w:type="dxa"/>
            <w:vMerge w:val="restart"/>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t>1. Preliminary capacity building requirements for the implementation of the Kigali Amendment and its related matters</w:t>
            </w:r>
          </w:p>
        </w:tc>
        <w:tc>
          <w:tcPr>
            <w:tcW w:w="3543" w:type="dxa"/>
            <w:tcBorders/>
            <w:vAlign w:val="center"/>
          </w:tcPr>
          <w:p>
            <w:pPr>
              <w:pStyle w:val="Normal"/>
              <w:widowControl w:val="false"/>
              <w:spacing w:before="0" w:after="0"/>
              <w:jc w:val="left"/>
              <w:rPr>
                <w:rFonts w:ascii="Times New Roman" w:hAnsi="Times New Roman"/>
              </w:rPr>
            </w:pPr>
            <w:r>
              <w:rPr>
                <w:kern w:val="0"/>
                <w:lang w:val="en-US" w:eastAsia="en-US" w:bidi="ar-SA"/>
              </w:rPr>
              <w:t>1.1 Training for customs and enforcement officers addressing the obligations under the Kigali Amendment.</w:t>
            </w:r>
          </w:p>
        </w:tc>
        <w:tc>
          <w:tcPr>
            <w:tcW w:w="1462" w:type="dxa"/>
            <w:tcBorders/>
            <w:vAlign w:val="center"/>
          </w:tcPr>
          <w:p>
            <w:pPr>
              <w:pStyle w:val="Normal"/>
              <w:widowControl w:val="false"/>
              <w:spacing w:before="0" w:after="0"/>
              <w:jc w:val="center"/>
              <w:rPr>
                <w:rFonts w:ascii="Times New Roman" w:hAnsi="Times New Roman"/>
              </w:rPr>
            </w:pPr>
            <w:r>
              <w:rPr>
                <w:kern w:val="0"/>
                <w:lang w:val="en-US" w:eastAsia="en-US" w:bidi="ar-SA"/>
              </w:rPr>
              <w:t>20,000</w:t>
            </w:r>
          </w:p>
        </w:tc>
      </w:tr>
      <w:tr>
        <w:trPr/>
        <w:tc>
          <w:tcPr>
            <w:tcW w:w="3823" w:type="dxa"/>
            <w:vMerge w:val="continue"/>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r>
          </w:p>
        </w:tc>
        <w:tc>
          <w:tcPr>
            <w:tcW w:w="3543" w:type="dxa"/>
            <w:tcBorders/>
            <w:vAlign w:val="center"/>
          </w:tcPr>
          <w:p>
            <w:pPr>
              <w:pStyle w:val="Normal"/>
              <w:widowControl w:val="false"/>
              <w:spacing w:before="0" w:after="0"/>
              <w:jc w:val="right"/>
              <w:rPr>
                <w:rFonts w:ascii="Times New Roman" w:hAnsi="Times New Roman"/>
              </w:rPr>
            </w:pPr>
            <w:r>
              <w:rPr>
                <w:b/>
                <w:i/>
                <w:kern w:val="0"/>
                <w:lang w:val="en-US" w:eastAsia="en-US" w:bidi="ar-SA"/>
              </w:rPr>
              <w:t>Subtotal 1</w:t>
            </w:r>
          </w:p>
        </w:tc>
        <w:tc>
          <w:tcPr>
            <w:tcW w:w="1462"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20,000</w:t>
            </w:r>
          </w:p>
        </w:tc>
      </w:tr>
      <w:tr>
        <w:trPr/>
        <w:tc>
          <w:tcPr>
            <w:tcW w:w="3823" w:type="dxa"/>
            <w:vMerge w:val="restart"/>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t>2.Public awareness</w:t>
            </w:r>
          </w:p>
          <w:p>
            <w:pPr>
              <w:pStyle w:val="ListParagraph"/>
              <w:widowControl w:val="false"/>
              <w:spacing w:before="0" w:after="0"/>
              <w:ind w:left="313" w:hanging="0"/>
              <w:contextualSpacing/>
              <w:jc w:val="left"/>
              <w:rPr>
                <w:rFonts w:ascii="Times New Roman" w:hAnsi="Times New Roman"/>
              </w:rPr>
            </w:pPr>
            <w:r>
              <w:rPr>
                <w:kern w:val="0"/>
                <w:lang w:val="en-US" w:eastAsia="en-US" w:bidi="ar-SA"/>
              </w:rPr>
            </w:r>
          </w:p>
        </w:tc>
        <w:tc>
          <w:tcPr>
            <w:tcW w:w="3543" w:type="dxa"/>
            <w:tcBorders/>
            <w:vAlign w:val="center"/>
          </w:tcPr>
          <w:p>
            <w:pPr>
              <w:pStyle w:val="Normal"/>
              <w:widowControl w:val="false"/>
              <w:spacing w:before="0" w:after="0"/>
              <w:jc w:val="left"/>
              <w:rPr>
                <w:rFonts w:ascii="Times New Roman" w:hAnsi="Times New Roman"/>
              </w:rPr>
            </w:pPr>
            <w:r>
              <w:rPr>
                <w:kern w:val="0"/>
                <w:lang w:val="en-US" w:eastAsia="en-US" w:bidi="ar-SA"/>
              </w:rPr>
              <w:t>2.1 Design and promotional materials regarding Kigali Amendment.</w:t>
            </w:r>
          </w:p>
        </w:tc>
        <w:tc>
          <w:tcPr>
            <w:tcW w:w="1462" w:type="dxa"/>
            <w:tcBorders/>
            <w:vAlign w:val="center"/>
          </w:tcPr>
          <w:p>
            <w:pPr>
              <w:pStyle w:val="Normal"/>
              <w:widowControl w:val="false"/>
              <w:spacing w:before="0" w:after="0"/>
              <w:jc w:val="center"/>
              <w:rPr>
                <w:rFonts w:ascii="Times New Roman" w:hAnsi="Times New Roman"/>
              </w:rPr>
            </w:pPr>
            <w:r>
              <w:rPr>
                <w:kern w:val="0"/>
                <w:lang w:val="en-US" w:eastAsia="en-US" w:bidi="ar-SA"/>
              </w:rPr>
              <w:t>10,000</w:t>
            </w:r>
          </w:p>
        </w:tc>
      </w:tr>
      <w:tr>
        <w:trPr/>
        <w:tc>
          <w:tcPr>
            <w:tcW w:w="3823" w:type="dxa"/>
            <w:vMerge w:val="continue"/>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r>
          </w:p>
        </w:tc>
        <w:tc>
          <w:tcPr>
            <w:tcW w:w="3543" w:type="dxa"/>
            <w:tcBorders/>
            <w:vAlign w:val="center"/>
          </w:tcPr>
          <w:p>
            <w:pPr>
              <w:pStyle w:val="Normal"/>
              <w:widowControl w:val="false"/>
              <w:spacing w:before="0" w:after="0"/>
              <w:jc w:val="right"/>
              <w:rPr>
                <w:rFonts w:ascii="Times New Roman" w:hAnsi="Times New Roman"/>
              </w:rPr>
            </w:pPr>
            <w:r>
              <w:rPr>
                <w:b/>
                <w:i/>
                <w:kern w:val="0"/>
                <w:lang w:val="en-US" w:eastAsia="en-US" w:bidi="ar-SA"/>
              </w:rPr>
              <w:t>Subtotal 2</w:t>
            </w:r>
          </w:p>
        </w:tc>
        <w:tc>
          <w:tcPr>
            <w:tcW w:w="1462"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10,000</w:t>
            </w:r>
          </w:p>
        </w:tc>
      </w:tr>
      <w:tr>
        <w:trPr/>
        <w:tc>
          <w:tcPr>
            <w:tcW w:w="7366" w:type="dxa"/>
            <w:gridSpan w:val="2"/>
            <w:tcBorders/>
            <w:shd w:color="auto" w:fill="DBE5F1" w:themeFill="accent1" w:themeFillTint="33" w:val="clear"/>
            <w:vAlign w:val="center"/>
          </w:tcPr>
          <w:p>
            <w:pPr>
              <w:pStyle w:val="Normal"/>
              <w:widowControl w:val="false"/>
              <w:spacing w:before="0" w:after="0"/>
              <w:jc w:val="right"/>
              <w:rPr>
                <w:rFonts w:ascii="Times New Roman" w:hAnsi="Times New Roman"/>
                <w:b/>
                <w:b/>
                <w:i/>
                <w:i/>
              </w:rPr>
            </w:pPr>
            <w:r>
              <w:rPr>
                <w:b/>
                <w:i/>
                <w:kern w:val="0"/>
                <w:lang w:val="en-US" w:eastAsia="en-US" w:bidi="ar-SA"/>
              </w:rPr>
              <w:t>Total</w:t>
            </w:r>
          </w:p>
        </w:tc>
        <w:tc>
          <w:tcPr>
            <w:tcW w:w="1462"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kern w:val="0"/>
                <w:lang w:val="en-US" w:eastAsia="en-US" w:bidi="ar-SA"/>
              </w:rPr>
              <w:t>30,000</w:t>
            </w:r>
          </w:p>
        </w:tc>
      </w:tr>
    </w:tbl>
    <w:p>
      <w:pPr>
        <w:pStyle w:val="Normal"/>
        <w:jc w:val="both"/>
        <w:rPr>
          <w:rFonts w:ascii="Times New Roman" w:hAnsi="Times New Roman"/>
        </w:rPr>
      </w:pPr>
      <w:r>
        <w:rPr/>
      </w:r>
    </w:p>
    <w:p>
      <w:pPr>
        <w:pStyle w:val="Normal"/>
        <w:jc w:val="both"/>
        <w:rPr>
          <w:rFonts w:ascii="Times New Roman" w:hAnsi="Times New Roman"/>
          <w:b/>
          <w:b/>
        </w:rPr>
      </w:pPr>
      <w:r>
        <w:rPr>
          <w:b/>
        </w:rPr>
        <w:t>TIME SCHEDULE</w:t>
      </w:r>
      <w:r>
        <w:fldChar w:fldCharType="begin"/>
      </w:r>
      <w:r>
        <w:rPr>
          <w:b/>
        </w:rPr>
        <w:instrText xml:space="preserve">LINK Excel.Sheet.12 "C:\\Users\\alan.bastida\\Documents\\HFCs\\Enabling activities\\HFC Projects- EU-KCEP-IS  Enabling act 2017 - .xlsx" UNIDO!F47C10:F58C29 \a \f 4 \h  \* MERGEFORMAT</w:instrText>
      </w:r>
      <w:r>
        <w:rPr>
          <w:b/>
        </w:rPr>
      </w:r>
      <w:r>
        <w:rPr>
          <w:b/>
        </w:rPr>
        <w:fldChar w:fldCharType="separate"/>
      </w:r>
      <w:r>
        <w:rPr>
          <w:b/>
        </w:rPr>
      </w:r>
    </w:p>
    <w:p>
      <w:pPr>
        <w:pStyle w:val="Normal"/>
        <w:jc w:val="both"/>
        <w:rPr>
          <w:rFonts w:ascii="Times New Roman" w:hAnsi="Times New Roman"/>
        </w:rPr>
      </w:pPr>
      <w:r>
        <w:rPr>
          <w:b/>
        </w:rPr>
      </w:r>
      <w:r>
        <w:rPr>
          <w:b/>
        </w:rPr>
        <w:fldChar w:fldCharType="end"/>
      </w:r>
    </w:p>
    <w:tbl>
      <w:tblPr>
        <w:tblW w:w="833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77"/>
        <w:gridCol w:w="874"/>
        <w:gridCol w:w="301"/>
        <w:gridCol w:w="301"/>
        <w:gridCol w:w="301"/>
        <w:gridCol w:w="301"/>
        <w:gridCol w:w="301"/>
        <w:gridCol w:w="301"/>
        <w:gridCol w:w="301"/>
        <w:gridCol w:w="301"/>
        <w:gridCol w:w="301"/>
        <w:gridCol w:w="408"/>
        <w:gridCol w:w="409"/>
        <w:gridCol w:w="408"/>
        <w:gridCol w:w="409"/>
        <w:gridCol w:w="408"/>
        <w:gridCol w:w="409"/>
        <w:gridCol w:w="408"/>
        <w:gridCol w:w="409"/>
        <w:gridCol w:w="407"/>
      </w:tblGrid>
      <w:tr>
        <w:trPr>
          <w:trHeight w:val="300" w:hRule="atLeast"/>
        </w:trPr>
        <w:tc>
          <w:tcPr>
            <w:tcW w:w="1077" w:type="dxa"/>
            <w:vMerge w:val="restart"/>
            <w:tcBorders>
              <w:top w:val="single" w:sz="8" w:space="0" w:color="000000"/>
              <w:left w:val="single" w:sz="8" w:space="0" w:color="000000"/>
              <w:bottom w:val="single" w:sz="8" w:space="0" w:color="000000"/>
              <w:right w:val="single" w:sz="4" w:space="0" w:color="D0CECE"/>
            </w:tcBorders>
            <w:shd w:color="auto" w:fill="auto" w:val="clear"/>
            <w:vAlign w:val="center"/>
          </w:tcPr>
          <w:p>
            <w:pPr>
              <w:pStyle w:val="Normal"/>
              <w:widowControl w:val="false"/>
              <w:jc w:val="center"/>
              <w:rPr>
                <w:rFonts w:ascii="Times New Roman" w:hAnsi="Times New Roman"/>
                <w:b/>
                <w:b/>
                <w:bCs/>
                <w:color w:val="000000"/>
                <w:lang w:eastAsia="en-GB"/>
              </w:rPr>
            </w:pPr>
            <w:r>
              <w:rPr>
                <w:b/>
                <w:bCs/>
                <w:color w:val="000000"/>
                <w:lang w:eastAsia="en-GB"/>
              </w:rPr>
              <w:t>Enabling Activity</w:t>
            </w:r>
          </w:p>
        </w:tc>
        <w:tc>
          <w:tcPr>
            <w:tcW w:w="874" w:type="dxa"/>
            <w:vMerge w:val="restart"/>
            <w:tcBorders>
              <w:top w:val="single" w:sz="8" w:space="0" w:color="000000"/>
              <w:left w:val="single" w:sz="4" w:space="0" w:color="D0CECE"/>
              <w:bottom w:val="single" w:sz="8" w:space="0" w:color="000000"/>
              <w:right w:val="single" w:sz="4" w:space="0" w:color="D0CECE"/>
            </w:tcBorders>
            <w:shd w:color="auto" w:fill="auto" w:val="clear"/>
            <w:vAlign w:val="center"/>
          </w:tcPr>
          <w:p>
            <w:pPr>
              <w:pStyle w:val="Normal"/>
              <w:widowControl w:val="false"/>
              <w:jc w:val="center"/>
              <w:rPr>
                <w:rFonts w:ascii="Times New Roman" w:hAnsi="Times New Roman"/>
                <w:b/>
                <w:b/>
                <w:bCs/>
                <w:color w:val="000000"/>
                <w:lang w:eastAsia="en-GB"/>
              </w:rPr>
            </w:pPr>
            <w:r>
              <w:rPr>
                <w:b/>
                <w:bCs/>
                <w:color w:val="000000"/>
                <w:lang w:eastAsia="en-GB"/>
              </w:rPr>
              <w:t>Line of activity</w:t>
            </w:r>
          </w:p>
        </w:tc>
        <w:tc>
          <w:tcPr>
            <w:tcW w:w="6384" w:type="dxa"/>
            <w:gridSpan w:val="18"/>
            <w:tcBorders>
              <w:top w:val="single" w:sz="8" w:space="0" w:color="000000"/>
              <w:bottom w:val="single" w:sz="4" w:space="0" w:color="D0CECE"/>
              <w:right w:val="single" w:sz="8" w:space="0" w:color="000000"/>
            </w:tcBorders>
            <w:shd w:color="auto" w:fill="auto" w:val="clear"/>
            <w:vAlign w:val="bottom"/>
          </w:tcPr>
          <w:p>
            <w:pPr>
              <w:pStyle w:val="Normal"/>
              <w:widowControl w:val="false"/>
              <w:jc w:val="center"/>
              <w:rPr>
                <w:rFonts w:ascii="Times New Roman" w:hAnsi="Times New Roman"/>
                <w:b/>
                <w:b/>
                <w:bCs/>
                <w:color w:val="000000"/>
                <w:lang w:eastAsia="en-GB"/>
              </w:rPr>
            </w:pPr>
            <w:r>
              <w:rPr>
                <w:b/>
                <w:bCs/>
                <w:color w:val="000000"/>
                <w:lang w:eastAsia="en-GB"/>
              </w:rPr>
              <w:t>Months</w:t>
            </w:r>
          </w:p>
        </w:tc>
      </w:tr>
      <w:tr>
        <w:trPr>
          <w:trHeight w:val="315" w:hRule="atLeast"/>
        </w:trPr>
        <w:tc>
          <w:tcPr>
            <w:tcW w:w="1077" w:type="dxa"/>
            <w:vMerge w:val="continue"/>
            <w:tcBorders>
              <w:top w:val="single" w:sz="8" w:space="0" w:color="000000"/>
              <w:left w:val="single" w:sz="8" w:space="0" w:color="000000"/>
              <w:bottom w:val="single" w:sz="8" w:space="0" w:color="000000"/>
              <w:right w:val="single" w:sz="4" w:space="0" w:color="D0CECE"/>
            </w:tcBorders>
            <w:vAlign w:val="center"/>
          </w:tcPr>
          <w:p>
            <w:pPr>
              <w:pStyle w:val="Normal"/>
              <w:widowControl w:val="false"/>
              <w:rPr>
                <w:rFonts w:ascii="Times New Roman" w:hAnsi="Times New Roman"/>
                <w:b/>
                <w:b/>
                <w:bCs/>
                <w:color w:val="000000"/>
                <w:lang w:eastAsia="en-GB"/>
              </w:rPr>
            </w:pPr>
            <w:r>
              <w:rPr>
                <w:b/>
                <w:bCs/>
                <w:color w:val="000000"/>
                <w:lang w:eastAsia="en-GB"/>
              </w:rPr>
            </w:r>
          </w:p>
        </w:tc>
        <w:tc>
          <w:tcPr>
            <w:tcW w:w="874" w:type="dxa"/>
            <w:vMerge w:val="continue"/>
            <w:tcBorders>
              <w:top w:val="single" w:sz="8" w:space="0" w:color="000000"/>
              <w:left w:val="single" w:sz="4" w:space="0" w:color="D0CECE"/>
              <w:bottom w:val="single" w:sz="8" w:space="0" w:color="000000"/>
              <w:right w:val="single" w:sz="4" w:space="0" w:color="D0CECE"/>
            </w:tcBorders>
            <w:vAlign w:val="center"/>
          </w:tcPr>
          <w:p>
            <w:pPr>
              <w:pStyle w:val="Normal"/>
              <w:widowControl w:val="false"/>
              <w:rPr>
                <w:rFonts w:ascii="Times New Roman" w:hAnsi="Times New Roman"/>
                <w:b/>
                <w:b/>
                <w:bCs/>
                <w:color w:val="000000"/>
                <w:lang w:eastAsia="en-GB"/>
              </w:rPr>
            </w:pPr>
            <w:r>
              <w:rPr>
                <w:b/>
                <w:bCs/>
                <w:color w:val="000000"/>
                <w:lang w:eastAsia="en-GB"/>
              </w:rPr>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2</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3</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4</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5</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6</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7</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8</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9</w:t>
            </w:r>
          </w:p>
        </w:tc>
        <w:tc>
          <w:tcPr>
            <w:tcW w:w="408"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10</w:t>
            </w:r>
          </w:p>
        </w:tc>
        <w:tc>
          <w:tcPr>
            <w:tcW w:w="409"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11</w:t>
            </w:r>
          </w:p>
        </w:tc>
        <w:tc>
          <w:tcPr>
            <w:tcW w:w="408"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12</w:t>
            </w:r>
          </w:p>
        </w:tc>
        <w:tc>
          <w:tcPr>
            <w:tcW w:w="409"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13</w:t>
            </w:r>
          </w:p>
        </w:tc>
        <w:tc>
          <w:tcPr>
            <w:tcW w:w="408"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14</w:t>
            </w:r>
          </w:p>
        </w:tc>
        <w:tc>
          <w:tcPr>
            <w:tcW w:w="409"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15</w:t>
            </w:r>
          </w:p>
        </w:tc>
        <w:tc>
          <w:tcPr>
            <w:tcW w:w="408"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16</w:t>
            </w:r>
          </w:p>
        </w:tc>
        <w:tc>
          <w:tcPr>
            <w:tcW w:w="409"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17</w:t>
            </w:r>
          </w:p>
        </w:tc>
        <w:tc>
          <w:tcPr>
            <w:tcW w:w="407" w:type="dxa"/>
            <w:tcBorders>
              <w:bottom w:val="single" w:sz="8" w:space="0" w:color="000000"/>
              <w:right w:val="single" w:sz="8" w:space="0" w:color="000000"/>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18</w:t>
            </w:r>
          </w:p>
        </w:tc>
      </w:tr>
      <w:tr>
        <w:trPr>
          <w:trHeight w:val="315" w:hRule="atLeast"/>
        </w:trPr>
        <w:tc>
          <w:tcPr>
            <w:tcW w:w="1077" w:type="dxa"/>
            <w:tcBorders>
              <w:top w:val="single" w:sz="8" w:space="0" w:color="D0CECE"/>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1. Capacity Building</w:t>
            </w:r>
          </w:p>
        </w:tc>
        <w:tc>
          <w:tcPr>
            <w:tcW w:w="874" w:type="dxa"/>
            <w:tcBorders>
              <w:top w:val="single" w:sz="8" w:space="0" w:color="D0CECE"/>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1.1</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7" w:type="dxa"/>
            <w:tcBorders>
              <w:top w:val="single" w:sz="8" w:space="0" w:color="D0CECE"/>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077" w:type="dxa"/>
            <w:tcBorders>
              <w:left w:val="single" w:sz="8" w:space="0" w:color="000000"/>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2. Public awareness</w:t>
            </w:r>
          </w:p>
        </w:tc>
        <w:tc>
          <w:tcPr>
            <w:tcW w:w="874" w:type="dxa"/>
            <w:tcBorders>
              <w:bottom w:val="single" w:sz="8" w:space="0" w:color="000000"/>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2.1</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7" w:type="dxa"/>
            <w:tcBorders>
              <w:bottom w:val="single" w:sz="8" w:space="0" w:color="000000"/>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bl>
    <w:p>
      <w:pPr>
        <w:pStyle w:val="NoSpacing"/>
        <w:spacing w:before="60" w:after="0"/>
        <w:rPr>
          <w:rFonts w:ascii="Times New Roman" w:hAnsi="Times New Roman" w:cs="Times New Roman"/>
          <w:sz w:val="24"/>
          <w:szCs w:val="24"/>
        </w:rPr>
      </w:pPr>
      <w:r>
        <w:rPr>
          <w:rFonts w:cs="Times New Roman"/>
          <w:sz w:val="24"/>
          <w:szCs w:val="24"/>
        </w:rPr>
      </w:r>
    </w:p>
    <w:p>
      <w:pPr>
        <w:pStyle w:val="Normal"/>
        <w:jc w:val="both"/>
        <w:rPr>
          <w:rFonts w:ascii="Times New Roman" w:hAnsi="Times New Roman"/>
          <w:b/>
          <w:b/>
        </w:rPr>
      </w:pPr>
      <w:r>
        <w:rPr>
          <w:b/>
        </w:rPr>
      </w:r>
    </w:p>
    <w:p>
      <w:pPr>
        <w:pStyle w:val="ListParagraph"/>
        <w:widowControl/>
        <w:numPr>
          <w:ilvl w:val="0"/>
          <w:numId w:val="46"/>
        </w:numPr>
        <w:spacing w:lineRule="auto" w:line="259" w:before="0" w:after="160"/>
        <w:contextualSpacing/>
        <w:jc w:val="both"/>
        <w:rPr>
          <w:rFonts w:ascii="Times New Roman" w:hAnsi="Times New Roman"/>
          <w:b/>
          <w:b/>
        </w:rPr>
      </w:pPr>
      <w:r>
        <w:rPr>
          <w:b/>
        </w:rPr>
        <w:t>Proposal for enabling activities to be implemented by UN Environment and the Government of Mexico.</w:t>
      </w:r>
    </w:p>
    <w:p>
      <w:pPr>
        <w:pStyle w:val="Normal"/>
        <w:jc w:val="both"/>
        <w:rPr>
          <w:rFonts w:ascii="Times New Roman" w:hAnsi="Times New Roman"/>
        </w:rPr>
      </w:pPr>
      <w:r>
        <w:rPr/>
        <w:t>The Government of Mexico through SEMARNAT has been very active in implementing the NPP and HPMP during the last years, phasing-out CFC and advancing on the phase-down of HCFC. Besides, it is relevant to highlight that for over 8 years, Mexico was a key player in the negotiations to amend the Montreal Protocol in order to control the production and consumption of HFC.</w:t>
      </w:r>
    </w:p>
    <w:p>
      <w:pPr>
        <w:pStyle w:val="Normal"/>
        <w:jc w:val="both"/>
        <w:rPr>
          <w:rFonts w:ascii="Times New Roman" w:hAnsi="Times New Roman"/>
        </w:rPr>
      </w:pPr>
      <w:r>
        <w:rPr/>
        <w:t>In light with the historic pronouncement of the Kigali Amendment, on the 79</w:t>
      </w:r>
      <w:r>
        <w:rPr>
          <w:vertAlign w:val="superscript"/>
        </w:rPr>
        <w:t>th</w:t>
      </w:r>
      <w:r>
        <w:rPr/>
        <w:t xml:space="preserve"> Meeting of the Executive Committee decision 79/46 was approved, which allows A5 countries to undertake a range of enabling activities to assist national ozone units to fulfil their initial obligations with regard to HFC phase-down.</w:t>
      </w:r>
    </w:p>
    <w:p>
      <w:pPr>
        <w:pStyle w:val="Normal"/>
        <w:jc w:val="both"/>
        <w:rPr>
          <w:rFonts w:ascii="Times New Roman" w:hAnsi="Times New Roman"/>
        </w:rPr>
      </w:pPr>
      <w:r>
        <w:rPr/>
        <w:t>Primary activities identified by the Government of Mexico are targeted to initiate institutional provisions, which can facilitate the introduction of HFC phase-down obligations in the future and can enforce the role of the National Ozone Unit in terms of HFC and energy efficiency. Description of each one of the enabling activities proposed by Mexico, including cost breakdown and the schedule for implementation, are described below.</w:t>
      </w:r>
    </w:p>
    <w:p>
      <w:pPr>
        <w:pStyle w:val="NoSpacing"/>
        <w:spacing w:before="60" w:after="0"/>
        <w:rPr>
          <w:rFonts w:ascii="Times New Roman" w:hAnsi="Times New Roman" w:cs="Times New Roman"/>
          <w:b/>
          <w:b/>
          <w:sz w:val="24"/>
          <w:szCs w:val="24"/>
        </w:rPr>
      </w:pPr>
      <w:r>
        <w:rPr>
          <w:rFonts w:cs="Times New Roman"/>
          <w:b/>
          <w:sz w:val="24"/>
          <w:szCs w:val="24"/>
        </w:rPr>
        <w:t xml:space="preserve">Institutional arrangements for implementation of enabling activates. </w:t>
      </w:r>
    </w:p>
    <w:p>
      <w:pPr>
        <w:pStyle w:val="NoSpacing"/>
        <w:rPr>
          <w:rFonts w:ascii="Times New Roman" w:hAnsi="Times New Roman" w:cs="Times New Roman"/>
          <w:sz w:val="24"/>
          <w:szCs w:val="24"/>
          <w:lang w:eastAsia="es-MX"/>
        </w:rPr>
      </w:pPr>
      <w:r>
        <w:rPr>
          <w:rFonts w:cs="Times New Roman"/>
          <w:sz w:val="24"/>
          <w:szCs w:val="24"/>
          <w:lang w:eastAsia="es-MX"/>
        </w:rPr>
      </w:r>
    </w:p>
    <w:p>
      <w:pPr>
        <w:pStyle w:val="TextBody"/>
        <w:rPr>
          <w:sz w:val="24"/>
          <w:szCs w:val="24"/>
          <w:lang w:val="en-US"/>
        </w:rPr>
      </w:pPr>
      <w:r>
        <w:rPr>
          <w:sz w:val="24"/>
          <w:szCs w:val="24"/>
          <w:lang w:val="en-US"/>
        </w:rPr>
        <w:t xml:space="preserve">Implementation of the enabling activities will be accomplished using existing national infrastructure and institutional setting already established for ODS phase-out activities. Institutional arrangement in México is such that management of ozone depleting substances projects are executed by the National unit of Ozone layer protection, belonging to the Direction of Quality Air Control of the Secretariat of  Environment and Natural Resources. The UN Environment Compliance Assistance Programme staff members, regional and national experts/consultants will provide support to the NOU in the implementation of this project. </w:t>
      </w:r>
    </w:p>
    <w:p>
      <w:pPr>
        <w:pStyle w:val="TextBody"/>
        <w:rPr>
          <w:sz w:val="24"/>
          <w:szCs w:val="24"/>
          <w:lang w:val="en-US"/>
        </w:rPr>
      </w:pPr>
      <w:r>
        <w:rPr>
          <w:sz w:val="24"/>
          <w:szCs w:val="24"/>
          <w:lang w:val="en-US"/>
        </w:rPr>
        <w:t xml:space="preserve">Other relevant stakeholders that will be involved in the discussion on the Kigali amendment enabling activities are the Customs Service and other governmental bodies related to the license system implementation in México. </w:t>
      </w:r>
    </w:p>
    <w:p>
      <w:pPr>
        <w:pStyle w:val="ListParagraph"/>
        <w:rPr>
          <w:rFonts w:ascii="Times New Roman" w:hAnsi="Times New Roman"/>
          <w:b/>
          <w:b/>
        </w:rPr>
      </w:pPr>
      <w:r>
        <w:rPr>
          <w:b/>
        </w:rPr>
      </w:r>
    </w:p>
    <w:p>
      <w:pPr>
        <w:pStyle w:val="ListParagraph"/>
        <w:widowControl/>
        <w:numPr>
          <w:ilvl w:val="0"/>
          <w:numId w:val="22"/>
        </w:numPr>
        <w:spacing w:lineRule="auto" w:line="259" w:before="0" w:after="160"/>
        <w:contextualSpacing/>
        <w:rPr>
          <w:rFonts w:ascii="Times New Roman" w:hAnsi="Times New Roman"/>
          <w:b/>
          <w:b/>
        </w:rPr>
      </w:pPr>
      <w:r>
        <w:rPr>
          <w:b/>
        </w:rPr>
        <w:t>PRELIMINARY ACTIVITIES.</w:t>
      </w:r>
    </w:p>
    <w:p>
      <w:pPr>
        <w:pStyle w:val="Normal"/>
        <w:ind w:left="1440" w:hanging="0"/>
        <w:rPr>
          <w:rFonts w:ascii="Times New Roman" w:hAnsi="Times New Roman"/>
          <w:b/>
          <w:b/>
        </w:rPr>
      </w:pPr>
      <w:r>
        <w:rPr>
          <w:b/>
        </w:rPr>
        <w:t>Capacity Building</w:t>
      </w:r>
    </w:p>
    <w:p>
      <w:pPr>
        <w:pStyle w:val="Normal"/>
        <w:jc w:val="both"/>
        <w:rPr>
          <w:rFonts w:ascii="Times New Roman" w:hAnsi="Times New Roman"/>
        </w:rPr>
      </w:pPr>
      <w:r>
        <w:rPr/>
        <w:t>With the implementation of the Kigali Amendment, it would be essential to start with several preliminary capacity building activities paving the way to the HFC phase-down. A number of actions has been identified by Mexico, one of the most important ones is to enforce Mexican customs and other stakeholders in the controls and obligations necessary to regulate HFC and its alternatives. In order to maximize the impact, this component will be harmonized with the efforts stablished under HPMP 2 by creating co-benefits in terms of prevention of illicit traffic of HCFC while controlling the import of HFC.</w:t>
      </w:r>
    </w:p>
    <w:tbl>
      <w:tblPr>
        <w:tblStyle w:val="TableGrid"/>
        <w:tblW w:w="907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820"/>
        <w:gridCol w:w="2428"/>
        <w:gridCol w:w="850"/>
        <w:gridCol w:w="2693"/>
        <w:gridCol w:w="1284"/>
      </w:tblGrid>
      <w:tr>
        <w:trPr>
          <w:tblHeader w:val="true"/>
          <w:trHeight w:val="315" w:hRule="atLeast"/>
        </w:trPr>
        <w:tc>
          <w:tcPr>
            <w:tcW w:w="1820" w:type="dxa"/>
            <w:tcBorders/>
            <w:shd w:color="auto" w:fill="DBE5F1" w:themeFill="accent1" w:themeFillTint="33" w:val="clear"/>
            <w:vAlign w:val="center"/>
          </w:tcPr>
          <w:p>
            <w:pPr>
              <w:pStyle w:val="Normal"/>
              <w:widowControl w:val="false"/>
              <w:spacing w:before="0" w:after="0"/>
              <w:jc w:val="left"/>
              <w:rPr>
                <w:rFonts w:ascii="Times New Roman" w:hAnsi="Times New Roman"/>
                <w:b/>
                <w:b/>
                <w:bCs/>
              </w:rPr>
            </w:pPr>
            <w:r>
              <w:rPr>
                <w:b/>
                <w:bCs/>
                <w:kern w:val="0"/>
                <w:lang w:val="en-US" w:eastAsia="en-US" w:bidi="ar-SA"/>
              </w:rPr>
              <w:t>Output</w:t>
            </w:r>
          </w:p>
        </w:tc>
        <w:tc>
          <w:tcPr>
            <w:tcW w:w="2428"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2693"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4"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1050" w:hRule="atLeast"/>
        </w:trPr>
        <w:tc>
          <w:tcPr>
            <w:tcW w:w="1820" w:type="dxa"/>
            <w:tcBorders/>
            <w:vAlign w:val="center"/>
          </w:tcPr>
          <w:p>
            <w:pPr>
              <w:pStyle w:val="Normal"/>
              <w:widowControl w:val="false"/>
              <w:spacing w:before="0" w:after="0"/>
              <w:jc w:val="left"/>
              <w:rPr>
                <w:rFonts w:ascii="Times New Roman" w:hAnsi="Times New Roman"/>
              </w:rPr>
            </w:pPr>
            <w:r>
              <w:rPr>
                <w:kern w:val="0"/>
                <w:lang w:val="en-US" w:eastAsia="en-US" w:bidi="ar-SA"/>
              </w:rPr>
              <w:t>Preliminary capacity building requirements for the implementation of the Kigali Amendment and its related matters.</w:t>
            </w:r>
          </w:p>
        </w:tc>
        <w:tc>
          <w:tcPr>
            <w:tcW w:w="2428" w:type="dxa"/>
            <w:tcBorders/>
            <w:vAlign w:val="center"/>
          </w:tcPr>
          <w:p>
            <w:pPr>
              <w:pStyle w:val="Normal"/>
              <w:widowControl w:val="false"/>
              <w:spacing w:before="0" w:after="0"/>
              <w:jc w:val="left"/>
              <w:rPr>
                <w:rFonts w:ascii="Times New Roman" w:hAnsi="Times New Roman"/>
              </w:rPr>
            </w:pPr>
            <w:r>
              <w:rPr>
                <w:kern w:val="0"/>
                <w:lang w:val="en-US" w:eastAsia="en-US" w:bidi="ar-SA"/>
              </w:rPr>
              <w:t>Demonstration training sessions for customs and enforcement officers addressing the obligations under the Kigali Amendment, including the revised import/export licensing systems.</w:t>
            </w:r>
          </w:p>
        </w:tc>
        <w:tc>
          <w:tcPr>
            <w:tcW w:w="850" w:type="dxa"/>
            <w:tcBorders/>
            <w:vAlign w:val="center"/>
          </w:tcPr>
          <w:p>
            <w:pPr>
              <w:pStyle w:val="Normal"/>
              <w:widowControl w:val="false"/>
              <w:spacing w:before="0" w:after="0"/>
              <w:jc w:val="center"/>
              <w:rPr>
                <w:rFonts w:ascii="Times New Roman" w:hAnsi="Times New Roman"/>
              </w:rPr>
            </w:pPr>
            <w:r>
              <w:rPr>
                <w:kern w:val="0"/>
                <w:lang w:val="en-US" w:eastAsia="en-US" w:bidi="ar-SA"/>
              </w:rPr>
              <w:t>6</w:t>
            </w:r>
          </w:p>
        </w:tc>
        <w:tc>
          <w:tcPr>
            <w:tcW w:w="2693" w:type="dxa"/>
            <w:tcBorders/>
            <w:vAlign w:val="center"/>
          </w:tcPr>
          <w:p>
            <w:pPr>
              <w:pStyle w:val="Normal"/>
              <w:widowControl w:val="false"/>
              <w:spacing w:before="0" w:after="0"/>
              <w:jc w:val="left"/>
              <w:rPr>
                <w:rFonts w:ascii="Times New Roman" w:hAnsi="Times New Roman"/>
              </w:rPr>
            </w:pPr>
            <w:r>
              <w:rPr>
                <w:kern w:val="0"/>
                <w:lang w:val="en-US" w:eastAsia="en-US" w:bidi="ar-SA"/>
              </w:rPr>
              <w:t>Update to the custom and enforcement officers on the regulations for the imports of HFC and its alternatives.  Including the research of the required tools to control the import of these substances, These tool research includes all the possible systems to be used for the gas identification.</w:t>
            </w:r>
          </w:p>
        </w:tc>
        <w:tc>
          <w:tcPr>
            <w:tcW w:w="1284" w:type="dxa"/>
            <w:tcBorders/>
            <w:vAlign w:val="center"/>
          </w:tcPr>
          <w:p>
            <w:pPr>
              <w:pStyle w:val="Normal"/>
              <w:widowControl w:val="false"/>
              <w:spacing w:before="0" w:after="0"/>
              <w:jc w:val="left"/>
              <w:rPr>
                <w:rFonts w:ascii="Times New Roman" w:hAnsi="Times New Roman"/>
              </w:rPr>
            </w:pPr>
            <w:r>
              <w:rPr>
                <w:kern w:val="0"/>
                <w:lang w:val="en-US" w:eastAsia="en-US" w:bidi="ar-SA"/>
              </w:rPr>
              <w:t>20,000</w:t>
            </w:r>
          </w:p>
        </w:tc>
      </w:tr>
      <w:tr>
        <w:trPr>
          <w:trHeight w:val="283" w:hRule="atLeast"/>
        </w:trPr>
        <w:tc>
          <w:tcPr>
            <w:tcW w:w="4248" w:type="dxa"/>
            <w:gridSpan w:val="2"/>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850"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6</w:t>
            </w:r>
          </w:p>
        </w:tc>
        <w:tc>
          <w:tcPr>
            <w:tcW w:w="2693" w:type="dxa"/>
            <w:tcBorders/>
            <w:vAlign w:val="center"/>
          </w:tcPr>
          <w:p>
            <w:pPr>
              <w:pStyle w:val="Normal"/>
              <w:widowControl w:val="false"/>
              <w:spacing w:before="0" w:after="0"/>
              <w:jc w:val="right"/>
              <w:rPr>
                <w:rFonts w:ascii="Times New Roman" w:hAnsi="Times New Roman"/>
                <w:b/>
                <w:b/>
              </w:rPr>
            </w:pPr>
            <w:r>
              <w:rPr>
                <w:b/>
                <w:kern w:val="0"/>
                <w:lang w:val="en-US" w:eastAsia="en-US" w:bidi="ar-SA"/>
              </w:rPr>
              <w:t>Total</w:t>
            </w:r>
          </w:p>
        </w:tc>
        <w:tc>
          <w:tcPr>
            <w:tcW w:w="1284"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20,000</w:t>
            </w:r>
          </w:p>
        </w:tc>
      </w:tr>
    </w:tbl>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ListParagraph"/>
        <w:widowControl/>
        <w:numPr>
          <w:ilvl w:val="0"/>
          <w:numId w:val="22"/>
        </w:numPr>
        <w:spacing w:lineRule="auto" w:line="259" w:before="0" w:after="160"/>
        <w:contextualSpacing/>
        <w:rPr>
          <w:rFonts w:ascii="Times New Roman" w:hAnsi="Times New Roman"/>
          <w:b/>
          <w:b/>
        </w:rPr>
      </w:pPr>
      <w:r>
        <w:rPr>
          <w:b/>
        </w:rPr>
        <w:t>PUBLIC AWARENESS.</w:t>
      </w:r>
    </w:p>
    <w:p>
      <w:pPr>
        <w:pStyle w:val="Normal"/>
        <w:jc w:val="both"/>
        <w:rPr>
          <w:rFonts w:ascii="Times New Roman" w:hAnsi="Times New Roman"/>
        </w:rPr>
      </w:pPr>
      <w:r>
        <w:rPr/>
        <w:t>In order to disseminate Mexico’s new commitments under the Montreal Protocol and the possible effects of the Kigali Amendment in the Mexican policies, in terms of climate change, as one of the first enabling activities, the elaboration of   information materials for the different sectors such as Industry, Academy, Government and other relevant public sectors, highlighting the impact and benefits of the Kigali amendment, as well as the documentation of the project within Mexico using low- GWP alternatives.</w:t>
      </w:r>
    </w:p>
    <w:tbl>
      <w:tblPr>
        <w:tblStyle w:val="TableGrid"/>
        <w:tblW w:w="907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980"/>
        <w:gridCol w:w="2268"/>
        <w:gridCol w:w="850"/>
        <w:gridCol w:w="2693"/>
        <w:gridCol w:w="1284"/>
      </w:tblGrid>
      <w:tr>
        <w:trPr>
          <w:trHeight w:val="315" w:hRule="atLeast"/>
        </w:trPr>
        <w:tc>
          <w:tcPr>
            <w:tcW w:w="198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Output</w:t>
            </w:r>
          </w:p>
        </w:tc>
        <w:tc>
          <w:tcPr>
            <w:tcW w:w="2268"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Task/Actions</w:t>
            </w:r>
          </w:p>
        </w:tc>
        <w:tc>
          <w:tcPr>
            <w:tcW w:w="850"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Term (m)</w:t>
            </w:r>
          </w:p>
        </w:tc>
        <w:tc>
          <w:tcPr>
            <w:tcW w:w="2693"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Indicator</w:t>
            </w:r>
          </w:p>
        </w:tc>
        <w:tc>
          <w:tcPr>
            <w:tcW w:w="1284" w:type="dxa"/>
            <w:tcBorders/>
            <w:shd w:color="auto" w:fill="DBE5F1" w:themeFill="accent1" w:themeFillTint="33" w:val="clear"/>
          </w:tcPr>
          <w:p>
            <w:pPr>
              <w:pStyle w:val="Normal"/>
              <w:widowControl w:val="false"/>
              <w:spacing w:before="0" w:after="0"/>
              <w:jc w:val="center"/>
              <w:rPr>
                <w:rFonts w:ascii="Times New Roman" w:hAnsi="Times New Roman"/>
                <w:b/>
                <w:b/>
                <w:bCs/>
              </w:rPr>
            </w:pPr>
            <w:r>
              <w:rPr>
                <w:b/>
                <w:bCs/>
                <w:kern w:val="0"/>
                <w:lang w:val="en-US" w:eastAsia="en-US" w:bidi="ar-SA"/>
              </w:rPr>
              <w:t>Budget Requested (USD)</w:t>
            </w:r>
          </w:p>
        </w:tc>
      </w:tr>
      <w:tr>
        <w:trPr>
          <w:trHeight w:val="300" w:hRule="atLeast"/>
        </w:trPr>
        <w:tc>
          <w:tcPr>
            <w:tcW w:w="1980" w:type="dxa"/>
            <w:tcBorders/>
          </w:tcPr>
          <w:p>
            <w:pPr>
              <w:pStyle w:val="Normal"/>
              <w:widowControl w:val="false"/>
              <w:spacing w:before="0" w:after="0"/>
              <w:jc w:val="both"/>
              <w:rPr>
                <w:rFonts w:ascii="Times New Roman" w:hAnsi="Times New Roman"/>
              </w:rPr>
            </w:pPr>
            <w:r>
              <w:rPr>
                <w:kern w:val="0"/>
                <w:lang w:val="en-US" w:eastAsia="en-US" w:bidi="ar-SA"/>
              </w:rPr>
              <w:t>Kigali Amendment informative workshop</w:t>
            </w:r>
          </w:p>
        </w:tc>
        <w:tc>
          <w:tcPr>
            <w:tcW w:w="2268" w:type="dxa"/>
            <w:tcBorders/>
          </w:tcPr>
          <w:p>
            <w:pPr>
              <w:pStyle w:val="Normal"/>
              <w:widowControl w:val="false"/>
              <w:spacing w:before="0" w:after="0"/>
              <w:jc w:val="both"/>
              <w:rPr>
                <w:rFonts w:ascii="Times New Roman" w:hAnsi="Times New Roman"/>
              </w:rPr>
            </w:pPr>
            <w:r>
              <w:rPr>
                <w:kern w:val="0"/>
                <w:lang w:val="en-US" w:eastAsia="en-US" w:bidi="ar-SA"/>
              </w:rPr>
              <w:t>Elaboration of information material for the different national actors with regard to the Kigali Amendment.</w:t>
            </w:r>
          </w:p>
        </w:tc>
        <w:tc>
          <w:tcPr>
            <w:tcW w:w="850" w:type="dxa"/>
            <w:tcBorders/>
          </w:tcPr>
          <w:p>
            <w:pPr>
              <w:pStyle w:val="Normal"/>
              <w:widowControl w:val="false"/>
              <w:spacing w:before="0" w:after="0"/>
              <w:jc w:val="center"/>
              <w:rPr>
                <w:rFonts w:ascii="Times New Roman" w:hAnsi="Times New Roman"/>
              </w:rPr>
            </w:pPr>
            <w:r>
              <w:rPr>
                <w:kern w:val="0"/>
                <w:lang w:val="en-US" w:eastAsia="en-US" w:bidi="ar-SA"/>
              </w:rPr>
              <w:t>3</w:t>
            </w:r>
          </w:p>
        </w:tc>
        <w:tc>
          <w:tcPr>
            <w:tcW w:w="2693" w:type="dxa"/>
            <w:tcBorders/>
          </w:tcPr>
          <w:p>
            <w:pPr>
              <w:pStyle w:val="Normal"/>
              <w:widowControl w:val="false"/>
              <w:spacing w:before="0" w:after="0"/>
              <w:jc w:val="both"/>
              <w:rPr>
                <w:rFonts w:ascii="Times New Roman" w:hAnsi="Times New Roman"/>
              </w:rPr>
            </w:pPr>
            <w:r>
              <w:rPr>
                <w:kern w:val="0"/>
                <w:lang w:val="en-US" w:eastAsia="en-US" w:bidi="ar-SA"/>
              </w:rPr>
              <w:t>Design and printing of notebooks, posters, handbook and other promotional materials regarding Kigali Amendment.</w:t>
            </w:r>
          </w:p>
        </w:tc>
        <w:tc>
          <w:tcPr>
            <w:tcW w:w="1284" w:type="dxa"/>
            <w:tcBorders/>
          </w:tcPr>
          <w:p>
            <w:pPr>
              <w:pStyle w:val="Normal"/>
              <w:widowControl w:val="false"/>
              <w:spacing w:before="0" w:after="0"/>
              <w:jc w:val="both"/>
              <w:rPr>
                <w:rFonts w:ascii="Times New Roman" w:hAnsi="Times New Roman"/>
              </w:rPr>
            </w:pPr>
            <w:r>
              <w:rPr>
                <w:kern w:val="0"/>
                <w:lang w:val="en-US" w:eastAsia="en-US" w:bidi="ar-SA"/>
              </w:rPr>
              <w:t>10,000</w:t>
            </w:r>
          </w:p>
        </w:tc>
      </w:tr>
      <w:tr>
        <w:trPr>
          <w:trHeight w:val="318" w:hRule="atLeast"/>
        </w:trPr>
        <w:tc>
          <w:tcPr>
            <w:tcW w:w="4248" w:type="dxa"/>
            <w:gridSpan w:val="2"/>
            <w:tcBorders/>
          </w:tcPr>
          <w:p>
            <w:pPr>
              <w:pStyle w:val="Normal"/>
              <w:widowControl w:val="false"/>
              <w:spacing w:before="0" w:after="0"/>
              <w:jc w:val="right"/>
              <w:rPr>
                <w:rFonts w:ascii="Times New Roman" w:hAnsi="Times New Roman"/>
                <w:b/>
                <w:b/>
              </w:rPr>
            </w:pPr>
            <w:r>
              <w:rPr>
                <w:b/>
                <w:kern w:val="0"/>
                <w:lang w:val="en-US" w:eastAsia="en-US" w:bidi="ar-SA"/>
              </w:rPr>
              <w:t>Total</w:t>
            </w:r>
          </w:p>
        </w:tc>
        <w:tc>
          <w:tcPr>
            <w:tcW w:w="850" w:type="dxa"/>
            <w:tcBorders/>
          </w:tcPr>
          <w:p>
            <w:pPr>
              <w:pStyle w:val="Normal"/>
              <w:widowControl w:val="false"/>
              <w:spacing w:before="0" w:after="0"/>
              <w:jc w:val="center"/>
              <w:rPr>
                <w:rFonts w:ascii="Times New Roman" w:hAnsi="Times New Roman"/>
                <w:b/>
                <w:b/>
              </w:rPr>
            </w:pPr>
            <w:r>
              <w:rPr>
                <w:b/>
                <w:kern w:val="0"/>
                <w:lang w:val="en-US" w:eastAsia="en-US" w:bidi="ar-SA"/>
              </w:rPr>
              <w:t>3</w:t>
            </w:r>
          </w:p>
        </w:tc>
        <w:tc>
          <w:tcPr>
            <w:tcW w:w="2693" w:type="dxa"/>
            <w:tcBorders/>
          </w:tcPr>
          <w:p>
            <w:pPr>
              <w:pStyle w:val="Normal"/>
              <w:widowControl w:val="false"/>
              <w:spacing w:before="0" w:after="0"/>
              <w:jc w:val="right"/>
              <w:rPr>
                <w:rFonts w:ascii="Times New Roman" w:hAnsi="Times New Roman"/>
                <w:b/>
                <w:b/>
              </w:rPr>
            </w:pPr>
            <w:r>
              <w:rPr>
                <w:b/>
                <w:kern w:val="0"/>
                <w:lang w:val="en-US" w:eastAsia="en-US" w:bidi="ar-SA"/>
              </w:rPr>
              <w:t>Total</w:t>
            </w:r>
          </w:p>
        </w:tc>
        <w:tc>
          <w:tcPr>
            <w:tcW w:w="1284" w:type="dxa"/>
            <w:tcBorders/>
          </w:tcPr>
          <w:p>
            <w:pPr>
              <w:pStyle w:val="Normal"/>
              <w:widowControl w:val="false"/>
              <w:spacing w:before="0" w:after="0"/>
              <w:jc w:val="both"/>
              <w:rPr>
                <w:rFonts w:ascii="Times New Roman" w:hAnsi="Times New Roman"/>
                <w:b/>
                <w:b/>
              </w:rPr>
            </w:pPr>
            <w:r>
              <w:rPr>
                <w:b/>
                <w:kern w:val="0"/>
                <w:lang w:val="en-US" w:eastAsia="en-US" w:bidi="ar-SA"/>
              </w:rPr>
              <w:t>10,000</w:t>
            </w:r>
          </w:p>
        </w:tc>
      </w:tr>
    </w:tbl>
    <w:p>
      <w:pPr>
        <w:pStyle w:val="Normal"/>
        <w:jc w:val="both"/>
        <w:rPr>
          <w:rFonts w:ascii="Times New Roman" w:hAnsi="Times New Roman"/>
        </w:rPr>
      </w:pPr>
      <w:r>
        <w:rPr/>
      </w:r>
    </w:p>
    <w:p>
      <w:pPr>
        <w:pStyle w:val="ListParagraph"/>
        <w:widowControl/>
        <w:numPr>
          <w:ilvl w:val="0"/>
          <w:numId w:val="22"/>
        </w:numPr>
        <w:spacing w:lineRule="auto" w:line="259" w:before="0" w:after="160"/>
        <w:contextualSpacing/>
        <w:rPr>
          <w:rFonts w:ascii="Times New Roman" w:hAnsi="Times New Roman"/>
          <w:b/>
          <w:b/>
        </w:rPr>
      </w:pPr>
      <w:r>
        <w:rPr>
          <w:b/>
        </w:rPr>
        <w:t>COST BREAKDOWN AND SCHEDULE FOR IMPLEMENTATION</w:t>
      </w:r>
    </w:p>
    <w:tbl>
      <w:tblPr>
        <w:tblStyle w:val="TableGrid"/>
        <w:tblW w:w="882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823"/>
        <w:gridCol w:w="3543"/>
        <w:gridCol w:w="1462"/>
      </w:tblGrid>
      <w:tr>
        <w:trPr>
          <w:trHeight w:val="531" w:hRule="atLeast"/>
        </w:trPr>
        <w:tc>
          <w:tcPr>
            <w:tcW w:w="3823"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kern w:val="0"/>
                <w:lang w:val="en-US" w:eastAsia="en-US" w:bidi="ar-SA"/>
              </w:rPr>
              <w:t>Enabling Activity</w:t>
            </w:r>
          </w:p>
        </w:tc>
        <w:tc>
          <w:tcPr>
            <w:tcW w:w="3543"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kern w:val="0"/>
                <w:lang w:val="en-US" w:eastAsia="en-US" w:bidi="ar-SA"/>
              </w:rPr>
              <w:t>Line of Activity</w:t>
            </w:r>
          </w:p>
        </w:tc>
        <w:tc>
          <w:tcPr>
            <w:tcW w:w="1462"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bCs/>
                <w:kern w:val="0"/>
                <w:lang w:val="en-US" w:eastAsia="en-US" w:bidi="ar-SA"/>
              </w:rPr>
              <w:t>Budget Requested (USD)</w:t>
            </w:r>
          </w:p>
        </w:tc>
      </w:tr>
      <w:tr>
        <w:trPr/>
        <w:tc>
          <w:tcPr>
            <w:tcW w:w="3823" w:type="dxa"/>
            <w:vMerge w:val="restart"/>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t>1. Preliminary capacity building requirements for the implementation of the Kigali Amendment and its related matters</w:t>
            </w:r>
          </w:p>
        </w:tc>
        <w:tc>
          <w:tcPr>
            <w:tcW w:w="3543" w:type="dxa"/>
            <w:tcBorders/>
            <w:vAlign w:val="center"/>
          </w:tcPr>
          <w:p>
            <w:pPr>
              <w:pStyle w:val="Normal"/>
              <w:widowControl w:val="false"/>
              <w:spacing w:before="0" w:after="0"/>
              <w:jc w:val="left"/>
              <w:rPr>
                <w:rFonts w:ascii="Times New Roman" w:hAnsi="Times New Roman"/>
              </w:rPr>
            </w:pPr>
            <w:r>
              <w:rPr>
                <w:kern w:val="0"/>
                <w:lang w:val="en-US" w:eastAsia="en-US" w:bidi="ar-SA"/>
              </w:rPr>
              <w:t>1.1 Demonstration training sessions for customs and enforcement officers addressing the obligations under the Kigali Amendment.</w:t>
            </w:r>
          </w:p>
        </w:tc>
        <w:tc>
          <w:tcPr>
            <w:tcW w:w="1462" w:type="dxa"/>
            <w:tcBorders/>
            <w:vAlign w:val="center"/>
          </w:tcPr>
          <w:p>
            <w:pPr>
              <w:pStyle w:val="Normal"/>
              <w:widowControl w:val="false"/>
              <w:spacing w:before="0" w:after="0"/>
              <w:jc w:val="center"/>
              <w:rPr>
                <w:rFonts w:ascii="Times New Roman" w:hAnsi="Times New Roman"/>
              </w:rPr>
            </w:pPr>
            <w:r>
              <w:rPr>
                <w:kern w:val="0"/>
                <w:lang w:val="en-US" w:eastAsia="en-US" w:bidi="ar-SA"/>
              </w:rPr>
              <w:t>20,000</w:t>
            </w:r>
          </w:p>
        </w:tc>
      </w:tr>
      <w:tr>
        <w:trPr/>
        <w:tc>
          <w:tcPr>
            <w:tcW w:w="3823" w:type="dxa"/>
            <w:vMerge w:val="continue"/>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r>
          </w:p>
        </w:tc>
        <w:tc>
          <w:tcPr>
            <w:tcW w:w="3543" w:type="dxa"/>
            <w:tcBorders/>
            <w:vAlign w:val="center"/>
          </w:tcPr>
          <w:p>
            <w:pPr>
              <w:pStyle w:val="Normal"/>
              <w:widowControl w:val="false"/>
              <w:spacing w:before="0" w:after="0"/>
              <w:jc w:val="right"/>
              <w:rPr>
                <w:rFonts w:ascii="Times New Roman" w:hAnsi="Times New Roman"/>
              </w:rPr>
            </w:pPr>
            <w:r>
              <w:rPr>
                <w:b/>
                <w:i/>
                <w:kern w:val="0"/>
                <w:lang w:val="en-US" w:eastAsia="en-US" w:bidi="ar-SA"/>
              </w:rPr>
              <w:t>Subtotal 1</w:t>
            </w:r>
          </w:p>
        </w:tc>
        <w:tc>
          <w:tcPr>
            <w:tcW w:w="1462"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20,000</w:t>
            </w:r>
          </w:p>
        </w:tc>
      </w:tr>
      <w:tr>
        <w:trPr/>
        <w:tc>
          <w:tcPr>
            <w:tcW w:w="3823" w:type="dxa"/>
            <w:vMerge w:val="restart"/>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t>2.Public awareness</w:t>
            </w:r>
          </w:p>
          <w:p>
            <w:pPr>
              <w:pStyle w:val="ListParagraph"/>
              <w:widowControl w:val="false"/>
              <w:spacing w:before="0" w:after="0"/>
              <w:ind w:left="313" w:hanging="0"/>
              <w:contextualSpacing/>
              <w:jc w:val="left"/>
              <w:rPr>
                <w:rFonts w:ascii="Times New Roman" w:hAnsi="Times New Roman"/>
              </w:rPr>
            </w:pPr>
            <w:r>
              <w:rPr>
                <w:kern w:val="0"/>
                <w:lang w:val="en-US" w:eastAsia="en-US" w:bidi="ar-SA"/>
              </w:rPr>
            </w:r>
          </w:p>
        </w:tc>
        <w:tc>
          <w:tcPr>
            <w:tcW w:w="3543" w:type="dxa"/>
            <w:tcBorders/>
            <w:vAlign w:val="center"/>
          </w:tcPr>
          <w:p>
            <w:pPr>
              <w:pStyle w:val="Normal"/>
              <w:widowControl w:val="false"/>
              <w:spacing w:before="0" w:after="0"/>
              <w:jc w:val="left"/>
              <w:rPr>
                <w:rFonts w:ascii="Times New Roman" w:hAnsi="Times New Roman"/>
              </w:rPr>
            </w:pPr>
            <w:r>
              <w:rPr>
                <w:kern w:val="0"/>
                <w:lang w:val="en-US" w:eastAsia="en-US" w:bidi="ar-SA"/>
              </w:rPr>
              <w:t>2.1 Design and printing of promotional materials regarding Kigali Amendment.</w:t>
            </w:r>
          </w:p>
        </w:tc>
        <w:tc>
          <w:tcPr>
            <w:tcW w:w="1462" w:type="dxa"/>
            <w:tcBorders/>
            <w:vAlign w:val="center"/>
          </w:tcPr>
          <w:p>
            <w:pPr>
              <w:pStyle w:val="Normal"/>
              <w:widowControl w:val="false"/>
              <w:spacing w:before="0" w:after="0"/>
              <w:jc w:val="center"/>
              <w:rPr>
                <w:rFonts w:ascii="Times New Roman" w:hAnsi="Times New Roman"/>
              </w:rPr>
            </w:pPr>
            <w:r>
              <w:rPr>
                <w:kern w:val="0"/>
                <w:lang w:val="en-US" w:eastAsia="en-US" w:bidi="ar-SA"/>
              </w:rPr>
              <w:t>10,000</w:t>
            </w:r>
          </w:p>
        </w:tc>
      </w:tr>
      <w:tr>
        <w:trPr/>
        <w:tc>
          <w:tcPr>
            <w:tcW w:w="3823" w:type="dxa"/>
            <w:vMerge w:val="continue"/>
            <w:tcBorders/>
            <w:vAlign w:val="center"/>
          </w:tcPr>
          <w:p>
            <w:pPr>
              <w:pStyle w:val="Normal"/>
              <w:widowControl w:val="false"/>
              <w:spacing w:before="0" w:after="0"/>
              <w:ind w:left="-47" w:hanging="0"/>
              <w:jc w:val="left"/>
              <w:rPr>
                <w:rFonts w:ascii="Times New Roman" w:hAnsi="Times New Roman"/>
              </w:rPr>
            </w:pPr>
            <w:r>
              <w:rPr>
                <w:kern w:val="0"/>
                <w:lang w:val="en-US" w:eastAsia="en-US" w:bidi="ar-SA"/>
              </w:rPr>
            </w:r>
          </w:p>
        </w:tc>
        <w:tc>
          <w:tcPr>
            <w:tcW w:w="3543" w:type="dxa"/>
            <w:tcBorders/>
            <w:vAlign w:val="center"/>
          </w:tcPr>
          <w:p>
            <w:pPr>
              <w:pStyle w:val="Normal"/>
              <w:widowControl w:val="false"/>
              <w:spacing w:before="0" w:after="0"/>
              <w:jc w:val="right"/>
              <w:rPr>
                <w:rFonts w:ascii="Times New Roman" w:hAnsi="Times New Roman"/>
              </w:rPr>
            </w:pPr>
            <w:r>
              <w:rPr>
                <w:b/>
                <w:i/>
                <w:kern w:val="0"/>
                <w:lang w:val="en-US" w:eastAsia="en-US" w:bidi="ar-SA"/>
              </w:rPr>
              <w:t>Subtotal 2</w:t>
            </w:r>
          </w:p>
        </w:tc>
        <w:tc>
          <w:tcPr>
            <w:tcW w:w="1462" w:type="dxa"/>
            <w:tcBorders/>
            <w:vAlign w:val="center"/>
          </w:tcPr>
          <w:p>
            <w:pPr>
              <w:pStyle w:val="Normal"/>
              <w:widowControl w:val="false"/>
              <w:spacing w:before="0" w:after="0"/>
              <w:jc w:val="center"/>
              <w:rPr>
                <w:rFonts w:ascii="Times New Roman" w:hAnsi="Times New Roman"/>
                <w:b/>
                <w:b/>
              </w:rPr>
            </w:pPr>
            <w:r>
              <w:rPr>
                <w:b/>
                <w:kern w:val="0"/>
                <w:lang w:val="en-US" w:eastAsia="en-US" w:bidi="ar-SA"/>
              </w:rPr>
              <w:t>10,000</w:t>
            </w:r>
          </w:p>
        </w:tc>
      </w:tr>
      <w:tr>
        <w:trPr/>
        <w:tc>
          <w:tcPr>
            <w:tcW w:w="7366" w:type="dxa"/>
            <w:gridSpan w:val="2"/>
            <w:tcBorders/>
            <w:shd w:color="auto" w:fill="DBE5F1" w:themeFill="accent1" w:themeFillTint="33" w:val="clear"/>
            <w:vAlign w:val="center"/>
          </w:tcPr>
          <w:p>
            <w:pPr>
              <w:pStyle w:val="Normal"/>
              <w:widowControl w:val="false"/>
              <w:spacing w:before="0" w:after="0"/>
              <w:jc w:val="right"/>
              <w:rPr>
                <w:rFonts w:ascii="Times New Roman" w:hAnsi="Times New Roman"/>
                <w:b/>
                <w:b/>
                <w:i/>
                <w:i/>
              </w:rPr>
            </w:pPr>
            <w:r>
              <w:rPr>
                <w:b/>
                <w:i/>
                <w:kern w:val="0"/>
                <w:lang w:val="en-US" w:eastAsia="en-US" w:bidi="ar-SA"/>
              </w:rPr>
              <w:t>Total</w:t>
            </w:r>
          </w:p>
        </w:tc>
        <w:tc>
          <w:tcPr>
            <w:tcW w:w="1462" w:type="dxa"/>
            <w:tcBorders/>
            <w:shd w:color="auto" w:fill="DBE5F1" w:themeFill="accent1" w:themeFillTint="33" w:val="clear"/>
            <w:vAlign w:val="center"/>
          </w:tcPr>
          <w:p>
            <w:pPr>
              <w:pStyle w:val="Normal"/>
              <w:widowControl w:val="false"/>
              <w:spacing w:before="0" w:after="0"/>
              <w:jc w:val="center"/>
              <w:rPr>
                <w:rFonts w:ascii="Times New Roman" w:hAnsi="Times New Roman"/>
                <w:b/>
                <w:b/>
              </w:rPr>
            </w:pPr>
            <w:r>
              <w:rPr>
                <w:b/>
                <w:kern w:val="0"/>
                <w:lang w:val="en-US" w:eastAsia="en-US" w:bidi="ar-SA"/>
              </w:rPr>
              <w:t>30,000</w:t>
            </w:r>
          </w:p>
        </w:tc>
      </w:tr>
    </w:tbl>
    <w:p>
      <w:pPr>
        <w:pStyle w:val="Normal"/>
        <w:jc w:val="both"/>
        <w:rPr>
          <w:rFonts w:ascii="Times New Roman" w:hAnsi="Times New Roman"/>
        </w:rPr>
      </w:pPr>
      <w:r>
        <w:rPr/>
      </w:r>
    </w:p>
    <w:p>
      <w:pPr>
        <w:pStyle w:val="Normal"/>
        <w:jc w:val="both"/>
        <w:rPr>
          <w:rFonts w:ascii="Times New Roman" w:hAnsi="Times New Roman"/>
          <w:b/>
          <w:b/>
        </w:rPr>
      </w:pPr>
      <w:r>
        <w:rPr>
          <w:b/>
        </w:rPr>
        <w:t>TIME SCHEDULE</w:t>
      </w:r>
      <w:r>
        <w:fldChar w:fldCharType="begin"/>
      </w:r>
      <w:r>
        <w:rPr>
          <w:b/>
        </w:rPr>
        <w:instrText xml:space="preserve">LINK Excel.Sheet.12 "C:\\Users\\alan.bastida\\Documents\\HFCs\\Enabling activities\\HFC Projects- EU-KCEP-IS  Enabling act 2017 - .xlsx" UNIDO!F47C10:F58C29 \a \f 4 \h  \* MERGEFORMAT</w:instrText>
      </w:r>
      <w:r>
        <w:rPr>
          <w:b/>
        </w:rPr>
      </w:r>
      <w:r>
        <w:rPr>
          <w:b/>
        </w:rPr>
        <w:fldChar w:fldCharType="separate"/>
      </w:r>
      <w:r>
        <w:rPr>
          <w:b/>
        </w:rPr>
      </w:r>
    </w:p>
    <w:p>
      <w:pPr>
        <w:pStyle w:val="Normal"/>
        <w:jc w:val="both"/>
        <w:rPr>
          <w:rFonts w:ascii="Times New Roman" w:hAnsi="Times New Roman"/>
        </w:rPr>
      </w:pPr>
      <w:r>
        <w:rPr>
          <w:b/>
        </w:rPr>
      </w:r>
      <w:r>
        <w:rPr>
          <w:b/>
        </w:rPr>
        <w:fldChar w:fldCharType="end"/>
      </w:r>
    </w:p>
    <w:tbl>
      <w:tblPr>
        <w:tblW w:w="833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77"/>
        <w:gridCol w:w="874"/>
        <w:gridCol w:w="301"/>
        <w:gridCol w:w="301"/>
        <w:gridCol w:w="301"/>
        <w:gridCol w:w="301"/>
        <w:gridCol w:w="301"/>
        <w:gridCol w:w="301"/>
        <w:gridCol w:w="301"/>
        <w:gridCol w:w="301"/>
        <w:gridCol w:w="301"/>
        <w:gridCol w:w="408"/>
        <w:gridCol w:w="409"/>
        <w:gridCol w:w="408"/>
        <w:gridCol w:w="409"/>
        <w:gridCol w:w="408"/>
        <w:gridCol w:w="409"/>
        <w:gridCol w:w="408"/>
        <w:gridCol w:w="409"/>
        <w:gridCol w:w="407"/>
      </w:tblGrid>
      <w:tr>
        <w:trPr>
          <w:trHeight w:val="300" w:hRule="atLeast"/>
        </w:trPr>
        <w:tc>
          <w:tcPr>
            <w:tcW w:w="1077" w:type="dxa"/>
            <w:vMerge w:val="restart"/>
            <w:tcBorders>
              <w:top w:val="single" w:sz="8" w:space="0" w:color="000000"/>
              <w:left w:val="single" w:sz="8" w:space="0" w:color="000000"/>
              <w:bottom w:val="single" w:sz="8" w:space="0" w:color="000000"/>
              <w:right w:val="single" w:sz="4" w:space="0" w:color="D0CECE"/>
            </w:tcBorders>
            <w:shd w:color="auto" w:fill="auto" w:val="clear"/>
            <w:vAlign w:val="center"/>
          </w:tcPr>
          <w:p>
            <w:pPr>
              <w:pStyle w:val="Normal"/>
              <w:widowControl w:val="false"/>
              <w:jc w:val="center"/>
              <w:rPr>
                <w:rFonts w:ascii="Times New Roman" w:hAnsi="Times New Roman"/>
                <w:b/>
                <w:b/>
                <w:bCs/>
                <w:color w:val="000000"/>
                <w:lang w:eastAsia="en-GB"/>
              </w:rPr>
            </w:pPr>
            <w:r>
              <w:rPr>
                <w:b/>
                <w:bCs/>
                <w:color w:val="000000"/>
                <w:lang w:eastAsia="en-GB"/>
              </w:rPr>
              <w:t>Enabling Activity</w:t>
            </w:r>
          </w:p>
        </w:tc>
        <w:tc>
          <w:tcPr>
            <w:tcW w:w="874" w:type="dxa"/>
            <w:vMerge w:val="restart"/>
            <w:tcBorders>
              <w:top w:val="single" w:sz="8" w:space="0" w:color="000000"/>
              <w:left w:val="single" w:sz="4" w:space="0" w:color="D0CECE"/>
              <w:bottom w:val="single" w:sz="8" w:space="0" w:color="000000"/>
              <w:right w:val="single" w:sz="4" w:space="0" w:color="D0CECE"/>
            </w:tcBorders>
            <w:shd w:color="auto" w:fill="auto" w:val="clear"/>
            <w:vAlign w:val="center"/>
          </w:tcPr>
          <w:p>
            <w:pPr>
              <w:pStyle w:val="Normal"/>
              <w:widowControl w:val="false"/>
              <w:jc w:val="center"/>
              <w:rPr>
                <w:rFonts w:ascii="Times New Roman" w:hAnsi="Times New Roman"/>
                <w:b/>
                <w:b/>
                <w:bCs/>
                <w:color w:val="000000"/>
                <w:lang w:eastAsia="en-GB"/>
              </w:rPr>
            </w:pPr>
            <w:r>
              <w:rPr>
                <w:b/>
                <w:bCs/>
                <w:color w:val="000000"/>
                <w:lang w:eastAsia="en-GB"/>
              </w:rPr>
              <w:t>Line of activity</w:t>
            </w:r>
          </w:p>
        </w:tc>
        <w:tc>
          <w:tcPr>
            <w:tcW w:w="6384" w:type="dxa"/>
            <w:gridSpan w:val="18"/>
            <w:tcBorders>
              <w:top w:val="single" w:sz="8" w:space="0" w:color="000000"/>
              <w:bottom w:val="single" w:sz="4" w:space="0" w:color="D0CECE"/>
              <w:right w:val="single" w:sz="8" w:space="0" w:color="000000"/>
            </w:tcBorders>
            <w:shd w:color="auto" w:fill="auto" w:val="clear"/>
            <w:vAlign w:val="bottom"/>
          </w:tcPr>
          <w:p>
            <w:pPr>
              <w:pStyle w:val="Normal"/>
              <w:widowControl w:val="false"/>
              <w:jc w:val="center"/>
              <w:rPr>
                <w:rFonts w:ascii="Times New Roman" w:hAnsi="Times New Roman"/>
                <w:b/>
                <w:b/>
                <w:bCs/>
                <w:color w:val="000000"/>
                <w:lang w:eastAsia="en-GB"/>
              </w:rPr>
            </w:pPr>
            <w:r>
              <w:rPr>
                <w:b/>
                <w:bCs/>
                <w:color w:val="000000"/>
                <w:lang w:eastAsia="en-GB"/>
              </w:rPr>
              <w:t>Months</w:t>
            </w:r>
          </w:p>
        </w:tc>
      </w:tr>
      <w:tr>
        <w:trPr>
          <w:trHeight w:val="315" w:hRule="atLeast"/>
        </w:trPr>
        <w:tc>
          <w:tcPr>
            <w:tcW w:w="1077" w:type="dxa"/>
            <w:vMerge w:val="continue"/>
            <w:tcBorders>
              <w:top w:val="single" w:sz="8" w:space="0" w:color="000000"/>
              <w:left w:val="single" w:sz="8" w:space="0" w:color="000000"/>
              <w:bottom w:val="single" w:sz="8" w:space="0" w:color="000000"/>
              <w:right w:val="single" w:sz="4" w:space="0" w:color="D0CECE"/>
            </w:tcBorders>
            <w:vAlign w:val="center"/>
          </w:tcPr>
          <w:p>
            <w:pPr>
              <w:pStyle w:val="Normal"/>
              <w:widowControl w:val="false"/>
              <w:rPr>
                <w:rFonts w:ascii="Times New Roman" w:hAnsi="Times New Roman"/>
                <w:b/>
                <w:b/>
                <w:bCs/>
                <w:color w:val="000000"/>
                <w:lang w:eastAsia="en-GB"/>
              </w:rPr>
            </w:pPr>
            <w:r>
              <w:rPr>
                <w:b/>
                <w:bCs/>
                <w:color w:val="000000"/>
                <w:lang w:eastAsia="en-GB"/>
              </w:rPr>
            </w:r>
          </w:p>
        </w:tc>
        <w:tc>
          <w:tcPr>
            <w:tcW w:w="874" w:type="dxa"/>
            <w:vMerge w:val="continue"/>
            <w:tcBorders>
              <w:top w:val="single" w:sz="8" w:space="0" w:color="000000"/>
              <w:left w:val="single" w:sz="4" w:space="0" w:color="D0CECE"/>
              <w:bottom w:val="single" w:sz="8" w:space="0" w:color="000000"/>
              <w:right w:val="single" w:sz="4" w:space="0" w:color="D0CECE"/>
            </w:tcBorders>
            <w:vAlign w:val="center"/>
          </w:tcPr>
          <w:p>
            <w:pPr>
              <w:pStyle w:val="Normal"/>
              <w:widowControl w:val="false"/>
              <w:rPr>
                <w:rFonts w:ascii="Times New Roman" w:hAnsi="Times New Roman"/>
                <w:b/>
                <w:b/>
                <w:bCs/>
                <w:color w:val="000000"/>
                <w:lang w:eastAsia="en-GB"/>
              </w:rPr>
            </w:pPr>
            <w:r>
              <w:rPr>
                <w:b/>
                <w:bCs/>
                <w:color w:val="000000"/>
                <w:lang w:eastAsia="en-GB"/>
              </w:rPr>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2</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3</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4</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5</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6</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7</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8</w:t>
            </w:r>
          </w:p>
        </w:tc>
        <w:tc>
          <w:tcPr>
            <w:tcW w:w="301"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9</w:t>
            </w:r>
          </w:p>
        </w:tc>
        <w:tc>
          <w:tcPr>
            <w:tcW w:w="408"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10</w:t>
            </w:r>
          </w:p>
        </w:tc>
        <w:tc>
          <w:tcPr>
            <w:tcW w:w="409"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11</w:t>
            </w:r>
          </w:p>
        </w:tc>
        <w:tc>
          <w:tcPr>
            <w:tcW w:w="408"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12</w:t>
            </w:r>
          </w:p>
        </w:tc>
        <w:tc>
          <w:tcPr>
            <w:tcW w:w="409"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13</w:t>
            </w:r>
          </w:p>
        </w:tc>
        <w:tc>
          <w:tcPr>
            <w:tcW w:w="408"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14</w:t>
            </w:r>
          </w:p>
        </w:tc>
        <w:tc>
          <w:tcPr>
            <w:tcW w:w="409"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15</w:t>
            </w:r>
          </w:p>
        </w:tc>
        <w:tc>
          <w:tcPr>
            <w:tcW w:w="408"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16</w:t>
            </w:r>
          </w:p>
        </w:tc>
        <w:tc>
          <w:tcPr>
            <w:tcW w:w="409" w:type="dxa"/>
            <w:tcBorders>
              <w:bottom w:val="single" w:sz="8" w:space="0" w:color="000000"/>
              <w:right w:val="single" w:sz="4" w:space="0" w:color="D0CECE"/>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17</w:t>
            </w:r>
          </w:p>
        </w:tc>
        <w:tc>
          <w:tcPr>
            <w:tcW w:w="407" w:type="dxa"/>
            <w:tcBorders>
              <w:bottom w:val="single" w:sz="8" w:space="0" w:color="000000"/>
              <w:right w:val="single" w:sz="8" w:space="0" w:color="000000"/>
            </w:tcBorders>
            <w:shd w:color="auto" w:fill="auto" w:val="clear"/>
            <w:vAlign w:val="bottom"/>
          </w:tcPr>
          <w:p>
            <w:pPr>
              <w:pStyle w:val="Normal"/>
              <w:widowControl w:val="false"/>
              <w:jc w:val="right"/>
              <w:rPr>
                <w:rFonts w:ascii="Times New Roman" w:hAnsi="Times New Roman"/>
                <w:b/>
                <w:b/>
                <w:bCs/>
                <w:color w:val="000000"/>
                <w:lang w:eastAsia="en-GB"/>
              </w:rPr>
            </w:pPr>
            <w:r>
              <w:rPr>
                <w:b/>
                <w:bCs/>
                <w:color w:val="000000"/>
                <w:lang w:eastAsia="en-GB"/>
              </w:rPr>
              <w:t>18</w:t>
            </w:r>
          </w:p>
        </w:tc>
      </w:tr>
      <w:tr>
        <w:trPr>
          <w:trHeight w:val="315" w:hRule="atLeast"/>
        </w:trPr>
        <w:tc>
          <w:tcPr>
            <w:tcW w:w="1077" w:type="dxa"/>
            <w:tcBorders>
              <w:top w:val="single" w:sz="8" w:space="0" w:color="D0CECE"/>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1. Capacity Building</w:t>
            </w:r>
          </w:p>
        </w:tc>
        <w:tc>
          <w:tcPr>
            <w:tcW w:w="874" w:type="dxa"/>
            <w:tcBorders>
              <w:top w:val="single" w:sz="8" w:space="0" w:color="D0CECE"/>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1.1</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top w:val="single" w:sz="8" w:space="0" w:color="D0CECE"/>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7" w:type="dxa"/>
            <w:tcBorders>
              <w:top w:val="single" w:sz="8" w:space="0" w:color="D0CECE"/>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r>
        <w:trPr>
          <w:trHeight w:val="315" w:hRule="atLeast"/>
        </w:trPr>
        <w:tc>
          <w:tcPr>
            <w:tcW w:w="1077" w:type="dxa"/>
            <w:tcBorders>
              <w:left w:val="single" w:sz="8" w:space="0" w:color="000000"/>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2. Public awareness</w:t>
            </w:r>
          </w:p>
        </w:tc>
        <w:tc>
          <w:tcPr>
            <w:tcW w:w="874" w:type="dxa"/>
            <w:tcBorders>
              <w:bottom w:val="single" w:sz="8" w:space="0" w:color="000000"/>
              <w:right w:val="single" w:sz="8" w:space="0" w:color="D0CECE"/>
            </w:tcBorders>
            <w:shd w:color="auto" w:fill="auto" w:val="clear"/>
            <w:vAlign w:val="bottom"/>
          </w:tcPr>
          <w:p>
            <w:pPr>
              <w:pStyle w:val="Normal"/>
              <w:widowControl w:val="false"/>
              <w:jc w:val="center"/>
              <w:rPr>
                <w:rFonts w:ascii="Times New Roman" w:hAnsi="Times New Roman"/>
                <w:color w:val="000000"/>
                <w:lang w:eastAsia="en-GB"/>
              </w:rPr>
            </w:pPr>
            <w:r>
              <w:rPr>
                <w:color w:val="000000"/>
                <w:lang w:eastAsia="en-GB"/>
              </w:rPr>
              <w:t>2.1</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000000" w:fill="5B9BD5"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301"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8"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9" w:type="dxa"/>
            <w:tcBorders>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c>
          <w:tcPr>
            <w:tcW w:w="407" w:type="dxa"/>
            <w:tcBorders>
              <w:bottom w:val="single" w:sz="8" w:space="0" w:color="000000"/>
              <w:right w:val="single" w:sz="8" w:space="0" w:color="000000"/>
            </w:tcBorders>
            <w:shd w:color="auto" w:fill="auto" w:val="clear"/>
            <w:vAlign w:val="bottom"/>
          </w:tcPr>
          <w:p>
            <w:pPr>
              <w:pStyle w:val="Normal"/>
              <w:widowControl w:val="false"/>
              <w:rPr>
                <w:rFonts w:ascii="Times New Roman" w:hAnsi="Times New Roman"/>
                <w:color w:val="000000"/>
                <w:lang w:eastAsia="en-GB"/>
              </w:rPr>
            </w:pPr>
            <w:r>
              <w:rPr>
                <w:color w:val="000000"/>
                <w:lang w:eastAsia="en-GB"/>
              </w:rPr>
              <w:t> </w:t>
            </w:r>
          </w:p>
        </w:tc>
      </w:tr>
    </w:tbl>
    <w:p>
      <w:pPr>
        <w:pStyle w:val="NoSpacing"/>
        <w:spacing w:before="60" w:after="0"/>
        <w:rPr>
          <w:rFonts w:ascii="Times New Roman" w:hAnsi="Times New Roman" w:cs="Times New Roman"/>
          <w:sz w:val="24"/>
          <w:szCs w:val="24"/>
        </w:rPr>
      </w:pPr>
      <w:r>
        <w:rPr>
          <w:rFonts w:cs="Times New Roman"/>
          <w:sz w:val="24"/>
          <w:szCs w:val="24"/>
        </w:rPr>
      </w:r>
    </w:p>
    <w:p>
      <w:pPr>
        <w:pStyle w:val="NoSpacing"/>
        <w:spacing w:before="60" w:after="0"/>
        <w:rPr>
          <w:rFonts w:ascii="Times New Roman" w:hAnsi="Times New Roman" w:cs="Times New Roman"/>
          <w:sz w:val="24"/>
          <w:szCs w:val="24"/>
        </w:rPr>
      </w:pPr>
      <w:r>
        <w:rPr>
          <w:rFonts w:cs="Times New Roman"/>
          <w:sz w:val="24"/>
          <w:szCs w:val="24"/>
        </w:rPr>
      </w:r>
    </w:p>
    <w:p>
      <w:pPr>
        <w:pStyle w:val="NoSpacing"/>
        <w:spacing w:before="60" w:after="0"/>
        <w:rPr>
          <w:rFonts w:ascii="Times New Roman" w:hAnsi="Times New Roman" w:cs="Times New Roman"/>
          <w:b/>
          <w:b/>
          <w:sz w:val="24"/>
          <w:szCs w:val="24"/>
        </w:rPr>
      </w:pPr>
      <w:r>
        <w:rPr>
          <w:rFonts w:cs="Times New Roman"/>
          <w:b/>
          <w:sz w:val="24"/>
          <w:szCs w:val="24"/>
        </w:rPr>
        <w:t xml:space="preserve">Statement by the Government and Implementing Agency </w:t>
      </w:r>
    </w:p>
    <w:p>
      <w:pPr>
        <w:pStyle w:val="NoSpacing"/>
        <w:ind w:left="720" w:hanging="0"/>
        <w:rPr>
          <w:rFonts w:ascii="Times New Roman" w:hAnsi="Times New Roman" w:cs="Times New Roman"/>
          <w:b/>
          <w:b/>
          <w:sz w:val="24"/>
          <w:szCs w:val="24"/>
        </w:rPr>
      </w:pPr>
      <w:r>
        <w:rPr>
          <w:rFonts w:cs="Times New Roman"/>
          <w:b/>
          <w:sz w:val="24"/>
          <w:szCs w:val="24"/>
        </w:rPr>
      </w:r>
    </w:p>
    <w:p>
      <w:pPr>
        <w:pStyle w:val="Normal"/>
        <w:jc w:val="both"/>
        <w:rPr>
          <w:rFonts w:ascii="Times New Roman" w:hAnsi="Times New Roman"/>
        </w:rPr>
      </w:pPr>
      <w:r>
        <w:rPr/>
        <w:t>The Government of Mexico and the UN Environment confirm that the proposed enabling activities will not delay the implementation of HCFC phase-out activities in the country.</w:t>
      </w:r>
    </w:p>
    <w:p>
      <w:pPr>
        <w:pStyle w:val="Normal"/>
        <w:jc w:val="both"/>
        <w:rPr>
          <w:rFonts w:ascii="Times New Roman" w:hAnsi="Times New Roman"/>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Montenegro</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Montenegro</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US$50,000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The Government of Montenegro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Montenegro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Montenegro confirms that all activities under Enabling Activities will be implemented following model that UNIDO will administer the funds (UNIDO's execution) instead of national execution.</w:t>
      </w:r>
    </w:p>
    <w:p>
      <w:pPr>
        <w:pStyle w:val="Default"/>
        <w:jc w:val="both"/>
        <w:rPr>
          <w:i/>
          <w:i/>
        </w:rPr>
      </w:pPr>
      <w:r>
        <w:rPr>
          <w:i/>
        </w:rPr>
      </w:r>
    </w:p>
    <w:p>
      <w:pPr>
        <w:pStyle w:val="Default"/>
        <w:jc w:val="both"/>
        <w:rPr>
          <w:i/>
          <w:i/>
        </w:rPr>
      </w:pPr>
      <w:r>
        <w:rPr>
          <w:i/>
        </w:rPr>
      </w:r>
    </w:p>
    <w:p>
      <w:pPr>
        <w:pStyle w:val="Default"/>
        <w:numPr>
          <w:ilvl w:val="0"/>
          <w:numId w:val="48"/>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in Montenegro amounts to 0.8 ODP tonnes.</w:t>
      </w:r>
    </w:p>
    <w:p>
      <w:pPr>
        <w:pStyle w:val="Default"/>
        <w:jc w:val="both"/>
        <w:rPr>
          <w:bCs/>
          <w:highlight w:val="yellow"/>
        </w:rPr>
      </w:pPr>
      <w:r>
        <w:rPr>
          <w:bCs/>
          <w:highlight w:val="yellow"/>
        </w:rPr>
      </w:r>
    </w:p>
    <w:p>
      <w:pPr>
        <w:pStyle w:val="Default"/>
        <w:jc w:val="both"/>
        <w:rPr>
          <w:bCs/>
        </w:rPr>
      </w:pPr>
      <w:r>
        <w:rPr>
          <w:bCs/>
        </w:rPr>
        <w:t xml:space="preserve">Total consumption of substances in the period 2012-2015 is 189,19 MT. HFC-134a and R-404A are dominant with 35,14% and respectively 33,61%, followed by R-410A with 13,47%, R-717 (ammonia) with 9,01% and R-407C with 7,39%, while all others are 1,39%. Only two refrigerants (HFC-134a and R-404A) are used in the manufacturing sector. </w:t>
      </w:r>
    </w:p>
    <w:p>
      <w:pPr>
        <w:pStyle w:val="Default"/>
        <w:jc w:val="both"/>
        <w:rPr>
          <w:bCs/>
        </w:rPr>
      </w:pPr>
      <w:r>
        <w:rPr>
          <w:bCs/>
        </w:rPr>
      </w:r>
    </w:p>
    <w:p>
      <w:pPr>
        <w:pStyle w:val="Default"/>
        <w:jc w:val="both"/>
        <w:rPr>
          <w:bCs/>
        </w:rPr>
      </w:pPr>
      <w:r>
        <w:rPr>
          <w:bCs/>
        </w:rPr>
        <w:t>The air-conditioning and refrigeration sector is the largest user of ODS alternatives in Montenegro. The main uses of refrigerants are in mobile air-conditioning followed by commercial refrigeration.</w:t>
      </w:r>
    </w:p>
    <w:p>
      <w:pPr>
        <w:pStyle w:val="Default"/>
        <w:jc w:val="both"/>
        <w:rPr>
          <w:bCs/>
        </w:rPr>
      </w:pPr>
      <w:r>
        <w:rPr>
          <w:bCs/>
        </w:rPr>
      </w:r>
    </w:p>
    <w:p>
      <w:pPr>
        <w:pStyle w:val="Default"/>
        <w:jc w:val="both"/>
        <w:rPr>
          <w:bCs/>
        </w:rPr>
      </w:pPr>
      <w:r>
        <w:rPr>
          <w:bCs/>
        </w:rPr>
      </w:r>
    </w:p>
    <w:p>
      <w:pPr>
        <w:pStyle w:val="Default"/>
        <w:jc w:val="both"/>
        <w:rPr>
          <w:bCs/>
        </w:rPr>
      </w:pPr>
      <w:r>
        <w:rPr>
          <w:bCs/>
        </w:rPr>
      </w:r>
    </w:p>
    <w:p>
      <w:pPr>
        <w:pStyle w:val="Normal"/>
        <w:rPr>
          <w:rFonts w:ascii="Times New Roman" w:hAnsi="Times New Roman"/>
          <w:bCs/>
        </w:rPr>
      </w:pPr>
      <w:r>
        <w:rPr>
          <w:bCs/>
        </w:rPr>
      </w:r>
    </w:p>
    <w:p>
      <w:pPr>
        <w:pStyle w:val="Normal"/>
        <w:rPr>
          <w:rFonts w:ascii="Times New Roman" w:hAnsi="Times New Roman"/>
          <w:bCs/>
        </w:rPr>
      </w:pPr>
      <w:r>
        <w:rPr>
          <w:bCs/>
        </w:rPr>
      </w:r>
    </w:p>
    <w:p>
      <w:pPr>
        <w:pStyle w:val="Normal"/>
        <w:rPr>
          <w:rFonts w:ascii="Times New Roman" w:hAnsi="Times New Roman"/>
          <w:bCs/>
        </w:rPr>
      </w:pPr>
      <w:r>
        <w:rPr>
          <w:bCs/>
        </w:rPr>
      </w:r>
    </w:p>
    <w:p>
      <w:pPr>
        <w:pStyle w:val="Normal"/>
        <w:jc w:val="center"/>
        <w:rPr>
          <w:rFonts w:ascii="Times New Roman" w:hAnsi="Times New Roman"/>
          <w:bCs/>
          <w:color w:val="000000"/>
        </w:rPr>
      </w:pPr>
      <w:r>
        <w:rPr>
          <w:bCs/>
          <w:color w:val="000000"/>
        </w:rPr>
        <w:t xml:space="preserve">Table 1. </w:t>
      </w:r>
      <w:r>
        <w:rPr>
          <w:bCs/>
        </w:rPr>
        <w:t>Consumption by sectors for the period 2012-2015 (in MT)</w:t>
      </w:r>
    </w:p>
    <w:tbl>
      <w:tblPr>
        <w:tblW w:w="631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514"/>
        <w:gridCol w:w="1763"/>
        <w:gridCol w:w="1167"/>
        <w:gridCol w:w="869"/>
      </w:tblGrid>
      <w:tr>
        <w:trPr>
          <w:trHeight w:val="255" w:hRule="atLeast"/>
        </w:trPr>
        <w:tc>
          <w:tcPr>
            <w:tcW w:w="2514" w:type="dxa"/>
            <w:tcBorders>
              <w:top w:val="single" w:sz="8" w:space="0" w:color="000000"/>
              <w:left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b/>
                <w:b/>
                <w:bCs/>
                <w:lang w:eastAsia="en-GB"/>
              </w:rPr>
            </w:pPr>
            <w:r>
              <w:rPr>
                <w:rFonts w:eastAsia="Calibri"/>
                <w:b/>
                <w:bCs/>
                <w:lang w:eastAsia="en-GB"/>
              </w:rPr>
              <w:t>Alternative</w:t>
            </w:r>
          </w:p>
        </w:tc>
        <w:tc>
          <w:tcPr>
            <w:tcW w:w="1763" w:type="dxa"/>
            <w:tcBorders>
              <w:top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b/>
                <w:b/>
                <w:bCs/>
                <w:lang w:eastAsia="en-GB"/>
              </w:rPr>
            </w:pPr>
            <w:r>
              <w:rPr>
                <w:rFonts w:eastAsia="Calibri"/>
                <w:b/>
                <w:bCs/>
                <w:lang w:eastAsia="en-GB"/>
              </w:rPr>
              <w:t>Manufacturing</w:t>
            </w:r>
          </w:p>
        </w:tc>
        <w:tc>
          <w:tcPr>
            <w:tcW w:w="1167" w:type="dxa"/>
            <w:tcBorders>
              <w:top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b/>
                <w:b/>
                <w:bCs/>
                <w:lang w:eastAsia="en-GB"/>
              </w:rPr>
            </w:pPr>
            <w:r>
              <w:rPr>
                <w:rFonts w:eastAsia="Calibri"/>
                <w:b/>
                <w:bCs/>
                <w:lang w:eastAsia="en-GB"/>
              </w:rPr>
              <w:t>Servicing</w:t>
            </w:r>
          </w:p>
        </w:tc>
        <w:tc>
          <w:tcPr>
            <w:tcW w:w="869" w:type="dxa"/>
            <w:tcBorders>
              <w:top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b/>
                <w:b/>
                <w:bCs/>
                <w:lang w:eastAsia="en-GB"/>
              </w:rPr>
            </w:pPr>
            <w:r>
              <w:rPr>
                <w:rFonts w:eastAsia="Calibri"/>
                <w:b/>
                <w:bCs/>
                <w:lang w:eastAsia="en-GB"/>
              </w:rPr>
              <w:t>Total</w:t>
            </w:r>
          </w:p>
        </w:tc>
      </w:tr>
      <w:tr>
        <w:trPr>
          <w:trHeight w:val="255" w:hRule="atLeast"/>
        </w:trPr>
        <w:tc>
          <w:tcPr>
            <w:tcW w:w="2514" w:type="dxa"/>
            <w:tcBorders>
              <w:left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t>HFC-134a</w:t>
            </w:r>
          </w:p>
        </w:tc>
        <w:tc>
          <w:tcPr>
            <w:tcW w:w="1763"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20,40</w:t>
            </w:r>
          </w:p>
        </w:tc>
        <w:tc>
          <w:tcPr>
            <w:tcW w:w="1167"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46,07</w:t>
            </w:r>
          </w:p>
        </w:tc>
        <w:tc>
          <w:tcPr>
            <w:tcW w:w="869"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66,47</w:t>
            </w:r>
          </w:p>
        </w:tc>
      </w:tr>
      <w:tr>
        <w:trPr>
          <w:trHeight w:val="255" w:hRule="atLeast"/>
        </w:trPr>
        <w:tc>
          <w:tcPr>
            <w:tcW w:w="2514" w:type="dxa"/>
            <w:tcBorders>
              <w:left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t>R-404A</w:t>
            </w:r>
          </w:p>
        </w:tc>
        <w:tc>
          <w:tcPr>
            <w:tcW w:w="1763"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44,05</w:t>
            </w:r>
          </w:p>
        </w:tc>
        <w:tc>
          <w:tcPr>
            <w:tcW w:w="1167"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19,53</w:t>
            </w:r>
          </w:p>
        </w:tc>
        <w:tc>
          <w:tcPr>
            <w:tcW w:w="869"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63,58</w:t>
            </w:r>
          </w:p>
        </w:tc>
      </w:tr>
      <w:tr>
        <w:trPr>
          <w:trHeight w:val="255" w:hRule="atLeast"/>
        </w:trPr>
        <w:tc>
          <w:tcPr>
            <w:tcW w:w="2514" w:type="dxa"/>
            <w:tcBorders>
              <w:left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t>R-410A</w:t>
            </w:r>
          </w:p>
        </w:tc>
        <w:tc>
          <w:tcPr>
            <w:tcW w:w="1763" w:type="dxa"/>
            <w:tcBorders>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r>
          </w:p>
        </w:tc>
        <w:tc>
          <w:tcPr>
            <w:tcW w:w="1167"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25,49</w:t>
            </w:r>
          </w:p>
        </w:tc>
        <w:tc>
          <w:tcPr>
            <w:tcW w:w="869"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25,49</w:t>
            </w:r>
          </w:p>
        </w:tc>
      </w:tr>
      <w:tr>
        <w:trPr>
          <w:trHeight w:val="255" w:hRule="atLeast"/>
        </w:trPr>
        <w:tc>
          <w:tcPr>
            <w:tcW w:w="2514" w:type="dxa"/>
            <w:tcBorders>
              <w:left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t>R-407C</w:t>
            </w:r>
          </w:p>
        </w:tc>
        <w:tc>
          <w:tcPr>
            <w:tcW w:w="1763" w:type="dxa"/>
            <w:tcBorders>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r>
          </w:p>
        </w:tc>
        <w:tc>
          <w:tcPr>
            <w:tcW w:w="1167"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13,99</w:t>
            </w:r>
          </w:p>
        </w:tc>
        <w:tc>
          <w:tcPr>
            <w:tcW w:w="869"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13,99</w:t>
            </w:r>
          </w:p>
        </w:tc>
      </w:tr>
      <w:tr>
        <w:trPr>
          <w:trHeight w:val="255" w:hRule="atLeast"/>
        </w:trPr>
        <w:tc>
          <w:tcPr>
            <w:tcW w:w="2514" w:type="dxa"/>
            <w:tcBorders>
              <w:left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t>R-507A</w:t>
            </w:r>
          </w:p>
        </w:tc>
        <w:tc>
          <w:tcPr>
            <w:tcW w:w="1763" w:type="dxa"/>
            <w:tcBorders>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r>
          </w:p>
        </w:tc>
        <w:tc>
          <w:tcPr>
            <w:tcW w:w="1167"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0,85</w:t>
            </w:r>
          </w:p>
        </w:tc>
        <w:tc>
          <w:tcPr>
            <w:tcW w:w="869"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0,85</w:t>
            </w:r>
          </w:p>
        </w:tc>
      </w:tr>
      <w:tr>
        <w:trPr>
          <w:trHeight w:val="255" w:hRule="atLeast"/>
        </w:trPr>
        <w:tc>
          <w:tcPr>
            <w:tcW w:w="2514" w:type="dxa"/>
            <w:tcBorders>
              <w:left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t>HFC-227ea</w:t>
            </w:r>
          </w:p>
        </w:tc>
        <w:tc>
          <w:tcPr>
            <w:tcW w:w="1763" w:type="dxa"/>
            <w:tcBorders>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r>
          </w:p>
        </w:tc>
        <w:tc>
          <w:tcPr>
            <w:tcW w:w="1167"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1,21</w:t>
            </w:r>
          </w:p>
        </w:tc>
        <w:tc>
          <w:tcPr>
            <w:tcW w:w="869"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1,21</w:t>
            </w:r>
          </w:p>
        </w:tc>
      </w:tr>
      <w:tr>
        <w:trPr>
          <w:trHeight w:val="255" w:hRule="atLeast"/>
        </w:trPr>
        <w:tc>
          <w:tcPr>
            <w:tcW w:w="2514" w:type="dxa"/>
            <w:tcBorders>
              <w:left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t>R-717 Ammonia</w:t>
            </w:r>
          </w:p>
        </w:tc>
        <w:tc>
          <w:tcPr>
            <w:tcW w:w="1763" w:type="dxa"/>
            <w:tcBorders>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r>
          </w:p>
        </w:tc>
        <w:tc>
          <w:tcPr>
            <w:tcW w:w="1167"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17,04</w:t>
            </w:r>
          </w:p>
        </w:tc>
        <w:tc>
          <w:tcPr>
            <w:tcW w:w="869"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17,04</w:t>
            </w:r>
          </w:p>
        </w:tc>
      </w:tr>
      <w:tr>
        <w:trPr>
          <w:trHeight w:val="255" w:hRule="atLeast"/>
        </w:trPr>
        <w:tc>
          <w:tcPr>
            <w:tcW w:w="2514" w:type="dxa"/>
            <w:tcBorders>
              <w:left w:val="single" w:sz="8" w:space="0" w:color="000000"/>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t>HC-600a</w:t>
            </w:r>
          </w:p>
        </w:tc>
        <w:tc>
          <w:tcPr>
            <w:tcW w:w="1763" w:type="dxa"/>
            <w:tcBorders>
              <w:bottom w:val="single" w:sz="8" w:space="0" w:color="000000"/>
              <w:right w:val="single" w:sz="8" w:space="0" w:color="000000"/>
            </w:tcBorders>
            <w:vAlign w:val="bottom"/>
          </w:tcPr>
          <w:p>
            <w:pPr>
              <w:pStyle w:val="Normal"/>
              <w:widowControl w:val="false"/>
              <w:rPr>
                <w:rFonts w:ascii="Times New Roman" w:hAnsi="Times New Roman" w:eastAsia="Calibri"/>
                <w:lang w:eastAsia="en-GB"/>
              </w:rPr>
            </w:pPr>
            <w:r>
              <w:rPr>
                <w:rFonts w:eastAsia="Calibri"/>
                <w:lang w:eastAsia="en-GB"/>
              </w:rPr>
            </w:r>
          </w:p>
        </w:tc>
        <w:tc>
          <w:tcPr>
            <w:tcW w:w="1167"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0,57</w:t>
            </w:r>
          </w:p>
        </w:tc>
        <w:tc>
          <w:tcPr>
            <w:tcW w:w="869"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lang w:eastAsia="en-GB"/>
              </w:rPr>
            </w:pPr>
            <w:r>
              <w:rPr>
                <w:rFonts w:eastAsia="Calibri"/>
                <w:lang w:eastAsia="en-GB"/>
              </w:rPr>
              <w:t>0,57</w:t>
            </w:r>
          </w:p>
        </w:tc>
      </w:tr>
      <w:tr>
        <w:trPr>
          <w:trHeight w:val="255" w:hRule="atLeast"/>
        </w:trPr>
        <w:tc>
          <w:tcPr>
            <w:tcW w:w="2514" w:type="dxa"/>
            <w:tcBorders>
              <w:left w:val="single" w:sz="8" w:space="0" w:color="000000"/>
              <w:bottom w:val="single" w:sz="8" w:space="0" w:color="000000"/>
              <w:right w:val="single" w:sz="8" w:space="0" w:color="000000"/>
            </w:tcBorders>
            <w:vAlign w:val="bottom"/>
          </w:tcPr>
          <w:p>
            <w:pPr>
              <w:pStyle w:val="Normal"/>
              <w:widowControl w:val="false"/>
              <w:jc w:val="right"/>
              <w:rPr>
                <w:rFonts w:ascii="Times New Roman" w:hAnsi="Times New Roman" w:eastAsia="Calibri"/>
                <w:b/>
                <w:b/>
                <w:bCs/>
                <w:lang w:eastAsia="en-GB"/>
              </w:rPr>
            </w:pPr>
            <w:r>
              <w:rPr>
                <w:rFonts w:eastAsia="Calibri"/>
                <w:b/>
                <w:bCs/>
                <w:lang w:eastAsia="en-GB"/>
              </w:rPr>
              <w:t>Total</w:t>
            </w:r>
          </w:p>
        </w:tc>
        <w:tc>
          <w:tcPr>
            <w:tcW w:w="1763" w:type="dxa"/>
            <w:tcBorders>
              <w:bottom w:val="single" w:sz="8" w:space="0" w:color="000000"/>
              <w:right w:val="single" w:sz="8" w:space="0" w:color="000000"/>
            </w:tcBorders>
            <w:vAlign w:val="bottom"/>
          </w:tcPr>
          <w:p>
            <w:pPr>
              <w:pStyle w:val="Normal"/>
              <w:widowControl w:val="false"/>
              <w:rPr>
                <w:rFonts w:ascii="Times New Roman" w:hAnsi="Times New Roman" w:eastAsia="Calibri"/>
                <w:b/>
                <w:b/>
                <w:bCs/>
                <w:lang w:eastAsia="en-GB"/>
              </w:rPr>
            </w:pPr>
            <w:r>
              <w:rPr>
                <w:rFonts w:eastAsia="Calibri"/>
                <w:b/>
                <w:bCs/>
                <w:lang w:eastAsia="en-GB"/>
              </w:rPr>
            </w:r>
          </w:p>
        </w:tc>
        <w:tc>
          <w:tcPr>
            <w:tcW w:w="1167" w:type="dxa"/>
            <w:tcBorders>
              <w:bottom w:val="single" w:sz="8" w:space="0" w:color="000000"/>
              <w:right w:val="single" w:sz="8" w:space="0" w:color="000000"/>
            </w:tcBorders>
          </w:tcPr>
          <w:p>
            <w:pPr>
              <w:pStyle w:val="Normal"/>
              <w:widowControl w:val="false"/>
              <w:jc w:val="right"/>
              <w:rPr>
                <w:rFonts w:ascii="Times New Roman" w:hAnsi="Times New Roman" w:eastAsia="Calibri"/>
                <w:b/>
                <w:b/>
                <w:bCs/>
                <w:lang w:eastAsia="en-GB"/>
              </w:rPr>
            </w:pPr>
            <w:r>
              <w:rPr>
                <w:rFonts w:eastAsia="Calibri"/>
                <w:b/>
                <w:bCs/>
                <w:lang w:eastAsia="en-GB"/>
              </w:rPr>
            </w:r>
          </w:p>
        </w:tc>
        <w:tc>
          <w:tcPr>
            <w:tcW w:w="869"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b/>
                <w:b/>
                <w:bCs/>
                <w:lang w:eastAsia="en-GB"/>
              </w:rPr>
            </w:pPr>
            <w:r>
              <w:rPr>
                <w:rFonts w:eastAsia="Calibri"/>
                <w:b/>
                <w:bCs/>
                <w:lang w:eastAsia="en-GB"/>
              </w:rPr>
              <w:t>189,19</w:t>
            </w:r>
          </w:p>
        </w:tc>
      </w:tr>
    </w:tbl>
    <w:p>
      <w:pPr>
        <w:pStyle w:val="Default"/>
        <w:jc w:val="both"/>
        <w:rPr>
          <w:bCs/>
        </w:rPr>
      </w:pPr>
      <w:r>
        <w:rPr>
          <w:bCs/>
        </w:rPr>
      </w:r>
    </w:p>
    <w:p>
      <w:pPr>
        <w:pStyle w:val="Default"/>
        <w:jc w:val="both"/>
        <w:rPr>
          <w:bCs/>
        </w:rPr>
      </w:pPr>
      <w:r>
        <w:rPr>
          <w:bCs/>
        </w:rPr>
        <w:t>Legislation is in place which ban on import of equipment based on HCFC-22. The HCFCs quota system has effectively reduced the consumption of HCFC. The Import and export of HFCs is subject for permits for monitoring purposes and reporting from importers is very good. No ban on non-refillable HCFC/HFC containers until the accession of Montenegro to the European Union; however, it is required Ban on import of refrigerants in disposable (refillable) cylinders as soon as possible, preferably from 2017.</w:t>
      </w:r>
    </w:p>
    <w:p>
      <w:pPr>
        <w:pStyle w:val="Default"/>
        <w:jc w:val="both"/>
        <w:rPr>
          <w:bCs/>
        </w:rPr>
      </w:pPr>
      <w:r>
        <w:rPr>
          <w:bCs/>
        </w:rPr>
      </w:r>
    </w:p>
    <w:p>
      <w:pPr>
        <w:pStyle w:val="Default"/>
        <w:jc w:val="both"/>
        <w:rPr>
          <w:bCs/>
        </w:rPr>
      </w:pPr>
      <w:r>
        <w:rPr>
          <w:bCs/>
        </w:rPr>
      </w:r>
    </w:p>
    <w:p>
      <w:pPr>
        <w:pStyle w:val="Default"/>
        <w:numPr>
          <w:ilvl w:val="0"/>
          <w:numId w:val="48"/>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Montenegro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48"/>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49"/>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49"/>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ind w:left="709" w:hanging="0"/>
        <w:jc w:val="both"/>
        <w:rPr/>
      </w:pPr>
      <w:r>
        <w:rPr>
          <w:bCs/>
        </w:rPr>
        <w:t>Country-specific activities aimed at initiating supporting institutional arrangements.</w:t>
      </w:r>
      <w:r>
        <w:rPr/>
        <w:t xml:space="preserve"> </w:t>
      </w: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49"/>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(refrigeration and air-conditioning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96"/>
          <w:headerReference w:type="default" r:id="rId97"/>
          <w:footerReference w:type="even" r:id="rId98"/>
          <w:footerReference w:type="default" r:id="rId99"/>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48"/>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592" w:hRule="atLeast"/>
        </w:trPr>
        <w:tc>
          <w:tcPr>
            <w:tcW w:w="4479" w:type="dxa"/>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t>c. Preparation for national strategies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c.1.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100"/>
          <w:headerReference w:type="default" r:id="rId101"/>
          <w:footerReference w:type="even" r:id="rId102"/>
          <w:footerReference w:type="default" r:id="rId103"/>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48"/>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Environmental Protection Agency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Serbia</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Serbia</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US$150,000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 xml:space="preserve">The Government of Serbia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Serbia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Serbia confirms that all activities under Enabling Activities will be implemented following model that UNIDO will administer the funds (UNIDO's execution) instead of national execution.</w:t>
      </w:r>
    </w:p>
    <w:p>
      <w:pPr>
        <w:pStyle w:val="Default"/>
        <w:jc w:val="both"/>
        <w:rPr>
          <w:bCs/>
        </w:rPr>
      </w:pPr>
      <w:r>
        <w:rPr>
          <w:bCs/>
        </w:rPr>
      </w:r>
    </w:p>
    <w:p>
      <w:pPr>
        <w:pStyle w:val="Default"/>
        <w:jc w:val="both"/>
        <w:rPr>
          <w:bCs/>
        </w:rPr>
      </w:pPr>
      <w:r>
        <w:rPr>
          <w:bCs/>
        </w:rPr>
      </w:r>
    </w:p>
    <w:p>
      <w:pPr>
        <w:pStyle w:val="Default"/>
        <w:numPr>
          <w:ilvl w:val="0"/>
          <w:numId w:val="50"/>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in Serbia amounts to 8.4 ODP tonnes.</w:t>
      </w:r>
    </w:p>
    <w:p>
      <w:pPr>
        <w:pStyle w:val="Default"/>
        <w:jc w:val="both"/>
        <w:rPr>
          <w:bCs/>
          <w:highlight w:val="yellow"/>
        </w:rPr>
      </w:pPr>
      <w:r>
        <w:rPr>
          <w:bCs/>
          <w:highlight w:val="yellow"/>
        </w:rPr>
      </w:r>
    </w:p>
    <w:p>
      <w:pPr>
        <w:pStyle w:val="Default"/>
        <w:jc w:val="both"/>
        <w:rPr>
          <w:bCs/>
        </w:rPr>
      </w:pPr>
      <w:r>
        <w:rPr>
          <w:bCs/>
        </w:rPr>
        <w:t>The total consumption of ODS alternatives is 1,727.79 tonnes for the period 2012-2015. HFC-134a is dominant with 54,28%, followed by R-404A with 35,34%, R-407C with 4,82% and R-410A with 4,48% while all others are 1,07%.</w:t>
      </w:r>
    </w:p>
    <w:p>
      <w:pPr>
        <w:pStyle w:val="Default"/>
        <w:jc w:val="both"/>
        <w:rPr>
          <w:bCs/>
        </w:rPr>
      </w:pPr>
      <w:r>
        <w:rPr>
          <w:bCs/>
        </w:rPr>
      </w:r>
    </w:p>
    <w:p>
      <w:pPr>
        <w:pStyle w:val="Default"/>
        <w:jc w:val="both"/>
        <w:rPr>
          <w:bCs/>
        </w:rPr>
      </w:pPr>
      <w:r>
        <w:rPr>
          <w:bCs/>
        </w:rPr>
        <w:t>The distribution by sectors is provided in the table below:</w:t>
      </w:r>
    </w:p>
    <w:p>
      <w:pPr>
        <w:pStyle w:val="Default"/>
        <w:jc w:val="both"/>
        <w:rPr>
          <w:bCs/>
        </w:rPr>
      </w:pPr>
      <w:r>
        <w:rPr>
          <w:bCs/>
        </w:rPr>
      </w:r>
    </w:p>
    <w:tbl>
      <w:tblPr>
        <w:tblW w:w="5738"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1241"/>
        <w:gridCol w:w="1602"/>
        <w:gridCol w:w="1061"/>
        <w:gridCol w:w="953"/>
        <w:gridCol w:w="881"/>
      </w:tblGrid>
      <w:tr>
        <w:trPr>
          <w:trHeight w:val="405" w:hRule="atLeast"/>
        </w:trPr>
        <w:tc>
          <w:tcPr>
            <w:tcW w:w="124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rFonts w:ascii="Times New Roman" w:hAnsi="Times New Roman"/>
                <w:b/>
                <w:b/>
                <w:lang w:val="en-GB" w:eastAsia="en-GB"/>
              </w:rPr>
            </w:pPr>
            <w:r>
              <w:rPr>
                <w:b/>
                <w:lang w:val="en-GB" w:eastAsia="en-GB"/>
              </w:rPr>
              <w:t>Alternative</w:t>
            </w:r>
          </w:p>
        </w:tc>
        <w:tc>
          <w:tcPr>
            <w:tcW w:w="160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rFonts w:ascii="Times New Roman" w:hAnsi="Times New Roman"/>
                <w:b/>
                <w:b/>
                <w:lang w:val="en-GB" w:eastAsia="en-GB"/>
              </w:rPr>
            </w:pPr>
            <w:r>
              <w:rPr>
                <w:b/>
                <w:lang w:val="en-GB" w:eastAsia="en-GB"/>
              </w:rPr>
              <w:t>Manufacturing</w:t>
            </w:r>
          </w:p>
        </w:tc>
        <w:tc>
          <w:tcPr>
            <w:tcW w:w="106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rFonts w:ascii="Times New Roman" w:hAnsi="Times New Roman"/>
                <w:b/>
                <w:b/>
                <w:lang w:val="en-GB" w:eastAsia="en-GB"/>
              </w:rPr>
            </w:pPr>
            <w:r>
              <w:rPr>
                <w:b/>
                <w:lang w:val="en-GB" w:eastAsia="en-GB"/>
              </w:rPr>
              <w:t>Servicing</w:t>
            </w:r>
          </w:p>
        </w:tc>
        <w:tc>
          <w:tcPr>
            <w:tcW w:w="95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rFonts w:ascii="Times New Roman" w:hAnsi="Times New Roman"/>
                <w:b/>
                <w:b/>
                <w:lang w:val="en-GB" w:eastAsia="en-GB"/>
              </w:rPr>
            </w:pPr>
            <w:r>
              <w:rPr>
                <w:b/>
                <w:lang w:val="en-GB" w:eastAsia="en-GB"/>
              </w:rPr>
              <w:t>Total</w:t>
            </w:r>
          </w:p>
        </w:tc>
        <w:tc>
          <w:tcPr>
            <w:tcW w:w="88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rFonts w:ascii="Times New Roman" w:hAnsi="Times New Roman"/>
                <w:b/>
                <w:b/>
                <w:lang w:val="en-GB" w:eastAsia="en-GB"/>
              </w:rPr>
            </w:pPr>
            <w:r>
              <w:rPr>
                <w:b/>
                <w:lang w:val="en-GB" w:eastAsia="en-GB"/>
              </w:rPr>
              <w:t>%</w:t>
            </w:r>
          </w:p>
        </w:tc>
      </w:tr>
      <w:tr>
        <w:trPr>
          <w:trHeight w:val="315" w:hRule="atLeast"/>
        </w:trPr>
        <w:tc>
          <w:tcPr>
            <w:tcW w:w="124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lang w:val="en-GB" w:eastAsia="en-GB"/>
              </w:rPr>
            </w:pPr>
            <w:r>
              <w:rPr>
                <w:lang w:val="en-GB" w:eastAsia="en-GB"/>
              </w:rPr>
              <w:t>HFc-134a</w:t>
            </w:r>
          </w:p>
        </w:tc>
        <w:tc>
          <w:tcPr>
            <w:tcW w:w="160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140,68</w:t>
            </w:r>
          </w:p>
        </w:tc>
        <w:tc>
          <w:tcPr>
            <w:tcW w:w="106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797,21</w:t>
            </w:r>
          </w:p>
        </w:tc>
        <w:tc>
          <w:tcPr>
            <w:tcW w:w="95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937,89</w:t>
            </w:r>
          </w:p>
        </w:tc>
        <w:tc>
          <w:tcPr>
            <w:tcW w:w="88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54,28%</w:t>
            </w:r>
          </w:p>
        </w:tc>
      </w:tr>
      <w:tr>
        <w:trPr>
          <w:trHeight w:val="315" w:hRule="atLeast"/>
        </w:trPr>
        <w:tc>
          <w:tcPr>
            <w:tcW w:w="124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lang w:val="en-GB" w:eastAsia="en-GB"/>
              </w:rPr>
            </w:pPr>
            <w:r>
              <w:rPr>
                <w:lang w:val="en-GB" w:eastAsia="en-GB"/>
              </w:rPr>
              <w:t>R-404A</w:t>
            </w:r>
          </w:p>
        </w:tc>
        <w:tc>
          <w:tcPr>
            <w:tcW w:w="160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366,39</w:t>
            </w:r>
          </w:p>
        </w:tc>
        <w:tc>
          <w:tcPr>
            <w:tcW w:w="106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244,26</w:t>
            </w:r>
          </w:p>
        </w:tc>
        <w:tc>
          <w:tcPr>
            <w:tcW w:w="95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610,66</w:t>
            </w:r>
          </w:p>
        </w:tc>
        <w:tc>
          <w:tcPr>
            <w:tcW w:w="88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35,34%</w:t>
            </w:r>
          </w:p>
        </w:tc>
      </w:tr>
      <w:tr>
        <w:trPr>
          <w:trHeight w:val="315" w:hRule="atLeast"/>
        </w:trPr>
        <w:tc>
          <w:tcPr>
            <w:tcW w:w="124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lang w:val="en-GB" w:eastAsia="en-GB"/>
              </w:rPr>
            </w:pPr>
            <w:r>
              <w:rPr>
                <w:lang w:val="en-GB" w:eastAsia="en-GB"/>
              </w:rPr>
              <w:t>R-410A</w:t>
            </w:r>
          </w:p>
        </w:tc>
        <w:tc>
          <w:tcPr>
            <w:tcW w:w="160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3,87</w:t>
            </w:r>
          </w:p>
        </w:tc>
        <w:tc>
          <w:tcPr>
            <w:tcW w:w="106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73,48</w:t>
            </w:r>
          </w:p>
        </w:tc>
        <w:tc>
          <w:tcPr>
            <w:tcW w:w="95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83,35</w:t>
            </w:r>
          </w:p>
        </w:tc>
        <w:tc>
          <w:tcPr>
            <w:tcW w:w="88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4,82%</w:t>
            </w:r>
          </w:p>
        </w:tc>
      </w:tr>
      <w:tr>
        <w:trPr>
          <w:trHeight w:val="315" w:hRule="atLeast"/>
        </w:trPr>
        <w:tc>
          <w:tcPr>
            <w:tcW w:w="124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lang w:val="en-GB" w:eastAsia="en-GB"/>
              </w:rPr>
            </w:pPr>
            <w:r>
              <w:rPr>
                <w:lang w:val="en-GB" w:eastAsia="en-GB"/>
              </w:rPr>
              <w:t>R-407C</w:t>
            </w:r>
          </w:p>
        </w:tc>
        <w:tc>
          <w:tcPr>
            <w:tcW w:w="160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45,84</w:t>
            </w:r>
          </w:p>
        </w:tc>
        <w:tc>
          <w:tcPr>
            <w:tcW w:w="106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37,51</w:t>
            </w:r>
          </w:p>
        </w:tc>
        <w:tc>
          <w:tcPr>
            <w:tcW w:w="95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77,35</w:t>
            </w:r>
          </w:p>
        </w:tc>
        <w:tc>
          <w:tcPr>
            <w:tcW w:w="88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4,48%</w:t>
            </w:r>
          </w:p>
        </w:tc>
      </w:tr>
      <w:tr>
        <w:trPr>
          <w:trHeight w:val="315" w:hRule="atLeast"/>
        </w:trPr>
        <w:tc>
          <w:tcPr>
            <w:tcW w:w="124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lang w:val="en-GB" w:eastAsia="en-GB"/>
              </w:rPr>
            </w:pPr>
            <w:r>
              <w:rPr>
                <w:lang w:val="en-GB" w:eastAsia="en-GB"/>
              </w:rPr>
              <w:t>Others</w:t>
            </w:r>
          </w:p>
        </w:tc>
        <w:tc>
          <w:tcPr>
            <w:tcW w:w="160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lang w:val="en-GB" w:eastAsia="en-GB"/>
              </w:rPr>
            </w:pPr>
            <w:r>
              <w:rPr>
                <w:lang w:val="en-GB" w:eastAsia="en-GB"/>
              </w:rPr>
            </w:r>
          </w:p>
        </w:tc>
        <w:tc>
          <w:tcPr>
            <w:tcW w:w="106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lang w:val="en-GB" w:eastAsia="en-GB"/>
              </w:rPr>
            </w:pPr>
            <w:r>
              <w:rPr>
                <w:lang w:val="en-GB" w:eastAsia="en-GB"/>
              </w:rPr>
            </w:r>
          </w:p>
        </w:tc>
        <w:tc>
          <w:tcPr>
            <w:tcW w:w="95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18,54</w:t>
            </w:r>
          </w:p>
        </w:tc>
        <w:tc>
          <w:tcPr>
            <w:tcW w:w="88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lang w:val="en-GB" w:eastAsia="en-GB"/>
              </w:rPr>
            </w:pPr>
            <w:r>
              <w:rPr>
                <w:lang w:val="en-GB" w:eastAsia="en-GB"/>
              </w:rPr>
              <w:t>1,07%</w:t>
            </w:r>
          </w:p>
        </w:tc>
      </w:tr>
      <w:tr>
        <w:trPr>
          <w:trHeight w:val="315" w:hRule="atLeast"/>
        </w:trPr>
        <w:tc>
          <w:tcPr>
            <w:tcW w:w="124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b/>
                <w:b/>
                <w:lang w:val="en-GB" w:eastAsia="en-GB"/>
              </w:rPr>
            </w:pPr>
            <w:r>
              <w:rPr>
                <w:b/>
                <w:lang w:val="en-GB" w:eastAsia="en-GB"/>
              </w:rPr>
              <w:t>Total (MT)</w:t>
            </w:r>
          </w:p>
        </w:tc>
        <w:tc>
          <w:tcPr>
            <w:tcW w:w="160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b/>
                <w:b/>
                <w:lang w:val="en-GB" w:eastAsia="en-GB"/>
              </w:rPr>
            </w:pPr>
            <w:r>
              <w:rPr>
                <w:b/>
                <w:lang w:val="en-GB" w:eastAsia="en-GB"/>
              </w:rPr>
              <w:t>553,79</w:t>
            </w:r>
          </w:p>
        </w:tc>
        <w:tc>
          <w:tcPr>
            <w:tcW w:w="106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b/>
                <w:b/>
                <w:lang w:val="en-GB" w:eastAsia="en-GB"/>
              </w:rPr>
            </w:pPr>
            <w:r>
              <w:rPr>
                <w:b/>
                <w:lang w:val="en-GB" w:eastAsia="en-GB"/>
              </w:rPr>
              <w:t>1.155,46</w:t>
            </w:r>
          </w:p>
        </w:tc>
        <w:tc>
          <w:tcPr>
            <w:tcW w:w="95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Times New Roman" w:hAnsi="Times New Roman"/>
                <w:b/>
                <w:b/>
                <w:lang w:val="en-GB" w:eastAsia="en-GB"/>
              </w:rPr>
            </w:pPr>
            <w:r>
              <w:rPr>
                <w:b/>
                <w:lang w:val="en-GB" w:eastAsia="en-GB"/>
              </w:rPr>
              <w:t>1.727,79</w:t>
            </w:r>
          </w:p>
        </w:tc>
        <w:tc>
          <w:tcPr>
            <w:tcW w:w="88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b/>
                <w:b/>
                <w:lang w:val="en-GB" w:eastAsia="en-GB"/>
              </w:rPr>
            </w:pPr>
            <w:r>
              <w:rPr>
                <w:b/>
                <w:lang w:val="en-GB" w:eastAsia="en-GB"/>
              </w:rPr>
            </w:r>
          </w:p>
        </w:tc>
      </w:tr>
    </w:tbl>
    <w:p>
      <w:pPr>
        <w:pStyle w:val="Default"/>
        <w:jc w:val="both"/>
        <w:rPr>
          <w:bCs/>
        </w:rPr>
      </w:pPr>
      <w:r>
        <w:rPr>
          <w:bCs/>
        </w:rPr>
      </w:r>
    </w:p>
    <w:p>
      <w:pPr>
        <w:pStyle w:val="Default"/>
        <w:ind w:left="720" w:hanging="0"/>
        <w:jc w:val="both"/>
        <w:rPr>
          <w:bCs/>
        </w:rPr>
      </w:pPr>
      <w:r>
        <w:rPr>
          <w:bCs/>
        </w:rPr>
      </w:r>
    </w:p>
    <w:p>
      <w:pPr>
        <w:pStyle w:val="Normal"/>
        <w:widowControl/>
        <w:spacing w:lineRule="auto" w:line="276" w:before="0" w:after="200"/>
        <w:rPr>
          <w:rFonts w:ascii="Times New Roman" w:hAnsi="Times New Roman" w:eastAsia="Calibri" w:eastAsiaTheme="minorHAnsi"/>
          <w:b/>
          <w:b/>
          <w:bCs/>
          <w:color w:val="000000"/>
        </w:rPr>
      </w:pPr>
      <w:r>
        <w:rPr>
          <w:rFonts w:eastAsia="Calibri" w:eastAsiaTheme="minorHAnsi"/>
          <w:b/>
          <w:bCs/>
          <w:color w:val="000000"/>
        </w:rPr>
      </w:r>
      <w:r>
        <w:br w:type="page"/>
      </w:r>
    </w:p>
    <w:p>
      <w:pPr>
        <w:pStyle w:val="Default"/>
        <w:numPr>
          <w:ilvl w:val="0"/>
          <w:numId w:val="50"/>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Serbia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50"/>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51"/>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for the vote on the amendment’ s ratification </w:t>
            </w:r>
          </w:p>
        </w:tc>
      </w:tr>
      <w:tr>
        <w:trPr/>
        <w:tc>
          <w:tcPr>
            <w:tcW w:w="3477" w:type="dxa"/>
            <w:tcBorders/>
          </w:tcPr>
          <w:p>
            <w:pPr>
              <w:pStyle w:val="Normal"/>
              <w:keepNext w:val="true"/>
              <w:widowControl w:val="false"/>
              <w:spacing w:before="0" w:after="0"/>
              <w:jc w:val="left"/>
              <w:rPr>
                <w:rFonts w:ascii="Times New Roman" w:hAnsi="Times New Roman"/>
              </w:rPr>
            </w:pPr>
            <w:r>
              <w:rPr>
                <w:color w:val="222222"/>
                <w:kern w:val="0"/>
                <w:lang w:val="en-US" w:eastAsia="en-US" w:bidi="ar-SA"/>
              </w:rPr>
              <w:t>Awareness raising of stakeholders on HFC phase-down and energy efficiency improvement options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Relevant stakeholders have sufficient information on the topic to proceed with the ratification of the amendment</w:t>
            </w:r>
          </w:p>
        </w:tc>
      </w:tr>
    </w:tbl>
    <w:p>
      <w:pPr>
        <w:pStyle w:val="Default"/>
        <w:ind w:left="720" w:hanging="0"/>
        <w:jc w:val="both"/>
        <w:rPr/>
      </w:pPr>
      <w:r>
        <w:rPr/>
      </w:r>
    </w:p>
    <w:p>
      <w:pPr>
        <w:pStyle w:val="Default"/>
        <w:ind w:left="720" w:hanging="0"/>
        <w:jc w:val="both"/>
        <w:rPr/>
      </w:pPr>
      <w:r>
        <w:rPr/>
      </w:r>
    </w:p>
    <w:p>
      <w:pPr>
        <w:pStyle w:val="ListParagraph"/>
        <w:widowControl/>
        <w:numPr>
          <w:ilvl w:val="0"/>
          <w:numId w:val="51"/>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52"/>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52"/>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kern w:val="0"/>
                <w:lang w:val="en-US" w:eastAsia="en-US" w:bidi="ar-SA"/>
              </w:rPr>
              <w:t>Enhancement of the import and export license system to include HFCs and other alternatives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necessary regulatory and administrative measures for the control of HFCs’ imports and exports</w:t>
            </w:r>
          </w:p>
        </w:tc>
      </w:tr>
      <w:tr>
        <w:trPr/>
        <w:tc>
          <w:tcPr>
            <w:tcW w:w="3625" w:type="dxa"/>
            <w:tcBorders/>
          </w:tcPr>
          <w:p>
            <w:pPr>
              <w:pStyle w:val="Normal"/>
              <w:keepNext w:val="true"/>
              <w:widowControl w:val="false"/>
              <w:spacing w:before="0" w:after="0"/>
              <w:jc w:val="left"/>
              <w:rPr>
                <w:rFonts w:ascii="Times New Roman" w:hAnsi="Times New Roman"/>
              </w:rPr>
            </w:pPr>
            <w:r>
              <w:rPr>
                <w:kern w:val="0"/>
                <w:lang w:val="en-US" w:eastAsia="en-US" w:bidi="ar-SA"/>
              </w:rPr>
              <w:t>Training of customs officers and environmental inspectors on HFCs control  and alternatives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Customs and environment inspectors </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HFCs control and alternatives transmitted</w:t>
            </w:r>
          </w:p>
        </w:tc>
      </w:tr>
    </w:tbl>
    <w:p>
      <w:pPr>
        <w:pStyle w:val="Default"/>
        <w:ind w:left="720" w:hanging="0"/>
        <w:jc w:val="both"/>
        <w:rPr/>
      </w:pPr>
      <w:r>
        <w:rPr/>
      </w:r>
    </w:p>
    <w:p>
      <w:pPr>
        <w:pStyle w:val="Default"/>
        <w:ind w:left="1080" w:hanging="0"/>
        <w:rPr/>
      </w:pPr>
      <w:r>
        <w:rPr/>
      </w:r>
    </w:p>
    <w:p>
      <w:pPr>
        <w:pStyle w:val="Default"/>
        <w:numPr>
          <w:ilvl w:val="1"/>
          <w:numId w:val="52"/>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Improving a national database based on the above</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database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51"/>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1835"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Assessing national barriers and opportunities for the use and further uptake of low- and zero-GWP ODS alternatives</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tab/>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Barriers and opportunities identified</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regulations, and financial instruments,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tabs>
                <w:tab w:val="clear" w:pos="720"/>
                <w:tab w:val="center" w:pos="1194" w:leader="none"/>
              </w:tabs>
              <w:spacing w:before="0" w:after="0"/>
              <w:jc w:val="left"/>
              <w:rPr>
                <w:rFonts w:ascii="Times New Roman" w:hAnsi="Times New Roman"/>
              </w:rPr>
            </w:pPr>
            <w:r>
              <w:rPr>
                <w:kern w:val="0"/>
                <w:lang w:val="en-US" w:eastAsia="en-US" w:bidi="ar-SA"/>
              </w:rPr>
              <w:t>---</w:t>
              <w:tab/>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regulations and financial instruments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104"/>
          <w:headerReference w:type="default" r:id="rId105"/>
          <w:footerReference w:type="even" r:id="rId106"/>
          <w:footerReference w:type="default" r:id="rId107"/>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50"/>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Awareness raising of stakeholders on HFC phase-down and energy efficiency improvement options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620" w:hRule="atLeast"/>
        </w:trPr>
        <w:tc>
          <w:tcPr>
            <w:tcW w:w="4479" w:type="dxa"/>
            <w:vMerge w:val="restart"/>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b.2.1. Enhancement of the import and export license system</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vMerge w:val="continue"/>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b.2.2. Training of customs officers and environmental inspectors on HFCs control and alternatives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10,000</w:t>
            </w:r>
          </w:p>
        </w:tc>
      </w:tr>
      <w:tr>
        <w:trPr>
          <w:trHeight w:val="62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b.3.1.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20" w:hRule="atLeast"/>
        </w:trPr>
        <w:tc>
          <w:tcPr>
            <w:tcW w:w="4479" w:type="dxa"/>
            <w:vMerge w:val="continue"/>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b.3.2. Improving a national database based on the above</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20,000</w:t>
            </w:r>
          </w:p>
        </w:tc>
      </w:tr>
      <w:tr>
        <w:trPr>
          <w:trHeight w:val="70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Preparation for national strategies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c.1. Assessing national barriers and opportunities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20,000</w:t>
            </w:r>
          </w:p>
        </w:tc>
      </w:tr>
      <w:tr>
        <w:trPr>
          <w:trHeight w:val="592"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c.2.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150,000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r>
      <w:tr>
        <w:trPr>
          <w:trHeight w:val="49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vMerge w:val="continue"/>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r>
      <w:tr>
        <w:trPr>
          <w:trHeight w:val="31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c.2.</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108"/>
          <w:headerReference w:type="default" r:id="rId109"/>
          <w:footerReference w:type="even" r:id="rId110"/>
          <w:footerReference w:type="default" r:id="rId111"/>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50"/>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Ministry of Environmental Protection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Somalia</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Somalia</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US$150,000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 xml:space="preserve">The Government of Somalia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Somalia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Somalia confirms that all activities under Enabling Activities will be implemented following model that UNIDO will administer the funds (UNIDO's execution) instead of national execution.</w:t>
      </w:r>
    </w:p>
    <w:p>
      <w:pPr>
        <w:pStyle w:val="Default"/>
        <w:jc w:val="both"/>
        <w:rPr>
          <w:bCs/>
        </w:rPr>
      </w:pPr>
      <w:r>
        <w:rPr>
          <w:bCs/>
        </w:rPr>
      </w:r>
    </w:p>
    <w:p>
      <w:pPr>
        <w:pStyle w:val="Default"/>
        <w:jc w:val="both"/>
        <w:rPr>
          <w:bCs/>
        </w:rPr>
      </w:pPr>
      <w:r>
        <w:rPr>
          <w:bCs/>
        </w:rPr>
      </w:r>
    </w:p>
    <w:p>
      <w:pPr>
        <w:pStyle w:val="Default"/>
        <w:numPr>
          <w:ilvl w:val="0"/>
          <w:numId w:val="53"/>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in Somalia amounts to 45.1 ODP tonnes.</w:t>
      </w:r>
    </w:p>
    <w:p>
      <w:pPr>
        <w:pStyle w:val="Default"/>
        <w:jc w:val="both"/>
        <w:rPr>
          <w:bCs/>
          <w:highlight w:val="yellow"/>
        </w:rPr>
      </w:pPr>
      <w:r>
        <w:rPr>
          <w:bCs/>
          <w:highlight w:val="yellow"/>
        </w:rPr>
      </w:r>
    </w:p>
    <w:p>
      <w:pPr>
        <w:pStyle w:val="Default"/>
        <w:jc w:val="both"/>
        <w:rPr>
          <w:bCs/>
        </w:rPr>
      </w:pPr>
      <w:r>
        <w:rPr>
          <w:bCs/>
        </w:rPr>
        <w:t xml:space="preserve">No information has been obtained regarding the HFC consumption in the country. The Green Cooling Initiative states that the direct CO2e emissions linked to domestic refrigeration, mobile air-conditioning and unitary air-conditioning amount to 653,000 tonnes, while indirect emissions amount to 442,000 tonnes. </w:t>
      </w:r>
    </w:p>
    <w:p>
      <w:pPr>
        <w:pStyle w:val="Default"/>
        <w:jc w:val="both"/>
        <w:rPr>
          <w:bCs/>
        </w:rPr>
      </w:pPr>
      <w:r>
        <w:rPr>
          <w:bCs/>
        </w:rPr>
      </w:r>
    </w:p>
    <w:p>
      <w:pPr>
        <w:pStyle w:val="Default"/>
        <w:ind w:left="720" w:hanging="0"/>
        <w:jc w:val="both"/>
        <w:rPr>
          <w:bCs/>
        </w:rPr>
      </w:pPr>
      <w:r>
        <w:rPr>
          <w:bCs/>
        </w:rPr>
      </w:r>
    </w:p>
    <w:p>
      <w:pPr>
        <w:pStyle w:val="Default"/>
        <w:numPr>
          <w:ilvl w:val="0"/>
          <w:numId w:val="53"/>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Somalia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53"/>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54"/>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54"/>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55"/>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Normal"/>
        <w:widowControl/>
        <w:spacing w:lineRule="auto" w:line="276" w:before="0" w:after="200"/>
        <w:rPr>
          <w:rFonts w:ascii="Times New Roman" w:hAnsi="Times New Roman" w:eastAsia="Calibri" w:eastAsiaTheme="minorHAnsi"/>
          <w:bCs/>
          <w:i/>
          <w:i/>
          <w:color w:val="000000"/>
        </w:rPr>
      </w:pPr>
      <w:r>
        <w:rPr>
          <w:rFonts w:eastAsia="Calibri" w:eastAsiaTheme="minorHAnsi"/>
          <w:bCs/>
          <w:i/>
          <w:color w:val="000000"/>
        </w:rPr>
      </w:r>
      <w:r>
        <w:br w:type="page"/>
      </w:r>
    </w:p>
    <w:p>
      <w:pPr>
        <w:pStyle w:val="Default"/>
        <w:numPr>
          <w:ilvl w:val="1"/>
          <w:numId w:val="55"/>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55"/>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54"/>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1232"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of the refrigeration and air-conditioning (RAC) servicing sector (formal and informal sector)</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Accurate analysis of the characteristics of the servicing sector made</w:t>
            </w:r>
          </w:p>
        </w:tc>
      </w:tr>
      <w:tr>
        <w:trPr>
          <w:trHeight w:val="1835"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Inventory of the refrigeration and air-conditioning units currently used in the country and projections for next years (including a chapter on energy efficiency options for these devices) </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the current and future national market of RAC devices increased among decision makers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112"/>
          <w:headerReference w:type="default" r:id="rId113"/>
          <w:footerReference w:type="even" r:id="rId114"/>
          <w:footerReference w:type="default" r:id="rId115"/>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53"/>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620"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70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Preparation for national strategies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c.1. Assessment of the refrigeration and air-conditioning servicing sector</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7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c.2. Inventory of the refrigeration and air-conditioning devices.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c.3.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150,000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c.2.</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116"/>
          <w:headerReference w:type="default" r:id="rId117"/>
          <w:footerReference w:type="even" r:id="rId118"/>
          <w:footerReference w:type="default" r:id="rId119"/>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53"/>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Sudan</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 xml:space="preserve">Enabling activities for HFC phase-down in Sudan </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US$75,000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 and UNEP</w:t>
      </w:r>
    </w:p>
    <w:p>
      <w:pPr>
        <w:pStyle w:val="Default"/>
        <w:ind w:left="360" w:hanging="0"/>
        <w:jc w:val="both"/>
        <w:rPr>
          <w:bCs/>
        </w:rPr>
      </w:pPr>
      <w:r>
        <w:rPr>
          <w:bCs/>
        </w:rPr>
      </w:r>
    </w:p>
    <w:p>
      <w:pPr>
        <w:pStyle w:val="Default"/>
        <w:jc w:val="both"/>
        <w:rPr>
          <w:b/>
          <w:b/>
          <w:bCs/>
        </w:rPr>
      </w:pPr>
      <w:r>
        <w:rPr>
          <w:b/>
          <w:bCs/>
        </w:rPr>
        <w:t>General statements</w:t>
      </w:r>
    </w:p>
    <w:p>
      <w:pPr>
        <w:pStyle w:val="Default"/>
        <w:ind w:left="360" w:hanging="0"/>
        <w:jc w:val="both"/>
        <w:rPr>
          <w:bCs/>
        </w:rPr>
      </w:pPr>
      <w:r>
        <w:rPr>
          <w:bCs/>
        </w:rPr>
      </w:r>
    </w:p>
    <w:p>
      <w:pPr>
        <w:pStyle w:val="Default"/>
        <w:jc w:val="both"/>
        <w:rPr>
          <w:bCs/>
        </w:rPr>
      </w:pPr>
      <w:r>
        <w:rPr>
          <w:bCs/>
        </w:rPr>
        <w:t xml:space="preserve">The Government of Sudan as well as UNIDO, as the implementing agency, confirm that implementation of the enabling activities would not delay implementation of HCFC phase-out projects. </w:t>
      </w:r>
    </w:p>
    <w:p>
      <w:pPr>
        <w:pStyle w:val="Default"/>
        <w:jc w:val="both"/>
        <w:rPr>
          <w:bCs/>
        </w:rPr>
      </w:pPr>
      <w:r>
        <w:rPr>
          <w:bCs/>
        </w:rPr>
      </w:r>
    </w:p>
    <w:p>
      <w:pPr>
        <w:pStyle w:val="Default"/>
        <w:jc w:val="both"/>
        <w:rPr>
          <w:bCs/>
        </w:rPr>
      </w:pPr>
      <w:r>
        <w:rPr>
          <w:bCs/>
        </w:rPr>
        <w:t>The Government of Sudan confirms its intention to make best efforts to ratify the Kigali Amendment as early as possible.</w:t>
      </w:r>
    </w:p>
    <w:p>
      <w:pPr>
        <w:pStyle w:val="Default"/>
        <w:jc w:val="both"/>
        <w:rPr>
          <w:bCs/>
        </w:rPr>
      </w:pPr>
      <w:r>
        <w:rPr>
          <w:bCs/>
        </w:rPr>
      </w:r>
    </w:p>
    <w:p>
      <w:pPr>
        <w:pStyle w:val="Default"/>
        <w:jc w:val="both"/>
        <w:rPr>
          <w:bCs/>
        </w:rPr>
      </w:pPr>
      <w:r>
        <w:rPr>
          <w:bCs/>
        </w:rPr>
        <w:t>The Government of Sudan confirms that all Enabling Activities will be implemented following UNIDO financial rules; procurement manual and human resource management including recruitment rules and regulations (UNIDO's execution).</w:t>
      </w:r>
    </w:p>
    <w:p>
      <w:pPr>
        <w:pStyle w:val="Default"/>
        <w:ind w:left="360" w:hanging="0"/>
        <w:jc w:val="both"/>
        <w:rPr>
          <w:bCs/>
        </w:rPr>
      </w:pPr>
      <w:r>
        <w:rPr>
          <w:bCs/>
        </w:rPr>
      </w:r>
    </w:p>
    <w:p>
      <w:pPr>
        <w:pStyle w:val="Default"/>
        <w:numPr>
          <w:ilvl w:val="0"/>
          <w:numId w:val="56"/>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in Sudan amounts to 52.7 tonnes.</w:t>
      </w:r>
    </w:p>
    <w:p>
      <w:pPr>
        <w:pStyle w:val="Default"/>
        <w:jc w:val="both"/>
        <w:rPr>
          <w:bCs/>
        </w:rPr>
      </w:pPr>
      <w:r>
        <w:rPr>
          <w:bCs/>
        </w:rPr>
      </w:r>
    </w:p>
    <w:p>
      <w:pPr>
        <w:pStyle w:val="Default"/>
        <w:jc w:val="both"/>
        <w:rPr>
          <w:bCs/>
        </w:rPr>
      </w:pPr>
      <w:r>
        <w:rPr>
          <w:bCs/>
        </w:rPr>
        <w:t>The ODS alternatives survey recently completed in Sudan shows that in the period 2012-2015 an average amount of 214.3 metric tonnes (mt) of HFCs have been consumed every year. This amount is equivalent to almost  465 kilo-tonnes CO</w:t>
      </w:r>
      <w:r>
        <w:rPr>
          <w:bCs/>
          <w:vertAlign w:val="subscript"/>
        </w:rPr>
        <w:t>2</w:t>
      </w:r>
      <w:r>
        <w:rPr>
          <w:bCs/>
        </w:rPr>
        <w:t>, which represents 43% of the total global warming potential (GWP) of the ODS alternatives consumed in the country (</w:t>
      </w:r>
      <w:r>
        <w:rPr/>
        <w:t>1,063,882 CO</w:t>
      </w:r>
      <w:r>
        <w:rPr>
          <w:vertAlign w:val="subscript"/>
        </w:rPr>
        <w:t>2</w:t>
      </w:r>
      <w:r>
        <w:rPr/>
        <w:t>-eq tons)</w:t>
      </w:r>
      <w:r>
        <w:rPr>
          <w:bCs/>
        </w:rPr>
        <w:t xml:space="preserve">, since quite high amount of HCFC 141b and 22 has been still consumed.  </w:t>
      </w:r>
    </w:p>
    <w:p>
      <w:pPr>
        <w:pStyle w:val="Default"/>
        <w:jc w:val="both"/>
        <w:rPr>
          <w:bCs/>
        </w:rPr>
      </w:pPr>
      <w:r>
        <w:rPr>
          <w:bCs/>
        </w:rPr>
      </w:r>
    </w:p>
    <w:p>
      <w:pPr>
        <w:pStyle w:val="Default"/>
        <w:jc w:val="both"/>
        <w:rPr>
          <w:bCs/>
        </w:rPr>
      </w:pPr>
      <w:r>
        <w:rPr>
          <w:bCs/>
        </w:rPr>
        <w:t xml:space="preserve">According to 2015 consumption figures, the most common HFCs for all sectors are HFC-134a (more than 95%), HFC 407C (more than 1.8%), HFC-404A (more than 1.2%) and HFC-410A (around 1.2%). In terms of GWP, these substances have the biggest share on above mentioned total.  </w:t>
      </w:r>
    </w:p>
    <w:p>
      <w:pPr>
        <w:pStyle w:val="Default"/>
        <w:jc w:val="both"/>
        <w:rPr>
          <w:bCs/>
        </w:rPr>
      </w:pPr>
      <w:r>
        <w:rPr>
          <w:bCs/>
        </w:rPr>
      </w:r>
    </w:p>
    <w:p>
      <w:pPr>
        <w:pStyle w:val="Default"/>
        <w:jc w:val="both"/>
        <w:rPr>
          <w:bCs/>
        </w:rPr>
      </w:pPr>
      <w:r>
        <w:rPr>
          <w:bCs/>
        </w:rPr>
        <w:t xml:space="preserve">The largest consumption of HFCs in Sudan in metric tonnes was found in the refrigeration manufacturing and servicing sectors and also in air conditioning servicing sector, which represents practically total consumption, since only negligible consumption (0.3%) was identified in firefighting sector. </w:t>
      </w:r>
    </w:p>
    <w:p>
      <w:pPr>
        <w:pStyle w:val="Default"/>
        <w:ind w:left="720" w:hanging="0"/>
        <w:jc w:val="both"/>
        <w:rPr>
          <w:bCs/>
        </w:rPr>
      </w:pPr>
      <w:r>
        <w:rPr>
          <w:bCs/>
        </w:rPr>
      </w:r>
    </w:p>
    <w:p>
      <w:pPr>
        <w:pStyle w:val="Default"/>
        <w:jc w:val="both"/>
        <w:rPr>
          <w:bCs/>
        </w:rPr>
      </w:pPr>
      <w:r>
        <w:rPr>
          <w:bCs/>
        </w:rPr>
      </w:r>
    </w:p>
    <w:p>
      <w:pPr>
        <w:pStyle w:val="Default"/>
        <w:jc w:val="both"/>
        <w:rPr>
          <w:bCs/>
        </w:rPr>
      </w:pPr>
      <w:r>
        <w:rPr>
          <w:bCs/>
        </w:rPr>
      </w:r>
    </w:p>
    <w:p>
      <w:pPr>
        <w:pStyle w:val="Default"/>
        <w:jc w:val="both"/>
        <w:rPr>
          <w:bCs/>
        </w:rPr>
      </w:pPr>
      <w:r>
        <w:rPr>
          <w:bCs/>
        </w:rPr>
      </w:r>
    </w:p>
    <w:p>
      <w:pPr>
        <w:pStyle w:val="Default"/>
        <w:numPr>
          <w:ilvl w:val="0"/>
          <w:numId w:val="56"/>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Sudan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Definition of the national strategies. </w:t>
      </w:r>
    </w:p>
    <w:p>
      <w:pPr>
        <w:pStyle w:val="Default"/>
        <w:jc w:val="both"/>
        <w:rPr>
          <w:bCs/>
        </w:rPr>
      </w:pPr>
      <w:r>
        <w:rPr>
          <w:bCs/>
        </w:rPr>
      </w:r>
    </w:p>
    <w:p>
      <w:pPr>
        <w:pStyle w:val="Default"/>
        <w:jc w:val="both"/>
        <w:rPr>
          <w:bCs/>
        </w:rPr>
      </w:pPr>
      <w:r>
        <w:rPr>
          <w:bCs/>
        </w:rPr>
      </w:r>
    </w:p>
    <w:p>
      <w:pPr>
        <w:pStyle w:val="Default"/>
        <w:numPr>
          <w:ilvl w:val="0"/>
          <w:numId w:val="56"/>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57"/>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The National Ozone Office to function as technical and administrative guarantor of the ratification process by providing the required data, information and background documents to the ratification institutions. Proper technical, administrative and financial support to the NOU to be provided by Implementing Agency/ UNIDO.</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support documents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57"/>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58"/>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Necessary </w:t>
      </w:r>
      <w:r>
        <w:rPr/>
        <w:t>technical, administrative and financial support to be provided by Implementing Agency/ UNIDO.</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of linkages between the Kigali amendment (HFC control measures and energy efficiency objectives) and the national strategy on environment and on climate change</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At least one  workshop to be organized for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 xml:space="preserve">Papers to be prepared </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Links identified</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papers</w:t>
            </w:r>
          </w:p>
          <w:p>
            <w:pPr>
              <w:pStyle w:val="Normal"/>
              <w:keepNext w:val="true"/>
              <w:widowControl w:val="false"/>
              <w:spacing w:before="0" w:after="0"/>
              <w:jc w:val="left"/>
              <w:rPr>
                <w:rFonts w:ascii="Times New Roman" w:hAnsi="Times New Roman"/>
              </w:rPr>
            </w:pPr>
            <w:r>
              <w:rPr>
                <w:kern w:val="0"/>
                <w:lang w:val="en-US" w:eastAsia="en-US" w:bidi="ar-SA"/>
              </w:rPr>
              <w:t xml:space="preserve"> </w:t>
            </w:r>
            <w:r>
              <w:rPr>
                <w:kern w:val="0"/>
                <w:lang w:val="en-US" w:eastAsia="en-US" w:bidi="ar-SA"/>
              </w:rPr>
              <w:t>prepared</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proposal prepared for updating codes and standards </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58"/>
        </w:numPr>
        <w:ind w:left="1440" w:hanging="720"/>
        <w:rPr>
          <w:i/>
          <w:i/>
        </w:rPr>
      </w:pPr>
      <w:r>
        <w:rPr>
          <w:bCs/>
          <w:i/>
        </w:rPr>
        <w:t>Review of licensing systems</w:t>
      </w:r>
    </w:p>
    <w:p>
      <w:pPr>
        <w:pStyle w:val="Default"/>
        <w:ind w:left="1080" w:hanging="0"/>
        <w:rPr/>
      </w:pPr>
      <w:r>
        <w:rPr/>
      </w:r>
    </w:p>
    <w:p>
      <w:pPr>
        <w:pStyle w:val="Default"/>
        <w:ind w:left="720" w:hanging="0"/>
        <w:jc w:val="both"/>
        <w:rPr/>
      </w:pPr>
      <w:r>
        <w:rPr/>
        <w:t>Properly established and functioning licensing systems play a key role in sustaining the phasing out achievements under the Montreal Protocol. Licensing and quota system should continue to support future phase out strategies. Technical, administrative and financial support, to be provided by Implementing Agency/ UNIDO.</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kern w:val="0"/>
                <w:lang w:val="en-US" w:eastAsia="en-US" w:bidi="ar-SA"/>
              </w:rPr>
              <w:t>Enhancement of the import and export license system to include HFCs and other alternatives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At least one  workshop to be organized for relevant stakeholders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 xml:space="preserve">A report drafted </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necessary regulatory and administrative measures for the control of HFCs’ imports and exports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At least one  workshop to be organized for relevant stakeholders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drafted</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Tariff codes defined and officially introduced</w:t>
            </w:r>
          </w:p>
        </w:tc>
      </w:tr>
    </w:tbl>
    <w:p>
      <w:pPr>
        <w:pStyle w:val="Default"/>
        <w:ind w:left="720" w:hanging="0"/>
        <w:jc w:val="both"/>
        <w:rPr/>
      </w:pPr>
      <w:r>
        <w:rPr/>
      </w:r>
    </w:p>
    <w:p>
      <w:pPr>
        <w:pStyle w:val="Default"/>
        <w:ind w:left="720" w:hanging="0"/>
        <w:rPr>
          <w:i/>
          <w:i/>
        </w:rPr>
      </w:pPr>
      <w:r>
        <w:rPr>
          <w:i/>
        </w:rPr>
      </w:r>
    </w:p>
    <w:p>
      <w:pPr>
        <w:pStyle w:val="Default"/>
        <w:numPr>
          <w:ilvl w:val="1"/>
          <w:numId w:val="58"/>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p>
      <w:pPr>
        <w:pStyle w:val="Default"/>
        <w:ind w:left="720" w:hanging="0"/>
        <w:jc w:val="both"/>
        <w:rPr/>
      </w:pPr>
      <w:r>
        <w:rPr/>
        <w:t>Proper technical, administrative and financial support to the NOU and to cooperating organizations, e.g. custom authorities; to be provided by Implementing Agency/ UNIDO.</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Special attention to be paid to informal sector.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At least one  workshop to be organized for relevant stakeholders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drafted</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57"/>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report on the impact of the Phase out of HCFC in the potential consumption of HFCs and other ODS alternatives in refrigeration manufacturing and servicing sectors in Sudan</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 and other stakeholders.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drafted</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Projection on ODS alternatives consumption estimated</w:t>
            </w:r>
          </w:p>
        </w:tc>
      </w:tr>
      <w:tr>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Inventory of the refrigeration and air-conditioning units currently used in the country and projections for next years (including a chapter on energy efficiency options for these devices) </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 and other stakeholders.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drafted</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the national market of RAC devices among decision makers increased</w:t>
            </w:r>
          </w:p>
        </w:tc>
      </w:tr>
      <w:tr>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of the refrigeration and air-conditioning servicing sector (formal and informal sector)</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 and other stakeholders like professional associations and service shops associations.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report drafted</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Understanding of the composition of the servicing sector reached</w:t>
            </w:r>
          </w:p>
        </w:tc>
      </w:tr>
      <w:tr>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policies and regulations to facilitate the phase-down of HFCs and the introduction of low-GWP alternative technologies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drafted</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National strategy defined</w:t>
            </w:r>
          </w:p>
        </w:tc>
      </w:tr>
      <w:tr>
        <w:trPr/>
        <w:tc>
          <w:tcPr>
            <w:tcW w:w="3610" w:type="dxa"/>
            <w:tcBorders/>
          </w:tcPr>
          <w:p>
            <w:pPr>
              <w:pStyle w:val="Normal"/>
              <w:keepNext w:val="true"/>
              <w:widowControl w:val="false"/>
              <w:spacing w:before="0" w:after="0"/>
              <w:jc w:val="left"/>
              <w:rPr>
                <w:rFonts w:ascii="Times New Roman" w:hAnsi="Times New Roman"/>
              </w:rPr>
            </w:pPr>
            <w:r>
              <w:rPr>
                <w:bCs/>
                <w:kern w:val="0"/>
                <w:lang w:val="en-US" w:eastAsia="en-US" w:bidi="ar-SA"/>
              </w:rPr>
              <w:t>Consumers awareness raising on energy efficiency improvement options for RAC devices</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Civil society, schools and training centers.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brochure prepared and distributed in relevant events</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Civil society and targeted professionals  informed on this topic</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120"/>
          <w:headerReference w:type="default" r:id="rId121"/>
          <w:footerReference w:type="even" r:id="rId122"/>
          <w:footerReference w:type="default" r:id="rId123"/>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56"/>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2,000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2,000 </w:t>
            </w:r>
          </w:p>
        </w:tc>
      </w:tr>
      <w:tr>
        <w:trPr>
          <w:trHeight w:val="520" w:hRule="atLeast"/>
        </w:trPr>
        <w:tc>
          <w:tcPr>
            <w:tcW w:w="4479" w:type="dxa"/>
            <w:vMerge w:val="restart"/>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b.1.1. Assessment of linkages between the Kigali amendment and the national strategy on environment</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15,000 </w:t>
            </w:r>
          </w:p>
        </w:tc>
      </w:tr>
      <w:tr>
        <w:trPr>
          <w:trHeight w:val="530" w:hRule="atLeast"/>
        </w:trPr>
        <w:tc>
          <w:tcPr>
            <w:tcW w:w="4479" w:type="dxa"/>
            <w:vMerge w:val="continue"/>
            <w:tcBorders>
              <w:left w:val="single" w:sz="8" w:space="0" w:color="000000"/>
              <w:bottom w:val="single" w:sz="4"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b.1.2. Reviewing operating codes and standards for the efficient use of HFCs and ODS alternatives in the entire value chain</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10,000 </w:t>
            </w:r>
          </w:p>
        </w:tc>
      </w:tr>
      <w:tr>
        <w:trPr>
          <w:trHeight w:val="620" w:hRule="atLeast"/>
        </w:trPr>
        <w:tc>
          <w:tcPr>
            <w:tcW w:w="4479" w:type="dxa"/>
            <w:vMerge w:val="restart"/>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b.2.1. Enhancement of the import and export license system to include HFCs and other alternatives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15,000 </w:t>
            </w:r>
          </w:p>
        </w:tc>
      </w:tr>
      <w:tr>
        <w:trPr>
          <w:trHeight w:val="620" w:hRule="atLeast"/>
        </w:trPr>
        <w:tc>
          <w:tcPr>
            <w:tcW w:w="4479" w:type="dxa"/>
            <w:vMerge w:val="continue"/>
            <w:tcBorders>
              <w:left w:val="single" w:sz="8" w:space="0" w:color="000000"/>
              <w:bottom w:val="single" w:sz="4"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b.2.2. Preparing harmonized tariff codes according to HFCs commitments, with special attention to HFC blends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10,000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b.3.1. Review of the national mechanisms used for ODS reporting to include HFCs consumption</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11,000 </w:t>
            </w:r>
          </w:p>
        </w:tc>
      </w:tr>
      <w:tr>
        <w:trPr>
          <w:trHeight w:val="61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National strategies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c.1. Assessment report on the impact of the Phase out of HCFC in the potential consumption of HFC in Sudan</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15,000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c.2. Inventory of the refrigeration and air-conditioning units .</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20,000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c.3. Assessment of the refrigeration and air-conditioning servicing sector</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15,000 </w:t>
            </w:r>
          </w:p>
        </w:tc>
      </w:tr>
      <w:tr>
        <w:trPr>
          <w:trHeight w:val="7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c.4. Identification of policies and regulations to facilitate the phase-down of HFCs and the introduction of low-GWP alternative technologies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15,000 </w:t>
            </w:r>
          </w:p>
        </w:tc>
      </w:tr>
      <w:tr>
        <w:trPr>
          <w:trHeight w:val="592"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c.5. Consumers awareness raising on energy efficiency improvement options for RAC devices</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20,000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150,000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387"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944"/>
        <w:gridCol w:w="1059"/>
        <w:gridCol w:w="415"/>
        <w:gridCol w:w="451"/>
        <w:gridCol w:w="449"/>
        <w:gridCol w:w="450"/>
        <w:gridCol w:w="451"/>
        <w:gridCol w:w="450"/>
        <w:gridCol w:w="449"/>
        <w:gridCol w:w="450"/>
        <w:gridCol w:w="451"/>
        <w:gridCol w:w="456"/>
        <w:gridCol w:w="489"/>
        <w:gridCol w:w="488"/>
        <w:gridCol w:w="489"/>
        <w:gridCol w:w="490"/>
        <w:gridCol w:w="489"/>
        <w:gridCol w:w="488"/>
        <w:gridCol w:w="489"/>
        <w:gridCol w:w="487"/>
      </w:tblGrid>
      <w:tr>
        <w:trPr>
          <w:trHeight w:val="300" w:hRule="atLeast"/>
        </w:trPr>
        <w:tc>
          <w:tcPr>
            <w:tcW w:w="4003" w:type="dxa"/>
            <w:gridSpan w:val="2"/>
            <w:vMerge w:val="restart"/>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8381" w:type="dxa"/>
            <w:gridSpan w:val="18"/>
            <w:tcBorders>
              <w:top w:val="single" w:sz="8" w:space="0" w:color="000000"/>
              <w:bottom w:val="single" w:sz="4"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4003" w:type="dxa"/>
            <w:gridSpan w:val="2"/>
            <w:vMerge w:val="continue"/>
            <w:tcBorders>
              <w:top w:val="single" w:sz="8" w:space="0" w:color="000000"/>
              <w:left w:val="single" w:sz="8" w:space="0" w:color="000000"/>
              <w:bottom w:val="single" w:sz="8" w:space="0" w:color="000000"/>
              <w:right w:val="single" w:sz="4" w:space="0" w:color="000000"/>
            </w:tcBorders>
            <w:vAlign w:val="center"/>
          </w:tcPr>
          <w:p>
            <w:pPr>
              <w:pStyle w:val="Normal"/>
              <w:widowControl w:val="false"/>
              <w:rPr>
                <w:rFonts w:ascii="Times New Roman" w:hAnsi="Times New Roman"/>
                <w:b/>
                <w:b/>
                <w:bCs/>
                <w:color w:val="000000"/>
              </w:rPr>
            </w:pPr>
            <w:r>
              <w:rPr>
                <w:b/>
                <w:bCs/>
                <w:color w:val="000000"/>
              </w:rPr>
            </w:r>
          </w:p>
        </w:tc>
        <w:tc>
          <w:tcPr>
            <w:tcW w:w="415"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451"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449"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450"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451"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450"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449"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450"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451"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456"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89"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8"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90"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88"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7"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510" w:hRule="atLeast"/>
        </w:trPr>
        <w:tc>
          <w:tcPr>
            <w:tcW w:w="2944" w:type="dxa"/>
            <w:vMerge w:val="restart"/>
            <w:tcBorders>
              <w:left w:val="single" w:sz="8"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1059" w:type="dxa"/>
            <w:tcBorders>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15" w:type="dxa"/>
            <w:tcBorders>
              <w:bottom w:val="single" w:sz="4" w:space="0" w:color="000000"/>
              <w:right w:val="single" w:sz="4"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4" w:space="0" w:color="000000"/>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continue"/>
            <w:tcBorders>
              <w:left w:val="single" w:sz="8" w:space="0" w:color="000000"/>
              <w:bottom w:val="single" w:sz="4"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1059" w:type="dxa"/>
            <w:tcBorders>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15" w:type="dxa"/>
            <w:tcBorders>
              <w:right w:val="single" w:sz="4"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6"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restart"/>
            <w:tcBorders>
              <w:top w:val="single" w:sz="8" w:space="0" w:color="000000"/>
              <w:left w:val="single" w:sz="8"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1059" w:type="dxa"/>
            <w:tcBorders>
              <w:top w:val="single" w:sz="8"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b.1.1. </w:t>
            </w:r>
          </w:p>
        </w:tc>
        <w:tc>
          <w:tcPr>
            <w:tcW w:w="415" w:type="dxa"/>
            <w:tcBorders>
              <w:top w:val="single" w:sz="8" w:space="0" w:color="000000"/>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top w:val="single" w:sz="8" w:space="0" w:color="000000"/>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top w:val="single" w:sz="8" w:space="0" w:color="000000"/>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top w:val="single" w:sz="8" w:space="0" w:color="000000"/>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1" w:type="dxa"/>
            <w:tcBorders>
              <w:top w:val="single" w:sz="8" w:space="0" w:color="000000"/>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top w:val="single" w:sz="8" w:space="0" w:color="000000"/>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6"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top w:val="single" w:sz="8" w:space="0" w:color="000000"/>
              <w:bottom w:val="single" w:sz="4" w:space="0" w:color="000000"/>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continue"/>
            <w:tcBorders>
              <w:top w:val="single" w:sz="8" w:space="0" w:color="000000"/>
              <w:left w:val="single" w:sz="8" w:space="0" w:color="000000"/>
              <w:bottom w:val="single" w:sz="4"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1059" w:type="dxa"/>
            <w:tcBorders>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b.1.2. </w:t>
            </w:r>
          </w:p>
        </w:tc>
        <w:tc>
          <w:tcPr>
            <w:tcW w:w="415" w:type="dxa"/>
            <w:tcBorders>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4" w:space="0" w:color="000000"/>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restart"/>
            <w:tcBorders>
              <w:left w:val="single" w:sz="8"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1059" w:type="dxa"/>
            <w:tcBorders>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b.2.1. </w:t>
            </w:r>
          </w:p>
        </w:tc>
        <w:tc>
          <w:tcPr>
            <w:tcW w:w="415" w:type="dxa"/>
            <w:tcBorders>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4" w:space="0" w:color="000000"/>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continue"/>
            <w:tcBorders>
              <w:left w:val="single" w:sz="8" w:space="0" w:color="000000"/>
              <w:bottom w:val="single" w:sz="4"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1059" w:type="dxa"/>
            <w:tcBorders>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b.2.2. </w:t>
            </w:r>
          </w:p>
        </w:tc>
        <w:tc>
          <w:tcPr>
            <w:tcW w:w="415" w:type="dxa"/>
            <w:tcBorders>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4" w:space="0" w:color="000000"/>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1059"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b.3.1. </w:t>
            </w:r>
          </w:p>
        </w:tc>
        <w:tc>
          <w:tcPr>
            <w:tcW w:w="415" w:type="dxa"/>
            <w:tcBorders>
              <w:bottom w:val="single" w:sz="8"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8" w:space="0" w:color="000000"/>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National strategies </w:t>
            </w:r>
          </w:p>
        </w:tc>
        <w:tc>
          <w:tcPr>
            <w:tcW w:w="1059" w:type="dxa"/>
            <w:tcBorders>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15" w:type="dxa"/>
            <w:tcBorders>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4" w:space="0" w:color="000000"/>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1059" w:type="dxa"/>
            <w:tcBorders>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c.2. </w:t>
            </w:r>
          </w:p>
        </w:tc>
        <w:tc>
          <w:tcPr>
            <w:tcW w:w="415" w:type="dxa"/>
            <w:tcBorders>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4" w:space="0" w:color="000000"/>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1059" w:type="dxa"/>
            <w:tcBorders>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c.3. </w:t>
            </w:r>
          </w:p>
        </w:tc>
        <w:tc>
          <w:tcPr>
            <w:tcW w:w="415" w:type="dxa"/>
            <w:tcBorders>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4" w:space="0" w:color="000000"/>
              <w:right w:val="single" w:sz="8" w:space="0" w:color="000000"/>
            </w:tcBorders>
            <w:shd w:color="auto" w:fill="auto"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1059" w:type="dxa"/>
            <w:tcBorders>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c.4.</w:t>
            </w:r>
          </w:p>
        </w:tc>
        <w:tc>
          <w:tcPr>
            <w:tcW w:w="415" w:type="dxa"/>
            <w:tcBorders>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4"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4" w:space="0" w:color="000000"/>
              <w:right w:val="single" w:sz="8"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r>
      <w:tr>
        <w:trPr>
          <w:trHeight w:val="510" w:hRule="atLeast"/>
        </w:trPr>
        <w:tc>
          <w:tcPr>
            <w:tcW w:w="2944"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1059" w:type="dxa"/>
            <w:tcBorders>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c.5. </w:t>
            </w:r>
          </w:p>
        </w:tc>
        <w:tc>
          <w:tcPr>
            <w:tcW w:w="415" w:type="dxa"/>
            <w:tcBorders>
              <w:bottom w:val="single" w:sz="8"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451"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49"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0"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1" w:type="dxa"/>
            <w:tcBorders>
              <w:bottom w:val="single" w:sz="8" w:space="0" w:color="000000"/>
              <w:right w:val="single" w:sz="4" w:space="0" w:color="000000"/>
            </w:tcBorders>
            <w:shd w:color="auto" w:fill="auto" w:val="clear"/>
            <w:vAlign w:val="bottom"/>
          </w:tcPr>
          <w:p>
            <w:pPr>
              <w:pStyle w:val="Normal"/>
              <w:widowControl w:val="false"/>
              <w:rPr>
                <w:rFonts w:ascii="Times New Roman" w:hAnsi="Times New Roman"/>
                <w:color w:val="000000"/>
              </w:rPr>
            </w:pPr>
            <w:r>
              <w:rPr>
                <w:color w:val="000000"/>
              </w:rPr>
              <w:t> </w:t>
            </w:r>
          </w:p>
        </w:tc>
        <w:tc>
          <w:tcPr>
            <w:tcW w:w="456"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4"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c>
          <w:tcPr>
            <w:tcW w:w="487" w:type="dxa"/>
            <w:tcBorders>
              <w:bottom w:val="single" w:sz="8" w:space="0" w:color="000000"/>
              <w:right w:val="single" w:sz="8" w:space="0" w:color="000000"/>
            </w:tcBorders>
            <w:shd w:color="000000" w:fill="B8CCE4" w:val="clear"/>
            <w:vAlign w:val="bottom"/>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124"/>
          <w:headerReference w:type="default" r:id="rId125"/>
          <w:footerReference w:type="even" r:id="rId126"/>
          <w:footerReference w:type="default" r:id="rId127"/>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56"/>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Higher Council for Environment and Natural Resources (HCENR) under the Ministry of Environment Natural Resources&amp; Physical Development and The National Ozone Unit (NOU)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The NOU will function as national focal point to implement different activities, including identification of local experts on different expertise and areas of work, when necessary. Besides, the NOU will provide general guidance on the implementation of the enabling activities based on the national priorities. </w:t>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Tunisia</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Tunisia</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rPr>
      </w:pPr>
      <w:r>
        <w:rPr>
          <w:b/>
        </w:rPr>
        <w:t xml:space="preserve">Project Budget: </w:t>
        <w:tab/>
      </w:r>
      <w:r>
        <w:rPr/>
        <w:t>UNIDO: US$ 75,000 (excl. 9% Agency Support Costs)</w:t>
      </w:r>
    </w:p>
    <w:p>
      <w:pPr>
        <w:pStyle w:val="Normal"/>
        <w:tabs>
          <w:tab w:val="clear" w:pos="720"/>
          <w:tab w:val="left" w:pos="2160" w:leader="none"/>
        </w:tabs>
        <w:rPr>
          <w:rFonts w:ascii="Times New Roman" w:hAnsi="Times New Roman"/>
          <w:b/>
          <w:b/>
        </w:rPr>
      </w:pPr>
      <w:r>
        <w:rPr/>
        <w:tab/>
        <w:t>Italy: US$ 75,000 (excl. 13% Agency Support Costs)</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 and Italy</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 xml:space="preserve">The Government of Tunisia as well as UNIDO and the Government of Italy, as the implementing agencies,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 xml:space="preserve">The Government of Tunisia confirms its intention to make best efforts to ratify the Kigali Amendment as early as possible. </w:t>
      </w:r>
    </w:p>
    <w:p>
      <w:pPr>
        <w:pStyle w:val="Default"/>
        <w:jc w:val="both"/>
        <w:rPr>
          <w:i/>
          <w:i/>
        </w:rPr>
      </w:pPr>
      <w:r>
        <w:rPr>
          <w:i/>
        </w:rPr>
      </w:r>
    </w:p>
    <w:p>
      <w:pPr>
        <w:pStyle w:val="Default"/>
        <w:jc w:val="both"/>
        <w:rPr>
          <w:i/>
          <w:i/>
        </w:rPr>
      </w:pPr>
      <w:r>
        <w:rPr>
          <w:i/>
        </w:rPr>
        <w:t>The Government of Tunisia confirms that all activities under Enabling Activities will be implemented following model that UNIDO will administer the funds (UNIDO's execution) instead of national execution.</w:t>
      </w:r>
    </w:p>
    <w:p>
      <w:pPr>
        <w:pStyle w:val="Default"/>
        <w:jc w:val="both"/>
        <w:rPr>
          <w:bCs/>
        </w:rPr>
      </w:pPr>
      <w:r>
        <w:rPr>
          <w:bCs/>
        </w:rPr>
      </w:r>
    </w:p>
    <w:p>
      <w:pPr>
        <w:pStyle w:val="Default"/>
        <w:jc w:val="both"/>
        <w:rPr>
          <w:bCs/>
        </w:rPr>
      </w:pPr>
      <w:r>
        <w:rPr>
          <w:bCs/>
        </w:rPr>
      </w:r>
    </w:p>
    <w:p>
      <w:pPr>
        <w:pStyle w:val="Default"/>
        <w:numPr>
          <w:ilvl w:val="0"/>
          <w:numId w:val="59"/>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in Tunisia amounts to 40.7 ODP tonnes.</w:t>
      </w:r>
    </w:p>
    <w:p>
      <w:pPr>
        <w:pStyle w:val="Default"/>
        <w:jc w:val="both"/>
        <w:rPr>
          <w:bCs/>
        </w:rPr>
      </w:pPr>
      <w:r>
        <w:rPr>
          <w:bCs/>
        </w:rPr>
      </w:r>
    </w:p>
    <w:p>
      <w:pPr>
        <w:pStyle w:val="Default"/>
        <w:jc w:val="both"/>
        <w:rPr>
          <w:bCs/>
        </w:rPr>
      </w:pPr>
      <w:r>
        <w:rPr>
          <w:bCs/>
        </w:rPr>
        <w:t xml:space="preserve">The ODS alternatives survey recently completed in Tunisia shows that in the period 2012-2015 an average amount of almost 485 metric tonnes (mt) of HFCs have been consumed every year. This amount is equivalent to more than 930,000 tCO2, which represents 99% of the total global warming potential (GWP) of the ODS alternatives consumed in the country.  </w:t>
      </w:r>
    </w:p>
    <w:p>
      <w:pPr>
        <w:pStyle w:val="Default"/>
        <w:jc w:val="both"/>
        <w:rPr>
          <w:bCs/>
        </w:rPr>
      </w:pPr>
      <w:r>
        <w:rPr>
          <w:bCs/>
        </w:rPr>
      </w:r>
    </w:p>
    <w:p>
      <w:pPr>
        <w:pStyle w:val="Default"/>
        <w:jc w:val="both"/>
        <w:rPr>
          <w:bCs/>
        </w:rPr>
      </w:pPr>
      <w:r>
        <w:rPr>
          <w:bCs/>
        </w:rPr>
        <w:t xml:space="preserve">The substances HFC-134a (68%), HFC-404A (16%) and HFC-410A (8%) are the most common HFCs for all sectors. In terms of GWP, these substances have the biggest share: HFC-134a represents 51% of the total HFCs’ global warming potential; HFC-404A, 33%, and HFC-410A, 9%.  </w:t>
      </w:r>
    </w:p>
    <w:p>
      <w:pPr>
        <w:pStyle w:val="Default"/>
        <w:jc w:val="both"/>
        <w:rPr>
          <w:bCs/>
        </w:rPr>
      </w:pPr>
      <w:r>
        <w:rPr>
          <w:bCs/>
        </w:rPr>
      </w:r>
    </w:p>
    <w:p>
      <w:pPr>
        <w:pStyle w:val="Default"/>
        <w:jc w:val="both"/>
        <w:rPr>
          <w:bCs/>
        </w:rPr>
      </w:pPr>
      <w:r>
        <w:rPr>
          <w:bCs/>
        </w:rPr>
        <w:t xml:space="preserve">The largest consumption of HFCs in Tunisia in metric tonnes occurs in the refrigeration and air conditioning servicing sector (66% of total HFC consumption), followed by the aerosols (16%) and the air-conditioning servicing sector (7%). </w:t>
      </w:r>
    </w:p>
    <w:p>
      <w:pPr>
        <w:pStyle w:val="Default"/>
        <w:jc w:val="both"/>
        <w:rPr>
          <w:bCs/>
        </w:rPr>
      </w:pPr>
      <w:r>
        <w:rPr>
          <w:bCs/>
        </w:rPr>
      </w:r>
    </w:p>
    <w:p>
      <w:pPr>
        <w:pStyle w:val="Default"/>
        <w:jc w:val="both"/>
        <w:rPr>
          <w:bCs/>
        </w:rPr>
      </w:pPr>
      <w:r>
        <w:rPr>
          <w:bCs/>
        </w:rPr>
        <w:t>The use of HFC-134a is mainly focused on the refrigeration servicing sector (66% of total HFC-134a consumption in metric tonnes) and the aerosols sector (23%). On its turn, the use of HFC-404A occurs mainly in the refrigeration servicing sector (97%), while HFC-410A is used mostly in the air-conditioning servicing sector (82%).</w:t>
      </w:r>
    </w:p>
    <w:p>
      <w:pPr>
        <w:pStyle w:val="Default"/>
        <w:ind w:left="720" w:hanging="0"/>
        <w:jc w:val="both"/>
        <w:rPr>
          <w:bCs/>
        </w:rPr>
      </w:pPr>
      <w:r>
        <w:rPr>
          <w:bCs/>
        </w:rPr>
      </w:r>
    </w:p>
    <w:p>
      <w:pPr>
        <w:pStyle w:val="Default"/>
        <w:numPr>
          <w:ilvl w:val="0"/>
          <w:numId w:val="59"/>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Tunisia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 and</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59"/>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60"/>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60"/>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61"/>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61"/>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61"/>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Normal"/>
        <w:ind w:left="720" w:hanging="0"/>
        <w:rPr>
          <w:rFonts w:ascii="Times New Roman" w:hAnsi="Times New Roman"/>
          <w:u w:val="single"/>
        </w:rPr>
      </w:pPr>
      <w:r>
        <w:rPr>
          <w:u w:val="single"/>
        </w:rPr>
      </w:r>
    </w:p>
    <w:p>
      <w:pPr>
        <w:pStyle w:val="Normal"/>
        <w:ind w:left="720" w:hanging="0"/>
        <w:rPr>
          <w:rFonts w:ascii="Times New Roman" w:hAnsi="Times New Roman"/>
          <w:u w:val="single"/>
        </w:rPr>
      </w:pPr>
      <w:r>
        <w:rPr>
          <w:u w:val="single"/>
        </w:rPr>
      </w:r>
    </w:p>
    <w:p>
      <w:pPr>
        <w:pStyle w:val="Normal"/>
        <w:widowControl/>
        <w:spacing w:lineRule="auto" w:line="276" w:before="0" w:after="200"/>
        <w:rPr>
          <w:rFonts w:ascii="Times New Roman" w:hAnsi="Times New Roman"/>
          <w:bCs/>
          <w:u w:val="single"/>
        </w:rPr>
      </w:pPr>
      <w:r>
        <w:rPr>
          <w:bCs/>
          <w:u w:val="single"/>
        </w:rPr>
      </w:r>
      <w:r>
        <w:br w:type="page"/>
      </w:r>
    </w:p>
    <w:p>
      <w:pPr>
        <w:pStyle w:val="ListParagraph"/>
        <w:widowControl/>
        <w:numPr>
          <w:ilvl w:val="0"/>
          <w:numId w:val="60"/>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1232"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of the refrigeration and air-conditioning (RAC) servicing sector (formal and informal sector)</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Accurate analysis of the characteristics of the servicing sector made</w:t>
            </w:r>
          </w:p>
        </w:tc>
      </w:tr>
      <w:tr>
        <w:trPr>
          <w:trHeight w:val="1835"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Inventory of the refrigeration and air-conditioning units currently used in the country and projections for next years (including a chapter on energy efficiency options for these devices) </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the current and future national market of RAC devices increased among decision makers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128"/>
          <w:headerReference w:type="default" r:id="rId129"/>
          <w:footerReference w:type="even" r:id="rId130"/>
          <w:footerReference w:type="default" r:id="rId131"/>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59"/>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547"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620" w:hRule="atLeast"/>
        </w:trPr>
        <w:tc>
          <w:tcPr>
            <w:tcW w:w="4479" w:type="dxa"/>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70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Preparation for national strategies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c.1. Assessment of the refrigeration and air-conditioning servicing sector</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720"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c.2. Inventory of the refrigeration and air-conditioning devices.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c.3.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630"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150,000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c.2.</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c.3.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r>
    </w:tbl>
    <w:p>
      <w:pPr>
        <w:pStyle w:val="Default"/>
        <w:jc w:val="both"/>
        <w:rPr/>
      </w:pPr>
      <w:r>
        <w:rPr/>
      </w:r>
    </w:p>
    <w:p>
      <w:pPr>
        <w:sectPr>
          <w:headerReference w:type="even" r:id="rId132"/>
          <w:headerReference w:type="default" r:id="rId133"/>
          <w:footerReference w:type="even" r:id="rId134"/>
          <w:footerReference w:type="default" r:id="rId135"/>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59"/>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(NOU) of the Agency for the Protection of the Environment, belonging to the Ministry of Local Affairs and Environment, and the United Nations Industrial Development Organization (UNIDO) as well as the Government of Italy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Turkey</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Enabling activities for HFC phase-down in Turkey</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 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US$250,000 (excl. 9% Agency Support Costs)</w:t>
      </w:r>
      <w:r>
        <w:rPr>
          <w:b/>
        </w:rPr>
        <w:t xml:space="preserve"> </w:t>
      </w:r>
    </w:p>
    <w:p>
      <w:pPr>
        <w:pStyle w:val="Normal"/>
        <w:pBdr>
          <w:bottom w:val="single" w:sz="6" w:space="1" w:color="000000"/>
        </w:pBdr>
        <w:rPr>
          <w:rFonts w:ascii="Times New Roman" w:hAnsi="Times New Roman"/>
          <w:b/>
          <w:b/>
        </w:rPr>
      </w:pPr>
      <w:r>
        <w:rPr>
          <w:b/>
        </w:rPr>
      </w:r>
    </w:p>
    <w:p>
      <w:pPr>
        <w:pStyle w:val="Normal"/>
        <w:pBdr>
          <w:bottom w:val="single" w:sz="6" w:space="1" w:color="000000"/>
        </w:pBdr>
        <w:rPr>
          <w:rFonts w:ascii="Times New Roman" w:hAnsi="Times New Roman"/>
        </w:rPr>
      </w:pPr>
      <w:r>
        <w:rPr>
          <w:b/>
        </w:rPr>
        <w:t>Implementing Agency:</w:t>
        <w:tab/>
      </w:r>
      <w:r>
        <w:rPr/>
        <w:t>UNIDO</w:t>
      </w:r>
    </w:p>
    <w:p>
      <w:pPr>
        <w:pStyle w:val="Normal"/>
        <w:rPr>
          <w:rFonts w:ascii="Times New Roman" w:hAnsi="Times New Roman"/>
        </w:rPr>
      </w:pPr>
      <w:r>
        <w:rPr/>
      </w:r>
    </w:p>
    <w:p>
      <w:pPr>
        <w:pStyle w:val="Normal"/>
        <w:rPr>
          <w:rFonts w:ascii="Times New Roman" w:hAnsi="Times New Roman"/>
          <w:b/>
          <w:b/>
        </w:rPr>
      </w:pPr>
      <w:r>
        <w:rPr>
          <w:b/>
        </w:rPr>
        <w:t>General Statements</w:t>
      </w:r>
    </w:p>
    <w:p>
      <w:pPr>
        <w:pStyle w:val="Default"/>
        <w:jc w:val="both"/>
        <w:rPr>
          <w:i/>
          <w:i/>
        </w:rPr>
      </w:pPr>
      <w:r>
        <w:rPr>
          <w:i/>
        </w:rPr>
        <w:t xml:space="preserve">The Government of Turkey as well as UNIDO, as the implementing agency, confirm that implementation of the enabling activities would not delay implementation of HCFC phase-out projects. </w:t>
      </w:r>
    </w:p>
    <w:p>
      <w:pPr>
        <w:pStyle w:val="Default"/>
        <w:jc w:val="both"/>
        <w:rPr>
          <w:i/>
          <w:i/>
        </w:rPr>
      </w:pPr>
      <w:r>
        <w:rPr>
          <w:i/>
        </w:rPr>
      </w:r>
    </w:p>
    <w:p>
      <w:pPr>
        <w:pStyle w:val="Default"/>
        <w:jc w:val="both"/>
        <w:rPr>
          <w:i/>
          <w:i/>
        </w:rPr>
      </w:pPr>
      <w:r>
        <w:rPr>
          <w:i/>
        </w:rPr>
        <w:t>The Government of Turkey confirms its intention to make best efforts to ratify the Kigali Amendment as early as possible.</w:t>
      </w:r>
    </w:p>
    <w:p>
      <w:pPr>
        <w:pStyle w:val="Default"/>
        <w:jc w:val="both"/>
        <w:rPr>
          <w:i/>
          <w:i/>
        </w:rPr>
      </w:pPr>
      <w:r>
        <w:rPr>
          <w:i/>
        </w:rPr>
      </w:r>
    </w:p>
    <w:p>
      <w:pPr>
        <w:pStyle w:val="Default"/>
        <w:jc w:val="both"/>
        <w:rPr>
          <w:i/>
          <w:i/>
        </w:rPr>
      </w:pPr>
      <w:r>
        <w:rPr>
          <w:i/>
        </w:rPr>
        <w:t>The Government of Turkey confirms that all activities under Enabling Activities will be implemented following model that UNIDO will administer the funds (UNIDO's execution) instead of national execution.</w:t>
      </w:r>
    </w:p>
    <w:p>
      <w:pPr>
        <w:pStyle w:val="Default"/>
        <w:jc w:val="both"/>
        <w:rPr>
          <w:bCs/>
        </w:rPr>
      </w:pPr>
      <w:r>
        <w:rPr>
          <w:bCs/>
        </w:rPr>
      </w:r>
    </w:p>
    <w:p>
      <w:pPr>
        <w:pStyle w:val="Default"/>
        <w:jc w:val="both"/>
        <w:rPr>
          <w:bCs/>
        </w:rPr>
      </w:pPr>
      <w:r>
        <w:rPr>
          <w:bCs/>
        </w:rPr>
      </w:r>
    </w:p>
    <w:p>
      <w:pPr>
        <w:pStyle w:val="Default"/>
        <w:numPr>
          <w:ilvl w:val="0"/>
          <w:numId w:val="62"/>
        </w:numPr>
        <w:ind w:left="360" w:hanging="360"/>
        <w:jc w:val="both"/>
        <w:rPr>
          <w:bCs/>
        </w:rPr>
      </w:pPr>
      <w:r>
        <w:rPr>
          <w:b/>
          <w:bCs/>
        </w:rPr>
        <w:t>Background</w:t>
      </w:r>
    </w:p>
    <w:p>
      <w:pPr>
        <w:pStyle w:val="Default"/>
        <w:jc w:val="both"/>
        <w:rPr>
          <w:b/>
          <w:b/>
          <w:bCs/>
        </w:rPr>
      </w:pPr>
      <w:r>
        <w:rPr>
          <w:b/>
          <w:bCs/>
        </w:rPr>
      </w:r>
    </w:p>
    <w:p>
      <w:pPr>
        <w:pStyle w:val="Default"/>
        <w:jc w:val="both"/>
        <w:rPr>
          <w:bCs/>
        </w:rPr>
      </w:pPr>
      <w:r>
        <w:rPr>
          <w:bCs/>
        </w:rPr>
        <w:t>The HCFC baseline in Turkey amounts to 551.47 ODP tonnes.</w:t>
      </w:r>
    </w:p>
    <w:p>
      <w:pPr>
        <w:pStyle w:val="Default"/>
        <w:jc w:val="both"/>
        <w:rPr>
          <w:bCs/>
          <w:highlight w:val="yellow"/>
        </w:rPr>
      </w:pPr>
      <w:r>
        <w:rPr>
          <w:bCs/>
          <w:highlight w:val="yellow"/>
        </w:rPr>
      </w:r>
    </w:p>
    <w:p>
      <w:pPr>
        <w:pStyle w:val="Default"/>
        <w:jc w:val="both"/>
        <w:rPr>
          <w:bCs/>
        </w:rPr>
      </w:pPr>
      <w:r>
        <w:rPr>
          <w:bCs/>
        </w:rPr>
        <w:t xml:space="preserve">The most commonly used ODS alternatives in Turkey include HFC-134a and HFC-152a.  Other HFCs are generally used as components of blends used mainly in the refrigeration, air conditioning; in middle scale in foam and small scale in firefighting and other applications.  The three dominant HFC blends currently used are R-410A, R-404A and R-407C.  </w:t>
      </w:r>
    </w:p>
    <w:p>
      <w:pPr>
        <w:pStyle w:val="Default"/>
        <w:jc w:val="both"/>
        <w:rPr>
          <w:bCs/>
        </w:rPr>
      </w:pPr>
      <w:r>
        <w:rPr>
          <w:bCs/>
        </w:rPr>
      </w:r>
    </w:p>
    <w:p>
      <w:pPr>
        <w:pStyle w:val="Default"/>
        <w:jc w:val="both"/>
        <w:rPr>
          <w:bCs/>
        </w:rPr>
      </w:pPr>
      <w:r>
        <w:rPr>
          <w:bCs/>
        </w:rPr>
        <w:t>As it showed in the table 1, the most commonly used alternative throughout the years has been HFC-134a with 32 % of total consumption in the country.  The second most commonly used alternative is HFC-152a (mainly used in XPS foam) with 23 % and followed by R-410A with 20% if the total HFC.  The blend R-410A has had a regular pattern of increase and it consumption is around 15 % of the total and mainly in refrigeration sector. Similar behavior occurred with R-4047 but with less use in the country around 4 %, while R-507A has decreased from 2013 to 2015 with less than 1% before 2015 (reported zero consumption). It is relevant to mentioned for MAC manufacturing HFO-1234yf has been introduced in the country during the year 2014.</w:t>
      </w:r>
    </w:p>
    <w:p>
      <w:pPr>
        <w:pStyle w:val="Default"/>
        <w:jc w:val="both"/>
        <w:rPr>
          <w:bCs/>
        </w:rPr>
      </w:pPr>
      <w:r>
        <w:rPr>
          <w:bCs/>
        </w:rPr>
      </w:r>
    </w:p>
    <w:p>
      <w:pPr>
        <w:pStyle w:val="Default"/>
        <w:jc w:val="both"/>
        <w:rPr>
          <w:bCs/>
        </w:rPr>
      </w:pPr>
      <w:r>
        <w:rPr>
          <w:bCs/>
        </w:rPr>
      </w:r>
    </w:p>
    <w:p>
      <w:pPr>
        <w:pStyle w:val="Normal"/>
        <w:widowControl/>
        <w:spacing w:lineRule="auto" w:line="276" w:before="0" w:after="200"/>
        <w:rPr>
          <w:rFonts w:ascii="Times New Roman" w:hAnsi="Times New Roman" w:eastAsia="Calibri" w:eastAsiaTheme="minorHAnsi"/>
          <w:bCs/>
          <w:color w:val="000000"/>
        </w:rPr>
      </w:pPr>
      <w:r>
        <w:rPr>
          <w:rFonts w:eastAsia="Calibri" w:eastAsiaTheme="minorHAnsi"/>
          <w:bCs/>
          <w:color w:val="000000"/>
        </w:rPr>
      </w:r>
      <w:r>
        <w:br w:type="page"/>
      </w:r>
    </w:p>
    <w:p>
      <w:pPr>
        <w:pStyle w:val="Default"/>
        <w:jc w:val="center"/>
        <w:rPr>
          <w:bCs/>
        </w:rPr>
      </w:pPr>
      <w:r>
        <w:rPr>
          <w:bCs/>
        </w:rPr>
        <w:t>Table 1. Country consumption of HFCs during the period 2012-2015</w:t>
      </w:r>
    </w:p>
    <w:p>
      <w:pPr>
        <w:pStyle w:val="Default"/>
        <w:jc w:val="center"/>
        <w:rPr>
          <w:bCs/>
        </w:rPr>
      </w:pPr>
      <w:r>
        <w:rPr>
          <w:bCs/>
        </w:rPr>
      </w:r>
    </w:p>
    <w:tbl>
      <w:tblPr>
        <w:tblW w:w="637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4"/>
        <w:gridCol w:w="974"/>
        <w:gridCol w:w="974"/>
        <w:gridCol w:w="974"/>
        <w:gridCol w:w="975"/>
      </w:tblGrid>
      <w:tr>
        <w:trPr>
          <w:trHeight w:val="300" w:hRule="atLeast"/>
        </w:trPr>
        <w:tc>
          <w:tcPr>
            <w:tcW w:w="2474" w:type="dxa"/>
            <w:vMerge w:val="restart"/>
            <w:tcBorders>
              <w:top w:val="single" w:sz="8" w:space="0" w:color="000000"/>
              <w:left w:val="single" w:sz="8" w:space="0" w:color="000000"/>
              <w:bottom w:val="single" w:sz="8" w:space="0" w:color="000000"/>
              <w:right w:val="single" w:sz="8" w:space="0" w:color="000000"/>
            </w:tcBorders>
          </w:tcPr>
          <w:p>
            <w:pPr>
              <w:pStyle w:val="Normal"/>
              <w:widowControl w:val="false"/>
              <w:jc w:val="center"/>
              <w:rPr>
                <w:rFonts w:ascii="Times New Roman" w:hAnsi="Times New Roman" w:eastAsia="Calibri"/>
                <w:b/>
                <w:b/>
                <w:bCs/>
                <w:color w:val="000000"/>
              </w:rPr>
            </w:pPr>
            <w:r>
              <w:rPr>
                <w:rFonts w:eastAsia="Calibri"/>
                <w:b/>
                <w:bCs/>
                <w:color w:val="000000"/>
              </w:rPr>
              <w:t>Alternative</w:t>
            </w:r>
          </w:p>
        </w:tc>
        <w:tc>
          <w:tcPr>
            <w:tcW w:w="3897" w:type="dxa"/>
            <w:gridSpan w:val="4"/>
            <w:tcBorders>
              <w:top w:val="single" w:sz="8" w:space="0" w:color="000000"/>
              <w:bottom w:val="single" w:sz="8" w:space="0" w:color="000000"/>
              <w:right w:val="single" w:sz="8" w:space="0" w:color="000000"/>
            </w:tcBorders>
          </w:tcPr>
          <w:p>
            <w:pPr>
              <w:pStyle w:val="Normal"/>
              <w:widowControl w:val="false"/>
              <w:jc w:val="center"/>
              <w:rPr>
                <w:rFonts w:ascii="Times New Roman" w:hAnsi="Times New Roman" w:eastAsia="Calibri"/>
                <w:b/>
                <w:b/>
                <w:bCs/>
                <w:color w:val="000000"/>
              </w:rPr>
            </w:pPr>
            <w:r>
              <w:rPr>
                <w:rFonts w:eastAsia="Calibri"/>
                <w:b/>
                <w:bCs/>
                <w:color w:val="000000"/>
              </w:rPr>
              <w:t>Estimated use (mt)</w:t>
            </w:r>
          </w:p>
        </w:tc>
      </w:tr>
      <w:tr>
        <w:trPr>
          <w:trHeight w:val="300" w:hRule="atLeast"/>
        </w:trPr>
        <w:tc>
          <w:tcPr>
            <w:tcW w:w="2474" w:type="dxa"/>
            <w:vMerge w:val="continue"/>
            <w:tcBorders>
              <w:top w:val="single" w:sz="8" w:space="0" w:color="000000"/>
              <w:left w:val="single" w:sz="8" w:space="0" w:color="000000"/>
              <w:bottom w:val="single" w:sz="8" w:space="0" w:color="000000"/>
              <w:right w:val="single" w:sz="8" w:space="0" w:color="000000"/>
            </w:tcBorders>
            <w:tcMar>
              <w:left w:w="10" w:type="dxa"/>
              <w:right w:w="10" w:type="dxa"/>
            </w:tcMar>
            <w:vAlign w:val="center"/>
          </w:tcPr>
          <w:p>
            <w:pPr>
              <w:pStyle w:val="Normal"/>
              <w:widowControl w:val="false"/>
              <w:rPr>
                <w:rFonts w:ascii="Times New Roman" w:hAnsi="Times New Roman" w:eastAsia="Calibri"/>
                <w:b/>
                <w:b/>
                <w:bCs/>
                <w:color w:val="000000"/>
              </w:rPr>
            </w:pPr>
            <w:r>
              <w:rPr>
                <w:rFonts w:eastAsia="Calibri"/>
                <w:b/>
                <w:bCs/>
                <w:color w:val="000000"/>
              </w:rPr>
            </w:r>
          </w:p>
        </w:tc>
        <w:tc>
          <w:tcPr>
            <w:tcW w:w="974" w:type="dxa"/>
            <w:tcBorders>
              <w:bottom w:val="single" w:sz="8" w:space="0" w:color="000000"/>
              <w:right w:val="single" w:sz="8" w:space="0" w:color="000000"/>
            </w:tcBorders>
          </w:tcPr>
          <w:p>
            <w:pPr>
              <w:pStyle w:val="Normal"/>
              <w:widowControl w:val="false"/>
              <w:jc w:val="center"/>
              <w:rPr>
                <w:rFonts w:ascii="Times New Roman" w:hAnsi="Times New Roman" w:eastAsia="Calibri"/>
                <w:b/>
                <w:b/>
                <w:bCs/>
                <w:color w:val="000000"/>
              </w:rPr>
            </w:pPr>
            <w:r>
              <w:rPr>
                <w:rFonts w:eastAsia="Calibri"/>
                <w:b/>
                <w:bCs/>
                <w:color w:val="000000"/>
              </w:rPr>
              <w:t>2012</w:t>
            </w:r>
          </w:p>
        </w:tc>
        <w:tc>
          <w:tcPr>
            <w:tcW w:w="974" w:type="dxa"/>
            <w:tcBorders>
              <w:bottom w:val="single" w:sz="8" w:space="0" w:color="000000"/>
              <w:right w:val="single" w:sz="8" w:space="0" w:color="000000"/>
            </w:tcBorders>
          </w:tcPr>
          <w:p>
            <w:pPr>
              <w:pStyle w:val="Normal"/>
              <w:widowControl w:val="false"/>
              <w:jc w:val="center"/>
              <w:rPr>
                <w:rFonts w:ascii="Times New Roman" w:hAnsi="Times New Roman" w:eastAsia="Calibri"/>
                <w:b/>
                <w:b/>
                <w:bCs/>
                <w:color w:val="000000"/>
              </w:rPr>
            </w:pPr>
            <w:r>
              <w:rPr>
                <w:rFonts w:eastAsia="Calibri"/>
                <w:b/>
                <w:bCs/>
                <w:color w:val="000000"/>
              </w:rPr>
              <w:t>2013</w:t>
            </w:r>
          </w:p>
        </w:tc>
        <w:tc>
          <w:tcPr>
            <w:tcW w:w="974" w:type="dxa"/>
            <w:tcBorders>
              <w:bottom w:val="single" w:sz="8" w:space="0" w:color="000000"/>
              <w:right w:val="single" w:sz="8" w:space="0" w:color="000000"/>
            </w:tcBorders>
          </w:tcPr>
          <w:p>
            <w:pPr>
              <w:pStyle w:val="Normal"/>
              <w:widowControl w:val="false"/>
              <w:jc w:val="center"/>
              <w:rPr>
                <w:rFonts w:ascii="Times New Roman" w:hAnsi="Times New Roman" w:eastAsia="Calibri"/>
                <w:b/>
                <w:b/>
                <w:bCs/>
                <w:color w:val="000000"/>
              </w:rPr>
            </w:pPr>
            <w:r>
              <w:rPr>
                <w:rFonts w:eastAsia="Calibri"/>
                <w:b/>
                <w:bCs/>
                <w:color w:val="000000"/>
              </w:rPr>
              <w:t>2014</w:t>
            </w:r>
          </w:p>
        </w:tc>
        <w:tc>
          <w:tcPr>
            <w:tcW w:w="975" w:type="dxa"/>
            <w:tcBorders>
              <w:bottom w:val="single" w:sz="8" w:space="0" w:color="000000"/>
              <w:right w:val="single" w:sz="8" w:space="0" w:color="000000"/>
            </w:tcBorders>
          </w:tcPr>
          <w:p>
            <w:pPr>
              <w:pStyle w:val="Normal"/>
              <w:widowControl w:val="false"/>
              <w:jc w:val="center"/>
              <w:rPr>
                <w:rFonts w:ascii="Times New Roman" w:hAnsi="Times New Roman" w:eastAsia="Calibri"/>
                <w:b/>
                <w:b/>
                <w:bCs/>
                <w:color w:val="000000"/>
              </w:rPr>
            </w:pPr>
            <w:r>
              <w:rPr>
                <w:rFonts w:eastAsia="Calibri"/>
                <w:b/>
                <w:bCs/>
                <w:color w:val="000000"/>
              </w:rPr>
              <w:t>2015</w:t>
            </w:r>
          </w:p>
        </w:tc>
      </w:tr>
      <w:tr>
        <w:trPr>
          <w:trHeight w:val="300" w:hRule="atLeast"/>
        </w:trPr>
        <w:tc>
          <w:tcPr>
            <w:tcW w:w="6371" w:type="dxa"/>
            <w:gridSpan w:val="5"/>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b/>
                <w:b/>
                <w:bCs/>
                <w:color w:val="000000"/>
              </w:rPr>
            </w:pPr>
            <w:r>
              <w:rPr>
                <w:rFonts w:eastAsia="Calibri"/>
                <w:b/>
                <w:bCs/>
                <w:color w:val="000000"/>
              </w:rPr>
              <w:t>HFC*</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HFC</w:t>
              <w:noBreakHyphen/>
              <w:t>134a</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2,893.50</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3,426.43</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3,276.45</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3,213.95</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HFC</w:t>
              <w:noBreakHyphen/>
              <w:t>152a</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1,996.13</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2,561.83</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2,561.83</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2,307.62</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HFC</w:t>
              <w:noBreakHyphen/>
              <w:t>245fa</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40.00</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60.00</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60.00</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100.00</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HFC</w:t>
              <w:noBreakHyphen/>
              <w:t>227ea</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114.73</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161.71</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207.18</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109.99</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HFC</w:t>
              <w:noBreakHyphen/>
              <w:t>227ea/HFC</w:t>
              <w:noBreakHyphen/>
              <w:t>365mfc</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121.19</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253.25</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361.59</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314.23</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Other:HFC-23</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0.24</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0.37</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0.35</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0.90</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R</w:t>
              <w:noBreakHyphen/>
              <w:t>404A</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917.77</w:t>
            </w:r>
          </w:p>
        </w:tc>
        <w:tc>
          <w:tcPr>
            <w:tcW w:w="974" w:type="dxa"/>
            <w:tcBorders>
              <w:bottom w:val="single" w:sz="8" w:space="0" w:color="000000"/>
              <w:right w:val="single" w:sz="8" w:space="0" w:color="000000"/>
            </w:tcBorders>
            <w:shd w:color="auto" w:fill="FFFFFF" w:val="clear"/>
            <w:vAlign w:val="bottom"/>
          </w:tcPr>
          <w:p>
            <w:pPr>
              <w:pStyle w:val="Normal"/>
              <w:widowControl w:val="false"/>
              <w:jc w:val="right"/>
              <w:rPr>
                <w:rFonts w:ascii="Times New Roman" w:hAnsi="Times New Roman" w:eastAsia="Calibri"/>
                <w:color w:val="000000"/>
              </w:rPr>
            </w:pPr>
            <w:r>
              <w:rPr>
                <w:rFonts w:eastAsia="Calibri"/>
                <w:color w:val="000000"/>
              </w:rPr>
              <w:t>1,089.17</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993.39</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1,479.14</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R</w:t>
              <w:noBreakHyphen/>
              <w:t>407C</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291.49</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257.28</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346.23</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421.25</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R</w:t>
              <w:noBreakHyphen/>
              <w:t>410A</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1,580.26</w:t>
            </w:r>
          </w:p>
        </w:tc>
        <w:tc>
          <w:tcPr>
            <w:tcW w:w="974" w:type="dxa"/>
            <w:tcBorders>
              <w:bottom w:val="single" w:sz="8" w:space="0" w:color="000000"/>
              <w:right w:val="single" w:sz="8" w:space="0" w:color="000000"/>
            </w:tcBorders>
            <w:shd w:color="auto" w:fill="FFFFFF" w:val="clear"/>
            <w:vAlign w:val="bottom"/>
          </w:tcPr>
          <w:p>
            <w:pPr>
              <w:pStyle w:val="Normal"/>
              <w:widowControl w:val="false"/>
              <w:jc w:val="right"/>
              <w:rPr>
                <w:rFonts w:ascii="Times New Roman" w:hAnsi="Times New Roman" w:eastAsia="Calibri"/>
                <w:color w:val="000000"/>
              </w:rPr>
            </w:pPr>
            <w:r>
              <w:rPr>
                <w:rFonts w:eastAsia="Calibri"/>
                <w:color w:val="000000"/>
              </w:rPr>
              <w:t>1,743.08</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1,500.54</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1,989.90</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color w:val="000000"/>
              </w:rPr>
            </w:pPr>
            <w:r>
              <w:rPr>
                <w:rFonts w:eastAsia="Calibri"/>
                <w:color w:val="000000"/>
              </w:rPr>
              <w:t>R</w:t>
              <w:noBreakHyphen/>
              <w:t>507A</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5.53</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3.95</w:t>
            </w:r>
          </w:p>
        </w:tc>
        <w:tc>
          <w:tcPr>
            <w:tcW w:w="974"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3.95</w:t>
            </w:r>
          </w:p>
        </w:tc>
        <w:tc>
          <w:tcPr>
            <w:tcW w:w="975" w:type="dxa"/>
            <w:tcBorders>
              <w:bottom w:val="single" w:sz="8" w:space="0" w:color="000000"/>
              <w:right w:val="single" w:sz="8" w:space="0" w:color="000000"/>
            </w:tcBorders>
            <w:vAlign w:val="bottom"/>
          </w:tcPr>
          <w:p>
            <w:pPr>
              <w:pStyle w:val="Normal"/>
              <w:widowControl w:val="false"/>
              <w:jc w:val="right"/>
              <w:rPr>
                <w:rFonts w:ascii="Times New Roman" w:hAnsi="Times New Roman" w:eastAsia="Calibri"/>
                <w:color w:val="000000"/>
              </w:rPr>
            </w:pPr>
            <w:r>
              <w:rPr>
                <w:rFonts w:eastAsia="Calibri"/>
                <w:color w:val="000000"/>
              </w:rPr>
              <w:t>0.00</w:t>
            </w:r>
          </w:p>
        </w:tc>
      </w:tr>
      <w:tr>
        <w:trPr>
          <w:trHeight w:val="300" w:hRule="atLeast"/>
        </w:trPr>
        <w:tc>
          <w:tcPr>
            <w:tcW w:w="2474" w:type="dxa"/>
            <w:tcBorders>
              <w:left w:val="single" w:sz="8" w:space="0" w:color="000000"/>
              <w:bottom w:val="single" w:sz="8" w:space="0" w:color="000000"/>
              <w:right w:val="single" w:sz="8" w:space="0" w:color="000000"/>
            </w:tcBorders>
          </w:tcPr>
          <w:p>
            <w:pPr>
              <w:pStyle w:val="Normal"/>
              <w:widowControl w:val="false"/>
              <w:rPr>
                <w:rFonts w:ascii="Times New Roman" w:hAnsi="Times New Roman" w:eastAsia="Calibri"/>
                <w:b/>
                <w:b/>
                <w:bCs/>
                <w:color w:val="000000"/>
              </w:rPr>
            </w:pPr>
            <w:r>
              <w:rPr>
                <w:rFonts w:eastAsia="Calibri"/>
                <w:b/>
                <w:bCs/>
                <w:color w:val="000000"/>
              </w:rPr>
              <w:t>TOTAL</w:t>
            </w:r>
          </w:p>
        </w:tc>
        <w:tc>
          <w:tcPr>
            <w:tcW w:w="974" w:type="dxa"/>
            <w:tcBorders>
              <w:bottom w:val="single" w:sz="8" w:space="0" w:color="000000"/>
              <w:right w:val="single" w:sz="8" w:space="0" w:color="000000"/>
            </w:tcBorders>
            <w:vAlign w:val="center"/>
          </w:tcPr>
          <w:p>
            <w:pPr>
              <w:pStyle w:val="Normal"/>
              <w:widowControl w:val="false"/>
              <w:jc w:val="right"/>
              <w:rPr>
                <w:rFonts w:ascii="Times New Roman" w:hAnsi="Times New Roman" w:eastAsia="Calibri"/>
                <w:b/>
                <w:b/>
                <w:bCs/>
                <w:color w:val="000000"/>
              </w:rPr>
            </w:pPr>
            <w:r>
              <w:rPr>
                <w:rFonts w:eastAsia="Calibri"/>
                <w:b/>
                <w:bCs/>
                <w:color w:val="000000"/>
              </w:rPr>
              <w:t>7,960.84</w:t>
            </w:r>
          </w:p>
        </w:tc>
        <w:tc>
          <w:tcPr>
            <w:tcW w:w="974" w:type="dxa"/>
            <w:tcBorders>
              <w:bottom w:val="single" w:sz="8" w:space="0" w:color="000000"/>
              <w:right w:val="single" w:sz="8" w:space="0" w:color="000000"/>
            </w:tcBorders>
            <w:vAlign w:val="center"/>
          </w:tcPr>
          <w:p>
            <w:pPr>
              <w:pStyle w:val="Normal"/>
              <w:widowControl w:val="false"/>
              <w:jc w:val="right"/>
              <w:rPr>
                <w:rFonts w:ascii="Times New Roman" w:hAnsi="Times New Roman" w:eastAsia="Calibri"/>
                <w:b/>
                <w:b/>
                <w:bCs/>
                <w:color w:val="000000"/>
              </w:rPr>
            </w:pPr>
            <w:r>
              <w:rPr>
                <w:rFonts w:eastAsia="Calibri"/>
                <w:b/>
                <w:bCs/>
                <w:color w:val="000000"/>
              </w:rPr>
              <w:t>9,557.07</w:t>
            </w:r>
          </w:p>
        </w:tc>
        <w:tc>
          <w:tcPr>
            <w:tcW w:w="974" w:type="dxa"/>
            <w:tcBorders>
              <w:bottom w:val="single" w:sz="8" w:space="0" w:color="000000"/>
              <w:right w:val="single" w:sz="8" w:space="0" w:color="000000"/>
            </w:tcBorders>
            <w:vAlign w:val="center"/>
          </w:tcPr>
          <w:p>
            <w:pPr>
              <w:pStyle w:val="Normal"/>
              <w:widowControl w:val="false"/>
              <w:jc w:val="right"/>
              <w:rPr>
                <w:rFonts w:ascii="Times New Roman" w:hAnsi="Times New Roman" w:eastAsia="Calibri"/>
                <w:b/>
                <w:b/>
                <w:bCs/>
                <w:color w:val="000000"/>
              </w:rPr>
            </w:pPr>
            <w:r>
              <w:rPr>
                <w:rFonts w:eastAsia="Calibri"/>
                <w:b/>
                <w:bCs/>
                <w:color w:val="000000"/>
              </w:rPr>
              <w:t>9,311.51</w:t>
            </w:r>
          </w:p>
        </w:tc>
        <w:tc>
          <w:tcPr>
            <w:tcW w:w="975" w:type="dxa"/>
            <w:tcBorders>
              <w:bottom w:val="single" w:sz="8" w:space="0" w:color="000000"/>
              <w:right w:val="single" w:sz="8" w:space="0" w:color="000000"/>
            </w:tcBorders>
            <w:vAlign w:val="center"/>
          </w:tcPr>
          <w:p>
            <w:pPr>
              <w:pStyle w:val="Normal"/>
              <w:widowControl w:val="false"/>
              <w:jc w:val="right"/>
              <w:rPr>
                <w:rFonts w:ascii="Times New Roman" w:hAnsi="Times New Roman" w:eastAsia="Calibri"/>
                <w:b/>
                <w:b/>
                <w:bCs/>
                <w:color w:val="000000"/>
              </w:rPr>
            </w:pPr>
            <w:r>
              <w:rPr>
                <w:rFonts w:eastAsia="Calibri"/>
                <w:b/>
                <w:bCs/>
                <w:color w:val="000000"/>
              </w:rPr>
              <w:t>9,936.98</w:t>
            </w:r>
          </w:p>
        </w:tc>
      </w:tr>
    </w:tbl>
    <w:p>
      <w:pPr>
        <w:pStyle w:val="Default"/>
        <w:jc w:val="center"/>
        <w:rPr>
          <w:bCs/>
        </w:rPr>
      </w:pPr>
      <w:r>
        <w:rPr>
          <w:bCs/>
        </w:rPr>
      </w:r>
    </w:p>
    <w:p>
      <w:pPr>
        <w:pStyle w:val="Default"/>
        <w:jc w:val="both"/>
        <w:rPr>
          <w:bCs/>
        </w:rPr>
      </w:pPr>
      <w:r>
        <w:rPr>
          <w:bCs/>
        </w:rPr>
        <w:t>The refrigeration and air-conditioning sector is the largest user of HFC in Turkey comprising 70.8 % of the overall consumption within the country. The other sectors occupy a small percentage, where foam represents 26.6% and firefighting and other sectors represent less than 3% of the total consumption. This information is reported in the survey of ODs alternatives, with special attention to year 2015.</w:t>
      </w:r>
    </w:p>
    <w:p>
      <w:pPr>
        <w:pStyle w:val="Default"/>
        <w:jc w:val="both"/>
        <w:rPr>
          <w:bCs/>
        </w:rPr>
      </w:pPr>
      <w:r>
        <w:rPr>
          <w:bCs/>
        </w:rPr>
      </w:r>
    </w:p>
    <w:p>
      <w:pPr>
        <w:pStyle w:val="Default"/>
        <w:jc w:val="both"/>
        <w:rPr>
          <w:bCs/>
        </w:rPr>
      </w:pPr>
      <w:r>
        <w:rPr>
          <w:bCs/>
        </w:rPr>
        <w:t>Within the refrigeration and air-conditioning sector, the data indicates that the servicing sector consume the 53 % of the total consumption of HFC while in manufacturing subsector reach 18 % for 2015.</w:t>
      </w:r>
    </w:p>
    <w:p>
      <w:pPr>
        <w:pStyle w:val="Default"/>
        <w:jc w:val="both"/>
        <w:rPr>
          <w:bCs/>
        </w:rPr>
      </w:pPr>
      <w:r>
        <w:rPr>
          <w:bCs/>
        </w:rPr>
      </w:r>
    </w:p>
    <w:p>
      <w:pPr>
        <w:pStyle w:val="Default"/>
        <w:jc w:val="both"/>
        <w:rPr>
          <w:bCs/>
        </w:rPr>
      </w:pPr>
      <w:r>
        <w:rPr>
          <w:bCs/>
        </w:rPr>
        <w:t>The AC servicing subsector has the most widespread consumption in the country comprising21% of the overall HFC consumption in RAC sector, followed by mobile air-conditioning (MAC) servicing sector with approx. 17% and in last place with 14% of the consumption for domestic and commercial refrigeration in 2015.  The Foam sector has the second most consumption, having 23% of the total consumption for XPS application while only 4% was consumed for PU foam sector in 2015. A stable pattern is held between 2012 and 2015.</w:t>
      </w:r>
    </w:p>
    <w:p>
      <w:pPr>
        <w:pStyle w:val="Default"/>
        <w:ind w:left="720" w:hanging="0"/>
        <w:jc w:val="both"/>
        <w:rPr>
          <w:bCs/>
        </w:rPr>
      </w:pPr>
      <w:r>
        <w:rPr>
          <w:bCs/>
        </w:rPr>
      </w:r>
    </w:p>
    <w:p>
      <w:pPr>
        <w:pStyle w:val="Default"/>
        <w:numPr>
          <w:ilvl w:val="0"/>
          <w:numId w:val="62"/>
        </w:numPr>
        <w:ind w:left="360" w:hanging="360"/>
        <w:jc w:val="both"/>
        <w:rPr>
          <w:bCs/>
        </w:rPr>
      </w:pPr>
      <w:r>
        <w:rPr>
          <w:b/>
          <w:bCs/>
        </w:rPr>
        <w:t>Objectives</w:t>
      </w:r>
    </w:p>
    <w:p>
      <w:pPr>
        <w:pStyle w:val="Default"/>
        <w:jc w:val="both"/>
        <w:rPr>
          <w:b/>
          <w:b/>
          <w:bCs/>
        </w:rPr>
      </w:pPr>
      <w:r>
        <w:rPr>
          <w:b/>
          <w:bCs/>
        </w:rPr>
      </w:r>
    </w:p>
    <w:p>
      <w:pPr>
        <w:pStyle w:val="Default"/>
        <w:jc w:val="both"/>
        <w:rPr>
          <w:bCs/>
        </w:rPr>
      </w:pPr>
      <w:r>
        <w:rPr>
          <w:bCs/>
        </w:rPr>
        <w:t>The main objective of these enabling activities is to prepare Turkey for the ratification and early implementation of the Kigali Amendment to the Montreal Protocol, considering the situation above stated with regard to the current HFCs’ consumption and through the following lines of action:</w:t>
      </w:r>
    </w:p>
    <w:p>
      <w:pPr>
        <w:pStyle w:val="Default"/>
        <w:jc w:val="both"/>
        <w:rPr>
          <w:bCs/>
        </w:rPr>
      </w:pPr>
      <w:r>
        <w:rPr>
          <w:bCs/>
        </w:rPr>
      </w:r>
    </w:p>
    <w:p>
      <w:pPr>
        <w:pStyle w:val="Default"/>
        <w:numPr>
          <w:ilvl w:val="0"/>
          <w:numId w:val="19"/>
        </w:numPr>
        <w:jc w:val="both"/>
        <w:rPr>
          <w:bCs/>
        </w:rPr>
      </w:pPr>
      <w:r>
        <w:rPr>
          <w:bCs/>
        </w:rPr>
        <w:t>Support for the early ratification of the Kigali Amendment,</w:t>
      </w:r>
    </w:p>
    <w:p>
      <w:pPr>
        <w:pStyle w:val="Default"/>
        <w:numPr>
          <w:ilvl w:val="0"/>
          <w:numId w:val="19"/>
        </w:numPr>
        <w:jc w:val="both"/>
        <w:rPr>
          <w:bCs/>
        </w:rPr>
      </w:pPr>
      <w:r>
        <w:rPr>
          <w:bCs/>
        </w:rPr>
        <w:t xml:space="preserve">Support to the institutional arrangements, </w:t>
      </w:r>
    </w:p>
    <w:p>
      <w:pPr>
        <w:pStyle w:val="Default"/>
        <w:numPr>
          <w:ilvl w:val="0"/>
          <w:numId w:val="19"/>
        </w:numPr>
        <w:jc w:val="both"/>
        <w:rPr>
          <w:bCs/>
        </w:rPr>
      </w:pPr>
      <w:r>
        <w:rPr>
          <w:bCs/>
        </w:rPr>
        <w:t xml:space="preserve">Review of the licensing systems, </w:t>
      </w:r>
    </w:p>
    <w:p>
      <w:pPr>
        <w:pStyle w:val="Default"/>
        <w:numPr>
          <w:ilvl w:val="0"/>
          <w:numId w:val="19"/>
        </w:numPr>
        <w:jc w:val="both"/>
        <w:rPr>
          <w:bCs/>
        </w:rPr>
      </w:pPr>
      <w:r>
        <w:rPr>
          <w:bCs/>
        </w:rPr>
        <w:t>Review of the data reporting systems,</w:t>
      </w:r>
    </w:p>
    <w:p>
      <w:pPr>
        <w:pStyle w:val="Default"/>
        <w:numPr>
          <w:ilvl w:val="0"/>
          <w:numId w:val="19"/>
        </w:numPr>
        <w:jc w:val="both"/>
        <w:rPr>
          <w:bCs/>
        </w:rPr>
      </w:pPr>
      <w:r>
        <w:rPr>
          <w:bCs/>
        </w:rPr>
        <w:t xml:space="preserve">Preparation for national strategies. </w:t>
      </w:r>
    </w:p>
    <w:p>
      <w:pPr>
        <w:pStyle w:val="Default"/>
        <w:jc w:val="both"/>
        <w:rPr>
          <w:bCs/>
        </w:rPr>
      </w:pPr>
      <w:r>
        <w:rPr>
          <w:bCs/>
        </w:rPr>
      </w:r>
    </w:p>
    <w:p>
      <w:pPr>
        <w:pStyle w:val="Default"/>
        <w:numPr>
          <w:ilvl w:val="0"/>
          <w:numId w:val="62"/>
        </w:numPr>
        <w:ind w:left="360" w:hanging="360"/>
        <w:jc w:val="both"/>
        <w:rPr>
          <w:bCs/>
        </w:rPr>
      </w:pPr>
      <w:r>
        <w:rPr>
          <w:b/>
          <w:bCs/>
        </w:rPr>
        <w:t xml:space="preserve">Proposed approach and activities </w:t>
      </w:r>
    </w:p>
    <w:p>
      <w:pPr>
        <w:pStyle w:val="ListParagraph"/>
        <w:rPr>
          <w:rFonts w:ascii="Times New Roman" w:hAnsi="Times New Roman"/>
          <w:bCs/>
        </w:rPr>
      </w:pPr>
      <w:r>
        <w:rPr>
          <w:bCs/>
        </w:rPr>
      </w:r>
    </w:p>
    <w:p>
      <w:pPr>
        <w:pStyle w:val="ListParagraph"/>
        <w:widowControl/>
        <w:numPr>
          <w:ilvl w:val="0"/>
          <w:numId w:val="63"/>
        </w:numPr>
        <w:spacing w:lineRule="auto" w:line="276" w:before="0" w:after="0"/>
        <w:ind w:left="720" w:hanging="0"/>
        <w:contextualSpacing w:val="false"/>
        <w:rPr>
          <w:rFonts w:ascii="Times New Roman" w:hAnsi="Times New Roman"/>
          <w:bCs/>
          <w:u w:val="single"/>
        </w:rPr>
      </w:pPr>
      <w:r>
        <w:rPr>
          <w:bCs/>
          <w:u w:val="single"/>
        </w:rPr>
        <w:t xml:space="preserve">Activities to facilitate and support the early ratification of the Kigali Amendment </w:t>
      </w:r>
    </w:p>
    <w:p>
      <w:pPr>
        <w:pStyle w:val="Normal"/>
        <w:ind w:left="720" w:hanging="0"/>
        <w:rPr>
          <w:rFonts w:ascii="Times New Roman" w:hAnsi="Times New Roman"/>
          <w:bCs/>
          <w:u w:val="single"/>
        </w:rPr>
      </w:pPr>
      <w:r>
        <w:rPr>
          <w:bCs/>
          <w:u w:val="single"/>
        </w:rPr>
      </w:r>
    </w:p>
    <w:p>
      <w:pPr>
        <w:pStyle w:val="Default"/>
        <w:ind w:left="720" w:hanging="0"/>
        <w:jc w:val="both"/>
        <w:rPr/>
      </w:pPr>
      <w:r>
        <w:rPr/>
        <w:t xml:space="preserve">National Ozone Officers should facilitate the ratification process by providing the required data, information and background documents to the ratification institutions. </w:t>
      </w:r>
    </w:p>
    <w:p>
      <w:pPr>
        <w:pStyle w:val="Default"/>
        <w:ind w:left="720" w:hanging="0"/>
        <w:jc w:val="both"/>
        <w:rPr/>
      </w:pPr>
      <w:r>
        <w:rPr/>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477"/>
        <w:gridCol w:w="1620"/>
        <w:gridCol w:w="1656"/>
        <w:gridCol w:w="2854"/>
      </w:tblGrid>
      <w:tr>
        <w:trPr/>
        <w:tc>
          <w:tcPr>
            <w:tcW w:w="347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2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65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5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Coordination with Government representatives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Related ministries and 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One meeting with ministries’ representatives and legislators conducted</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Roles and tasks for the ratification of the amendment distributed among relevant stakeholders</w:t>
            </w:r>
          </w:p>
        </w:tc>
      </w:tr>
      <w:tr>
        <w:trPr/>
        <w:tc>
          <w:tcPr>
            <w:tcW w:w="3477"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national ratification instruments</w:t>
            </w:r>
          </w:p>
        </w:tc>
        <w:tc>
          <w:tcPr>
            <w:tcW w:w="1620" w:type="dxa"/>
            <w:tcBorders/>
          </w:tcPr>
          <w:p>
            <w:pPr>
              <w:pStyle w:val="Normal"/>
              <w:keepNext w:val="true"/>
              <w:widowControl w:val="false"/>
              <w:spacing w:before="0" w:after="0"/>
              <w:jc w:val="left"/>
              <w:rPr>
                <w:rFonts w:ascii="Times New Roman" w:hAnsi="Times New Roman"/>
              </w:rPr>
            </w:pPr>
            <w:r>
              <w:rPr>
                <w:kern w:val="0"/>
                <w:lang w:val="en-US" w:eastAsia="en-US" w:bidi="ar-SA"/>
              </w:rPr>
              <w:t>Legislators</w:t>
            </w:r>
          </w:p>
        </w:tc>
        <w:tc>
          <w:tcPr>
            <w:tcW w:w="1656" w:type="dxa"/>
            <w:tcBorders/>
          </w:tcPr>
          <w:p>
            <w:pPr>
              <w:pStyle w:val="Normal"/>
              <w:keepNext w:val="true"/>
              <w:widowControl w:val="false"/>
              <w:spacing w:before="0" w:after="0"/>
              <w:jc w:val="left"/>
              <w:rPr>
                <w:rFonts w:ascii="Times New Roman" w:hAnsi="Times New Roman"/>
              </w:rPr>
            </w:pPr>
            <w:r>
              <w:rPr>
                <w:kern w:val="0"/>
                <w:lang w:val="en-US" w:eastAsia="en-US" w:bidi="ar-SA"/>
              </w:rPr>
              <w:t>Supporting documents distributed among ministries and legislators</w:t>
            </w:r>
          </w:p>
        </w:tc>
        <w:tc>
          <w:tcPr>
            <w:tcW w:w="2854"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Legislators have all necessary documents and knowledge for the vote on the amendment’ s ratification </w:t>
            </w:r>
          </w:p>
        </w:tc>
      </w:tr>
    </w:tbl>
    <w:p>
      <w:pPr>
        <w:pStyle w:val="Default"/>
        <w:ind w:left="720" w:hanging="0"/>
        <w:jc w:val="both"/>
        <w:rPr/>
      </w:pPr>
      <w:r>
        <w:rPr/>
      </w:r>
    </w:p>
    <w:p>
      <w:pPr>
        <w:pStyle w:val="Default"/>
        <w:ind w:left="720" w:hanging="0"/>
        <w:jc w:val="both"/>
        <w:rPr/>
      </w:pPr>
      <w:r>
        <w:rPr/>
      </w:r>
    </w:p>
    <w:p>
      <w:pPr>
        <w:pStyle w:val="ListParagraph"/>
        <w:widowControl/>
        <w:numPr>
          <w:ilvl w:val="0"/>
          <w:numId w:val="63"/>
        </w:numPr>
        <w:spacing w:lineRule="auto" w:line="276" w:before="0" w:after="0"/>
        <w:ind w:left="720" w:hanging="0"/>
        <w:contextualSpacing w:val="false"/>
        <w:rPr>
          <w:rFonts w:ascii="Times New Roman" w:hAnsi="Times New Roman"/>
        </w:rPr>
      </w:pPr>
      <w:r>
        <w:rPr>
          <w:bCs/>
          <w:u w:val="single"/>
        </w:rPr>
        <w:t>Initial activities identified in paragraph 20 of decision XXVIII/2, excluding institutional strengthening, as addressed in decision 78/4(b)</w:t>
      </w:r>
      <w:r>
        <w:rPr>
          <w:bCs/>
        </w:rPr>
        <w:t xml:space="preserve"> </w:t>
      </w:r>
    </w:p>
    <w:p>
      <w:pPr>
        <w:pStyle w:val="Default"/>
        <w:ind w:left="720" w:hanging="0"/>
        <w:rPr/>
      </w:pPr>
      <w:r>
        <w:rPr/>
      </w:r>
    </w:p>
    <w:p>
      <w:pPr>
        <w:pStyle w:val="Default"/>
        <w:numPr>
          <w:ilvl w:val="1"/>
          <w:numId w:val="64"/>
        </w:numPr>
        <w:rPr>
          <w:i/>
          <w:i/>
        </w:rPr>
      </w:pPr>
      <w:r>
        <w:rPr>
          <w:bCs/>
          <w:i/>
        </w:rPr>
        <w:t>Country-specific activities aimed at initiating supporting institutional arrangements</w:t>
      </w:r>
    </w:p>
    <w:p>
      <w:pPr>
        <w:pStyle w:val="Default"/>
        <w:ind w:left="1080" w:hanging="0"/>
        <w:rPr>
          <w:bCs/>
        </w:rPr>
      </w:pPr>
      <w:r>
        <w:rPr>
          <w:bCs/>
        </w:rPr>
      </w:r>
    </w:p>
    <w:p>
      <w:pPr>
        <w:pStyle w:val="Default"/>
        <w:tabs>
          <w:tab w:val="left" w:pos="720" w:leader="none"/>
        </w:tabs>
        <w:ind w:left="720" w:hanging="0"/>
        <w:jc w:val="both"/>
        <w:rPr>
          <w:bCs/>
        </w:rPr>
      </w:pPr>
      <w:r>
        <w:rPr>
          <w:bCs/>
        </w:rPr>
        <w:t xml:space="preserve">Institutional arrangement is what integrates analysis and decision-making tools, and it is the precondition of a successful ratification. </w:t>
      </w:r>
    </w:p>
    <w:p>
      <w:pPr>
        <w:pStyle w:val="Default"/>
        <w:tabs>
          <w:tab w:val="left" w:pos="720" w:leader="none"/>
        </w:tabs>
        <w:ind w:left="720" w:hanging="0"/>
        <w:jc w:val="both"/>
        <w:rPr>
          <w:bCs/>
        </w:rPr>
      </w:pPr>
      <w:r>
        <w:rPr>
          <w:bCs/>
        </w:rPr>
      </w:r>
    </w:p>
    <w:tbl>
      <w:tblPr>
        <w:tblStyle w:val="TableGrid"/>
        <w:tblW w:w="9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743"/>
        <w:gridCol w:w="1643"/>
        <w:gridCol w:w="1576"/>
        <w:gridCol w:w="2805"/>
      </w:tblGrid>
      <w:tr>
        <w:trPr/>
        <w:tc>
          <w:tcPr>
            <w:tcW w:w="37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64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576"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80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743" w:type="dxa"/>
            <w:tcBorders/>
          </w:tcPr>
          <w:p>
            <w:pPr>
              <w:pStyle w:val="Normal"/>
              <w:keepNext w:val="true"/>
              <w:widowControl w:val="false"/>
              <w:spacing w:before="0" w:after="0"/>
              <w:jc w:val="left"/>
              <w:rPr>
                <w:rFonts w:ascii="Times New Roman" w:hAnsi="Times New Roman"/>
                <w:bCs/>
              </w:rPr>
            </w:pPr>
            <w:r>
              <w:rPr>
                <w:kern w:val="0"/>
                <w:lang w:val="en-US" w:eastAsia="en-US" w:bidi="ar-SA"/>
              </w:rPr>
              <w:t>Assessment of linkages between the Kigali amendment (HFC control measures and energy efficiency objectives) and the national strategy on environment and on climate change</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Links identified</w:t>
            </w:r>
          </w:p>
        </w:tc>
      </w:tr>
      <w:tr>
        <w:trPr/>
        <w:tc>
          <w:tcPr>
            <w:tcW w:w="3743"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operating codes and standards for the correct and efficient use of HFCs and ODS alternatives in the entire value chain</w:t>
            </w:r>
          </w:p>
        </w:tc>
        <w:tc>
          <w:tcPr>
            <w:tcW w:w="1643"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---Manufacturing and servicing sectors</w:t>
            </w:r>
          </w:p>
        </w:tc>
        <w:tc>
          <w:tcPr>
            <w:tcW w:w="1576"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A workshop delivered with 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805" w:type="dxa"/>
            <w:tcBorders/>
          </w:tcPr>
          <w:p>
            <w:pPr>
              <w:pStyle w:val="Normal"/>
              <w:keepNext w:val="true"/>
              <w:widowControl w:val="false"/>
              <w:spacing w:before="0" w:after="0"/>
              <w:jc w:val="left"/>
              <w:rPr>
                <w:rFonts w:ascii="Times New Roman" w:hAnsi="Times New Roman"/>
              </w:rPr>
            </w:pPr>
            <w:r>
              <w:rPr>
                <w:kern w:val="0"/>
                <w:lang w:val="en-US" w:eastAsia="en-US" w:bidi="ar-SA"/>
              </w:rPr>
              <w:t>A proposal for updating codes and standards prepared and presented</w:t>
            </w:r>
          </w:p>
        </w:tc>
      </w:tr>
    </w:tbl>
    <w:p>
      <w:pPr>
        <w:pStyle w:val="Default"/>
        <w:tabs>
          <w:tab w:val="left" w:pos="720" w:leader="none"/>
        </w:tabs>
        <w:ind w:left="720" w:hanging="0"/>
        <w:jc w:val="both"/>
        <w:rPr>
          <w:bCs/>
        </w:rPr>
      </w:pPr>
      <w:r>
        <w:rPr>
          <w:bCs/>
        </w:rPr>
      </w:r>
    </w:p>
    <w:p>
      <w:pPr>
        <w:pStyle w:val="Default"/>
        <w:tabs>
          <w:tab w:val="left" w:pos="720" w:leader="none"/>
        </w:tabs>
        <w:ind w:left="720" w:hanging="0"/>
        <w:jc w:val="both"/>
        <w:rPr>
          <w:bCs/>
        </w:rPr>
      </w:pPr>
      <w:r>
        <w:rPr>
          <w:bCs/>
        </w:rPr>
      </w:r>
    </w:p>
    <w:p>
      <w:pPr>
        <w:pStyle w:val="Default"/>
        <w:numPr>
          <w:ilvl w:val="1"/>
          <w:numId w:val="64"/>
        </w:numPr>
        <w:ind w:left="1440" w:hanging="720"/>
        <w:rPr>
          <w:i/>
          <w:i/>
        </w:rPr>
      </w:pPr>
      <w:r>
        <w:rPr>
          <w:bCs/>
          <w:i/>
        </w:rPr>
        <w:t>Review of licensing systems</w:t>
      </w:r>
    </w:p>
    <w:p>
      <w:pPr>
        <w:pStyle w:val="Default"/>
        <w:ind w:left="1080" w:hanging="0"/>
        <w:rPr/>
      </w:pPr>
      <w:r>
        <w:rPr/>
      </w:r>
    </w:p>
    <w:p>
      <w:pPr>
        <w:pStyle w:val="Default"/>
        <w:ind w:left="720" w:hanging="0"/>
        <w:jc w:val="both"/>
        <w:rPr/>
      </w:pPr>
      <w:r>
        <w:rPr/>
        <w:t xml:space="preserve">Properly established and functioning licensing systems play a key role in sustaining the impressive results achieved so far under the Montreal Protocol and also in facilitating the realization of new, ambitious strategies. </w:t>
      </w:r>
    </w:p>
    <w:p>
      <w:pPr>
        <w:pStyle w:val="Default"/>
        <w:ind w:left="720" w:hanging="0"/>
        <w:jc w:val="both"/>
        <w:rPr/>
      </w:pPr>
      <w:r>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25"/>
        <w:gridCol w:w="1430"/>
        <w:gridCol w:w="2150"/>
        <w:gridCol w:w="2485"/>
      </w:tblGrid>
      <w:tr>
        <w:trPr/>
        <w:tc>
          <w:tcPr>
            <w:tcW w:w="362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43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5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85"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625" w:type="dxa"/>
            <w:tcBorders/>
          </w:tcPr>
          <w:p>
            <w:pPr>
              <w:pStyle w:val="Normal"/>
              <w:keepNext w:val="true"/>
              <w:widowControl w:val="false"/>
              <w:spacing w:before="0" w:after="0"/>
              <w:jc w:val="left"/>
              <w:rPr>
                <w:rFonts w:ascii="Times New Roman" w:hAnsi="Times New Roman"/>
                <w:bCs/>
              </w:rPr>
            </w:pPr>
            <w:r>
              <w:rPr>
                <w:kern w:val="0"/>
                <w:lang w:val="en-US" w:eastAsia="en-US" w:bidi="ar-SA"/>
              </w:rPr>
              <w:t>Enhancement of the import and export license system to include HFCs and other alternatives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necessary regulatory and administrative measures for the control of HFCs’ imports and exports</w:t>
            </w:r>
          </w:p>
        </w:tc>
      </w:tr>
      <w:tr>
        <w:trPr/>
        <w:tc>
          <w:tcPr>
            <w:tcW w:w="3625" w:type="dxa"/>
            <w:tcBorders/>
          </w:tcPr>
          <w:p>
            <w:pPr>
              <w:pStyle w:val="Normal"/>
              <w:keepNext w:val="true"/>
              <w:widowControl w:val="false"/>
              <w:spacing w:before="0" w:after="0"/>
              <w:jc w:val="left"/>
              <w:rPr>
                <w:rFonts w:ascii="Times New Roman" w:hAnsi="Times New Roman"/>
              </w:rPr>
            </w:pPr>
            <w:r>
              <w:rPr>
                <w:bCs/>
                <w:kern w:val="0"/>
                <w:lang w:val="en-US" w:eastAsia="en-US" w:bidi="ar-SA"/>
              </w:rPr>
              <w:t>Preparing harmonized tariff codes according to HFCs commitments, with special attention to HFC blends</w:t>
            </w:r>
          </w:p>
        </w:tc>
        <w:tc>
          <w:tcPr>
            <w:tcW w:w="1430" w:type="dxa"/>
            <w:tcBorders/>
          </w:tcPr>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2150"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85"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New tariff codes defined </w:t>
            </w:r>
          </w:p>
        </w:tc>
      </w:tr>
    </w:tbl>
    <w:p>
      <w:pPr>
        <w:pStyle w:val="Default"/>
        <w:ind w:left="720" w:hanging="0"/>
        <w:jc w:val="both"/>
        <w:rPr/>
      </w:pPr>
      <w:r>
        <w:rPr/>
      </w:r>
    </w:p>
    <w:p>
      <w:pPr>
        <w:pStyle w:val="Default"/>
        <w:ind w:left="1080" w:hanging="0"/>
        <w:rPr/>
      </w:pPr>
      <w:r>
        <w:rPr/>
      </w:r>
    </w:p>
    <w:p>
      <w:pPr>
        <w:pStyle w:val="Default"/>
        <w:numPr>
          <w:ilvl w:val="1"/>
          <w:numId w:val="64"/>
        </w:numPr>
        <w:ind w:left="1440" w:hanging="720"/>
        <w:rPr>
          <w:i/>
          <w:i/>
        </w:rPr>
      </w:pPr>
      <w:r>
        <w:rPr>
          <w:bCs/>
          <w:i/>
        </w:rPr>
        <w:t xml:space="preserve">Data reporting on HFC consumption </w:t>
      </w:r>
    </w:p>
    <w:p>
      <w:pPr>
        <w:pStyle w:val="Default"/>
        <w:rPr/>
      </w:pPr>
      <w:r>
        <w:rPr/>
      </w:r>
    </w:p>
    <w:p>
      <w:pPr>
        <w:pStyle w:val="Default"/>
        <w:ind w:left="720" w:hanging="0"/>
        <w:jc w:val="both"/>
        <w:rPr/>
      </w:pPr>
      <w:r>
        <w:rPr/>
        <w:t xml:space="preserve">National data reporting is the backbone of the strategic planning, monitoring and evaluation of the institutions of the Montreal Protocol. </w:t>
      </w:r>
    </w:p>
    <w:p>
      <w:pPr>
        <w:pStyle w:val="Default"/>
        <w:ind w:left="720" w:hanging="0"/>
        <w:jc w:val="both"/>
        <w:rPr/>
      </w:pPr>
      <w:r>
        <w:rPr/>
      </w:r>
    </w:p>
    <w:tbl>
      <w:tblPr>
        <w:tblStyle w:val="TableGrid"/>
        <w:tblW w:w="98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847"/>
        <w:gridCol w:w="1357"/>
        <w:gridCol w:w="2137"/>
        <w:gridCol w:w="2458"/>
      </w:tblGrid>
      <w:tr>
        <w:trPr/>
        <w:tc>
          <w:tcPr>
            <w:tcW w:w="384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135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2137"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458"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c>
          <w:tcPr>
            <w:tcW w:w="3847" w:type="dxa"/>
            <w:tcBorders/>
          </w:tcPr>
          <w:p>
            <w:pPr>
              <w:pStyle w:val="Normal"/>
              <w:keepNext w:val="true"/>
              <w:widowControl w:val="false"/>
              <w:spacing w:before="0" w:after="0"/>
              <w:jc w:val="left"/>
              <w:rPr>
                <w:rFonts w:ascii="Times New Roman" w:hAnsi="Times New Roman"/>
              </w:rPr>
            </w:pPr>
            <w:r>
              <w:rPr>
                <w:kern w:val="0"/>
                <w:lang w:val="en-US" w:eastAsia="en-US" w:bidi="ar-SA"/>
              </w:rPr>
              <w:t>Review of the national mechanisms used for ODS reporting to include HFCs consumption, especially considering the servicing sector (the informal sector in particular)</w:t>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mechanism updated</w:t>
            </w:r>
          </w:p>
        </w:tc>
      </w:tr>
      <w:tr>
        <w:trPr/>
        <w:tc>
          <w:tcPr>
            <w:tcW w:w="3847" w:type="dxa"/>
            <w:tcBorders/>
          </w:tcPr>
          <w:p>
            <w:pPr>
              <w:pStyle w:val="Default"/>
              <w:widowControl/>
              <w:tabs>
                <w:tab w:val="left" w:pos="720" w:leader="none"/>
              </w:tabs>
              <w:spacing w:lineRule="auto" w:line="276" w:before="0" w:after="0"/>
              <w:jc w:val="left"/>
              <w:rPr>
                <w:bCs/>
              </w:rPr>
            </w:pPr>
            <w:r>
              <w:rPr>
                <w:rFonts w:eastAsia="Calibri"/>
                <w:bCs/>
                <w:kern w:val="0"/>
                <w:lang w:val="en-US" w:eastAsia="en-US" w:bidi="ar-SA"/>
              </w:rPr>
              <w:t>Improving a national database to include HFCs and other ODS alternatives</w:t>
            </w:r>
          </w:p>
          <w:p>
            <w:pPr>
              <w:pStyle w:val="Normal"/>
              <w:keepNext w:val="true"/>
              <w:widowControl w:val="false"/>
              <w:spacing w:before="0" w:after="0"/>
              <w:jc w:val="left"/>
              <w:rPr>
                <w:rFonts w:ascii="Times New Roman" w:hAnsi="Times New Roman"/>
              </w:rPr>
            </w:pPr>
            <w:r>
              <w:rPr>
                <w:kern w:val="0"/>
                <w:lang w:val="en-US" w:eastAsia="en-US" w:bidi="ar-SA"/>
              </w:rPr>
            </w:r>
          </w:p>
        </w:tc>
        <w:tc>
          <w:tcPr>
            <w:tcW w:w="1357"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Relevant ministries </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tc>
        <w:tc>
          <w:tcPr>
            <w:tcW w:w="2137" w:type="dxa"/>
            <w:tcBorders/>
          </w:tcPr>
          <w:p>
            <w:pPr>
              <w:pStyle w:val="Normal"/>
              <w:keepNext w:val="true"/>
              <w:widowControl w:val="false"/>
              <w:spacing w:before="0" w:after="0"/>
              <w:jc w:val="left"/>
              <w:rPr>
                <w:rFonts w:ascii="Times New Roman" w:hAnsi="Times New Roman"/>
              </w:rPr>
            </w:pPr>
            <w:r>
              <w:rPr>
                <w:kern w:val="0"/>
                <w:lang w:val="en-US" w:eastAsia="en-US" w:bidi="ar-SA"/>
              </w:rPr>
              <w:t>A workshop with relevant stakeholders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458" w:type="dxa"/>
            <w:tcBorders/>
          </w:tcPr>
          <w:p>
            <w:pPr>
              <w:pStyle w:val="Normal"/>
              <w:keepNext w:val="true"/>
              <w:widowControl w:val="false"/>
              <w:spacing w:before="0" w:after="0"/>
              <w:jc w:val="left"/>
              <w:rPr>
                <w:rFonts w:ascii="Times New Roman" w:hAnsi="Times New Roman"/>
              </w:rPr>
            </w:pPr>
            <w:r>
              <w:rPr>
                <w:kern w:val="0"/>
                <w:lang w:val="en-US" w:eastAsia="en-US" w:bidi="ar-SA"/>
              </w:rPr>
              <w:t>National database updated</w:t>
            </w:r>
          </w:p>
        </w:tc>
      </w:tr>
    </w:tbl>
    <w:p>
      <w:pPr>
        <w:pStyle w:val="Default"/>
        <w:ind w:left="720" w:hanging="0"/>
        <w:jc w:val="both"/>
        <w:rPr/>
      </w:pPr>
      <w:r>
        <w:rPr/>
      </w:r>
    </w:p>
    <w:p>
      <w:pPr>
        <w:pStyle w:val="Default"/>
        <w:rPr/>
      </w:pPr>
      <w:r>
        <w:rPr/>
      </w:r>
    </w:p>
    <w:p>
      <w:pPr>
        <w:pStyle w:val="ListParagraph"/>
        <w:spacing w:before="0" w:after="0"/>
        <w:contextualSpacing w:val="false"/>
        <w:rPr>
          <w:rFonts w:ascii="Times New Roman" w:hAnsi="Times New Roman"/>
        </w:rPr>
      </w:pPr>
      <w:r>
        <w:rPr/>
      </w:r>
    </w:p>
    <w:p>
      <w:pPr>
        <w:pStyle w:val="ListParagraph"/>
        <w:widowControl/>
        <w:numPr>
          <w:ilvl w:val="0"/>
          <w:numId w:val="63"/>
        </w:numPr>
        <w:spacing w:lineRule="auto" w:line="276" w:before="0" w:after="0"/>
        <w:ind w:left="720" w:hanging="0"/>
        <w:contextualSpacing w:val="false"/>
        <w:rPr>
          <w:rFonts w:ascii="Times New Roman" w:hAnsi="Times New Roman"/>
          <w:u w:val="single"/>
        </w:rPr>
      </w:pPr>
      <w:r>
        <w:rPr>
          <w:bCs/>
          <w:u w:val="single"/>
        </w:rPr>
        <w:t>National strategies that contained the activities in sub-paragraphs a and b above;</w:t>
      </w:r>
    </w:p>
    <w:p>
      <w:pPr>
        <w:pStyle w:val="Normal"/>
        <w:ind w:left="720" w:hanging="0"/>
        <w:rPr>
          <w:rFonts w:ascii="Times New Roman" w:hAnsi="Times New Roman"/>
          <w:u w:val="single"/>
        </w:rPr>
      </w:pPr>
      <w:r>
        <w:rPr>
          <w:u w:val="single"/>
        </w:rPr>
      </w:r>
    </w:p>
    <w:p>
      <w:pPr>
        <w:pStyle w:val="ListParagraph"/>
        <w:spacing w:before="0" w:after="0"/>
        <w:contextualSpacing w:val="false"/>
        <w:jc w:val="both"/>
        <w:rPr>
          <w:rFonts w:ascii="Times New Roman" w:hAnsi="Times New Roman"/>
          <w:bCs/>
        </w:rPr>
      </w:pPr>
      <w:r>
        <w:rPr>
          <w:bCs/>
        </w:rPr>
        <w:t xml:space="preserve">Well-defined national strategies and priorities can facilitate the ratification process and subsequently the whole HFC phase-down. Here, activities are proposed for preparing the basis of the national strategy. </w:t>
      </w:r>
    </w:p>
    <w:p>
      <w:pPr>
        <w:pStyle w:val="ListParagraph"/>
        <w:spacing w:before="0" w:after="0"/>
        <w:contextualSpacing w:val="false"/>
        <w:jc w:val="both"/>
        <w:rPr>
          <w:rFonts w:ascii="Times New Roman" w:hAnsi="Times New Roman"/>
          <w:bCs/>
        </w:rPr>
      </w:pPr>
      <w:r>
        <w:rPr>
          <w:bCs/>
        </w:rPr>
      </w:r>
    </w:p>
    <w:tbl>
      <w:tblPr>
        <w:tblStyle w:val="TableGrid"/>
        <w:tblW w:w="1003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610"/>
        <w:gridCol w:w="2604"/>
        <w:gridCol w:w="1442"/>
        <w:gridCol w:w="2373"/>
      </w:tblGrid>
      <w:tr>
        <w:trPr/>
        <w:tc>
          <w:tcPr>
            <w:tcW w:w="3610"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Activities</w:t>
            </w:r>
          </w:p>
        </w:tc>
        <w:tc>
          <w:tcPr>
            <w:tcW w:w="2604"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Target group</w:t>
            </w:r>
          </w:p>
        </w:tc>
        <w:tc>
          <w:tcPr>
            <w:tcW w:w="1442"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Milestones</w:t>
            </w:r>
          </w:p>
        </w:tc>
        <w:tc>
          <w:tcPr>
            <w:tcW w:w="2373" w:type="dxa"/>
            <w:tcBorders/>
          </w:tcPr>
          <w:p>
            <w:pPr>
              <w:pStyle w:val="Normal"/>
              <w:keepNext w:val="true"/>
              <w:widowControl w:val="false"/>
              <w:spacing w:before="0" w:after="0"/>
              <w:jc w:val="center"/>
              <w:rPr>
                <w:rFonts w:ascii="Times New Roman" w:hAnsi="Times New Roman"/>
                <w:b/>
                <w:b/>
              </w:rPr>
            </w:pPr>
            <w:r>
              <w:rPr>
                <w:b/>
                <w:kern w:val="0"/>
                <w:lang w:val="en-US" w:eastAsia="en-US" w:bidi="ar-SA"/>
              </w:rPr>
              <w:t>Expected outputs</w:t>
            </w:r>
          </w:p>
        </w:tc>
      </w:tr>
      <w:tr>
        <w:trPr>
          <w:trHeight w:val="1232"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Assessment of the refrigeration and air-conditioning (RAC) servicing sector (formal and informal sector)</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Accurate analysis of the characteristics of the servicing sector made</w:t>
            </w:r>
          </w:p>
        </w:tc>
      </w:tr>
      <w:tr>
        <w:trPr>
          <w:trHeight w:val="1835"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 xml:space="preserve">Inventory of the refrigeration and air-conditioning units currently used in the country and projections for next years (including a chapter on energy efficiency options for these devices) </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the current and future national market of RAC devices increased among decision makers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bCs/>
                <w:kern w:val="0"/>
                <w:lang w:val="en-US" w:eastAsia="en-US" w:bidi="ar-SA"/>
              </w:rPr>
              <w:t>Reviewing HFC alternative options and assessing their cost-efficiency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Knowledge on the HFC alternatives increased among decision makers</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kern w:val="0"/>
                <w:lang w:val="en-US" w:eastAsia="en-US" w:bidi="ar-SA"/>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Relevant ministries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Customs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Private sector (RAC manufacturing, servicing sector, aerosols)</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Workshop delivered</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A report published on this topic</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Feasible policies and regulations identified</w:t>
            </w:r>
          </w:p>
        </w:tc>
      </w:tr>
      <w:tr>
        <w:trPr>
          <w:trHeight w:val="2420" w:hRule="atLeast"/>
        </w:trPr>
        <w:tc>
          <w:tcPr>
            <w:tcW w:w="3610" w:type="dxa"/>
            <w:tcBorders/>
          </w:tcPr>
          <w:p>
            <w:pPr>
              <w:pStyle w:val="Normal"/>
              <w:keepNext w:val="true"/>
              <w:widowControl w:val="false"/>
              <w:spacing w:before="0" w:after="0"/>
              <w:jc w:val="left"/>
              <w:rPr>
                <w:rFonts w:ascii="Times New Roman" w:hAnsi="Times New Roman"/>
              </w:rPr>
            </w:pPr>
            <w:r>
              <w:rPr>
                <w:bCs/>
                <w:kern w:val="0"/>
                <w:lang w:val="en-US" w:eastAsia="en-US" w:bidi="ar-SA"/>
              </w:rPr>
              <w:t>Consumers awareness raising on energy efficiency improvement options for refrigeration and air-conditioning devices</w:t>
            </w:r>
          </w:p>
        </w:tc>
        <w:tc>
          <w:tcPr>
            <w:tcW w:w="2604" w:type="dxa"/>
            <w:tcBorders/>
          </w:tcPr>
          <w:p>
            <w:pPr>
              <w:pStyle w:val="Normal"/>
              <w:keepNext w:val="true"/>
              <w:widowControl w:val="false"/>
              <w:spacing w:before="0" w:after="0"/>
              <w:jc w:val="left"/>
              <w:rPr>
                <w:rFonts w:ascii="Times New Roman" w:hAnsi="Times New Roman"/>
              </w:rPr>
            </w:pPr>
            <w:r>
              <w:rPr>
                <w:kern w:val="0"/>
                <w:lang w:val="en-US" w:eastAsia="en-US" w:bidi="ar-SA"/>
              </w:rPr>
              <w:t>Civil society</w:t>
            </w:r>
          </w:p>
        </w:tc>
        <w:tc>
          <w:tcPr>
            <w:tcW w:w="1442" w:type="dxa"/>
            <w:tcBorders/>
          </w:tcPr>
          <w:p>
            <w:pPr>
              <w:pStyle w:val="Normal"/>
              <w:keepNext w:val="true"/>
              <w:widowControl w:val="false"/>
              <w:spacing w:before="0" w:after="0"/>
              <w:jc w:val="left"/>
              <w:rPr>
                <w:rFonts w:ascii="Times New Roman" w:hAnsi="Times New Roman"/>
              </w:rPr>
            </w:pPr>
            <w:r>
              <w:rPr>
                <w:kern w:val="0"/>
                <w:lang w:val="en-US" w:eastAsia="en-US" w:bidi="ar-SA"/>
              </w:rPr>
              <w:t>A brochure prepared and distributed in relevant events</w:t>
            </w:r>
          </w:p>
          <w:p>
            <w:pPr>
              <w:pStyle w:val="Normal"/>
              <w:keepNext w:val="true"/>
              <w:widowControl w:val="false"/>
              <w:spacing w:before="0" w:after="0"/>
              <w:jc w:val="left"/>
              <w:rPr>
                <w:rFonts w:ascii="Times New Roman" w:hAnsi="Times New Roman"/>
              </w:rPr>
            </w:pPr>
            <w:r>
              <w:rPr>
                <w:kern w:val="0"/>
                <w:lang w:val="en-US" w:eastAsia="en-US" w:bidi="ar-SA"/>
              </w:rPr>
              <w:t>---</w:t>
            </w:r>
          </w:p>
          <w:p>
            <w:pPr>
              <w:pStyle w:val="Normal"/>
              <w:keepNext w:val="true"/>
              <w:widowControl w:val="false"/>
              <w:spacing w:before="0" w:after="0"/>
              <w:jc w:val="left"/>
              <w:rPr>
                <w:rFonts w:ascii="Times New Roman" w:hAnsi="Times New Roman"/>
              </w:rPr>
            </w:pPr>
            <w:r>
              <w:rPr>
                <w:kern w:val="0"/>
                <w:lang w:val="en-US" w:eastAsia="en-US" w:bidi="ar-SA"/>
              </w:rPr>
              <w:t>Events organized</w:t>
            </w:r>
          </w:p>
        </w:tc>
        <w:tc>
          <w:tcPr>
            <w:tcW w:w="2373" w:type="dxa"/>
            <w:tcBorders/>
          </w:tcPr>
          <w:p>
            <w:pPr>
              <w:pStyle w:val="Normal"/>
              <w:keepNext w:val="true"/>
              <w:widowControl w:val="false"/>
              <w:spacing w:before="0" w:after="0"/>
              <w:jc w:val="left"/>
              <w:rPr>
                <w:rFonts w:ascii="Times New Roman" w:hAnsi="Times New Roman"/>
              </w:rPr>
            </w:pPr>
            <w:r>
              <w:rPr>
                <w:kern w:val="0"/>
                <w:lang w:val="en-US" w:eastAsia="en-US" w:bidi="ar-SA"/>
              </w:rPr>
              <w:t>Civil society informed on this topic</w:t>
            </w:r>
          </w:p>
        </w:tc>
      </w:tr>
    </w:tbl>
    <w:p>
      <w:pPr>
        <w:pStyle w:val="ListParagraph"/>
        <w:spacing w:before="0" w:after="0"/>
        <w:contextualSpacing w:val="false"/>
        <w:jc w:val="both"/>
        <w:rPr>
          <w:rFonts w:ascii="Times New Roman" w:hAnsi="Times New Roman"/>
          <w:bCs/>
        </w:rPr>
      </w:pPr>
      <w:r>
        <w:rPr>
          <w:bCs/>
        </w:rPr>
      </w:r>
    </w:p>
    <w:p>
      <w:pPr>
        <w:pStyle w:val="ListParagraph"/>
        <w:spacing w:before="0" w:after="0"/>
        <w:contextualSpacing w:val="false"/>
        <w:jc w:val="both"/>
        <w:rPr>
          <w:rFonts w:ascii="Times New Roman" w:hAnsi="Times New Roman"/>
          <w:bCs/>
        </w:rPr>
      </w:pPr>
      <w:r>
        <w:rPr>
          <w:bCs/>
        </w:rPr>
      </w:r>
    </w:p>
    <w:p>
      <w:pPr>
        <w:sectPr>
          <w:headerReference w:type="even" r:id="rId136"/>
          <w:headerReference w:type="default" r:id="rId137"/>
          <w:footerReference w:type="even" r:id="rId138"/>
          <w:footerReference w:type="default" r:id="rId139"/>
          <w:footnotePr>
            <w:numFmt w:val="decimal"/>
          </w:footnotePr>
          <w:type w:val="nextPage"/>
          <w:pgSz w:w="12240" w:h="15840"/>
          <w:pgMar w:left="1440" w:right="1440" w:gutter="0" w:header="0" w:top="990" w:footer="720" w:bottom="1440"/>
          <w:pgNumType w:fmt="decimal"/>
          <w:formProt w:val="false"/>
          <w:textDirection w:val="lrTb"/>
          <w:docGrid w:type="default" w:linePitch="600" w:charSpace="36864"/>
        </w:sectPr>
        <w:pStyle w:val="Normal"/>
        <w:rPr>
          <w:rFonts w:ascii="Times New Roman" w:hAnsi="Times New Roman"/>
          <w:b/>
          <w:b/>
          <w:color w:val="000000"/>
        </w:rPr>
      </w:pPr>
      <w:r>
        <w:rPr>
          <w:b/>
          <w:color w:val="000000"/>
        </w:rPr>
      </w:r>
      <w:r>
        <w:br w:type="page"/>
      </w:r>
    </w:p>
    <w:p>
      <w:pPr>
        <w:pStyle w:val="Default"/>
        <w:numPr>
          <w:ilvl w:val="0"/>
          <w:numId w:val="62"/>
        </w:numPr>
        <w:ind w:left="360" w:hanging="360"/>
        <w:jc w:val="both"/>
        <w:rPr/>
      </w:pPr>
      <w:r>
        <w:rPr>
          <w:b/>
        </w:rPr>
        <w:t>Implementation</w:t>
      </w:r>
      <w:r>
        <w:rPr/>
        <w:t xml:space="preserve"> </w:t>
      </w:r>
      <w:r>
        <w:rPr>
          <w:b/>
        </w:rPr>
        <w:t>budget and plan</w:t>
      </w:r>
    </w:p>
    <w:p>
      <w:pPr>
        <w:pStyle w:val="Default"/>
        <w:jc w:val="both"/>
        <w:rPr/>
      </w:pPr>
      <w:r>
        <w:rPr/>
      </w:r>
    </w:p>
    <w:tbl>
      <w:tblPr>
        <w:tblW w:w="114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79"/>
        <w:gridCol w:w="5220"/>
        <w:gridCol w:w="1741"/>
      </w:tblGrid>
      <w:tr>
        <w:trPr>
          <w:trHeight w:val="495"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1741"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Budget Requested (USD)</w:t>
            </w:r>
          </w:p>
        </w:tc>
      </w:tr>
      <w:tr>
        <w:trPr>
          <w:trHeight w:val="428"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a. Activities to support the early ratification of the Kigali Amendment </w:t>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a.1. Coordination with Government representatives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441"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a.2. Supporting national ratification instruments</w:t>
            </w:r>
          </w:p>
        </w:tc>
        <w:tc>
          <w:tcPr>
            <w:tcW w:w="1741" w:type="dxa"/>
            <w:tcBorders>
              <w:bottom w:val="single" w:sz="4" w:space="0" w:color="000000"/>
              <w:right w:val="single" w:sz="8"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 </w:t>
            </w:r>
          </w:p>
        </w:tc>
      </w:tr>
      <w:tr>
        <w:trPr>
          <w:trHeight w:val="592" w:hRule="atLeast"/>
        </w:trPr>
        <w:tc>
          <w:tcPr>
            <w:tcW w:w="4479" w:type="dxa"/>
            <w:vMerge w:val="restart"/>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 Institutional arrangements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b.1.1. Assessment of linkages between the Kigali amendment (HFC control measures and energy efficiency objectives) and the national strategy on environment and on climate change</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10,000 </w:t>
            </w:r>
          </w:p>
        </w:tc>
      </w:tr>
      <w:tr>
        <w:trPr>
          <w:trHeight w:val="592" w:hRule="atLeast"/>
        </w:trPr>
        <w:tc>
          <w:tcPr>
            <w:tcW w:w="4479" w:type="dxa"/>
            <w:vMerge w:val="continue"/>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b.1.2. Reviewing operating codes and standards for the efficient use of HFCs and ODS alternatives in the entire value chain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25,000</w:t>
            </w:r>
          </w:p>
        </w:tc>
      </w:tr>
      <w:tr>
        <w:trPr>
          <w:trHeight w:val="620" w:hRule="atLeast"/>
        </w:trPr>
        <w:tc>
          <w:tcPr>
            <w:tcW w:w="4479" w:type="dxa"/>
            <w:vMerge w:val="restart"/>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 Licensing systems</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b.2.1. Enhancement of the import and export license system to include HFCs and other alternatives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20,000</w:t>
            </w:r>
          </w:p>
        </w:tc>
      </w:tr>
      <w:tr>
        <w:trPr>
          <w:trHeight w:val="620" w:hRule="atLeast"/>
        </w:trPr>
        <w:tc>
          <w:tcPr>
            <w:tcW w:w="4479" w:type="dxa"/>
            <w:vMerge w:val="continue"/>
            <w:tcBorders>
              <w:left w:val="single" w:sz="8"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b.2.2. Preparing harmonized tariff codes according to HFCs commitments, with special attention to HFC blends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20,000 </w:t>
            </w:r>
          </w:p>
        </w:tc>
      </w:tr>
      <w:tr>
        <w:trPr>
          <w:trHeight w:val="620"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 xml:space="preserve">b.3. Data reporting on HFC consumption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b.3.1. Review of the national mechanisms used for ODS reporting to include HFCs consumption</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395" w:hRule="atLeast"/>
        </w:trPr>
        <w:tc>
          <w:tcPr>
            <w:tcW w:w="4479" w:type="dxa"/>
            <w:vMerge w:val="continue"/>
            <w:tcBorders>
              <w:left w:val="single" w:sz="8" w:space="0" w:color="000000"/>
              <w:bottom w:val="single" w:sz="8"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rPr>
            </w:pPr>
            <w:r>
              <w:rPr>
                <w:color w:val="000000"/>
              </w:rPr>
              <w:t>b.3.2. Improving a national database</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20,000</w:t>
            </w:r>
          </w:p>
        </w:tc>
      </w:tr>
      <w:tr>
        <w:trPr>
          <w:trHeight w:val="511" w:hRule="atLeast"/>
        </w:trPr>
        <w:tc>
          <w:tcPr>
            <w:tcW w:w="4479" w:type="dxa"/>
            <w:vMerge w:val="restart"/>
            <w:tcBorders>
              <w:left w:val="single" w:sz="8" w:space="0" w:color="000000"/>
              <w:bottom w:val="single" w:sz="8"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c. Preparation for national strategies </w:t>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both"/>
              <w:rPr>
                <w:rFonts w:ascii="Times New Roman" w:hAnsi="Times New Roman"/>
                <w:color w:val="000000"/>
                <w:highlight w:val="yellow"/>
              </w:rPr>
            </w:pPr>
            <w:r>
              <w:rPr>
                <w:color w:val="000000"/>
              </w:rPr>
              <w:t>c.1. Assessment of the refrigeration and air-conditioning servicing sector</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highlight w:val="yellow"/>
              </w:rPr>
            </w:pPr>
            <w:r>
              <w:rPr>
                <w:color w:val="000000"/>
              </w:rPr>
              <w:t xml:space="preserve">                   </w:t>
            </w:r>
            <w:r>
              <w:rPr>
                <w:color w:val="000000"/>
              </w:rPr>
              <w:t xml:space="preserve">25,000 </w:t>
            </w:r>
          </w:p>
        </w:tc>
      </w:tr>
      <w:tr>
        <w:trPr>
          <w:trHeight w:val="451" w:hRule="atLeast"/>
        </w:trPr>
        <w:tc>
          <w:tcPr>
            <w:tcW w:w="4479" w:type="dxa"/>
            <w:vMerge w:val="continue"/>
            <w:tcBorders>
              <w:left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c.2. Inventory of the refrigeration and air-conditioning devices.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592" w:hRule="atLeast"/>
        </w:trPr>
        <w:tc>
          <w:tcPr>
            <w:tcW w:w="4479" w:type="dxa"/>
            <w:vMerge w:val="continue"/>
            <w:tcBorders>
              <w:left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c.3. Reviewing HFC alternative options and assessing their cost-efficiency</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20,000</w:t>
            </w:r>
          </w:p>
        </w:tc>
      </w:tr>
      <w:tr>
        <w:trPr>
          <w:trHeight w:val="592" w:hRule="atLeast"/>
        </w:trPr>
        <w:tc>
          <w:tcPr>
            <w:tcW w:w="4479" w:type="dxa"/>
            <w:vMerge w:val="continue"/>
            <w:tcBorders>
              <w:left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c.4. Identification of policies and regulations to facilitate the phase-down of HFCs and the introduction of low-GWP alternative technologies</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 xml:space="preserve">                   </w:t>
            </w:r>
            <w:r>
              <w:rPr>
                <w:color w:val="000000"/>
              </w:rPr>
              <w:t xml:space="preserve">25,000 </w:t>
            </w:r>
          </w:p>
        </w:tc>
      </w:tr>
      <w:tr>
        <w:trPr>
          <w:trHeight w:val="465" w:hRule="atLeast"/>
        </w:trPr>
        <w:tc>
          <w:tcPr>
            <w:tcW w:w="4479" w:type="dxa"/>
            <w:vMerge w:val="continue"/>
            <w:tcBorders>
              <w:left w:val="single" w:sz="8" w:space="0" w:color="000000"/>
              <w:bottom w:val="single" w:sz="8" w:space="0" w:color="000000"/>
              <w:right w:val="single" w:sz="4" w:space="0" w:color="000000"/>
            </w:tcBorders>
            <w:vAlign w:val="center"/>
          </w:tcPr>
          <w:p>
            <w:pPr>
              <w:pStyle w:val="Normal"/>
              <w:widowControl w:val="false"/>
              <w:rPr>
                <w:rFonts w:ascii="Times New Roman" w:hAnsi="Times New Roman"/>
                <w:color w:val="000000"/>
              </w:rPr>
            </w:pPr>
            <w:r>
              <w:rPr>
                <w:color w:val="000000"/>
              </w:rPr>
            </w:r>
          </w:p>
        </w:tc>
        <w:tc>
          <w:tcPr>
            <w:tcW w:w="5220" w:type="dxa"/>
            <w:tcBorders>
              <w:top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c.5. Consumers awareness raising on energy efficiency</w:t>
            </w:r>
          </w:p>
        </w:tc>
        <w:tc>
          <w:tcPr>
            <w:tcW w:w="1741" w:type="dxa"/>
            <w:tcBorders>
              <w:top w:val="single" w:sz="4" w:space="0" w:color="000000"/>
              <w:bottom w:val="single" w:sz="4" w:space="0" w:color="000000"/>
              <w:right w:val="single" w:sz="4" w:space="0" w:color="000000"/>
            </w:tcBorders>
            <w:shd w:color="auto" w:fill="auto" w:val="clear"/>
            <w:vAlign w:val="center"/>
          </w:tcPr>
          <w:p>
            <w:pPr>
              <w:pStyle w:val="Normal"/>
              <w:widowControl w:val="false"/>
              <w:ind w:firstLine="480"/>
              <w:jc w:val="right"/>
              <w:rPr>
                <w:rFonts w:ascii="Times New Roman" w:hAnsi="Times New Roman"/>
                <w:color w:val="000000"/>
              </w:rPr>
            </w:pPr>
            <w:r>
              <w:rPr>
                <w:color w:val="000000"/>
              </w:rPr>
              <w:t>30,000</w:t>
            </w:r>
          </w:p>
        </w:tc>
      </w:tr>
      <w:tr>
        <w:trPr>
          <w:trHeight w:val="356" w:hRule="atLeast"/>
        </w:trPr>
        <w:tc>
          <w:tcPr>
            <w:tcW w:w="9699" w:type="dxa"/>
            <w:gridSpan w:val="2"/>
            <w:tcBorders>
              <w:top w:val="single" w:sz="8" w:space="0" w:color="000000"/>
              <w:left w:val="single" w:sz="8" w:space="0" w:color="000000"/>
              <w:bottom w:val="single" w:sz="8" w:space="0" w:color="000000"/>
              <w:right w:val="single" w:sz="4" w:space="0" w:color="000000"/>
            </w:tcBorders>
            <w:shd w:color="auto" w:fill="auto" w:val="clear"/>
            <w:vAlign w:val="center"/>
          </w:tcPr>
          <w:p>
            <w:pPr>
              <w:pStyle w:val="Normal"/>
              <w:widowControl w:val="false"/>
              <w:jc w:val="right"/>
              <w:rPr>
                <w:rFonts w:ascii="Times New Roman" w:hAnsi="Times New Roman"/>
                <w:b/>
                <w:b/>
                <w:bCs/>
                <w:i/>
                <w:i/>
                <w:iCs/>
                <w:color w:val="000000"/>
              </w:rPr>
            </w:pPr>
            <w:r>
              <w:rPr>
                <w:b/>
                <w:bCs/>
                <w:i/>
                <w:iCs/>
                <w:color w:val="000000"/>
              </w:rPr>
              <w:t>Total</w:t>
            </w:r>
          </w:p>
        </w:tc>
        <w:tc>
          <w:tcPr>
            <w:tcW w:w="1741" w:type="dxa"/>
            <w:tcBorders>
              <w:bottom w:val="single" w:sz="8" w:space="0" w:color="000000"/>
              <w:right w:val="single" w:sz="8" w:space="0" w:color="000000"/>
            </w:tcBorders>
            <w:shd w:color="auto" w:fill="auto" w:val="clear"/>
            <w:vAlign w:val="center"/>
          </w:tcPr>
          <w:p>
            <w:pPr>
              <w:pStyle w:val="Normal"/>
              <w:widowControl w:val="false"/>
              <w:ind w:firstLine="482"/>
              <w:jc w:val="right"/>
              <w:rPr>
                <w:rFonts w:ascii="Times New Roman" w:hAnsi="Times New Roman"/>
                <w:b/>
                <w:b/>
                <w:bCs/>
                <w:color w:val="000000"/>
              </w:rPr>
            </w:pPr>
            <w:r>
              <w:rPr>
                <w:b/>
                <w:bCs/>
                <w:color w:val="000000"/>
              </w:rPr>
              <w:t xml:space="preserve">                 </w:t>
            </w:r>
            <w:r>
              <w:rPr>
                <w:b/>
                <w:bCs/>
                <w:color w:val="000000"/>
              </w:rPr>
              <w:t xml:space="preserve">250,000 </w:t>
            </w:r>
          </w:p>
        </w:tc>
      </w:tr>
    </w:tbl>
    <w:p>
      <w:pPr>
        <w:pStyle w:val="Normal"/>
        <w:rPr>
          <w:rFonts w:ascii="Times New Roman" w:hAnsi="Times New Roman"/>
          <w:color w:val="000000"/>
        </w:rPr>
      </w:pPr>
      <w:r>
        <w:rPr/>
        <w:t xml:space="preserve"> </w:t>
      </w:r>
      <w:r>
        <w:br w:type="page"/>
      </w:r>
    </w:p>
    <w:p>
      <w:pPr>
        <w:pStyle w:val="Default"/>
        <w:jc w:val="both"/>
        <w:rPr/>
      </w:pPr>
      <w:r>
        <w:rPr/>
      </w:r>
    </w:p>
    <w:tbl>
      <w:tblPr>
        <w:tblW w:w="1243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28"/>
        <w:gridCol w:w="491"/>
        <w:gridCol w:w="541"/>
        <w:gridCol w:w="540"/>
        <w:gridCol w:w="540"/>
        <w:gridCol w:w="539"/>
        <w:gridCol w:w="540"/>
        <w:gridCol w:w="541"/>
        <w:gridCol w:w="540"/>
        <w:gridCol w:w="539"/>
        <w:gridCol w:w="540"/>
        <w:gridCol w:w="490"/>
        <w:gridCol w:w="489"/>
        <w:gridCol w:w="489"/>
        <w:gridCol w:w="488"/>
        <w:gridCol w:w="489"/>
        <w:gridCol w:w="490"/>
        <w:gridCol w:w="489"/>
        <w:gridCol w:w="486"/>
      </w:tblGrid>
      <w:tr>
        <w:trPr>
          <w:trHeight w:val="315" w:hRule="atLeast"/>
        </w:trPr>
        <w:tc>
          <w:tcPr>
            <w:tcW w:w="317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Enabling Activity</w:t>
            </w:r>
          </w:p>
        </w:tc>
        <w:tc>
          <w:tcPr>
            <w:tcW w:w="9261" w:type="dxa"/>
            <w:gridSpan w:val="18"/>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b/>
                <w:b/>
                <w:bCs/>
                <w:color w:val="000000"/>
              </w:rPr>
            </w:pPr>
            <w:r>
              <w:rPr>
                <w:b/>
                <w:bCs/>
                <w:color w:val="000000"/>
              </w:rPr>
              <w:t>Months</w:t>
            </w:r>
          </w:p>
        </w:tc>
      </w:tr>
      <w:tr>
        <w:trPr>
          <w:trHeight w:val="315" w:hRule="atLeast"/>
        </w:trPr>
        <w:tc>
          <w:tcPr>
            <w:tcW w:w="317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b/>
                <w:b/>
                <w:bCs/>
                <w:color w:val="000000"/>
              </w:rPr>
            </w:pPr>
            <w:r>
              <w:rPr>
                <w:b/>
                <w:bCs/>
                <w:color w:val="000000"/>
              </w:rPr>
            </w:r>
          </w:p>
        </w:tc>
        <w:tc>
          <w:tcPr>
            <w:tcW w:w="49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2</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3</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4</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5</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6</w:t>
            </w:r>
          </w:p>
        </w:tc>
        <w:tc>
          <w:tcPr>
            <w:tcW w:w="541"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7</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8</w:t>
            </w:r>
          </w:p>
        </w:tc>
        <w:tc>
          <w:tcPr>
            <w:tcW w:w="53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9</w:t>
            </w:r>
          </w:p>
        </w:tc>
        <w:tc>
          <w:tcPr>
            <w:tcW w:w="54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10</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11</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12</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13</w:t>
            </w:r>
          </w:p>
        </w:tc>
        <w:tc>
          <w:tcPr>
            <w:tcW w:w="48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14</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15</w:t>
            </w:r>
          </w:p>
        </w:tc>
        <w:tc>
          <w:tcPr>
            <w:tcW w:w="490"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16</w:t>
            </w:r>
          </w:p>
        </w:tc>
        <w:tc>
          <w:tcPr>
            <w:tcW w:w="489"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17</w:t>
            </w:r>
          </w:p>
        </w:tc>
        <w:tc>
          <w:tcPr>
            <w:tcW w:w="486"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18</w:t>
            </w:r>
          </w:p>
        </w:tc>
      </w:tr>
      <w:tr>
        <w:trPr>
          <w:trHeight w:val="40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a. Activities to support the early ratification of the Kigali Amendment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a.1. </w:t>
            </w:r>
          </w:p>
        </w:tc>
        <w:tc>
          <w:tcPr>
            <w:tcW w:w="491" w:type="dxa"/>
            <w:tcBorders>
              <w:bottom w:val="single" w:sz="8" w:space="0" w:color="000000"/>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315"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a.2. </w:t>
            </w:r>
          </w:p>
        </w:tc>
        <w:tc>
          <w:tcPr>
            <w:tcW w:w="491" w:type="dxa"/>
            <w:tcBorders>
              <w:right w:val="single" w:sz="8" w:space="0" w:color="000000"/>
            </w:tcBorders>
            <w:shd w:color="000000" w:fill="B8CCE4"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b.1. Institutional arrangements</w:t>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b.1.1.</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vMerge w:val="continue"/>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728" w:type="dxa"/>
            <w:tcBorders>
              <w:top w:val="single" w:sz="8" w:space="0" w:color="000000"/>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b.1.2.</w:t>
            </w:r>
          </w:p>
        </w:tc>
        <w:tc>
          <w:tcPr>
            <w:tcW w:w="491" w:type="dxa"/>
            <w:tcBorders>
              <w:top w:val="single" w:sz="8" w:space="0" w:color="000000"/>
              <w:bottom w:val="single" w:sz="8"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541"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41"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39" w:type="dxa"/>
            <w:tcBorders>
              <w:top w:val="single" w:sz="8" w:space="0" w:color="000000"/>
              <w:bottom w:val="single" w:sz="8" w:space="0" w:color="000000"/>
              <w:right w:val="single" w:sz="8" w:space="0" w:color="000000"/>
            </w:tcBorders>
            <w:shd w:color="000000"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8"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6" w:type="dxa"/>
            <w:tcBorders>
              <w:top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r>
      <w:tr>
        <w:trPr>
          <w:trHeight w:val="45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b.2. Licensing systems</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b.2.1.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83" w:hRule="atLeast"/>
        </w:trPr>
        <w:tc>
          <w:tcPr>
            <w:tcW w:w="2444" w:type="dxa"/>
            <w:vMerge w:val="continue"/>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b.2.2.</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r>
      <w:tr>
        <w:trPr>
          <w:trHeight w:val="495"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xml:space="preserve">b.3. Data reporting on HFC consumption </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b.3.1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95" w:hRule="atLeast"/>
        </w:trPr>
        <w:tc>
          <w:tcPr>
            <w:tcW w:w="2444" w:type="dxa"/>
            <w:vMerge w:val="continue"/>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b.3.2.</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r>
          </w:p>
        </w:tc>
      </w:tr>
      <w:tr>
        <w:trPr>
          <w:trHeight w:val="454" w:hRule="atLeast"/>
        </w:trPr>
        <w:tc>
          <w:tcPr>
            <w:tcW w:w="244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c. Preparation for national strategy</w:t>
            </w:r>
          </w:p>
        </w:tc>
        <w:tc>
          <w:tcPr>
            <w:tcW w:w="728" w:type="dxa"/>
            <w:tcBorders>
              <w:bottom w:val="single" w:sz="8"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c.1. </w:t>
            </w:r>
          </w:p>
        </w:tc>
        <w:tc>
          <w:tcPr>
            <w:tcW w:w="491" w:type="dxa"/>
            <w:tcBorders>
              <w:bottom w:val="single" w:sz="8"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8"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82" w:hRule="atLeast"/>
        </w:trPr>
        <w:tc>
          <w:tcPr>
            <w:tcW w:w="2444" w:type="dxa"/>
            <w:vMerge w:val="continue"/>
            <w:tcBorders>
              <w:left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bottom w:val="single" w:sz="4" w:space="0" w:color="000000"/>
              <w:right w:val="single" w:sz="8" w:space="0" w:color="000000"/>
            </w:tcBorders>
            <w:shd w:color="auto" w:fill="auto" w:val="clear"/>
            <w:vAlign w:val="center"/>
          </w:tcPr>
          <w:p>
            <w:pPr>
              <w:pStyle w:val="Normal"/>
              <w:widowControl w:val="false"/>
              <w:jc w:val="center"/>
              <w:rPr>
                <w:rFonts w:ascii="Times New Roman" w:hAnsi="Times New Roman"/>
                <w:color w:val="000000"/>
              </w:rPr>
            </w:pPr>
            <w:r>
              <w:rPr>
                <w:color w:val="000000"/>
              </w:rPr>
              <w:t>c.2.</w:t>
            </w:r>
          </w:p>
        </w:tc>
        <w:tc>
          <w:tcPr>
            <w:tcW w:w="491" w:type="dxa"/>
            <w:tcBorders>
              <w:bottom w:val="single" w:sz="4" w:space="0" w:color="000000"/>
              <w:right w:val="single" w:sz="8"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4"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bottom w:val="single" w:sz="4" w:space="0" w:color="000000"/>
              <w:right w:val="single" w:sz="8"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bottom w:val="single" w:sz="4"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8" w:space="0" w:color="000000"/>
            </w:tcBorders>
            <w:shd w:color="000000" w:fill="B8CCE4"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8"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90"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9"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486" w:type="dxa"/>
            <w:tcBorders>
              <w:bottom w:val="single" w:sz="4" w:space="0" w:color="000000"/>
              <w:right w:val="single" w:sz="8" w:space="0" w:color="000000"/>
            </w:tcBorders>
            <w:shd w:color="auto" w:fill="auto" w:val="clear"/>
            <w:vAlign w:val="center"/>
          </w:tcPr>
          <w:p>
            <w:pPr>
              <w:pStyle w:val="Normal"/>
              <w:widowControl w:val="false"/>
              <w:rPr>
                <w:rFonts w:ascii="Times New Roman" w:hAnsi="Times New Roman"/>
                <w:color w:val="000000"/>
              </w:rPr>
            </w:pPr>
            <w:r>
              <w:rPr>
                <w:color w:val="000000"/>
              </w:rPr>
              <w:t> </w:t>
            </w:r>
          </w:p>
        </w:tc>
      </w:tr>
      <w:tr>
        <w:trPr>
          <w:trHeight w:val="479" w:hRule="atLeast"/>
        </w:trPr>
        <w:tc>
          <w:tcPr>
            <w:tcW w:w="2444" w:type="dxa"/>
            <w:vMerge w:val="continue"/>
            <w:tcBorders>
              <w:left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top w:val="single" w:sz="4" w:space="0" w:color="000000"/>
              <w:left w:val="single" w:sz="8"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 xml:space="preserve">c.3. </w:t>
            </w:r>
          </w:p>
        </w:tc>
        <w:tc>
          <w:tcPr>
            <w:tcW w:w="4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t> </w:t>
            </w:r>
          </w:p>
        </w:tc>
        <w:tc>
          <w:tcPr>
            <w:tcW w:w="54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t> </w:t>
            </w:r>
          </w:p>
        </w:tc>
        <w:tc>
          <w:tcPr>
            <w:tcW w:w="540"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39"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540"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90"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t> </w:t>
            </w:r>
          </w:p>
        </w:tc>
        <w:tc>
          <w:tcPr>
            <w:tcW w:w="489"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488"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490"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489"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c>
          <w:tcPr>
            <w:tcW w:w="486"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rPr>
                <w:rFonts w:ascii="Times New Roman" w:hAnsi="Times New Roman"/>
                <w:color w:val="000000"/>
              </w:rPr>
            </w:pPr>
            <w:r>
              <w:rPr>
                <w:color w:val="000000"/>
              </w:rPr>
              <w:t> </w:t>
            </w:r>
          </w:p>
        </w:tc>
      </w:tr>
      <w:tr>
        <w:trPr>
          <w:trHeight w:val="451" w:hRule="atLeast"/>
        </w:trPr>
        <w:tc>
          <w:tcPr>
            <w:tcW w:w="2444" w:type="dxa"/>
            <w:vMerge w:val="continue"/>
            <w:tcBorders>
              <w:left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top w:val="single" w:sz="4" w:space="0" w:color="000000"/>
              <w:left w:val="single" w:sz="8"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c.4.</w:t>
            </w:r>
          </w:p>
        </w:tc>
        <w:tc>
          <w:tcPr>
            <w:tcW w:w="4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r>
          </w:p>
        </w:tc>
        <w:tc>
          <w:tcPr>
            <w:tcW w:w="54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489"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89"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88"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89"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90"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89"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86"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r>
      <w:tr>
        <w:trPr>
          <w:trHeight w:val="437" w:hRule="atLeast"/>
        </w:trPr>
        <w:tc>
          <w:tcPr>
            <w:tcW w:w="2444" w:type="dxa"/>
            <w:vMerge w:val="continue"/>
            <w:tcBorders>
              <w:left w:val="single" w:sz="8" w:space="0" w:color="000000"/>
              <w:bottom w:val="single" w:sz="8" w:space="0" w:color="000000"/>
              <w:right w:val="single" w:sz="8" w:space="0" w:color="000000"/>
            </w:tcBorders>
            <w:vAlign w:val="center"/>
          </w:tcPr>
          <w:p>
            <w:pPr>
              <w:pStyle w:val="Normal"/>
              <w:widowControl w:val="false"/>
              <w:rPr>
                <w:rFonts w:ascii="Times New Roman" w:hAnsi="Times New Roman"/>
                <w:color w:val="000000"/>
              </w:rPr>
            </w:pPr>
            <w:r>
              <w:rPr>
                <w:color w:val="000000"/>
              </w:rPr>
            </w:r>
          </w:p>
        </w:tc>
        <w:tc>
          <w:tcPr>
            <w:tcW w:w="728" w:type="dxa"/>
            <w:tcBorders>
              <w:top w:val="single" w:sz="4" w:space="0" w:color="000000"/>
              <w:left w:val="single" w:sz="8"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rPr>
            </w:pPr>
            <w:r>
              <w:rPr>
                <w:color w:val="000000"/>
              </w:rPr>
              <w:t>c.5.</w:t>
            </w:r>
          </w:p>
        </w:tc>
        <w:tc>
          <w:tcPr>
            <w:tcW w:w="4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480"/>
              <w:rPr>
                <w:rFonts w:ascii="Times New Roman" w:hAnsi="Times New Roman"/>
                <w:color w:val="000000"/>
              </w:rPr>
            </w:pPr>
            <w:r>
              <w:rPr>
                <w:color w:val="000000"/>
              </w:rPr>
            </w:r>
          </w:p>
        </w:tc>
        <w:tc>
          <w:tcPr>
            <w:tcW w:w="54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539"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540"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490"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489" w:type="dxa"/>
            <w:tcBorders>
              <w:top w:val="single" w:sz="4" w:space="0" w:color="000000"/>
              <w:left w:val="single" w:sz="4" w:space="0" w:color="000000"/>
              <w:bottom w:val="single" w:sz="4" w:space="0" w:color="000000"/>
              <w:right w:val="single" w:sz="4" w:space="0" w:color="000000"/>
            </w:tcBorders>
            <w:shd w:color="auto" w:fill="B8CCE4" w:themeFill="accent1" w:themeFillTint="66" w:val="clear"/>
            <w:vAlign w:val="center"/>
          </w:tcPr>
          <w:p>
            <w:pPr>
              <w:pStyle w:val="Normal"/>
              <w:widowControl w:val="false"/>
              <w:rPr>
                <w:rFonts w:ascii="Times New Roman" w:hAnsi="Times New Roman"/>
                <w:color w:val="000000"/>
              </w:rPr>
            </w:pPr>
            <w:r>
              <w:rPr>
                <w:color w:val="000000"/>
              </w:rPr>
            </w:r>
          </w:p>
        </w:tc>
        <w:tc>
          <w:tcPr>
            <w:tcW w:w="489"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88"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89"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90"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89"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c>
          <w:tcPr>
            <w:tcW w:w="486" w:type="dxa"/>
            <w:tcBorders>
              <w:top w:val="single" w:sz="4" w:space="0" w:color="000000"/>
              <w:left w:val="single" w:sz="4" w:space="0" w:color="000000"/>
              <w:bottom w:val="single" w:sz="4" w:space="0" w:color="000000"/>
              <w:right w:val="single" w:sz="4" w:space="0" w:color="000000"/>
            </w:tcBorders>
            <w:shd w:color="000000" w:fill="B8CCE4" w:val="clear"/>
            <w:vAlign w:val="center"/>
          </w:tcPr>
          <w:p>
            <w:pPr>
              <w:pStyle w:val="Normal"/>
              <w:widowControl w:val="false"/>
              <w:rPr>
                <w:rFonts w:ascii="Times New Roman" w:hAnsi="Times New Roman"/>
                <w:color w:val="000000"/>
              </w:rPr>
            </w:pPr>
            <w:r>
              <w:rPr>
                <w:color w:val="000000"/>
              </w:rPr>
            </w:r>
          </w:p>
        </w:tc>
      </w:tr>
    </w:tbl>
    <w:p>
      <w:pPr>
        <w:pStyle w:val="Default"/>
        <w:jc w:val="both"/>
        <w:rPr/>
      </w:pPr>
      <w:r>
        <w:rPr/>
      </w:r>
    </w:p>
    <w:p>
      <w:pPr>
        <w:sectPr>
          <w:headerReference w:type="even" r:id="rId140"/>
          <w:headerReference w:type="default" r:id="rId141"/>
          <w:footerReference w:type="even" r:id="rId142"/>
          <w:footerReference w:type="default" r:id="rId143"/>
          <w:footnotePr>
            <w:numFmt w:val="decimal"/>
          </w:footnotePr>
          <w:type w:val="nextPage"/>
          <w:pgSz w:orient="landscape" w:w="15840" w:h="12240"/>
          <w:pgMar w:left="1440" w:right="994" w:gutter="0" w:header="0" w:top="1440" w:footer="720" w:bottom="1440"/>
          <w:pgNumType w:fmt="decimal"/>
          <w:formProt w:val="false"/>
          <w:textDirection w:val="lrTb"/>
          <w:docGrid w:type="default" w:linePitch="600" w:charSpace="36864"/>
        </w:sectPr>
        <w:pStyle w:val="Normal"/>
        <w:rPr>
          <w:rFonts w:ascii="Times New Roman" w:hAnsi="Times New Roman"/>
          <w:color w:val="000000"/>
        </w:rPr>
      </w:pPr>
      <w:r>
        <w:rPr>
          <w:color w:val="000000"/>
        </w:rPr>
      </w:r>
      <w:r>
        <w:br w:type="page"/>
      </w:r>
    </w:p>
    <w:p>
      <w:pPr>
        <w:pStyle w:val="Default"/>
        <w:numPr>
          <w:ilvl w:val="0"/>
          <w:numId w:val="62"/>
        </w:numPr>
        <w:ind w:left="360" w:hanging="360"/>
        <w:jc w:val="both"/>
        <w:rPr/>
      </w:pPr>
      <w:r>
        <w:rPr>
          <w:b/>
          <w:bCs/>
        </w:rPr>
        <w:t>Institutional</w:t>
      </w:r>
      <w:r>
        <w:rPr/>
        <w:t xml:space="preserve"> </w:t>
      </w:r>
      <w:r>
        <w:rPr>
          <w:b/>
        </w:rPr>
        <w:t>arrangements</w:t>
      </w:r>
    </w:p>
    <w:p>
      <w:pPr>
        <w:pStyle w:val="Default"/>
        <w:jc w:val="both"/>
        <w:rPr/>
      </w:pPr>
      <w:r>
        <w:rPr/>
      </w:r>
    </w:p>
    <w:p>
      <w:pPr>
        <w:pStyle w:val="Default"/>
        <w:jc w:val="both"/>
        <w:rPr/>
      </w:pPr>
      <w:r>
        <w:rPr/>
        <w:t>The National Ozone Unit (Division for the Protection of the Ozone Layer) under the Climate Change Department / Directorate General of Environment Management of the Ministry of Environment and Urbanization of Turkey, and the United Nations Industrial Development Organization (UNIDO) will be jointly responsible for the correct implementation of the above mentioned activities.</w:t>
      </w:r>
    </w:p>
    <w:p>
      <w:pPr>
        <w:pStyle w:val="Default"/>
        <w:jc w:val="both"/>
        <w:rPr/>
      </w:pPr>
      <w:r>
        <w:rPr/>
        <w:t xml:space="preserve"> </w:t>
      </w:r>
    </w:p>
    <w:p>
      <w:pPr>
        <w:pStyle w:val="Default"/>
        <w:jc w:val="both"/>
        <w:rPr/>
      </w:pPr>
      <w:r>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Default"/>
        <w:jc w:val="both"/>
        <w:rPr/>
      </w:pPr>
      <w:r>
        <w:rPr/>
      </w:r>
    </w:p>
    <w:p>
      <w:pPr>
        <w:pStyle w:val="Normal"/>
        <w:rPr>
          <w:rFonts w:ascii="Times New Roman" w:hAnsi="Times New Roman"/>
          <w:color w:val="000000"/>
        </w:rPr>
      </w:pPr>
      <w:r>
        <w:rPr>
          <w:color w:val="000000"/>
        </w:rPr>
      </w:r>
      <w:r>
        <w:br w:type="page"/>
      </w:r>
    </w:p>
    <w:p>
      <w:pPr>
        <w:pStyle w:val="Normal"/>
        <w:jc w:val="center"/>
        <w:rPr>
          <w:rFonts w:ascii="Times New Roman" w:hAnsi="Times New Roman"/>
          <w:b/>
          <w:b/>
        </w:rPr>
      </w:pPr>
      <w:r>
        <w:rPr>
          <w:b/>
        </w:rPr>
        <w:t>Submission of funding request for enabling activities</w:t>
      </w:r>
    </w:p>
    <w:p>
      <w:pPr>
        <w:pStyle w:val="Normal"/>
        <w:jc w:val="center"/>
        <w:rPr>
          <w:rFonts w:ascii="Times New Roman" w:hAnsi="Times New Roman"/>
          <w:b/>
          <w:b/>
        </w:rPr>
      </w:pPr>
      <w:r>
        <w:rPr>
          <w:b/>
        </w:rPr>
      </w:r>
    </w:p>
    <w:p>
      <w:pPr>
        <w:pStyle w:val="Normal"/>
        <w:rPr>
          <w:rFonts w:ascii="Times New Roman" w:hAnsi="Times New Roman"/>
          <w:b/>
          <w:b/>
        </w:rPr>
      </w:pPr>
      <w:r>
        <w:rPr>
          <w:b/>
        </w:rPr>
        <w:t>Country:</w:t>
        <w:tab/>
        <w:tab/>
      </w:r>
      <w:r>
        <w:rPr/>
        <w:t>Viet Nam</w:t>
        <w:tab/>
      </w:r>
    </w:p>
    <w:p>
      <w:pPr>
        <w:pStyle w:val="Normal"/>
        <w:rPr>
          <w:rFonts w:ascii="Times New Roman" w:hAnsi="Times New Roman"/>
          <w:b/>
          <w:b/>
        </w:rPr>
      </w:pPr>
      <w:r>
        <w:rPr>
          <w:b/>
        </w:rPr>
      </w:r>
    </w:p>
    <w:p>
      <w:pPr>
        <w:pStyle w:val="Normal"/>
        <w:rPr>
          <w:rFonts w:ascii="Times New Roman" w:hAnsi="Times New Roman"/>
          <w:b/>
          <w:b/>
        </w:rPr>
      </w:pPr>
      <w:r>
        <w:rPr>
          <w:b/>
        </w:rPr>
        <w:t>Title:</w:t>
        <w:tab/>
        <w:tab/>
        <w:tab/>
      </w:r>
      <w:r>
        <w:rPr/>
        <w:t xml:space="preserve">Enabling activities for HFC phase-down in Viet Nam </w:t>
      </w:r>
    </w:p>
    <w:p>
      <w:pPr>
        <w:pStyle w:val="Normal"/>
        <w:rPr>
          <w:rFonts w:ascii="Times New Roman" w:hAnsi="Times New Roman"/>
          <w:b/>
          <w:b/>
        </w:rPr>
      </w:pPr>
      <w:r>
        <w:rPr>
          <w:b/>
        </w:rPr>
      </w:r>
    </w:p>
    <w:p>
      <w:pPr>
        <w:pStyle w:val="Normal"/>
        <w:rPr>
          <w:rFonts w:ascii="Times New Roman" w:hAnsi="Times New Roman"/>
        </w:rPr>
      </w:pPr>
      <w:r>
        <w:rPr>
          <w:b/>
        </w:rPr>
        <w:t>Project Duration:</w:t>
        <w:tab/>
      </w:r>
      <w:r>
        <w:rPr/>
        <w:t>18months</w:t>
      </w:r>
    </w:p>
    <w:p>
      <w:pPr>
        <w:pStyle w:val="Normal"/>
        <w:rPr>
          <w:rFonts w:ascii="Times New Roman" w:hAnsi="Times New Roman"/>
          <w:b/>
          <w:b/>
        </w:rPr>
      </w:pPr>
      <w:r>
        <w:rPr>
          <w:b/>
        </w:rPr>
      </w:r>
    </w:p>
    <w:p>
      <w:pPr>
        <w:pStyle w:val="Normal"/>
        <w:rPr>
          <w:rFonts w:ascii="Times New Roman" w:hAnsi="Times New Roman"/>
          <w:b/>
          <w:b/>
        </w:rPr>
      </w:pPr>
      <w:r>
        <w:rPr>
          <w:b/>
        </w:rPr>
        <w:t xml:space="preserve">Project Budget: </w:t>
        <w:tab/>
      </w:r>
      <w:r>
        <w:rPr/>
        <w:t>US$250,000 (excl. 9% Agency Support Costs)</w:t>
      </w:r>
      <w:r>
        <w:rPr>
          <w:b/>
        </w:rPr>
        <w:t xml:space="preserve"> </w:t>
      </w:r>
    </w:p>
    <w:p>
      <w:pPr>
        <w:pStyle w:val="Normal"/>
        <w:rPr>
          <w:rFonts w:ascii="Times New Roman" w:hAnsi="Times New Roman"/>
          <w:b/>
          <w:b/>
        </w:rPr>
      </w:pPr>
      <w:r>
        <w:rPr>
          <w:b/>
        </w:rPr>
      </w:r>
    </w:p>
    <w:p>
      <w:pPr>
        <w:pStyle w:val="Normal"/>
        <w:rPr>
          <w:rFonts w:ascii="Times New Roman" w:hAnsi="Times New Roman"/>
        </w:rPr>
      </w:pPr>
      <w:r>
        <w:rPr>
          <w:b/>
        </w:rPr>
        <w:t>Implementing Agency:</w:t>
        <w:tab/>
      </w:r>
      <w:r>
        <w:rPr/>
        <w:t>UNIDO</w:t>
      </w:r>
    </w:p>
    <w:p>
      <w:pPr>
        <w:pStyle w:val="Normal"/>
        <w:rPr>
          <w:rFonts w:ascii="Times New Roman" w:hAnsi="Times New Roman"/>
          <w:b/>
          <w:b/>
        </w:rPr>
      </w:pPr>
      <w:r>
        <w:rPr>
          <w:b/>
        </w:rPr>
      </w:r>
    </w:p>
    <w:p>
      <w:pPr>
        <w:pStyle w:val="Normal"/>
        <w:rPr>
          <w:rFonts w:ascii="Times New Roman" w:hAnsi="Times New Roman"/>
          <w:b/>
          <w:b/>
        </w:rPr>
      </w:pPr>
      <w:r>
        <w:rPr>
          <w:b/>
        </w:rPr>
        <w:t>Coordinating Agency:</w:t>
        <w:tab/>
      </w:r>
      <w:r>
        <w:rPr/>
        <w:t>MONRE - National Ozone Unit</w:t>
      </w:r>
    </w:p>
    <w:p>
      <w:pPr>
        <w:pStyle w:val="Normal"/>
        <w:rPr>
          <w:rFonts w:ascii="Times New Roman" w:hAnsi="Times New Roman"/>
          <w:b/>
          <w:b/>
        </w:rPr>
      </w:pPr>
      <w:r>
        <w:rPr>
          <w:b/>
        </w:rPr>
        <mc:AlternateContent>
          <mc:Choice Requires="wps">
            <w:drawing>
              <wp:anchor behindDoc="1" distT="0" distB="6350" distL="0" distR="2540" simplePos="0" locked="0" layoutInCell="0" allowOverlap="1" relativeHeight="17" wp14:anchorId="74E133E1">
                <wp:simplePos x="0" y="0"/>
                <wp:positionH relativeFrom="page">
                  <wp:posOffset>1066800</wp:posOffset>
                </wp:positionH>
                <wp:positionV relativeFrom="paragraph">
                  <wp:posOffset>60960</wp:posOffset>
                </wp:positionV>
                <wp:extent cx="5731510" cy="12065"/>
                <wp:effectExtent l="0" t="635" r="0" b="0"/>
                <wp:wrapNone/>
                <wp:docPr id="18" name="Rectangle 17"/>
                <a:graphic xmlns:a="http://schemas.openxmlformats.org/drawingml/2006/main">
                  <a:graphicData uri="http://schemas.microsoft.com/office/word/2010/wordprocessingShape">
                    <wps:wsp>
                      <wps:cNvSpPr/>
                      <wps:spPr>
                        <a:xfrm>
                          <a:off x="0" y="0"/>
                          <a:ext cx="5731560" cy="1224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17" path="m0,0l-2147483645,0l-2147483645,-2147483646l0,-2147483646xe" fillcolor="black" stroked="f" o:allowincell="f" style="position:absolute;margin-left:84pt;margin-top:4.8pt;width:451.25pt;height:0.9pt;mso-wrap-style:none;v-text-anchor:middle;mso-position-horizontal-relative:page" wp14:anchorId="74E133E1">
                <v:fill o:detectmouseclick="t" type="solid" color2="white"/>
                <v:stroke color="#3465a4" joinstyle="round" endcap="flat"/>
                <w10:wrap type="none"/>
              </v:rect>
            </w:pict>
          </mc:Fallback>
        </mc:AlternateContent>
      </w:r>
    </w:p>
    <w:p>
      <w:pPr>
        <w:pStyle w:val="Normal"/>
        <w:rPr>
          <w:rFonts w:ascii="Times New Roman" w:hAnsi="Times New Roman"/>
          <w:b/>
          <w:b/>
        </w:rPr>
      </w:pPr>
      <w:r>
        <w:rPr>
          <w:b/>
        </w:rPr>
        <w:t>GENERAL STATEMENTS</w:t>
      </w:r>
    </w:p>
    <w:p>
      <w:pPr>
        <w:pStyle w:val="Normal"/>
        <w:rPr>
          <w:rFonts w:ascii="Times New Roman" w:hAnsi="Times New Roman"/>
        </w:rPr>
      </w:pPr>
      <w:r>
        <w:rPr/>
        <w:t>The Ministry of National Resource and Environment of Viet Nam (MONRE) as well as UNIDO, as the implementing agency, confirm that implementation of the enabling activities would not delay implementation of HCFC phase-out projects.</w:t>
      </w:r>
    </w:p>
    <w:p>
      <w:pPr>
        <w:pStyle w:val="Normal"/>
        <w:rPr>
          <w:rFonts w:ascii="Times New Roman" w:hAnsi="Times New Roman"/>
        </w:rPr>
      </w:pPr>
      <w:r>
        <w:rPr/>
        <w:t>The Government of Viet Nam confirms its intention to make best efforts to ratify the Kigali Amendment as early as possible.</w:t>
      </w:r>
    </w:p>
    <w:p>
      <w:pPr>
        <w:pStyle w:val="Normal"/>
        <w:rPr>
          <w:rFonts w:ascii="Times New Roman" w:hAnsi="Times New Roman"/>
        </w:rPr>
      </w:pPr>
      <w:r>
        <w:rPr/>
        <w:t>The Ministry of National Resource and Environment of Viet Nam (MONRE) confirms that all activities under Enabling Activities will be implemented following model that UNIDO will administer the funds (UNIDO's execution) instead of national execution.</w:t>
      </w:r>
    </w:p>
    <w:p>
      <w:pPr>
        <w:pStyle w:val="Normal"/>
        <w:rPr>
          <w:rFonts w:ascii="Times New Roman" w:hAnsi="Times New Roman"/>
          <w:b/>
          <w:b/>
        </w:rPr>
      </w:pPr>
      <w:r>
        <w:rPr>
          <w:b/>
        </w:rPr>
        <w:t>1. BACKGROUND</w:t>
      </w:r>
    </w:p>
    <w:p>
      <w:pPr>
        <w:pStyle w:val="Normal"/>
        <w:rPr>
          <w:rFonts w:ascii="Times New Roman" w:hAnsi="Times New Roman"/>
        </w:rPr>
      </w:pPr>
      <w:r>
        <w:rPr/>
        <w:t>According to the results of National Survey on ODS Alternatives, a total of ten (10) HFCs or HFC blends are currently used in Viet Nam namely: HFC-23, HFC-32, HFC-125, HFC-134a, HFC-152a, HFC-227ea, HFC-404a, HFC-407c, HFC-410a and HFC-507c, in which HFC-134a, HFC-410a, HFC-404a and HFC-407c are prominently used. In the future, it is expected that HFC-134a and HFC-32 will be on high increase due to growing demand from HCFCs phase-out process.</w:t>
      </w:r>
    </w:p>
    <w:p>
      <w:pPr>
        <w:pStyle w:val="Normal"/>
        <w:rPr>
          <w:rFonts w:ascii="Times New Roman" w:hAnsi="Times New Roman"/>
        </w:rPr>
      </w:pPr>
      <w:r>
        <w:rPr/>
        <w:t>The Survey provided the current use of other non-ODS substances including HC-290, HC-600a, NH</w:t>
      </w:r>
      <w:r>
        <w:rPr>
          <w:vertAlign w:val="subscript"/>
        </w:rPr>
        <w:t>3</w:t>
      </w:r>
      <w:r>
        <w:rPr/>
        <w:t xml:space="preserve"> in refrigeration sector and CO</w:t>
      </w:r>
      <w:r>
        <w:rPr>
          <w:vertAlign w:val="subscript"/>
        </w:rPr>
        <w:t>2</w:t>
      </w:r>
      <w:r>
        <w:rPr/>
        <w:t xml:space="preserve"> and fire extinguishing foam in the fire suppression sector. Regarding domestic production, the Survey shows Viet Nam does not produce HFCs and other ODS Alternatives other than Ethanol, Ammoniac (NH</w:t>
      </w:r>
      <w:r>
        <w:rPr>
          <w:vertAlign w:val="subscript"/>
        </w:rPr>
        <w:t>3</w:t>
      </w:r>
      <w:r>
        <w:rPr/>
        <w:t>) and Carbon dioxide (CO</w:t>
      </w:r>
      <w:r>
        <w:rPr>
          <w:vertAlign w:val="subscript"/>
        </w:rPr>
        <w:t>2</w:t>
      </w:r>
      <w:r>
        <w:rPr/>
        <w:t>).</w:t>
      </w:r>
    </w:p>
    <w:p>
      <w:pPr>
        <w:pStyle w:val="Normal"/>
        <w:rPr>
          <w:rFonts w:ascii="Times New Roman" w:hAnsi="Times New Roman"/>
        </w:rPr>
      </w:pPr>
      <w:r>
        <w:rPr/>
      </w:r>
    </w:p>
    <w:p>
      <w:pPr>
        <w:pStyle w:val="Normal"/>
        <w:rPr>
          <w:rFonts w:ascii="Times New Roman" w:hAnsi="Times New Roman"/>
        </w:rPr>
      </w:pPr>
      <w:r>
        <w:rPr/>
      </w:r>
    </w:p>
    <w:p>
      <w:pPr>
        <w:pStyle w:val="Normal"/>
        <w:rPr>
          <w:rFonts w:ascii="Times New Roman" w:hAnsi="Times New Roman"/>
        </w:rPr>
      </w:pPr>
      <w:r>
        <w:rPr/>
      </w:r>
    </w:p>
    <w:p>
      <w:pPr>
        <w:pStyle w:val="Normal"/>
        <w:spacing w:before="0" w:after="120"/>
        <w:jc w:val="center"/>
        <w:rPr>
          <w:rFonts w:ascii="Times New Roman" w:hAnsi="Times New Roman"/>
          <w:b/>
          <w:b/>
        </w:rPr>
      </w:pPr>
      <w:r>
        <w:rPr>
          <w:b/>
        </w:rPr>
      </w:r>
    </w:p>
    <w:p>
      <w:pPr>
        <w:pStyle w:val="Normal"/>
        <w:spacing w:before="0" w:after="120"/>
        <w:jc w:val="center"/>
        <w:rPr>
          <w:rFonts w:ascii="Times New Roman" w:hAnsi="Times New Roman"/>
          <w:b/>
          <w:b/>
        </w:rPr>
      </w:pPr>
      <w:r>
        <w:rPr>
          <w:b/>
        </w:rPr>
        <w:t>Estimated use of ODS Alternatives in Viet Nam</w:t>
      </w:r>
    </w:p>
    <w:tbl>
      <w:tblPr>
        <w:tblStyle w:val="TableGrid1"/>
        <w:tblW w:w="901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2498"/>
        <w:gridCol w:w="1321"/>
        <w:gridCol w:w="1169"/>
        <w:gridCol w:w="1320"/>
        <w:gridCol w:w="1321"/>
        <w:gridCol w:w="1388"/>
      </w:tblGrid>
      <w:tr>
        <w:trPr/>
        <w:tc>
          <w:tcPr>
            <w:tcW w:w="2498" w:type="dxa"/>
            <w:vMerge w:val="restart"/>
            <w:tcBorders/>
            <w:shd w:color="auto" w:fill="8DB3E2" w:val="clear"/>
            <w:vAlign w:val="center"/>
          </w:tcPr>
          <w:p>
            <w:pPr>
              <w:pStyle w:val="Normal"/>
              <w:widowControl w:val="false"/>
              <w:tabs>
                <w:tab w:val="clear" w:pos="720"/>
                <w:tab w:val="left" w:pos="1935" w:leader="none"/>
              </w:tabs>
              <w:spacing w:before="40" w:after="40"/>
              <w:jc w:val="center"/>
              <w:rPr>
                <w:rFonts w:ascii="Times New Roman" w:hAnsi="Times New Roman"/>
                <w:b/>
                <w:b/>
                <w:bCs/>
              </w:rPr>
            </w:pPr>
            <w:r>
              <w:rPr>
                <w:b/>
                <w:bCs/>
                <w:kern w:val="0"/>
                <w:lang w:val="en-US" w:eastAsia="en-US" w:bidi="ar-SA"/>
              </w:rPr>
              <w:t>Alternative</w:t>
            </w:r>
          </w:p>
        </w:tc>
        <w:tc>
          <w:tcPr>
            <w:tcW w:w="6519" w:type="dxa"/>
            <w:gridSpan w:val="5"/>
            <w:tcBorders/>
            <w:shd w:color="auto" w:fill="8DB3E2" w:val="clear"/>
            <w:vAlign w:val="center"/>
          </w:tcPr>
          <w:p>
            <w:pPr>
              <w:pStyle w:val="Normal"/>
              <w:widowControl w:val="false"/>
              <w:tabs>
                <w:tab w:val="clear" w:pos="720"/>
                <w:tab w:val="left" w:pos="1935" w:leader="none"/>
              </w:tabs>
              <w:spacing w:before="40" w:after="40"/>
              <w:jc w:val="center"/>
              <w:rPr>
                <w:rFonts w:ascii="Times New Roman" w:hAnsi="Times New Roman"/>
                <w:b/>
                <w:b/>
                <w:bCs/>
              </w:rPr>
            </w:pPr>
            <w:r>
              <w:rPr>
                <w:b/>
                <w:bCs/>
                <w:kern w:val="0"/>
                <w:lang w:val="en-US" w:eastAsia="en-US" w:bidi="ar-SA"/>
              </w:rPr>
              <w:t>Estimated use (tonne)</w:t>
            </w:r>
          </w:p>
        </w:tc>
      </w:tr>
      <w:tr>
        <w:trPr/>
        <w:tc>
          <w:tcPr>
            <w:tcW w:w="2498" w:type="dxa"/>
            <w:vMerge w:val="continue"/>
            <w:tcBorders/>
            <w:shd w:color="auto" w:fill="8DB3E2" w:val="clear"/>
            <w:vAlign w:val="center"/>
          </w:tcPr>
          <w:p>
            <w:pPr>
              <w:pStyle w:val="Normal"/>
              <w:widowControl w:val="false"/>
              <w:tabs>
                <w:tab w:val="clear" w:pos="720"/>
                <w:tab w:val="left" w:pos="1935" w:leader="none"/>
              </w:tabs>
              <w:spacing w:before="40" w:after="40"/>
              <w:jc w:val="center"/>
              <w:rPr>
                <w:rFonts w:ascii="Times New Roman" w:hAnsi="Times New Roman"/>
                <w:b/>
                <w:b/>
                <w:bCs/>
              </w:rPr>
            </w:pPr>
            <w:r>
              <w:rPr>
                <w:b/>
                <w:bCs/>
                <w:kern w:val="0"/>
                <w:lang w:val="en-US" w:eastAsia="en-US" w:bidi="ar-SA"/>
              </w:rPr>
            </w:r>
          </w:p>
        </w:tc>
        <w:tc>
          <w:tcPr>
            <w:tcW w:w="1321" w:type="dxa"/>
            <w:tcBorders/>
            <w:shd w:color="auto" w:fill="8DB3E2" w:val="clear"/>
            <w:vAlign w:val="center"/>
          </w:tcPr>
          <w:p>
            <w:pPr>
              <w:pStyle w:val="Normal"/>
              <w:widowControl w:val="false"/>
              <w:tabs>
                <w:tab w:val="clear" w:pos="720"/>
                <w:tab w:val="left" w:pos="1935" w:leader="none"/>
              </w:tabs>
              <w:spacing w:before="40" w:after="40"/>
              <w:jc w:val="center"/>
              <w:rPr>
                <w:rFonts w:ascii="Times New Roman" w:hAnsi="Times New Roman"/>
                <w:b/>
                <w:b/>
                <w:bCs/>
              </w:rPr>
            </w:pPr>
            <w:r>
              <w:rPr>
                <w:b/>
                <w:bCs/>
                <w:kern w:val="0"/>
                <w:lang w:val="en-US" w:eastAsia="en-US" w:bidi="ar-SA"/>
              </w:rPr>
              <w:t>2011</w:t>
            </w:r>
          </w:p>
        </w:tc>
        <w:tc>
          <w:tcPr>
            <w:tcW w:w="1169" w:type="dxa"/>
            <w:tcBorders/>
            <w:shd w:color="auto" w:fill="8DB3E2" w:val="clear"/>
            <w:vAlign w:val="center"/>
          </w:tcPr>
          <w:p>
            <w:pPr>
              <w:pStyle w:val="Normal"/>
              <w:widowControl w:val="false"/>
              <w:tabs>
                <w:tab w:val="clear" w:pos="720"/>
                <w:tab w:val="left" w:pos="1935" w:leader="none"/>
              </w:tabs>
              <w:spacing w:before="40" w:after="40"/>
              <w:jc w:val="center"/>
              <w:rPr>
                <w:rFonts w:ascii="Times New Roman" w:hAnsi="Times New Roman"/>
                <w:b/>
                <w:b/>
                <w:bCs/>
              </w:rPr>
            </w:pPr>
            <w:r>
              <w:rPr>
                <w:b/>
                <w:bCs/>
                <w:kern w:val="0"/>
                <w:lang w:val="en-US" w:eastAsia="en-US" w:bidi="ar-SA"/>
              </w:rPr>
              <w:t>2012</w:t>
            </w:r>
          </w:p>
        </w:tc>
        <w:tc>
          <w:tcPr>
            <w:tcW w:w="1320" w:type="dxa"/>
            <w:tcBorders/>
            <w:shd w:color="auto" w:fill="8DB3E2" w:val="clear"/>
            <w:vAlign w:val="center"/>
          </w:tcPr>
          <w:p>
            <w:pPr>
              <w:pStyle w:val="Normal"/>
              <w:widowControl w:val="false"/>
              <w:tabs>
                <w:tab w:val="clear" w:pos="720"/>
                <w:tab w:val="left" w:pos="1935" w:leader="none"/>
              </w:tabs>
              <w:spacing w:before="40" w:after="40"/>
              <w:jc w:val="center"/>
              <w:rPr>
                <w:rFonts w:ascii="Times New Roman" w:hAnsi="Times New Roman"/>
                <w:b/>
                <w:b/>
                <w:bCs/>
              </w:rPr>
            </w:pPr>
            <w:r>
              <w:rPr>
                <w:b/>
                <w:bCs/>
                <w:kern w:val="0"/>
                <w:lang w:val="en-US" w:eastAsia="en-US" w:bidi="ar-SA"/>
              </w:rPr>
              <w:t>2013</w:t>
            </w:r>
          </w:p>
        </w:tc>
        <w:tc>
          <w:tcPr>
            <w:tcW w:w="1321" w:type="dxa"/>
            <w:tcBorders/>
            <w:shd w:color="auto" w:fill="8DB3E2" w:val="clear"/>
            <w:vAlign w:val="center"/>
          </w:tcPr>
          <w:p>
            <w:pPr>
              <w:pStyle w:val="Normal"/>
              <w:widowControl w:val="false"/>
              <w:tabs>
                <w:tab w:val="clear" w:pos="720"/>
                <w:tab w:val="left" w:pos="1935" w:leader="none"/>
              </w:tabs>
              <w:spacing w:before="40" w:after="40"/>
              <w:jc w:val="center"/>
              <w:rPr>
                <w:rFonts w:ascii="Times New Roman" w:hAnsi="Times New Roman"/>
                <w:b/>
                <w:b/>
                <w:bCs/>
              </w:rPr>
            </w:pPr>
            <w:r>
              <w:rPr>
                <w:b/>
                <w:bCs/>
                <w:kern w:val="0"/>
                <w:lang w:val="en-US" w:eastAsia="en-US" w:bidi="ar-SA"/>
              </w:rPr>
              <w:t>2014</w:t>
            </w:r>
          </w:p>
        </w:tc>
        <w:tc>
          <w:tcPr>
            <w:tcW w:w="1388" w:type="dxa"/>
            <w:tcBorders/>
            <w:shd w:color="auto" w:fill="8DB3E2" w:val="clear"/>
            <w:vAlign w:val="center"/>
          </w:tcPr>
          <w:p>
            <w:pPr>
              <w:pStyle w:val="Normal"/>
              <w:widowControl w:val="false"/>
              <w:tabs>
                <w:tab w:val="clear" w:pos="720"/>
                <w:tab w:val="left" w:pos="1935" w:leader="none"/>
              </w:tabs>
              <w:spacing w:before="40" w:after="40"/>
              <w:jc w:val="center"/>
              <w:rPr>
                <w:rFonts w:ascii="Times New Roman" w:hAnsi="Times New Roman"/>
                <w:b/>
                <w:b/>
                <w:bCs/>
              </w:rPr>
            </w:pPr>
            <w:r>
              <w:rPr>
                <w:b/>
                <w:bCs/>
                <w:kern w:val="0"/>
                <w:lang w:val="en-US" w:eastAsia="en-US" w:bidi="ar-SA"/>
              </w:rPr>
              <w:t>2015</w:t>
            </w:r>
          </w:p>
        </w:tc>
      </w:tr>
      <w:tr>
        <w:trPr/>
        <w:tc>
          <w:tcPr>
            <w:tcW w:w="2498" w:type="dxa"/>
            <w:tcBorders/>
            <w:shd w:color="auto" w:fill="FBD4B4" w:val="clear"/>
            <w:vAlign w:val="center"/>
          </w:tcPr>
          <w:p>
            <w:pPr>
              <w:pStyle w:val="Normal"/>
              <w:widowControl w:val="false"/>
              <w:tabs>
                <w:tab w:val="clear" w:pos="720"/>
                <w:tab w:val="left" w:pos="1935" w:leader="none"/>
              </w:tabs>
              <w:spacing w:before="40" w:after="40"/>
              <w:jc w:val="left"/>
              <w:rPr>
                <w:rFonts w:ascii="Times New Roman" w:hAnsi="Times New Roman"/>
                <w:b/>
                <w:b/>
                <w:bCs/>
              </w:rPr>
            </w:pPr>
            <w:r>
              <w:rPr>
                <w:b/>
                <w:bCs/>
                <w:kern w:val="0"/>
                <w:lang w:val="en-US" w:eastAsia="en-US" w:bidi="ar-SA"/>
              </w:rPr>
              <w:t>HFC</w:t>
              <w:tab/>
            </w:r>
          </w:p>
        </w:tc>
        <w:tc>
          <w:tcPr>
            <w:tcW w:w="1321" w:type="dxa"/>
            <w:tcBorders/>
            <w:shd w:color="auto" w:fill="FBD4B4" w:val="clear"/>
            <w:vAlign w:val="center"/>
          </w:tcPr>
          <w:p>
            <w:pPr>
              <w:pStyle w:val="Normal"/>
              <w:widowControl w:val="false"/>
              <w:tabs>
                <w:tab w:val="clear" w:pos="720"/>
                <w:tab w:val="left" w:pos="1935" w:leader="none"/>
              </w:tabs>
              <w:spacing w:before="40" w:after="40"/>
              <w:jc w:val="right"/>
              <w:rPr>
                <w:rFonts w:ascii="Times New Roman" w:hAnsi="Times New Roman"/>
              </w:rPr>
            </w:pPr>
            <w:r>
              <w:rPr>
                <w:kern w:val="0"/>
                <w:lang w:val="en-US" w:eastAsia="en-US" w:bidi="ar-SA"/>
              </w:rPr>
            </w:r>
          </w:p>
        </w:tc>
        <w:tc>
          <w:tcPr>
            <w:tcW w:w="1169" w:type="dxa"/>
            <w:tcBorders/>
            <w:shd w:color="auto" w:fill="FBD4B4" w:val="clear"/>
            <w:vAlign w:val="center"/>
          </w:tcPr>
          <w:p>
            <w:pPr>
              <w:pStyle w:val="Normal"/>
              <w:widowControl w:val="false"/>
              <w:tabs>
                <w:tab w:val="clear" w:pos="720"/>
                <w:tab w:val="left" w:pos="1935" w:leader="none"/>
              </w:tabs>
              <w:spacing w:before="40" w:after="40"/>
              <w:jc w:val="right"/>
              <w:rPr>
                <w:rFonts w:ascii="Times New Roman" w:hAnsi="Times New Roman"/>
              </w:rPr>
            </w:pPr>
            <w:r>
              <w:rPr>
                <w:kern w:val="0"/>
                <w:lang w:val="en-US" w:eastAsia="en-US" w:bidi="ar-SA"/>
              </w:rPr>
            </w:r>
          </w:p>
        </w:tc>
        <w:tc>
          <w:tcPr>
            <w:tcW w:w="1320" w:type="dxa"/>
            <w:tcBorders/>
            <w:shd w:color="auto" w:fill="FBD4B4" w:val="clear"/>
            <w:vAlign w:val="center"/>
          </w:tcPr>
          <w:p>
            <w:pPr>
              <w:pStyle w:val="Normal"/>
              <w:widowControl w:val="false"/>
              <w:tabs>
                <w:tab w:val="clear" w:pos="720"/>
                <w:tab w:val="left" w:pos="1935" w:leader="none"/>
              </w:tabs>
              <w:spacing w:before="40" w:after="40"/>
              <w:jc w:val="right"/>
              <w:rPr>
                <w:rFonts w:ascii="Times New Roman" w:hAnsi="Times New Roman"/>
              </w:rPr>
            </w:pPr>
            <w:r>
              <w:rPr>
                <w:kern w:val="0"/>
                <w:lang w:val="en-US" w:eastAsia="en-US" w:bidi="ar-SA"/>
              </w:rPr>
            </w:r>
          </w:p>
        </w:tc>
        <w:tc>
          <w:tcPr>
            <w:tcW w:w="1321" w:type="dxa"/>
            <w:tcBorders/>
            <w:shd w:color="auto" w:fill="FBD4B4" w:val="clear"/>
            <w:vAlign w:val="center"/>
          </w:tcPr>
          <w:p>
            <w:pPr>
              <w:pStyle w:val="Normal"/>
              <w:widowControl w:val="false"/>
              <w:tabs>
                <w:tab w:val="clear" w:pos="720"/>
                <w:tab w:val="left" w:pos="1935" w:leader="none"/>
              </w:tabs>
              <w:spacing w:before="40" w:after="40"/>
              <w:jc w:val="right"/>
              <w:rPr>
                <w:rFonts w:ascii="Times New Roman" w:hAnsi="Times New Roman"/>
              </w:rPr>
            </w:pPr>
            <w:r>
              <w:rPr>
                <w:kern w:val="0"/>
                <w:lang w:val="en-US" w:eastAsia="en-US" w:bidi="ar-SA"/>
              </w:rPr>
            </w:r>
          </w:p>
        </w:tc>
        <w:tc>
          <w:tcPr>
            <w:tcW w:w="1388" w:type="dxa"/>
            <w:tcBorders/>
            <w:shd w:color="auto" w:fill="FBD4B4" w:val="clear"/>
            <w:vAlign w:val="center"/>
          </w:tcPr>
          <w:p>
            <w:pPr>
              <w:pStyle w:val="Normal"/>
              <w:widowControl w:val="false"/>
              <w:tabs>
                <w:tab w:val="clear" w:pos="720"/>
                <w:tab w:val="left" w:pos="1935" w:leader="none"/>
              </w:tabs>
              <w:spacing w:before="40" w:after="40"/>
              <w:jc w:val="right"/>
              <w:rPr>
                <w:rFonts w:ascii="Times New Roman" w:hAnsi="Times New Roman"/>
              </w:rPr>
            </w:pPr>
            <w:r>
              <w:rPr>
                <w:kern w:val="0"/>
                <w:lang w:val="en-US" w:eastAsia="en-US" w:bidi="ar-SA"/>
              </w:rPr>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HFC 23</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0.08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0.17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16.21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1.43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0.04 </w:t>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HFC 32</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10.61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32.87 </w:t>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HFC 125</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1.53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1.50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1.60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2.00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2.00 </w:t>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HFC 134a</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360.63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464.26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586.86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784.79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999.61 </w:t>
            </w:r>
          </w:p>
        </w:tc>
      </w:tr>
      <w:tr>
        <w:trPr>
          <w:trHeight w:val="116" w:hRule="atLeast"/>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HFC 152a</w:t>
            </w:r>
          </w:p>
        </w:tc>
        <w:tc>
          <w:tcPr>
            <w:tcW w:w="1321"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 </w:t>
            </w:r>
            <w:r>
              <w:rPr>
                <w:color w:val="000000"/>
                <w:kern w:val="0"/>
                <w:lang w:val="en-US" w:eastAsia="en-US" w:bidi="ar-SA"/>
              </w:rPr>
              <w:t xml:space="preserve">5.12 </w:t>
            </w:r>
          </w:p>
        </w:tc>
        <w:tc>
          <w:tcPr>
            <w:tcW w:w="1169"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w:t>
            </w:r>
          </w:p>
        </w:tc>
        <w:tc>
          <w:tcPr>
            <w:tcW w:w="1320"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w:t>
            </w:r>
          </w:p>
        </w:tc>
        <w:tc>
          <w:tcPr>
            <w:tcW w:w="1321"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w:t>
            </w:r>
          </w:p>
        </w:tc>
        <w:tc>
          <w:tcPr>
            <w:tcW w:w="1388"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w:t>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HFC 227ea</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2.08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2.11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2.10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2.59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3.16 </w:t>
            </w:r>
          </w:p>
        </w:tc>
      </w:tr>
      <w:tr>
        <w:trPr/>
        <w:tc>
          <w:tcPr>
            <w:tcW w:w="2498" w:type="dxa"/>
            <w:tcBorders/>
            <w:shd w:color="auto" w:fill="FBD4B4" w:val="clear"/>
            <w:vAlign w:val="center"/>
          </w:tcPr>
          <w:p>
            <w:pPr>
              <w:pStyle w:val="Normal"/>
              <w:widowControl w:val="false"/>
              <w:spacing w:before="40" w:after="40"/>
              <w:jc w:val="left"/>
              <w:rPr>
                <w:rFonts w:ascii="Times New Roman" w:hAnsi="Times New Roman"/>
                <w:b/>
                <w:b/>
                <w:bCs/>
              </w:rPr>
            </w:pPr>
            <w:r>
              <w:rPr>
                <w:b/>
                <w:bCs/>
                <w:kern w:val="0"/>
                <w:lang w:val="en-US" w:eastAsia="en-US" w:bidi="ar-SA"/>
              </w:rPr>
              <w:t>HFC blends</w:t>
            </w:r>
          </w:p>
        </w:tc>
        <w:tc>
          <w:tcPr>
            <w:tcW w:w="1321"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c>
          <w:tcPr>
            <w:tcW w:w="1169"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c>
          <w:tcPr>
            <w:tcW w:w="1320"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c>
          <w:tcPr>
            <w:tcW w:w="1321"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c>
          <w:tcPr>
            <w:tcW w:w="1388"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R-404a</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25.89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46.44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55.99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70.09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106.40 </w:t>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R-407c</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7.27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16.87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25.76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29.01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63.47 </w:t>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R-410a</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75.13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110.13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195.66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276.54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343.63 </w:t>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R-507c</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1.38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2.09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2.75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4.00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6.12 </w:t>
            </w:r>
          </w:p>
        </w:tc>
      </w:tr>
      <w:tr>
        <w:trPr/>
        <w:tc>
          <w:tcPr>
            <w:tcW w:w="2498" w:type="dxa"/>
            <w:tcBorders/>
            <w:shd w:color="auto" w:fill="FBD4B4" w:val="clear"/>
            <w:vAlign w:val="center"/>
          </w:tcPr>
          <w:p>
            <w:pPr>
              <w:pStyle w:val="Normal"/>
              <w:widowControl w:val="false"/>
              <w:spacing w:before="40" w:after="40"/>
              <w:jc w:val="left"/>
              <w:rPr>
                <w:rFonts w:ascii="Times New Roman" w:hAnsi="Times New Roman"/>
                <w:b/>
                <w:b/>
                <w:bCs/>
              </w:rPr>
            </w:pPr>
            <w:r>
              <w:rPr>
                <w:b/>
                <w:bCs/>
                <w:kern w:val="0"/>
                <w:lang w:val="en-US" w:eastAsia="en-US" w:bidi="ar-SA"/>
              </w:rPr>
              <w:t>Other alternatives</w:t>
            </w:r>
          </w:p>
        </w:tc>
        <w:tc>
          <w:tcPr>
            <w:tcW w:w="1321"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c>
          <w:tcPr>
            <w:tcW w:w="1169"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c>
          <w:tcPr>
            <w:tcW w:w="1320"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c>
          <w:tcPr>
            <w:tcW w:w="1321"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c>
          <w:tcPr>
            <w:tcW w:w="1388" w:type="dxa"/>
            <w:tcBorders/>
            <w:shd w:color="auto" w:fill="FBD4B4" w:val="clear"/>
          </w:tcPr>
          <w:p>
            <w:pPr>
              <w:pStyle w:val="Normal"/>
              <w:widowControl w:val="false"/>
              <w:spacing w:before="40" w:after="40"/>
              <w:jc w:val="right"/>
              <w:rPr>
                <w:rFonts w:ascii="Times New Roman" w:hAnsi="Times New Roman"/>
              </w:rPr>
            </w:pPr>
            <w:r>
              <w:rPr>
                <w:kern w:val="0"/>
                <w:lang w:val="en-US" w:eastAsia="en-US" w:bidi="ar-SA"/>
              </w:rPr>
            </w:r>
          </w:p>
        </w:tc>
      </w:tr>
      <w:tr>
        <w:trPr>
          <w:trHeight w:val="77" w:hRule="atLeast"/>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HC-290</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0.03 </w:t>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HC-600a</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0.49 </w:t>
            </w:r>
          </w:p>
        </w:tc>
        <w:tc>
          <w:tcPr>
            <w:tcW w:w="1169"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1.35 </w:t>
            </w:r>
          </w:p>
        </w:tc>
        <w:tc>
          <w:tcPr>
            <w:tcW w:w="1320"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1.11 </w:t>
            </w:r>
          </w:p>
        </w:tc>
        <w:tc>
          <w:tcPr>
            <w:tcW w:w="1321"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0.83 </w:t>
            </w:r>
          </w:p>
        </w:tc>
        <w:tc>
          <w:tcPr>
            <w:tcW w:w="1388" w:type="dxa"/>
            <w:tcBorders/>
            <w:vAlign w:val="center"/>
          </w:tcPr>
          <w:p>
            <w:pPr>
              <w:pStyle w:val="Normal"/>
              <w:widowControl w:val="false"/>
              <w:spacing w:before="40" w:after="40"/>
              <w:jc w:val="right"/>
              <w:rPr>
                <w:rFonts w:ascii="Times New Roman" w:hAnsi="Times New Roman"/>
              </w:rPr>
            </w:pPr>
            <w:r>
              <w:rPr>
                <w:color w:val="000000"/>
                <w:kern w:val="0"/>
                <w:lang w:val="en-US" w:eastAsia="en-US" w:bidi="ar-SA"/>
              </w:rPr>
              <w:t xml:space="preserve"> </w:t>
            </w:r>
            <w:r>
              <w:rPr>
                <w:color w:val="000000"/>
                <w:kern w:val="0"/>
                <w:lang w:val="en-US" w:eastAsia="en-US" w:bidi="ar-SA"/>
              </w:rPr>
              <w:t xml:space="preserve">1.48 </w:t>
            </w:r>
          </w:p>
        </w:tc>
      </w:tr>
      <w:tr>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CO</w:t>
            </w:r>
            <w:r>
              <w:rPr>
                <w:kern w:val="0"/>
                <w:vertAlign w:val="subscript"/>
                <w:lang w:val="en-US" w:eastAsia="en-US" w:bidi="ar-SA"/>
              </w:rPr>
              <w:t>2</w:t>
            </w:r>
          </w:p>
        </w:tc>
        <w:tc>
          <w:tcPr>
            <w:tcW w:w="1321"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5.11 </w:t>
            </w:r>
          </w:p>
        </w:tc>
        <w:tc>
          <w:tcPr>
            <w:tcW w:w="1169"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5.61 </w:t>
            </w:r>
          </w:p>
        </w:tc>
        <w:tc>
          <w:tcPr>
            <w:tcW w:w="1320"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 </w:t>
            </w:r>
            <w:r>
              <w:rPr>
                <w:color w:val="000000"/>
                <w:kern w:val="0"/>
                <w:lang w:val="en-US" w:eastAsia="en-US" w:bidi="ar-SA"/>
              </w:rPr>
              <w:t xml:space="preserve">5.58 </w:t>
            </w:r>
          </w:p>
        </w:tc>
        <w:tc>
          <w:tcPr>
            <w:tcW w:w="1321"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6.32 </w:t>
            </w:r>
          </w:p>
        </w:tc>
        <w:tc>
          <w:tcPr>
            <w:tcW w:w="1388"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 </w:t>
            </w:r>
            <w:r>
              <w:rPr>
                <w:color w:val="000000"/>
                <w:kern w:val="0"/>
                <w:lang w:val="en-US" w:eastAsia="en-US" w:bidi="ar-SA"/>
              </w:rPr>
              <w:t xml:space="preserve">6.36 </w:t>
            </w:r>
          </w:p>
        </w:tc>
      </w:tr>
      <w:tr>
        <w:trPr>
          <w:trHeight w:val="77" w:hRule="atLeast"/>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NH3</w:t>
            </w:r>
          </w:p>
        </w:tc>
        <w:tc>
          <w:tcPr>
            <w:tcW w:w="1321" w:type="dxa"/>
            <w:tcBorders/>
            <w:vAlign w:val="center"/>
          </w:tcPr>
          <w:p>
            <w:pPr>
              <w:pStyle w:val="Normal"/>
              <w:widowControl w:val="false"/>
              <w:spacing w:before="40" w:after="40"/>
              <w:jc w:val="right"/>
              <w:rPr>
                <w:rFonts w:ascii="Times New Roman" w:hAnsi="Times New Roman"/>
                <w:color w:val="000000"/>
              </w:rPr>
            </w:pPr>
            <w:r>
              <w:rPr>
                <w:bCs/>
                <w:color w:val="000000"/>
                <w:kern w:val="0"/>
                <w:lang w:val="en-US" w:eastAsia="en-US" w:bidi="ar-SA"/>
              </w:rPr>
              <w:t xml:space="preserve"> </w:t>
            </w:r>
            <w:r>
              <w:rPr>
                <w:bCs/>
                <w:color w:val="000000"/>
                <w:kern w:val="0"/>
                <w:lang w:val="en-US" w:eastAsia="en-US" w:bidi="ar-SA"/>
              </w:rPr>
              <w:t xml:space="preserve">324.97 </w:t>
            </w:r>
          </w:p>
        </w:tc>
        <w:tc>
          <w:tcPr>
            <w:tcW w:w="1169" w:type="dxa"/>
            <w:tcBorders/>
            <w:vAlign w:val="center"/>
          </w:tcPr>
          <w:p>
            <w:pPr>
              <w:pStyle w:val="Normal"/>
              <w:widowControl w:val="false"/>
              <w:spacing w:before="40" w:after="40"/>
              <w:jc w:val="right"/>
              <w:rPr>
                <w:rFonts w:ascii="Times New Roman" w:hAnsi="Times New Roman"/>
                <w:color w:val="000000"/>
              </w:rPr>
            </w:pPr>
            <w:r>
              <w:rPr>
                <w:bCs/>
                <w:color w:val="000000"/>
                <w:kern w:val="0"/>
                <w:lang w:val="en-US" w:eastAsia="en-US" w:bidi="ar-SA"/>
              </w:rPr>
              <w:t xml:space="preserve">435.33 </w:t>
            </w:r>
          </w:p>
        </w:tc>
        <w:tc>
          <w:tcPr>
            <w:tcW w:w="1320" w:type="dxa"/>
            <w:tcBorders/>
            <w:vAlign w:val="center"/>
          </w:tcPr>
          <w:p>
            <w:pPr>
              <w:pStyle w:val="Normal"/>
              <w:widowControl w:val="false"/>
              <w:spacing w:before="40" w:after="40"/>
              <w:jc w:val="right"/>
              <w:rPr>
                <w:rFonts w:ascii="Times New Roman" w:hAnsi="Times New Roman"/>
                <w:color w:val="000000"/>
              </w:rPr>
            </w:pPr>
            <w:r>
              <w:rPr>
                <w:bCs/>
                <w:color w:val="000000"/>
                <w:kern w:val="0"/>
                <w:lang w:val="en-US" w:eastAsia="en-US" w:bidi="ar-SA"/>
              </w:rPr>
              <w:t xml:space="preserve"> </w:t>
            </w:r>
            <w:r>
              <w:rPr>
                <w:bCs/>
                <w:color w:val="000000"/>
                <w:kern w:val="0"/>
                <w:lang w:val="en-US" w:eastAsia="en-US" w:bidi="ar-SA"/>
              </w:rPr>
              <w:t xml:space="preserve">331.93 </w:t>
            </w:r>
          </w:p>
        </w:tc>
        <w:tc>
          <w:tcPr>
            <w:tcW w:w="1321" w:type="dxa"/>
            <w:tcBorders/>
            <w:vAlign w:val="center"/>
          </w:tcPr>
          <w:p>
            <w:pPr>
              <w:pStyle w:val="Normal"/>
              <w:widowControl w:val="false"/>
              <w:spacing w:before="40" w:after="40"/>
              <w:jc w:val="right"/>
              <w:rPr>
                <w:rFonts w:ascii="Times New Roman" w:hAnsi="Times New Roman"/>
                <w:color w:val="000000"/>
              </w:rPr>
            </w:pPr>
            <w:r>
              <w:rPr>
                <w:bCs/>
                <w:color w:val="000000"/>
                <w:kern w:val="0"/>
                <w:lang w:val="en-US" w:eastAsia="en-US" w:bidi="ar-SA"/>
              </w:rPr>
              <w:t xml:space="preserve">419.03 </w:t>
            </w:r>
          </w:p>
        </w:tc>
        <w:tc>
          <w:tcPr>
            <w:tcW w:w="1388" w:type="dxa"/>
            <w:tcBorders/>
            <w:vAlign w:val="center"/>
          </w:tcPr>
          <w:p>
            <w:pPr>
              <w:pStyle w:val="Normal"/>
              <w:widowControl w:val="false"/>
              <w:spacing w:before="40" w:after="40"/>
              <w:jc w:val="right"/>
              <w:rPr>
                <w:rFonts w:ascii="Times New Roman" w:hAnsi="Times New Roman"/>
                <w:color w:val="000000"/>
              </w:rPr>
            </w:pPr>
            <w:r>
              <w:rPr>
                <w:bCs/>
                <w:color w:val="000000"/>
                <w:kern w:val="0"/>
                <w:lang w:val="en-US" w:eastAsia="en-US" w:bidi="ar-SA"/>
              </w:rPr>
              <w:t xml:space="preserve">501.90 </w:t>
            </w:r>
          </w:p>
        </w:tc>
      </w:tr>
      <w:tr>
        <w:trPr>
          <w:trHeight w:val="233" w:hRule="atLeast"/>
        </w:trPr>
        <w:tc>
          <w:tcPr>
            <w:tcW w:w="2498" w:type="dxa"/>
            <w:tcBorders/>
            <w:vAlign w:val="center"/>
          </w:tcPr>
          <w:p>
            <w:pPr>
              <w:pStyle w:val="Normal"/>
              <w:widowControl w:val="false"/>
              <w:spacing w:before="40" w:after="40"/>
              <w:jc w:val="left"/>
              <w:rPr>
                <w:rFonts w:ascii="Times New Roman" w:hAnsi="Times New Roman"/>
              </w:rPr>
            </w:pPr>
            <w:r>
              <w:rPr>
                <w:kern w:val="0"/>
                <w:lang w:val="en-US" w:eastAsia="en-US" w:bidi="ar-SA"/>
              </w:rPr>
              <w:t>Foam (fire suppression)</w:t>
            </w:r>
          </w:p>
        </w:tc>
        <w:tc>
          <w:tcPr>
            <w:tcW w:w="1321"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 </w:t>
            </w:r>
            <w:r>
              <w:rPr>
                <w:color w:val="000000"/>
                <w:kern w:val="0"/>
                <w:lang w:val="en-US" w:eastAsia="en-US" w:bidi="ar-SA"/>
              </w:rPr>
              <w:t xml:space="preserve">3.00 </w:t>
            </w:r>
          </w:p>
        </w:tc>
        <w:tc>
          <w:tcPr>
            <w:tcW w:w="1169"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1.00 </w:t>
            </w:r>
          </w:p>
        </w:tc>
        <w:tc>
          <w:tcPr>
            <w:tcW w:w="1320"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 </w:t>
            </w:r>
            <w:r>
              <w:rPr>
                <w:color w:val="000000"/>
                <w:kern w:val="0"/>
                <w:lang w:val="en-US" w:eastAsia="en-US" w:bidi="ar-SA"/>
              </w:rPr>
              <w:t xml:space="preserve">2.00 </w:t>
            </w:r>
          </w:p>
        </w:tc>
        <w:tc>
          <w:tcPr>
            <w:tcW w:w="1321"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2.00 </w:t>
            </w:r>
          </w:p>
        </w:tc>
        <w:tc>
          <w:tcPr>
            <w:tcW w:w="1388" w:type="dxa"/>
            <w:tcBorders/>
            <w:vAlign w:val="center"/>
          </w:tcPr>
          <w:p>
            <w:pPr>
              <w:pStyle w:val="Normal"/>
              <w:widowControl w:val="false"/>
              <w:spacing w:before="40" w:after="40"/>
              <w:jc w:val="right"/>
              <w:rPr>
                <w:rFonts w:ascii="Times New Roman" w:hAnsi="Times New Roman"/>
                <w:color w:val="000000"/>
              </w:rPr>
            </w:pPr>
            <w:r>
              <w:rPr>
                <w:color w:val="000000"/>
                <w:kern w:val="0"/>
                <w:lang w:val="en-US" w:eastAsia="en-US" w:bidi="ar-SA"/>
              </w:rPr>
              <w:t xml:space="preserve"> </w:t>
            </w:r>
            <w:r>
              <w:rPr>
                <w:color w:val="000000"/>
                <w:kern w:val="0"/>
                <w:lang w:val="en-US" w:eastAsia="en-US" w:bidi="ar-SA"/>
              </w:rPr>
              <w:t xml:space="preserve">2.00 </w:t>
            </w:r>
          </w:p>
        </w:tc>
      </w:tr>
    </w:tbl>
    <w:p>
      <w:pPr>
        <w:pStyle w:val="Normal"/>
        <w:spacing w:before="0" w:after="120"/>
        <w:ind w:left="3510" w:firstLine="90"/>
        <w:jc w:val="center"/>
        <w:rPr>
          <w:rFonts w:ascii="Times New Roman" w:hAnsi="Times New Roman" w:eastAsia="Calibri"/>
        </w:rPr>
      </w:pPr>
      <w:r>
        <w:rPr>
          <w:i/>
        </w:rPr>
        <w:t>Source: National Survey of ODS Alternatives, February 2017</w:t>
      </w:r>
    </w:p>
    <w:p>
      <w:pPr>
        <w:pStyle w:val="Normal"/>
        <w:rPr>
          <w:rFonts w:ascii="Times New Roman" w:hAnsi="Times New Roman"/>
        </w:rPr>
      </w:pPr>
      <w:r>
        <w:rPr/>
      </w:r>
    </w:p>
    <w:p>
      <w:pPr>
        <w:pStyle w:val="Normal"/>
        <w:rPr>
          <w:rFonts w:ascii="Times New Roman" w:hAnsi="Times New Roman"/>
        </w:rPr>
      </w:pPr>
      <w:r>
        <w:rPr/>
        <w:t>HFCs and other ODS Alternatives are being used in several sectors, including the Air Conditioning manufacturing and servicing (RAC), the foam, the glass, the automotive and the fire suppression sectors. Among all these sectors, the RAC is currently the most intensive in consumption of HFCs in Viet Nam.</w:t>
      </w:r>
    </w:p>
    <w:p>
      <w:pPr>
        <w:pStyle w:val="Normal"/>
        <w:rPr>
          <w:rFonts w:ascii="Times New Roman" w:hAnsi="Times New Roman"/>
          <w:b/>
          <w:b/>
        </w:rPr>
      </w:pPr>
      <w:r>
        <w:rPr>
          <w:b/>
        </w:rPr>
      </w:r>
      <w:r>
        <w:br w:type="page"/>
      </w:r>
    </w:p>
    <w:p>
      <w:pPr>
        <w:pStyle w:val="Normal"/>
        <w:jc w:val="center"/>
        <w:rPr>
          <w:rFonts w:ascii="Times New Roman" w:hAnsi="Times New Roman"/>
          <w:b/>
          <w:b/>
        </w:rPr>
      </w:pPr>
      <w:r>
        <w:rPr>
          <w:b/>
        </w:rPr>
        <w:t>Consumption of HFCs and HFC-blends by sectors in 2015</w:t>
      </w:r>
    </w:p>
    <w:p>
      <w:pPr>
        <w:pStyle w:val="Normal"/>
        <w:jc w:val="center"/>
        <w:rPr>
          <w:rFonts w:ascii="Times New Roman" w:hAnsi="Times New Roman"/>
        </w:rPr>
      </w:pPr>
      <w:r>
        <w:rPr/>
        <w:drawing>
          <wp:inline distT="0" distB="0" distL="0" distR="0">
            <wp:extent cx="5276850" cy="3561080"/>
            <wp:effectExtent l="0" t="0" r="0" b="0"/>
            <wp:docPr id="19" name="Object1" descr="OLE-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ject1" descr="OLE-object"/>
                    <pic:cNvPicPr>
                      <a:picLocks noChangeAspect="1" noChangeArrowheads="1"/>
                    </pic:cNvPicPr>
                  </pic:nvPicPr>
                  <pic:blipFill>
                    <a:blip/>
                    <a:stretch>
                      <a:fillRect/>
                    </a:stretch>
                  </pic:blipFill>
                  <pic:spPr bwMode="auto">
                    <a:xfrm>
                      <a:off x="0" y="0"/>
                      <a:ext cx="5276850" cy="3561080"/>
                    </a:xfrm>
                    <a:prstGeom prst="rect">
                      <a:avLst/>
                    </a:prstGeom>
                  </pic:spPr>
                </pic:pic>
              </a:graphicData>
            </a:graphic>
          </wp:inline>
        </w:drawing>
      </w:r>
    </w:p>
    <w:p>
      <w:pPr>
        <w:pStyle w:val="Normal"/>
        <w:ind w:left="2880" w:firstLine="720"/>
        <w:rPr>
          <w:rFonts w:ascii="Times New Roman" w:hAnsi="Times New Roman"/>
        </w:rPr>
      </w:pPr>
      <w:r>
        <w:rPr>
          <w:i/>
        </w:rPr>
        <w:t>Source: National Survey of ODS Alternatives, February 2017</w:t>
      </w:r>
    </w:p>
    <w:p>
      <w:pPr>
        <w:pStyle w:val="Normal"/>
        <w:rPr>
          <w:rFonts w:ascii="Times New Roman" w:hAnsi="Times New Roman"/>
          <w:b/>
          <w:b/>
        </w:rPr>
      </w:pPr>
      <w:r>
        <w:rPr>
          <w:b/>
        </w:rPr>
      </w:r>
    </w:p>
    <w:p>
      <w:pPr>
        <w:pStyle w:val="Normal"/>
        <w:rPr>
          <w:rFonts w:ascii="Times New Roman" w:hAnsi="Times New Roman"/>
          <w:b/>
          <w:b/>
        </w:rPr>
      </w:pPr>
      <w:r>
        <w:rPr>
          <w:b/>
        </w:rPr>
        <w:t>2. OBJECTIVES</w:t>
      </w:r>
    </w:p>
    <w:p>
      <w:pPr>
        <w:pStyle w:val="Normal"/>
        <w:rPr>
          <w:rFonts w:ascii="Times New Roman" w:hAnsi="Times New Roman"/>
        </w:rPr>
      </w:pPr>
      <w:r>
        <w:rPr/>
        <w:t>Under the Kigali Amendment, the phase-down schedule for HFCs for the countries like Viet Nam consists of 5 steps, including freezing from 2024 to 2028, 10% reduction from 2029 to 2034, 30% reduction from 2035 to 2039, 50% reduction from 2040 to 2044 and 80% reduction from 2045 onwards.</w:t>
      </w:r>
    </w:p>
    <w:p>
      <w:pPr>
        <w:pStyle w:val="Normal"/>
        <w:rPr>
          <w:rFonts w:ascii="Times New Roman" w:hAnsi="Times New Roman"/>
        </w:rPr>
      </w:pPr>
      <w:r>
        <w:rPr/>
        <w:t>The project consists of a range of enabling activities with the objective to facilitate and support the early ratification of the Kigali Amendment as well as country-specific activities and national strategies in order to prepare for and to fulfil the above mentioned HFC phase-down schedule. Priorities of enabling activities will be as follow:</w:t>
      </w:r>
    </w:p>
    <w:p>
      <w:pPr>
        <w:pStyle w:val="ListParagraph"/>
        <w:widowControl/>
        <w:numPr>
          <w:ilvl w:val="0"/>
          <w:numId w:val="23"/>
        </w:numPr>
        <w:spacing w:lineRule="auto" w:line="276" w:before="0" w:after="200"/>
        <w:contextualSpacing/>
        <w:rPr>
          <w:rFonts w:ascii="Times New Roman" w:hAnsi="Times New Roman"/>
        </w:rPr>
      </w:pPr>
      <w:r>
        <w:rPr/>
        <w:t>Cost and Benefit Analysis when Vietnam ratifies the Kigali Amendment to the Montreal Protocol</w:t>
      </w:r>
    </w:p>
    <w:p>
      <w:pPr>
        <w:pStyle w:val="ListParagraph"/>
        <w:widowControl/>
        <w:numPr>
          <w:ilvl w:val="0"/>
          <w:numId w:val="23"/>
        </w:numPr>
        <w:spacing w:lineRule="auto" w:line="276" w:before="0" w:after="200"/>
        <w:contextualSpacing/>
        <w:rPr>
          <w:rFonts w:ascii="Times New Roman" w:hAnsi="Times New Roman"/>
        </w:rPr>
      </w:pPr>
      <w:r>
        <w:rPr/>
        <w:t>Country-specific activities aimed at initiating supporting institutional arrangements</w:t>
      </w:r>
    </w:p>
    <w:p>
      <w:pPr>
        <w:pStyle w:val="ListParagraph"/>
        <w:widowControl/>
        <w:numPr>
          <w:ilvl w:val="0"/>
          <w:numId w:val="23"/>
        </w:numPr>
        <w:spacing w:lineRule="auto" w:line="276" w:before="0" w:after="200"/>
        <w:contextualSpacing/>
        <w:rPr>
          <w:rFonts w:ascii="Times New Roman" w:hAnsi="Times New Roman"/>
        </w:rPr>
      </w:pPr>
      <w:r>
        <w:rPr/>
        <w:t>Data reporting on HFC consumption</w:t>
      </w:r>
    </w:p>
    <w:p>
      <w:pPr>
        <w:pStyle w:val="Normal"/>
        <w:rPr>
          <w:rFonts w:ascii="Times New Roman" w:hAnsi="Times New Roman"/>
        </w:rPr>
      </w:pPr>
      <w:r>
        <w:rPr/>
      </w:r>
    </w:p>
    <w:p>
      <w:pPr>
        <w:pStyle w:val="Normal"/>
        <w:rPr>
          <w:rFonts w:ascii="Times New Roman" w:hAnsi="Times New Roman"/>
        </w:rPr>
      </w:pPr>
      <w:r>
        <w:rPr/>
        <w:t>At the moment, Vietnam is carrying out the socio-economic impact assessment of the Kigali Amendment to the national conditions. As a result from the survey, the Government of Viet Nam received recommendations that from the moment the phase-down of HFCs starts, an import/export licensing system of HFCs to control the import volumes and the usage shall be in function in order to meet the reporting obligations under the MP. The establishment of such a mechanism will be taken into consideration for this project.</w:t>
      </w:r>
    </w:p>
    <w:p>
      <w:pPr>
        <w:pStyle w:val="Normal"/>
        <w:rPr>
          <w:rFonts w:ascii="Times New Roman" w:hAnsi="Times New Roman"/>
          <w:b/>
          <w:b/>
        </w:rPr>
      </w:pPr>
      <w:r>
        <w:rPr>
          <w:b/>
        </w:rPr>
      </w:r>
    </w:p>
    <w:p>
      <w:pPr>
        <w:pStyle w:val="Normal"/>
        <w:rPr>
          <w:rFonts w:ascii="Times New Roman" w:hAnsi="Times New Roman"/>
          <w:b/>
          <w:b/>
        </w:rPr>
      </w:pPr>
      <w:r>
        <w:rPr>
          <w:b/>
        </w:rPr>
        <w:t>3. PROPOSED APPROACH AND ACTIVITIES</w:t>
      </w:r>
    </w:p>
    <w:p>
      <w:pPr>
        <w:pStyle w:val="Normal"/>
        <w:widowControl/>
        <w:numPr>
          <w:ilvl w:val="0"/>
          <w:numId w:val="63"/>
        </w:numPr>
        <w:spacing w:lineRule="auto" w:line="276" w:before="0" w:after="200"/>
        <w:rPr>
          <w:rFonts w:ascii="Times New Roman" w:hAnsi="Times New Roman"/>
          <w:bCs/>
          <w:u w:val="single"/>
        </w:rPr>
      </w:pPr>
      <w:r>
        <w:rPr>
          <w:bCs/>
          <w:u w:val="single"/>
        </w:rPr>
        <w:t xml:space="preserve">Activities to facilitate and support the early ratification of the Kigali Amendment </w:t>
      </w:r>
    </w:p>
    <w:p>
      <w:pPr>
        <w:pStyle w:val="Normal"/>
        <w:rPr>
          <w:rFonts w:ascii="Times New Roman" w:hAnsi="Times New Roman"/>
          <w:lang w:val="en-GB"/>
        </w:rPr>
      </w:pPr>
      <w:r>
        <w:rPr/>
        <w:t xml:space="preserve">The National Ozone Unit will facilitate the ratification process by engaging with legislators and all relevant stakeholders and provide the required data, information and background documents to the ratification institutions. </w:t>
      </w:r>
      <w:r>
        <w:rPr>
          <w:lang w:val="en-GB"/>
        </w:rPr>
        <w:t>In order to disseminate the new commitments of Vietnam under the Montreal Protocol and the possible effects of the Kigali Amendment, an informative workshop is planned aiming to the private sector, industry and their associations, academia, ministries, government agencies and public institutions, NGOs and groups responsible for labour safety, gender policies and other public subjects such as customer associations and youth employment. Moreover, the project will aim at producing outreach materials to demonstrate the impact and benefits of the Kigali amendment both Vietnam and in the global area, providing supporting the documentation of the project looking forward to the HFC phase-down.</w:t>
      </w:r>
    </w:p>
    <w:tbl>
      <w:tblPr>
        <w:tblStyle w:val="TableGrid"/>
        <w:tblW w:w="960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377"/>
        <w:gridCol w:w="2304"/>
        <w:gridCol w:w="2255"/>
        <w:gridCol w:w="2671"/>
      </w:tblGrid>
      <w:tr>
        <w:trPr/>
        <w:tc>
          <w:tcPr>
            <w:tcW w:w="2377"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Activities</w:t>
            </w:r>
          </w:p>
        </w:tc>
        <w:tc>
          <w:tcPr>
            <w:tcW w:w="2304"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Target group</w:t>
            </w:r>
          </w:p>
        </w:tc>
        <w:tc>
          <w:tcPr>
            <w:tcW w:w="2255"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Milestones</w:t>
            </w:r>
          </w:p>
        </w:tc>
        <w:tc>
          <w:tcPr>
            <w:tcW w:w="2671"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Expected outputs</w:t>
            </w:r>
          </w:p>
        </w:tc>
      </w:tr>
      <w:tr>
        <w:trPr/>
        <w:tc>
          <w:tcPr>
            <w:tcW w:w="2377" w:type="dxa"/>
            <w:tcBorders/>
          </w:tcPr>
          <w:p>
            <w:pPr>
              <w:pStyle w:val="Normal"/>
              <w:widowControl w:val="false"/>
              <w:spacing w:before="0" w:after="0"/>
              <w:jc w:val="left"/>
              <w:rPr>
                <w:rFonts w:ascii="Times New Roman" w:hAnsi="Times New Roman"/>
              </w:rPr>
            </w:pPr>
            <w:r>
              <w:rPr>
                <w:kern w:val="0"/>
                <w:lang w:val="en-US" w:eastAsia="en-US" w:bidi="ar-SA"/>
              </w:rPr>
              <w:t>1.1 Roadmap for ratification including cost and benefit analysis and LCA on the impact of the ratification</w:t>
            </w:r>
          </w:p>
        </w:tc>
        <w:tc>
          <w:tcPr>
            <w:tcW w:w="2304" w:type="dxa"/>
            <w:tcBorders/>
          </w:tcPr>
          <w:p>
            <w:pPr>
              <w:pStyle w:val="Normal"/>
              <w:widowControl w:val="false"/>
              <w:spacing w:before="0" w:after="0"/>
              <w:jc w:val="left"/>
              <w:rPr>
                <w:rFonts w:ascii="Times New Roman" w:hAnsi="Times New Roman"/>
              </w:rPr>
            </w:pPr>
            <w:r>
              <w:rPr>
                <w:kern w:val="0"/>
                <w:lang w:val="en-US" w:eastAsia="en-US" w:bidi="ar-SA"/>
              </w:rPr>
              <w:t>Related ministries and legislators</w:t>
            </w:r>
          </w:p>
        </w:tc>
        <w:tc>
          <w:tcPr>
            <w:tcW w:w="2255" w:type="dxa"/>
            <w:tcBorders/>
          </w:tcPr>
          <w:p>
            <w:pPr>
              <w:pStyle w:val="Normal"/>
              <w:widowControl w:val="false"/>
              <w:spacing w:before="0" w:after="0"/>
              <w:jc w:val="left"/>
              <w:rPr>
                <w:rFonts w:ascii="Times New Roman" w:hAnsi="Times New Roman"/>
              </w:rPr>
            </w:pPr>
            <w:r>
              <w:rPr>
                <w:kern w:val="0"/>
                <w:lang w:val="en-US" w:eastAsia="en-US" w:bidi="ar-SA"/>
              </w:rPr>
              <w:t xml:space="preserve">Assessment/roadmap prepared, supporting documents distributed among ministries and legislators </w:t>
            </w:r>
          </w:p>
        </w:tc>
        <w:tc>
          <w:tcPr>
            <w:tcW w:w="2671" w:type="dxa"/>
            <w:tcBorders/>
          </w:tcPr>
          <w:p>
            <w:pPr>
              <w:pStyle w:val="Normal"/>
              <w:widowControl w:val="false"/>
              <w:spacing w:before="0" w:after="0"/>
              <w:jc w:val="left"/>
              <w:rPr>
                <w:rFonts w:ascii="Times New Roman" w:hAnsi="Times New Roman"/>
              </w:rPr>
            </w:pPr>
            <w:r>
              <w:rPr>
                <w:kern w:val="0"/>
                <w:lang w:val="en-US" w:eastAsia="en-US" w:bidi="ar-SA"/>
              </w:rPr>
              <w:t xml:space="preserve">Legislators have all necessary background data and knowledge on implication of the Kigali amendment </w:t>
            </w:r>
          </w:p>
        </w:tc>
      </w:tr>
      <w:tr>
        <w:trPr/>
        <w:tc>
          <w:tcPr>
            <w:tcW w:w="2377" w:type="dxa"/>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1.2 Coordination with Government representatives </w:t>
            </w:r>
            <w:r>
              <w:rPr>
                <w:kern w:val="0"/>
                <w:lang w:val="en-GB" w:eastAsia="en-US" w:bidi="ar-SA"/>
              </w:rPr>
              <w:t>and preparation of background documents</w:t>
            </w:r>
          </w:p>
        </w:tc>
        <w:tc>
          <w:tcPr>
            <w:tcW w:w="2304" w:type="dxa"/>
            <w:tcBorders/>
          </w:tcPr>
          <w:p>
            <w:pPr>
              <w:pStyle w:val="Normal"/>
              <w:widowControl w:val="false"/>
              <w:spacing w:lineRule="auto" w:line="276" w:before="0" w:after="200"/>
              <w:jc w:val="left"/>
              <w:rPr>
                <w:rFonts w:ascii="Times New Roman" w:hAnsi="Times New Roman"/>
              </w:rPr>
            </w:pPr>
            <w:r>
              <w:rPr>
                <w:kern w:val="0"/>
                <w:lang w:val="en-US" w:eastAsia="en-US" w:bidi="ar-SA"/>
              </w:rPr>
              <w:t>Related ministries and legislators</w:t>
            </w:r>
          </w:p>
        </w:tc>
        <w:tc>
          <w:tcPr>
            <w:tcW w:w="2255" w:type="dxa"/>
            <w:tcBorders/>
          </w:tcPr>
          <w:p>
            <w:pPr>
              <w:pStyle w:val="Normal"/>
              <w:widowControl w:val="false"/>
              <w:spacing w:lineRule="auto" w:line="276" w:before="0" w:after="200"/>
              <w:jc w:val="left"/>
              <w:rPr>
                <w:rFonts w:ascii="Times New Roman" w:hAnsi="Times New Roman"/>
              </w:rPr>
            </w:pPr>
            <w:r>
              <w:rPr>
                <w:kern w:val="0"/>
                <w:lang w:val="en-US" w:eastAsia="en-US" w:bidi="ar-SA"/>
              </w:rPr>
              <w:t>Meeting with ministries’ representatives and legislators conducted, supporting documents distributed among ministries and legislators</w:t>
            </w:r>
          </w:p>
        </w:tc>
        <w:tc>
          <w:tcPr>
            <w:tcW w:w="2671" w:type="dxa"/>
            <w:tcBorders/>
          </w:tcPr>
          <w:p>
            <w:pPr>
              <w:pStyle w:val="Normal"/>
              <w:widowControl w:val="false"/>
              <w:spacing w:lineRule="auto" w:line="276" w:before="0" w:after="200"/>
              <w:jc w:val="left"/>
              <w:rPr>
                <w:rFonts w:ascii="Times New Roman" w:hAnsi="Times New Roman"/>
              </w:rPr>
            </w:pPr>
            <w:r>
              <w:rPr>
                <w:kern w:val="0"/>
                <w:lang w:val="en-US" w:eastAsia="en-US" w:bidi="ar-SA"/>
              </w:rPr>
              <w:t>Roles and tasks for the ratification of the amendment distributed among relevant stakeholders, legislators have all necessary documents for the vote on the amendment’ s ratification</w:t>
            </w:r>
          </w:p>
        </w:tc>
      </w:tr>
      <w:tr>
        <w:trPr/>
        <w:tc>
          <w:tcPr>
            <w:tcW w:w="2377" w:type="dxa"/>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1.3 Awareness raising of stakeholders on HFC-phase down </w:t>
            </w:r>
          </w:p>
        </w:tc>
        <w:tc>
          <w:tcPr>
            <w:tcW w:w="2304" w:type="dxa"/>
            <w:tcBorders/>
          </w:tcPr>
          <w:p>
            <w:pPr>
              <w:pStyle w:val="Normal"/>
              <w:widowControl w:val="false"/>
              <w:spacing w:lineRule="auto" w:line="276" w:before="0" w:after="200"/>
              <w:jc w:val="left"/>
              <w:rPr>
                <w:rFonts w:ascii="Times New Roman" w:hAnsi="Times New Roman"/>
              </w:rPr>
            </w:pPr>
            <w:r>
              <w:rPr>
                <w:kern w:val="0"/>
                <w:lang w:val="en-US" w:eastAsia="en-US" w:bidi="ar-SA"/>
              </w:rPr>
              <w:t>Legislators and public society (stakeholders)</w:t>
            </w:r>
          </w:p>
        </w:tc>
        <w:tc>
          <w:tcPr>
            <w:tcW w:w="2255" w:type="dxa"/>
            <w:tcBorders/>
          </w:tcPr>
          <w:p>
            <w:pPr>
              <w:pStyle w:val="Normal"/>
              <w:widowControl w:val="false"/>
              <w:spacing w:lineRule="auto" w:line="276" w:before="0" w:after="200"/>
              <w:jc w:val="left"/>
              <w:rPr>
                <w:rFonts w:ascii="Times New Roman" w:hAnsi="Times New Roman"/>
              </w:rPr>
            </w:pPr>
            <w:r>
              <w:rPr>
                <w:kern w:val="0"/>
                <w:lang w:val="en-US" w:eastAsia="en-US" w:bidi="ar-SA"/>
              </w:rPr>
              <w:t>Kigali Amendment informative conference at the Ozone Day 2018 conducted, fact sheets and case studies on transitioning to low-GWP alternatives in various applications prepared and distributed</w:t>
            </w:r>
          </w:p>
        </w:tc>
        <w:tc>
          <w:tcPr>
            <w:tcW w:w="2671" w:type="dxa"/>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Legislators have the support of all relevant stakeholders for the vote on the amendment’ s ratification </w:t>
            </w:r>
          </w:p>
        </w:tc>
      </w:tr>
    </w:tbl>
    <w:p>
      <w:pPr>
        <w:pStyle w:val="Normal"/>
        <w:ind w:left="1134" w:hanging="414"/>
        <w:rPr>
          <w:rFonts w:ascii="Times New Roman" w:hAnsi="Times New Roman"/>
          <w:bCs/>
          <w:lang w:val="en-GB"/>
        </w:rPr>
      </w:pPr>
      <w:r>
        <w:rPr>
          <w:bCs/>
          <w:lang w:val="en-GB"/>
        </w:rPr>
      </w:r>
    </w:p>
    <w:p>
      <w:pPr>
        <w:pStyle w:val="Normal"/>
        <w:ind w:left="1134" w:hanging="414"/>
        <w:rPr>
          <w:rFonts w:ascii="Times New Roman" w:hAnsi="Times New Roman"/>
          <w:bCs/>
          <w:lang w:val="en-GB"/>
        </w:rPr>
      </w:pPr>
      <w:r>
        <w:rPr>
          <w:bCs/>
          <w:lang w:val="en-GB"/>
        </w:rPr>
        <w:t>b.</w:t>
        <w:tab/>
      </w:r>
      <w:r>
        <w:rPr>
          <w:bCs/>
          <w:u w:val="single"/>
          <w:lang w:val="en-GB"/>
        </w:rPr>
        <w:t xml:space="preserve">Initial activities identified in paragraph 20 of decision XXVIII/2, </w:t>
      </w:r>
    </w:p>
    <w:p>
      <w:pPr>
        <w:pStyle w:val="Normal"/>
        <w:widowControl/>
        <w:numPr>
          <w:ilvl w:val="1"/>
          <w:numId w:val="64"/>
        </w:numPr>
        <w:spacing w:lineRule="auto" w:line="276" w:before="0" w:after="200"/>
        <w:rPr>
          <w:rFonts w:ascii="Times New Roman" w:hAnsi="Times New Roman"/>
          <w:i/>
          <w:i/>
        </w:rPr>
      </w:pPr>
      <w:r>
        <w:rPr>
          <w:bCs/>
          <w:i/>
        </w:rPr>
        <w:t>Country-specific activities aimed at initiating supporting institutional arrangements</w:t>
      </w:r>
    </w:p>
    <w:p>
      <w:pPr>
        <w:pStyle w:val="Normal"/>
        <w:rPr>
          <w:rFonts w:ascii="Times New Roman" w:hAnsi="Times New Roman"/>
          <w:bCs/>
        </w:rPr>
      </w:pPr>
      <w:r>
        <w:rPr>
          <w:bCs/>
        </w:rPr>
        <w:t>Institutional arrangement is what integrates analysis and decision-making tools, and it is the precondition of a successful ratification. In order to facilitate the process, the following activities are planned for the below target groups:</w:t>
      </w:r>
    </w:p>
    <w:tbl>
      <w:tblPr>
        <w:tblStyle w:val="TableGrid"/>
        <w:tblW w:w="965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576"/>
        <w:gridCol w:w="2161"/>
        <w:gridCol w:w="2159"/>
        <w:gridCol w:w="2757"/>
      </w:tblGrid>
      <w:tr>
        <w:trPr/>
        <w:tc>
          <w:tcPr>
            <w:tcW w:w="2576" w:type="dxa"/>
            <w:tcBorders/>
            <w:vAlign w:val="center"/>
          </w:tcPr>
          <w:p>
            <w:pPr>
              <w:pStyle w:val="Normal"/>
              <w:widowControl w:val="false"/>
              <w:spacing w:lineRule="auto" w:line="276" w:before="0" w:after="200"/>
              <w:jc w:val="left"/>
              <w:rPr>
                <w:rFonts w:ascii="Times New Roman" w:hAnsi="Times New Roman"/>
                <w:b/>
                <w:b/>
              </w:rPr>
            </w:pPr>
            <w:r>
              <w:rPr>
                <w:b/>
                <w:kern w:val="0"/>
                <w:lang w:val="en-US" w:eastAsia="en-US" w:bidi="ar-SA"/>
              </w:rPr>
              <w:t>Activities</w:t>
            </w:r>
          </w:p>
        </w:tc>
        <w:tc>
          <w:tcPr>
            <w:tcW w:w="2161" w:type="dxa"/>
            <w:tcBorders/>
            <w:vAlign w:val="center"/>
          </w:tcPr>
          <w:p>
            <w:pPr>
              <w:pStyle w:val="Normal"/>
              <w:widowControl w:val="false"/>
              <w:spacing w:lineRule="auto" w:line="276" w:before="0" w:after="200"/>
              <w:jc w:val="left"/>
              <w:rPr>
                <w:rFonts w:ascii="Times New Roman" w:hAnsi="Times New Roman"/>
                <w:b/>
                <w:b/>
              </w:rPr>
            </w:pPr>
            <w:r>
              <w:rPr>
                <w:b/>
                <w:kern w:val="0"/>
                <w:lang w:val="en-US" w:eastAsia="en-US" w:bidi="ar-SA"/>
              </w:rPr>
              <w:t>Target group</w:t>
            </w:r>
          </w:p>
        </w:tc>
        <w:tc>
          <w:tcPr>
            <w:tcW w:w="2159" w:type="dxa"/>
            <w:tcBorders/>
            <w:vAlign w:val="center"/>
          </w:tcPr>
          <w:p>
            <w:pPr>
              <w:pStyle w:val="Normal"/>
              <w:widowControl w:val="false"/>
              <w:spacing w:lineRule="auto" w:line="276" w:before="0" w:after="200"/>
              <w:jc w:val="left"/>
              <w:rPr>
                <w:rFonts w:ascii="Times New Roman" w:hAnsi="Times New Roman"/>
                <w:b/>
                <w:b/>
              </w:rPr>
            </w:pPr>
            <w:r>
              <w:rPr>
                <w:b/>
                <w:kern w:val="0"/>
                <w:lang w:val="en-US" w:eastAsia="en-US" w:bidi="ar-SA"/>
              </w:rPr>
              <w:t>Milestones</w:t>
            </w:r>
          </w:p>
        </w:tc>
        <w:tc>
          <w:tcPr>
            <w:tcW w:w="2757" w:type="dxa"/>
            <w:tcBorders/>
            <w:vAlign w:val="center"/>
          </w:tcPr>
          <w:p>
            <w:pPr>
              <w:pStyle w:val="Normal"/>
              <w:widowControl w:val="false"/>
              <w:spacing w:lineRule="auto" w:line="276" w:before="0" w:after="200"/>
              <w:jc w:val="left"/>
              <w:rPr>
                <w:rFonts w:ascii="Times New Roman" w:hAnsi="Times New Roman"/>
                <w:b/>
                <w:b/>
              </w:rPr>
            </w:pPr>
            <w:r>
              <w:rPr>
                <w:b/>
                <w:kern w:val="0"/>
                <w:lang w:val="en-US" w:eastAsia="en-US" w:bidi="ar-SA"/>
              </w:rPr>
              <w:t>Expected outputs</w:t>
            </w:r>
          </w:p>
        </w:tc>
      </w:tr>
      <w:tr>
        <w:trPr/>
        <w:tc>
          <w:tcPr>
            <w:tcW w:w="2576" w:type="dxa"/>
            <w:tcBorders/>
          </w:tcPr>
          <w:p>
            <w:pPr>
              <w:pStyle w:val="Normal"/>
              <w:widowControl w:val="false"/>
              <w:spacing w:lineRule="auto" w:line="276" w:before="0" w:after="200"/>
              <w:jc w:val="left"/>
              <w:rPr>
                <w:rFonts w:ascii="Times New Roman" w:hAnsi="Times New Roman"/>
              </w:rPr>
            </w:pPr>
            <w:r>
              <w:rPr>
                <w:bCs/>
                <w:kern w:val="0"/>
                <w:lang w:val="en-GB" w:eastAsia="en-US" w:bidi="ar-SA"/>
              </w:rPr>
              <w:t xml:space="preserve">2.1 </w:t>
            </w:r>
            <w:r>
              <w:rPr>
                <w:bCs/>
                <w:kern w:val="0"/>
                <w:lang w:val="en-US" w:eastAsia="en-US" w:bidi="ar-SA"/>
              </w:rPr>
              <w:t>Reviewing institutional arrangements on HFC control measures and linkages to the national strategy on environment and on the mitigation of climate change</w:t>
            </w:r>
          </w:p>
        </w:tc>
        <w:tc>
          <w:tcPr>
            <w:tcW w:w="2161" w:type="dxa"/>
            <w:tcBorders/>
          </w:tcPr>
          <w:p>
            <w:pPr>
              <w:pStyle w:val="Normal"/>
              <w:widowControl w:val="false"/>
              <w:spacing w:lineRule="auto" w:line="276" w:before="0" w:after="200"/>
              <w:jc w:val="left"/>
              <w:rPr>
                <w:rFonts w:ascii="Times New Roman" w:hAnsi="Times New Roman"/>
              </w:rPr>
            </w:pPr>
            <w:r>
              <w:rPr>
                <w:kern w:val="0"/>
                <w:lang w:val="en-US" w:eastAsia="en-US" w:bidi="ar-SA"/>
              </w:rPr>
              <w:t>Relevant ministries</w:t>
            </w:r>
          </w:p>
          <w:p>
            <w:pPr>
              <w:pStyle w:val="Normal"/>
              <w:widowControl w:val="false"/>
              <w:spacing w:lineRule="auto" w:line="276" w:before="0" w:after="200"/>
              <w:jc w:val="left"/>
              <w:rPr>
                <w:rFonts w:ascii="Times New Roman" w:hAnsi="Times New Roman"/>
              </w:rPr>
            </w:pPr>
            <w:r>
              <w:rPr>
                <w:kern w:val="0"/>
                <w:lang w:val="en-US" w:eastAsia="en-US" w:bidi="ar-SA"/>
              </w:rPr>
              <w:t>Manufacturing and servicing sectors</w:t>
            </w:r>
          </w:p>
        </w:tc>
        <w:tc>
          <w:tcPr>
            <w:tcW w:w="2159" w:type="dxa"/>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A meeting/workshop delivered with relevant ministries </w:t>
            </w:r>
          </w:p>
          <w:p>
            <w:pPr>
              <w:pStyle w:val="Normal"/>
              <w:widowControl w:val="false"/>
              <w:spacing w:lineRule="auto" w:line="276" w:before="0" w:after="200"/>
              <w:jc w:val="left"/>
              <w:rPr>
                <w:rFonts w:ascii="Times New Roman" w:hAnsi="Times New Roman"/>
              </w:rPr>
            </w:pPr>
            <w:r>
              <w:rPr>
                <w:kern w:val="0"/>
                <w:lang w:val="en-US" w:eastAsia="en-US" w:bidi="ar-SA"/>
              </w:rPr>
              <w:t>---</w:t>
            </w:r>
          </w:p>
          <w:p>
            <w:pPr>
              <w:pStyle w:val="Normal"/>
              <w:widowControl w:val="false"/>
              <w:spacing w:lineRule="auto" w:line="276" w:before="0" w:after="200"/>
              <w:jc w:val="left"/>
              <w:rPr>
                <w:rFonts w:ascii="Times New Roman" w:hAnsi="Times New Roman"/>
              </w:rPr>
            </w:pPr>
            <w:r>
              <w:rPr>
                <w:kern w:val="0"/>
                <w:lang w:val="en-US" w:eastAsia="en-US" w:bidi="ar-SA"/>
              </w:rPr>
              <w:t>A detailed report is prepared</w:t>
            </w:r>
          </w:p>
        </w:tc>
        <w:tc>
          <w:tcPr>
            <w:tcW w:w="2757" w:type="dxa"/>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A review prepared for </w:t>
            </w:r>
            <w:r>
              <w:rPr>
                <w:bCs/>
                <w:kern w:val="0"/>
                <w:lang w:val="en-US" w:eastAsia="en-US" w:bidi="ar-SA"/>
              </w:rPr>
              <w:t>institutional arrangements on HFC control measures and linkages to the national strategy</w:t>
            </w:r>
          </w:p>
        </w:tc>
      </w:tr>
      <w:tr>
        <w:trPr/>
        <w:tc>
          <w:tcPr>
            <w:tcW w:w="2576" w:type="dxa"/>
            <w:tcBorders/>
          </w:tcPr>
          <w:p>
            <w:pPr>
              <w:pStyle w:val="Normal"/>
              <w:widowControl w:val="false"/>
              <w:spacing w:lineRule="auto" w:line="276" w:before="0" w:after="200"/>
              <w:jc w:val="left"/>
              <w:rPr>
                <w:rFonts w:ascii="Times New Roman" w:hAnsi="Times New Roman"/>
                <w:bCs/>
              </w:rPr>
            </w:pPr>
            <w:r>
              <w:rPr>
                <w:bCs/>
                <w:kern w:val="0"/>
                <w:lang w:val="en-GB" w:eastAsia="en-US" w:bidi="ar-SA"/>
              </w:rPr>
              <w:t xml:space="preserve">2.2 </w:t>
            </w:r>
            <w:r>
              <w:rPr>
                <w:bCs/>
                <w:kern w:val="0"/>
                <w:lang w:val="en-US" w:eastAsia="en-US" w:bidi="ar-SA"/>
              </w:rPr>
              <w:t xml:space="preserve">Reviewing codes and standards for the efficient use of HFCs and ODS alternatives in the entire value chain </w:t>
            </w:r>
          </w:p>
          <w:p>
            <w:pPr>
              <w:pStyle w:val="Normal"/>
              <w:widowControl w:val="false"/>
              <w:spacing w:lineRule="auto" w:line="276" w:before="0" w:after="200"/>
              <w:jc w:val="left"/>
              <w:rPr>
                <w:rFonts w:ascii="Times New Roman" w:hAnsi="Times New Roman"/>
              </w:rPr>
            </w:pPr>
            <w:r>
              <w:rPr>
                <w:kern w:val="0"/>
                <w:lang w:val="en-US" w:eastAsia="en-US" w:bidi="ar-SA"/>
              </w:rPr>
            </w:r>
          </w:p>
        </w:tc>
        <w:tc>
          <w:tcPr>
            <w:tcW w:w="2161" w:type="dxa"/>
            <w:tcBorders/>
          </w:tcPr>
          <w:p>
            <w:pPr>
              <w:pStyle w:val="Normal"/>
              <w:widowControl w:val="false"/>
              <w:spacing w:lineRule="auto" w:line="276" w:before="0" w:after="200"/>
              <w:jc w:val="left"/>
              <w:rPr>
                <w:rFonts w:ascii="Times New Roman" w:hAnsi="Times New Roman"/>
              </w:rPr>
            </w:pPr>
            <w:r>
              <w:rPr>
                <w:kern w:val="0"/>
                <w:lang w:val="en-US" w:eastAsia="en-US" w:bidi="ar-SA"/>
              </w:rPr>
              <w:t>Relevant ministries</w:t>
            </w:r>
          </w:p>
          <w:p>
            <w:pPr>
              <w:pStyle w:val="Normal"/>
              <w:widowControl w:val="false"/>
              <w:spacing w:lineRule="auto" w:line="276" w:before="0" w:after="200"/>
              <w:jc w:val="left"/>
              <w:rPr>
                <w:rFonts w:ascii="Times New Roman" w:hAnsi="Times New Roman"/>
              </w:rPr>
            </w:pPr>
            <w:r>
              <w:rPr>
                <w:kern w:val="0"/>
                <w:lang w:val="en-US" w:eastAsia="en-US" w:bidi="ar-SA"/>
              </w:rPr>
              <w:t>Manufacturing and servicing sectors</w:t>
            </w:r>
          </w:p>
        </w:tc>
        <w:tc>
          <w:tcPr>
            <w:tcW w:w="2159" w:type="dxa"/>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A meeting/workshop delivered with relevant ministries </w:t>
            </w:r>
          </w:p>
          <w:p>
            <w:pPr>
              <w:pStyle w:val="Normal"/>
              <w:widowControl w:val="false"/>
              <w:spacing w:lineRule="auto" w:line="276" w:before="0" w:after="200"/>
              <w:jc w:val="left"/>
              <w:rPr>
                <w:rFonts w:ascii="Times New Roman" w:hAnsi="Times New Roman"/>
              </w:rPr>
            </w:pPr>
            <w:r>
              <w:rPr>
                <w:kern w:val="0"/>
                <w:lang w:val="en-US" w:eastAsia="en-US" w:bidi="ar-SA"/>
              </w:rPr>
              <w:t>---</w:t>
            </w:r>
          </w:p>
          <w:p>
            <w:pPr>
              <w:pStyle w:val="Normal"/>
              <w:widowControl w:val="false"/>
              <w:spacing w:lineRule="auto" w:line="276" w:before="0" w:after="200"/>
              <w:jc w:val="left"/>
              <w:rPr>
                <w:rFonts w:ascii="Times New Roman" w:hAnsi="Times New Roman"/>
              </w:rPr>
            </w:pPr>
            <w:r>
              <w:rPr>
                <w:kern w:val="0"/>
                <w:lang w:val="en-US" w:eastAsia="en-US" w:bidi="ar-SA"/>
              </w:rPr>
              <w:t>A detailed report is prepared</w:t>
            </w:r>
          </w:p>
        </w:tc>
        <w:tc>
          <w:tcPr>
            <w:tcW w:w="2757" w:type="dxa"/>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A proposal prepared for updating codes and standards, </w:t>
            </w:r>
            <w:r>
              <w:rPr>
                <w:bCs/>
                <w:kern w:val="0"/>
                <w:lang w:val="en-US" w:eastAsia="en-US" w:bidi="ar-SA"/>
              </w:rPr>
              <w:t>permits, inspections, operating standards for HFC and ODS alternatives (use, maintenance, end-user), prohibitions, testing, labelling (production, manufacturing, wholesalers or distributors) etc.</w:t>
            </w:r>
            <w:r>
              <w:rPr>
                <w:kern w:val="0"/>
                <w:lang w:val="en-US" w:eastAsia="en-US" w:bidi="ar-SA"/>
              </w:rPr>
              <w:t xml:space="preserve"> </w:t>
            </w:r>
          </w:p>
        </w:tc>
      </w:tr>
      <w:tr>
        <w:trPr/>
        <w:tc>
          <w:tcPr>
            <w:tcW w:w="2576" w:type="dxa"/>
            <w:tcBorders/>
          </w:tcPr>
          <w:p>
            <w:pPr>
              <w:pStyle w:val="Normal"/>
              <w:widowControl w:val="false"/>
              <w:spacing w:lineRule="auto" w:line="276" w:before="0" w:after="200"/>
              <w:jc w:val="left"/>
              <w:rPr>
                <w:rFonts w:ascii="Times New Roman" w:hAnsi="Times New Roman"/>
              </w:rPr>
            </w:pPr>
            <w:r>
              <w:rPr>
                <w:bCs/>
                <w:kern w:val="0"/>
                <w:lang w:val="en-GB" w:eastAsia="en-US" w:bidi="ar-SA"/>
              </w:rPr>
              <w:t xml:space="preserve">2.3 </w:t>
            </w:r>
            <w:r>
              <w:rPr>
                <w:bCs/>
                <w:kern w:val="0"/>
                <w:lang w:val="en-US" w:eastAsia="en-US" w:bidi="ar-SA"/>
              </w:rPr>
              <w:t>Reviewing standards for flammable/toxic low- and zero-GWP alternatives in line with international standards</w:t>
            </w:r>
          </w:p>
        </w:tc>
        <w:tc>
          <w:tcPr>
            <w:tcW w:w="2161" w:type="dxa"/>
            <w:tcBorders/>
          </w:tcPr>
          <w:p>
            <w:pPr>
              <w:pStyle w:val="Normal"/>
              <w:widowControl w:val="false"/>
              <w:spacing w:lineRule="auto" w:line="276" w:before="0" w:after="200"/>
              <w:jc w:val="left"/>
              <w:rPr>
                <w:rFonts w:ascii="Times New Roman" w:hAnsi="Times New Roman"/>
              </w:rPr>
            </w:pPr>
            <w:r>
              <w:rPr>
                <w:kern w:val="0"/>
                <w:lang w:val="en-US" w:eastAsia="en-US" w:bidi="ar-SA"/>
              </w:rPr>
              <w:t>Relevant ministries</w:t>
            </w:r>
          </w:p>
          <w:p>
            <w:pPr>
              <w:pStyle w:val="Normal"/>
              <w:widowControl w:val="false"/>
              <w:spacing w:lineRule="auto" w:line="276" w:before="0" w:after="200"/>
              <w:jc w:val="left"/>
              <w:rPr>
                <w:rFonts w:ascii="Times New Roman" w:hAnsi="Times New Roman"/>
              </w:rPr>
            </w:pPr>
            <w:r>
              <w:rPr>
                <w:kern w:val="0"/>
                <w:lang w:val="en-US" w:eastAsia="en-US" w:bidi="ar-SA"/>
              </w:rPr>
              <w:t>Manufacturing and servicing sectors</w:t>
            </w:r>
          </w:p>
        </w:tc>
        <w:tc>
          <w:tcPr>
            <w:tcW w:w="2159" w:type="dxa"/>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A meeting/workshop delivered with relevant ministries </w:t>
            </w:r>
          </w:p>
          <w:p>
            <w:pPr>
              <w:pStyle w:val="Normal"/>
              <w:widowControl w:val="false"/>
              <w:spacing w:lineRule="auto" w:line="276" w:before="0" w:after="200"/>
              <w:jc w:val="left"/>
              <w:rPr>
                <w:rFonts w:ascii="Times New Roman" w:hAnsi="Times New Roman"/>
              </w:rPr>
            </w:pPr>
            <w:r>
              <w:rPr>
                <w:kern w:val="0"/>
                <w:lang w:val="en-US" w:eastAsia="en-US" w:bidi="ar-SA"/>
              </w:rPr>
              <w:t>---</w:t>
            </w:r>
          </w:p>
          <w:p>
            <w:pPr>
              <w:pStyle w:val="Normal"/>
              <w:widowControl w:val="false"/>
              <w:spacing w:lineRule="auto" w:line="276" w:before="0" w:after="200"/>
              <w:jc w:val="left"/>
              <w:rPr>
                <w:rFonts w:ascii="Times New Roman" w:hAnsi="Times New Roman"/>
              </w:rPr>
            </w:pPr>
            <w:r>
              <w:rPr>
                <w:kern w:val="0"/>
                <w:lang w:val="en-US" w:eastAsia="en-US" w:bidi="ar-SA"/>
              </w:rPr>
              <w:t>A detailed report is prepared</w:t>
            </w:r>
          </w:p>
        </w:tc>
        <w:tc>
          <w:tcPr>
            <w:tcW w:w="2757" w:type="dxa"/>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A proposal prepared for updating national codes and standards </w:t>
            </w:r>
            <w:r>
              <w:rPr>
                <w:bCs/>
                <w:kern w:val="0"/>
                <w:lang w:val="en-US" w:eastAsia="en-US" w:bidi="ar-SA"/>
              </w:rPr>
              <w:t>in line with international standards for flammable/toxic alternatives</w:t>
            </w:r>
          </w:p>
        </w:tc>
      </w:tr>
    </w:tbl>
    <w:p>
      <w:pPr>
        <w:pStyle w:val="Normal"/>
        <w:rPr>
          <w:rFonts w:ascii="Times New Roman" w:hAnsi="Times New Roman"/>
        </w:rPr>
      </w:pPr>
      <w:r>
        <w:rPr/>
      </w:r>
    </w:p>
    <w:p>
      <w:pPr>
        <w:pStyle w:val="Normal"/>
        <w:ind w:left="720" w:hanging="0"/>
        <w:rPr>
          <w:rFonts w:ascii="Times New Roman" w:hAnsi="Times New Roman"/>
          <w:i/>
          <w:i/>
        </w:rPr>
      </w:pPr>
      <w:r>
        <w:rPr>
          <w:bCs/>
          <w:i/>
        </w:rPr>
        <w:t xml:space="preserve">b.2 Data reporting on HFC consumption </w:t>
      </w:r>
    </w:p>
    <w:p>
      <w:pPr>
        <w:pStyle w:val="Normal"/>
        <w:rPr>
          <w:rFonts w:ascii="Times New Roman" w:hAnsi="Times New Roman"/>
          <w:bCs/>
        </w:rPr>
      </w:pPr>
      <w:r>
        <w:rPr/>
        <w:t xml:space="preserve">National data reporting is the backbone of the strategic planning, monitoring and evaluation of the institutions of the Montreal Protocol. </w:t>
      </w:r>
      <w:r>
        <w:rPr>
          <w:bCs/>
        </w:rPr>
        <w:t>In order to facilitate the process, the following activities are planned for the below target groups:</w:t>
      </w:r>
    </w:p>
    <w:p>
      <w:pPr>
        <w:pStyle w:val="Normal"/>
        <w:rPr>
          <w:rFonts w:ascii="Times New Roman" w:hAnsi="Times New Roman"/>
          <w:bCs/>
        </w:rPr>
      </w:pPr>
      <w:r>
        <w:rPr>
          <w:bCs/>
        </w:rPr>
      </w:r>
    </w:p>
    <w:p>
      <w:pPr>
        <w:pStyle w:val="Normal"/>
        <w:rPr>
          <w:rFonts w:ascii="Times New Roman" w:hAnsi="Times New Roman"/>
          <w:bCs/>
        </w:rPr>
      </w:pPr>
      <w:r>
        <w:rPr>
          <w:bCs/>
        </w:rPr>
      </w:r>
    </w:p>
    <w:p>
      <w:pPr>
        <w:pStyle w:val="Normal"/>
        <w:rPr>
          <w:rFonts w:ascii="Times New Roman" w:hAnsi="Times New Roman"/>
        </w:rPr>
      </w:pPr>
      <w:r>
        <w:rPr/>
      </w:r>
    </w:p>
    <w:tbl>
      <w:tblPr>
        <w:tblStyle w:val="TableGrid"/>
        <w:tblW w:w="961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563"/>
        <w:gridCol w:w="2159"/>
        <w:gridCol w:w="2162"/>
        <w:gridCol w:w="2733"/>
      </w:tblGrid>
      <w:tr>
        <w:trPr/>
        <w:tc>
          <w:tcPr>
            <w:tcW w:w="2563"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Activities</w:t>
            </w:r>
          </w:p>
        </w:tc>
        <w:tc>
          <w:tcPr>
            <w:tcW w:w="2159"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Target group</w:t>
            </w:r>
          </w:p>
        </w:tc>
        <w:tc>
          <w:tcPr>
            <w:tcW w:w="2162"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Milestones</w:t>
            </w:r>
          </w:p>
        </w:tc>
        <w:tc>
          <w:tcPr>
            <w:tcW w:w="2733"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Expected outputs</w:t>
            </w:r>
          </w:p>
        </w:tc>
      </w:tr>
      <w:tr>
        <w:trPr>
          <w:trHeight w:val="1292" w:hRule="atLeast"/>
        </w:trPr>
        <w:tc>
          <w:tcPr>
            <w:tcW w:w="2563" w:type="dxa"/>
            <w:tcBorders/>
          </w:tcPr>
          <w:p>
            <w:pPr>
              <w:pStyle w:val="Normal"/>
              <w:widowControl w:val="false"/>
              <w:spacing w:lineRule="auto" w:line="276" w:before="0" w:after="200"/>
              <w:jc w:val="left"/>
              <w:rPr>
                <w:rFonts w:ascii="Times New Roman" w:hAnsi="Times New Roman"/>
              </w:rPr>
            </w:pPr>
            <w:r>
              <w:rPr>
                <w:kern w:val="0"/>
                <w:lang w:val="en-GB" w:eastAsia="en-US" w:bidi="ar-SA"/>
              </w:rPr>
              <w:t xml:space="preserve">3.1 </w:t>
            </w:r>
            <w:r>
              <w:rPr>
                <w:kern w:val="0"/>
                <w:lang w:val="en-US" w:eastAsia="en-US" w:bidi="ar-SA"/>
              </w:rPr>
              <w:t>Reviewing national mechanisms used for ODS reporting to include HFCs production/consumption (Decision 76/7d)</w:t>
            </w:r>
          </w:p>
        </w:tc>
        <w:tc>
          <w:tcPr>
            <w:tcW w:w="2159" w:type="dxa"/>
            <w:vMerge w:val="restart"/>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Relevant ministries </w:t>
            </w:r>
          </w:p>
          <w:p>
            <w:pPr>
              <w:pStyle w:val="Normal"/>
              <w:widowControl w:val="false"/>
              <w:spacing w:lineRule="auto" w:line="276" w:before="0" w:after="200"/>
              <w:jc w:val="left"/>
              <w:rPr>
                <w:rFonts w:ascii="Times New Roman" w:hAnsi="Times New Roman"/>
              </w:rPr>
            </w:pPr>
            <w:r>
              <w:rPr>
                <w:kern w:val="0"/>
                <w:lang w:val="en-US" w:eastAsia="en-US" w:bidi="ar-SA"/>
              </w:rPr>
              <w:t>---</w:t>
            </w:r>
          </w:p>
          <w:p>
            <w:pPr>
              <w:pStyle w:val="Normal"/>
              <w:widowControl w:val="false"/>
              <w:spacing w:lineRule="auto" w:line="276" w:before="0" w:after="200"/>
              <w:jc w:val="left"/>
              <w:rPr>
                <w:rFonts w:ascii="Times New Roman" w:hAnsi="Times New Roman"/>
              </w:rPr>
            </w:pPr>
            <w:r>
              <w:rPr>
                <w:kern w:val="0"/>
                <w:lang w:val="en-US" w:eastAsia="en-US" w:bidi="ar-SA"/>
              </w:rPr>
              <w:t>Customs</w:t>
            </w:r>
          </w:p>
        </w:tc>
        <w:tc>
          <w:tcPr>
            <w:tcW w:w="2162" w:type="dxa"/>
            <w:vMerge w:val="restart"/>
            <w:tcBorders/>
          </w:tcPr>
          <w:p>
            <w:pPr>
              <w:pStyle w:val="Normal"/>
              <w:widowControl w:val="false"/>
              <w:spacing w:lineRule="auto" w:line="276" w:before="0" w:after="200"/>
              <w:jc w:val="left"/>
              <w:rPr>
                <w:rFonts w:ascii="Times New Roman" w:hAnsi="Times New Roman"/>
              </w:rPr>
            </w:pPr>
            <w:r>
              <w:rPr>
                <w:kern w:val="0"/>
                <w:lang w:val="en-US" w:eastAsia="en-US" w:bidi="ar-SA"/>
              </w:rPr>
              <w:t xml:space="preserve">A workshop is delivered with relevant stakeholders </w:t>
            </w:r>
          </w:p>
          <w:p>
            <w:pPr>
              <w:pStyle w:val="Normal"/>
              <w:widowControl w:val="false"/>
              <w:spacing w:lineRule="auto" w:line="276" w:before="0" w:after="200"/>
              <w:jc w:val="left"/>
              <w:rPr>
                <w:rFonts w:ascii="Times New Roman" w:hAnsi="Times New Roman"/>
              </w:rPr>
            </w:pPr>
            <w:r>
              <w:rPr>
                <w:kern w:val="0"/>
                <w:lang w:val="en-US" w:eastAsia="en-US" w:bidi="ar-SA"/>
              </w:rPr>
              <w:t>---</w:t>
            </w:r>
          </w:p>
          <w:p>
            <w:pPr>
              <w:pStyle w:val="Normal"/>
              <w:widowControl w:val="false"/>
              <w:spacing w:lineRule="auto" w:line="276" w:before="0" w:after="200"/>
              <w:jc w:val="left"/>
              <w:rPr>
                <w:rFonts w:ascii="Times New Roman" w:hAnsi="Times New Roman"/>
              </w:rPr>
            </w:pPr>
            <w:r>
              <w:rPr>
                <w:kern w:val="0"/>
                <w:lang w:val="en-US" w:eastAsia="en-US" w:bidi="ar-SA"/>
              </w:rPr>
              <w:t>A detailed report is drafted</w:t>
            </w:r>
          </w:p>
        </w:tc>
        <w:tc>
          <w:tcPr>
            <w:tcW w:w="2733" w:type="dxa"/>
            <w:vMerge w:val="restart"/>
            <w:tcBorders/>
          </w:tcPr>
          <w:p>
            <w:pPr>
              <w:pStyle w:val="Normal"/>
              <w:widowControl w:val="false"/>
              <w:spacing w:lineRule="auto" w:line="276" w:before="0" w:after="200"/>
              <w:jc w:val="left"/>
              <w:rPr>
                <w:rFonts w:ascii="Times New Roman" w:hAnsi="Times New Roman"/>
              </w:rPr>
            </w:pPr>
            <w:r>
              <w:rPr>
                <w:kern w:val="0"/>
                <w:lang w:val="en-US" w:eastAsia="en-US" w:bidi="ar-SA"/>
              </w:rPr>
              <w:t>National mechanism updated, enhancing the records and control tools on HFCs and alternative substances in cooperation with customs, authorities and stakeholders</w:t>
            </w:r>
          </w:p>
        </w:tc>
      </w:tr>
      <w:tr>
        <w:trPr/>
        <w:tc>
          <w:tcPr>
            <w:tcW w:w="2563" w:type="dxa"/>
            <w:tcBorders/>
          </w:tcPr>
          <w:p>
            <w:pPr>
              <w:pStyle w:val="Normal"/>
              <w:widowControl w:val="false"/>
              <w:spacing w:lineRule="auto" w:line="276" w:before="0" w:after="200"/>
              <w:jc w:val="left"/>
              <w:rPr>
                <w:rFonts w:ascii="Times New Roman" w:hAnsi="Times New Roman"/>
              </w:rPr>
            </w:pPr>
            <w:r>
              <w:rPr>
                <w:kern w:val="0"/>
                <w:lang w:val="en-GB" w:eastAsia="en-US" w:bidi="ar-SA"/>
              </w:rPr>
              <w:t xml:space="preserve">3.2 </w:t>
            </w:r>
            <w:r>
              <w:rPr>
                <w:kern w:val="0"/>
                <w:lang w:val="en-US" w:eastAsia="en-US" w:bidi="ar-SA"/>
              </w:rPr>
              <w:t>Improving inter-institutional coordination in the country, related to the collection, verification and reporting of HFCs consumption and production (where applicable) and ODS alternatives</w:t>
            </w:r>
          </w:p>
        </w:tc>
        <w:tc>
          <w:tcPr>
            <w:tcW w:w="2159" w:type="dxa"/>
            <w:vMerge w:val="continue"/>
            <w:tcBorders/>
          </w:tcPr>
          <w:p>
            <w:pPr>
              <w:pStyle w:val="Normal"/>
              <w:widowControl w:val="false"/>
              <w:spacing w:lineRule="auto" w:line="276" w:before="0" w:after="200"/>
              <w:jc w:val="left"/>
              <w:rPr>
                <w:rFonts w:ascii="Times New Roman" w:hAnsi="Times New Roman"/>
              </w:rPr>
            </w:pPr>
            <w:r>
              <w:rPr>
                <w:kern w:val="0"/>
                <w:lang w:val="en-US" w:eastAsia="en-US" w:bidi="ar-SA"/>
              </w:rPr>
            </w:r>
          </w:p>
        </w:tc>
        <w:tc>
          <w:tcPr>
            <w:tcW w:w="2162" w:type="dxa"/>
            <w:vMerge w:val="continue"/>
            <w:tcBorders/>
          </w:tcPr>
          <w:p>
            <w:pPr>
              <w:pStyle w:val="Normal"/>
              <w:widowControl w:val="false"/>
              <w:spacing w:lineRule="auto" w:line="276" w:before="0" w:after="200"/>
              <w:jc w:val="left"/>
              <w:rPr>
                <w:rFonts w:ascii="Times New Roman" w:hAnsi="Times New Roman"/>
              </w:rPr>
            </w:pPr>
            <w:r>
              <w:rPr>
                <w:kern w:val="0"/>
                <w:lang w:val="en-US" w:eastAsia="en-US" w:bidi="ar-SA"/>
              </w:rPr>
            </w:r>
          </w:p>
        </w:tc>
        <w:tc>
          <w:tcPr>
            <w:tcW w:w="2733" w:type="dxa"/>
            <w:vMerge w:val="continue"/>
            <w:tcBorders/>
          </w:tcPr>
          <w:p>
            <w:pPr>
              <w:pStyle w:val="Normal"/>
              <w:widowControl w:val="false"/>
              <w:spacing w:lineRule="auto" w:line="276" w:before="0" w:after="200"/>
              <w:jc w:val="left"/>
              <w:rPr>
                <w:rFonts w:ascii="Times New Roman" w:hAnsi="Times New Roman"/>
              </w:rPr>
            </w:pPr>
            <w:r>
              <w:rPr>
                <w:kern w:val="0"/>
                <w:lang w:val="en-US" w:eastAsia="en-US" w:bidi="ar-SA"/>
              </w:rPr>
            </w:r>
          </w:p>
        </w:tc>
      </w:tr>
      <w:tr>
        <w:trPr/>
        <w:tc>
          <w:tcPr>
            <w:tcW w:w="2563" w:type="dxa"/>
            <w:tcBorders/>
          </w:tcPr>
          <w:p>
            <w:pPr>
              <w:pStyle w:val="Normal"/>
              <w:widowControl w:val="false"/>
              <w:spacing w:lineRule="auto" w:line="276" w:before="0" w:after="200"/>
              <w:jc w:val="left"/>
              <w:rPr>
                <w:rFonts w:ascii="Times New Roman" w:hAnsi="Times New Roman"/>
              </w:rPr>
            </w:pPr>
            <w:r>
              <w:rPr>
                <w:kern w:val="0"/>
                <w:lang w:val="en-GB" w:eastAsia="en-US" w:bidi="ar-SA"/>
              </w:rPr>
              <w:t xml:space="preserve">3.3 </w:t>
            </w:r>
            <w:r>
              <w:rPr>
                <w:kern w:val="0"/>
                <w:lang w:val="en-US" w:eastAsia="en-US" w:bidi="ar-SA"/>
              </w:rPr>
              <w:t>Carrying out gap analysis on the availability of ODS related data in the country</w:t>
            </w:r>
          </w:p>
        </w:tc>
        <w:tc>
          <w:tcPr>
            <w:tcW w:w="2159" w:type="dxa"/>
            <w:vMerge w:val="continue"/>
            <w:tcBorders/>
          </w:tcPr>
          <w:p>
            <w:pPr>
              <w:pStyle w:val="Normal"/>
              <w:widowControl w:val="false"/>
              <w:spacing w:lineRule="auto" w:line="276" w:before="0" w:after="200"/>
              <w:jc w:val="left"/>
              <w:rPr>
                <w:rFonts w:ascii="Times New Roman" w:hAnsi="Times New Roman"/>
              </w:rPr>
            </w:pPr>
            <w:r>
              <w:rPr>
                <w:kern w:val="0"/>
                <w:lang w:val="en-US" w:eastAsia="en-US" w:bidi="ar-SA"/>
              </w:rPr>
            </w:r>
          </w:p>
        </w:tc>
        <w:tc>
          <w:tcPr>
            <w:tcW w:w="2162" w:type="dxa"/>
            <w:vMerge w:val="continue"/>
            <w:tcBorders/>
          </w:tcPr>
          <w:p>
            <w:pPr>
              <w:pStyle w:val="Normal"/>
              <w:widowControl w:val="false"/>
              <w:spacing w:lineRule="auto" w:line="276" w:before="0" w:after="200"/>
              <w:jc w:val="left"/>
              <w:rPr>
                <w:rFonts w:ascii="Times New Roman" w:hAnsi="Times New Roman"/>
              </w:rPr>
            </w:pPr>
            <w:r>
              <w:rPr>
                <w:kern w:val="0"/>
                <w:lang w:val="en-US" w:eastAsia="en-US" w:bidi="ar-SA"/>
              </w:rPr>
            </w:r>
          </w:p>
        </w:tc>
        <w:tc>
          <w:tcPr>
            <w:tcW w:w="2733" w:type="dxa"/>
            <w:vMerge w:val="continue"/>
            <w:tcBorders/>
          </w:tcPr>
          <w:p>
            <w:pPr>
              <w:pStyle w:val="Normal"/>
              <w:widowControl w:val="false"/>
              <w:spacing w:lineRule="auto" w:line="276" w:before="0" w:after="200"/>
              <w:jc w:val="left"/>
              <w:rPr>
                <w:rFonts w:ascii="Times New Roman" w:hAnsi="Times New Roman"/>
              </w:rPr>
            </w:pPr>
            <w:r>
              <w:rPr>
                <w:kern w:val="0"/>
                <w:lang w:val="en-US" w:eastAsia="en-US" w:bidi="ar-SA"/>
              </w:rPr>
            </w:r>
          </w:p>
        </w:tc>
      </w:tr>
      <w:tr>
        <w:trPr/>
        <w:tc>
          <w:tcPr>
            <w:tcW w:w="2563" w:type="dxa"/>
            <w:tcBorders/>
          </w:tcPr>
          <w:p>
            <w:pPr>
              <w:pStyle w:val="Normal"/>
              <w:widowControl w:val="false"/>
              <w:spacing w:lineRule="auto" w:line="276" w:before="0" w:after="200"/>
              <w:jc w:val="left"/>
              <w:rPr>
                <w:rFonts w:ascii="Times New Roman" w:hAnsi="Times New Roman"/>
              </w:rPr>
            </w:pPr>
            <w:r>
              <w:rPr>
                <w:kern w:val="0"/>
                <w:lang w:val="en-GB" w:eastAsia="en-US" w:bidi="ar-SA"/>
              </w:rPr>
              <w:t xml:space="preserve">3.4 </w:t>
            </w:r>
            <w:r>
              <w:rPr>
                <w:kern w:val="0"/>
                <w:lang w:val="en-US" w:eastAsia="en-US" w:bidi="ar-SA"/>
              </w:rPr>
              <w:t xml:space="preserve">Improving a national database based on the above </w:t>
            </w:r>
          </w:p>
        </w:tc>
        <w:tc>
          <w:tcPr>
            <w:tcW w:w="2159" w:type="dxa"/>
            <w:vMerge w:val="continue"/>
            <w:tcBorders/>
          </w:tcPr>
          <w:p>
            <w:pPr>
              <w:pStyle w:val="Normal"/>
              <w:widowControl w:val="false"/>
              <w:spacing w:lineRule="auto" w:line="276" w:before="0" w:after="200"/>
              <w:jc w:val="left"/>
              <w:rPr>
                <w:rFonts w:ascii="Times New Roman" w:hAnsi="Times New Roman"/>
              </w:rPr>
            </w:pPr>
            <w:r>
              <w:rPr>
                <w:kern w:val="0"/>
                <w:lang w:val="en-US" w:eastAsia="en-US" w:bidi="ar-SA"/>
              </w:rPr>
            </w:r>
          </w:p>
        </w:tc>
        <w:tc>
          <w:tcPr>
            <w:tcW w:w="2162" w:type="dxa"/>
            <w:vMerge w:val="continue"/>
            <w:tcBorders/>
          </w:tcPr>
          <w:p>
            <w:pPr>
              <w:pStyle w:val="Normal"/>
              <w:widowControl w:val="false"/>
              <w:spacing w:lineRule="auto" w:line="276" w:before="0" w:after="200"/>
              <w:jc w:val="left"/>
              <w:rPr>
                <w:rFonts w:ascii="Times New Roman" w:hAnsi="Times New Roman"/>
              </w:rPr>
            </w:pPr>
            <w:r>
              <w:rPr>
                <w:kern w:val="0"/>
                <w:lang w:val="en-US" w:eastAsia="en-US" w:bidi="ar-SA"/>
              </w:rPr>
            </w:r>
          </w:p>
        </w:tc>
        <w:tc>
          <w:tcPr>
            <w:tcW w:w="2733" w:type="dxa"/>
            <w:vMerge w:val="continue"/>
            <w:tcBorders/>
          </w:tcPr>
          <w:p>
            <w:pPr>
              <w:pStyle w:val="Normal"/>
              <w:widowControl w:val="false"/>
              <w:spacing w:lineRule="auto" w:line="276" w:before="0" w:after="200"/>
              <w:jc w:val="left"/>
              <w:rPr>
                <w:rFonts w:ascii="Times New Roman" w:hAnsi="Times New Roman"/>
              </w:rPr>
            </w:pPr>
            <w:r>
              <w:rPr>
                <w:kern w:val="0"/>
                <w:lang w:val="en-US" w:eastAsia="en-US" w:bidi="ar-SA"/>
              </w:rPr>
            </w:r>
          </w:p>
        </w:tc>
      </w:tr>
    </w:tbl>
    <w:p>
      <w:pPr>
        <w:pStyle w:val="Normal"/>
        <w:rPr>
          <w:rFonts w:ascii="Times New Roman" w:hAnsi="Times New Roman"/>
        </w:rPr>
      </w:pPr>
      <w:r>
        <w:rPr/>
      </w:r>
    </w:p>
    <w:p>
      <w:pPr>
        <w:pStyle w:val="Normal"/>
        <w:rPr>
          <w:rFonts w:ascii="Times New Roman" w:hAnsi="Times New Roman"/>
        </w:rPr>
      </w:pPr>
      <w:r>
        <w:rPr/>
      </w:r>
    </w:p>
    <w:p>
      <w:pPr>
        <w:pStyle w:val="Normal"/>
        <w:ind w:left="1080" w:hanging="0"/>
        <w:rPr>
          <w:rFonts w:ascii="Times New Roman" w:hAnsi="Times New Roman"/>
          <w:bCs/>
          <w:i/>
          <w:i/>
          <w:lang w:val="en-GB"/>
        </w:rPr>
      </w:pPr>
      <w:r>
        <w:rPr>
          <w:bCs/>
          <w:i/>
        </w:rPr>
        <w:t xml:space="preserve">b.3 </w:t>
      </w:r>
      <w:r>
        <w:rPr>
          <w:bCs/>
          <w:i/>
          <w:lang w:val="en-GB"/>
        </w:rPr>
        <w:t xml:space="preserve">Demonstration of non-investment activities </w:t>
      </w:r>
    </w:p>
    <w:p>
      <w:pPr>
        <w:pStyle w:val="Normal"/>
        <w:rPr>
          <w:rFonts w:ascii="Times New Roman" w:hAnsi="Times New Roman"/>
          <w:bCs/>
          <w:lang w:val="en-GB"/>
        </w:rPr>
      </w:pPr>
      <w:r>
        <w:rPr>
          <w:bCs/>
          <w:lang w:val="en-GB"/>
        </w:rPr>
        <w:t>With the implementation of the Kigali Amendment it would be essential to initiate with several preliminary capacity building activities paving the way to the HFC phase-down. A number of actions has been identified by Vietnam which involves to enforce the national ozone unit in energy efficiency issues and the identification of energy saving opportunities in RAC sectors.</w:t>
      </w:r>
    </w:p>
    <w:p>
      <w:pPr>
        <w:pStyle w:val="Normal"/>
        <w:rPr>
          <w:rFonts w:ascii="Times New Roman" w:hAnsi="Times New Roman"/>
          <w:bCs/>
          <w:lang w:val="en-GB"/>
        </w:rPr>
      </w:pPr>
      <w:r>
        <w:rPr>
          <w:bCs/>
          <w:lang w:val="en-GB"/>
        </w:rPr>
      </w:r>
    </w:p>
    <w:tbl>
      <w:tblPr>
        <w:tblStyle w:val="TableGrid"/>
        <w:tblW w:w="969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596"/>
        <w:gridCol w:w="2160"/>
        <w:gridCol w:w="2160"/>
        <w:gridCol w:w="2774"/>
      </w:tblGrid>
      <w:tr>
        <w:trPr/>
        <w:tc>
          <w:tcPr>
            <w:tcW w:w="2596"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Activities</w:t>
            </w:r>
          </w:p>
        </w:tc>
        <w:tc>
          <w:tcPr>
            <w:tcW w:w="2160"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Target group</w:t>
            </w:r>
          </w:p>
        </w:tc>
        <w:tc>
          <w:tcPr>
            <w:tcW w:w="2160"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Milestones</w:t>
            </w:r>
          </w:p>
        </w:tc>
        <w:tc>
          <w:tcPr>
            <w:tcW w:w="2774"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Expected outputs</w:t>
            </w:r>
          </w:p>
        </w:tc>
      </w:tr>
      <w:tr>
        <w:trPr/>
        <w:tc>
          <w:tcPr>
            <w:tcW w:w="2596" w:type="dxa"/>
            <w:tcBorders/>
          </w:tcPr>
          <w:p>
            <w:pPr>
              <w:pStyle w:val="Normal"/>
              <w:widowControl w:val="false"/>
              <w:spacing w:lineRule="auto" w:line="276" w:before="0" w:after="200"/>
              <w:jc w:val="left"/>
              <w:rPr>
                <w:rFonts w:ascii="Times New Roman" w:hAnsi="Times New Roman"/>
              </w:rPr>
            </w:pPr>
            <w:r>
              <w:rPr>
                <w:bCs/>
                <w:kern w:val="0"/>
                <w:lang w:val="en-GB" w:eastAsia="en-US" w:bidi="ar-SA"/>
              </w:rPr>
              <w:t>4.1 Identification of the possible energy savings opportunities in the RAC sectors and assessing their cost-efficiency</w:t>
            </w:r>
          </w:p>
        </w:tc>
        <w:tc>
          <w:tcPr>
            <w:tcW w:w="2160" w:type="dxa"/>
            <w:tcBorders/>
          </w:tcPr>
          <w:p>
            <w:pPr>
              <w:pStyle w:val="Normal"/>
              <w:widowControl w:val="false"/>
              <w:spacing w:lineRule="auto" w:line="276" w:before="0" w:after="200"/>
              <w:jc w:val="left"/>
              <w:rPr>
                <w:rFonts w:ascii="Times New Roman" w:hAnsi="Times New Roman"/>
              </w:rPr>
            </w:pPr>
            <w:r>
              <w:rPr>
                <w:kern w:val="0"/>
                <w:lang w:val="en-US" w:eastAsia="en-US" w:bidi="ar-SA"/>
              </w:rPr>
              <w:t>Relevant ministries, NOU, private sectors (manufacturers, end users, servicing and maintenance companies)</w:t>
            </w:r>
          </w:p>
        </w:tc>
        <w:tc>
          <w:tcPr>
            <w:tcW w:w="2160" w:type="dxa"/>
            <w:tcBorders/>
          </w:tcPr>
          <w:p>
            <w:pPr>
              <w:pStyle w:val="Normal"/>
              <w:widowControl w:val="false"/>
              <w:spacing w:lineRule="auto" w:line="276" w:before="0" w:after="200"/>
              <w:jc w:val="left"/>
              <w:rPr>
                <w:rFonts w:ascii="Times New Roman" w:hAnsi="Times New Roman"/>
              </w:rPr>
            </w:pPr>
            <w:r>
              <w:rPr>
                <w:kern w:val="0"/>
                <w:lang w:val="en-GB" w:eastAsia="en-US" w:bidi="ar-SA"/>
              </w:rPr>
              <w:t>Report on the assessment of the EE policies, availability of new technologies, the potential energy savings per sector and feasible applications in Vietnam</w:t>
            </w:r>
          </w:p>
        </w:tc>
        <w:tc>
          <w:tcPr>
            <w:tcW w:w="2774" w:type="dxa"/>
            <w:tcBorders/>
          </w:tcPr>
          <w:p>
            <w:pPr>
              <w:pStyle w:val="Normal"/>
              <w:widowControl w:val="false"/>
              <w:spacing w:lineRule="auto" w:line="276" w:before="0" w:after="200"/>
              <w:jc w:val="left"/>
              <w:rPr>
                <w:rFonts w:ascii="Times New Roman" w:hAnsi="Times New Roman"/>
              </w:rPr>
            </w:pPr>
            <w:r>
              <w:rPr>
                <w:kern w:val="0"/>
                <w:lang w:val="en-GB" w:eastAsia="en-US" w:bidi="ar-SA"/>
              </w:rPr>
              <w:t>Preliminary capacity building on requirements for the implementation of the KA</w:t>
            </w:r>
          </w:p>
        </w:tc>
      </w:tr>
      <w:tr>
        <w:trPr/>
        <w:tc>
          <w:tcPr>
            <w:tcW w:w="2596" w:type="dxa"/>
            <w:tcBorders/>
          </w:tcPr>
          <w:p>
            <w:pPr>
              <w:pStyle w:val="Normal"/>
              <w:widowControl w:val="false"/>
              <w:spacing w:lineRule="auto" w:line="276" w:before="0" w:after="200"/>
              <w:jc w:val="left"/>
              <w:rPr>
                <w:rFonts w:ascii="Times New Roman" w:hAnsi="Times New Roman"/>
              </w:rPr>
            </w:pPr>
            <w:r>
              <w:rPr>
                <w:bCs/>
                <w:kern w:val="0"/>
                <w:lang w:val="en-GB" w:eastAsia="en-US" w:bidi="ar-SA"/>
              </w:rPr>
              <w:t>4.2 Training for National Ozone officers and other related stakeholders on energy efficiency</w:t>
            </w:r>
          </w:p>
        </w:tc>
        <w:tc>
          <w:tcPr>
            <w:tcW w:w="2160" w:type="dxa"/>
            <w:tcBorders/>
          </w:tcPr>
          <w:p>
            <w:pPr>
              <w:pStyle w:val="Normal"/>
              <w:widowControl w:val="false"/>
              <w:spacing w:lineRule="auto" w:line="276" w:before="0" w:after="200"/>
              <w:jc w:val="left"/>
              <w:rPr>
                <w:rFonts w:ascii="Times New Roman" w:hAnsi="Times New Roman"/>
              </w:rPr>
            </w:pPr>
            <w:r>
              <w:rPr>
                <w:kern w:val="0"/>
                <w:lang w:val="en-US" w:eastAsia="en-US" w:bidi="ar-SA"/>
              </w:rPr>
              <w:t>NOU and related stakeholders</w:t>
            </w:r>
          </w:p>
        </w:tc>
        <w:tc>
          <w:tcPr>
            <w:tcW w:w="2160" w:type="dxa"/>
            <w:tcBorders/>
          </w:tcPr>
          <w:p>
            <w:pPr>
              <w:pStyle w:val="Normal"/>
              <w:widowControl w:val="false"/>
              <w:spacing w:lineRule="auto" w:line="276" w:before="0" w:after="200"/>
              <w:jc w:val="left"/>
              <w:rPr>
                <w:rFonts w:ascii="Times New Roman" w:hAnsi="Times New Roman"/>
              </w:rPr>
            </w:pPr>
            <w:r>
              <w:rPr>
                <w:kern w:val="0"/>
                <w:lang w:val="en-GB" w:eastAsia="en-US" w:bidi="ar-SA"/>
              </w:rPr>
              <w:t>Training to the NOO, Energy officers and other related stakeholders and technical experts in energy efficiency and the new developments to increase efficiency in RAC systems</w:t>
            </w:r>
          </w:p>
        </w:tc>
        <w:tc>
          <w:tcPr>
            <w:tcW w:w="2774" w:type="dxa"/>
            <w:tcBorders/>
          </w:tcPr>
          <w:p>
            <w:pPr>
              <w:pStyle w:val="Normal"/>
              <w:widowControl w:val="false"/>
              <w:spacing w:lineRule="auto" w:line="276" w:before="0" w:after="200"/>
              <w:jc w:val="left"/>
              <w:rPr>
                <w:rFonts w:ascii="Times New Roman" w:hAnsi="Times New Roman"/>
              </w:rPr>
            </w:pPr>
            <w:r>
              <w:rPr>
                <w:kern w:val="0"/>
                <w:lang w:val="en-GB" w:eastAsia="en-US" w:bidi="ar-SA"/>
              </w:rPr>
              <w:t>Preliminary capacity building on requirements for the implementation of the KA</w:t>
            </w:r>
          </w:p>
        </w:tc>
      </w:tr>
    </w:tbl>
    <w:p>
      <w:pPr>
        <w:pStyle w:val="Normal"/>
        <w:rPr>
          <w:rFonts w:ascii="Times New Roman" w:hAnsi="Times New Roman"/>
        </w:rPr>
      </w:pPr>
      <w:r>
        <w:rPr/>
      </w:r>
    </w:p>
    <w:p>
      <w:pPr>
        <w:pStyle w:val="Normal"/>
        <w:rPr>
          <w:rFonts w:ascii="Times New Roman" w:hAnsi="Times New Roman"/>
        </w:rPr>
      </w:pPr>
      <w:r>
        <w:rPr/>
        <w:t>c.</w:t>
        <w:tab/>
        <w:t>Coordination of enabling activities</w:t>
      </w:r>
    </w:p>
    <w:p>
      <w:pPr>
        <w:pStyle w:val="Normal"/>
        <w:rPr>
          <w:rFonts w:ascii="Times New Roman" w:hAnsi="Times New Roman"/>
          <w:lang w:val="en-GB"/>
        </w:rPr>
      </w:pPr>
      <w:r>
        <w:rPr>
          <w:lang w:val="en-GB"/>
        </w:rPr>
        <w:t>In order to maximize the impacts, enabling activities will be executed in harmony with the HPMP and National Climate Policies. The coordination of these actions is an essential element of the National Strategy, since there must be regular coordination meetings with industry stakeholders, HFC importers and exporters, Ministries, various industry associations, and all sectors involved, in order to identify the necessary measures to implement the Kigali Amendment on time and in a coordinated way.</w:t>
      </w:r>
    </w:p>
    <w:tbl>
      <w:tblPr>
        <w:tblStyle w:val="TableGrid"/>
        <w:tblW w:w="967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586"/>
        <w:gridCol w:w="3059"/>
        <w:gridCol w:w="4027"/>
      </w:tblGrid>
      <w:tr>
        <w:trPr/>
        <w:tc>
          <w:tcPr>
            <w:tcW w:w="2586"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Activities</w:t>
            </w:r>
          </w:p>
        </w:tc>
        <w:tc>
          <w:tcPr>
            <w:tcW w:w="3059"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Target group</w:t>
            </w:r>
          </w:p>
        </w:tc>
        <w:tc>
          <w:tcPr>
            <w:tcW w:w="4027" w:type="dxa"/>
            <w:tcBorders/>
          </w:tcPr>
          <w:p>
            <w:pPr>
              <w:pStyle w:val="Normal"/>
              <w:widowControl w:val="false"/>
              <w:spacing w:lineRule="auto" w:line="276" w:before="0" w:after="200"/>
              <w:jc w:val="left"/>
              <w:rPr>
                <w:rFonts w:ascii="Times New Roman" w:hAnsi="Times New Roman"/>
                <w:b/>
                <w:b/>
              </w:rPr>
            </w:pPr>
            <w:r>
              <w:rPr>
                <w:b/>
                <w:kern w:val="0"/>
                <w:lang w:val="en-US" w:eastAsia="en-US" w:bidi="ar-SA"/>
              </w:rPr>
              <w:t>Expected outputs</w:t>
            </w:r>
          </w:p>
        </w:tc>
      </w:tr>
      <w:tr>
        <w:trPr/>
        <w:tc>
          <w:tcPr>
            <w:tcW w:w="2586" w:type="dxa"/>
            <w:tcBorders/>
          </w:tcPr>
          <w:p>
            <w:pPr>
              <w:pStyle w:val="Normal"/>
              <w:widowControl w:val="false"/>
              <w:spacing w:lineRule="auto" w:line="276" w:before="0" w:after="200"/>
              <w:jc w:val="left"/>
              <w:rPr>
                <w:rFonts w:ascii="Times New Roman" w:hAnsi="Times New Roman"/>
              </w:rPr>
            </w:pPr>
            <w:r>
              <w:rPr>
                <w:bCs/>
                <w:kern w:val="0"/>
                <w:lang w:val="en-GB" w:eastAsia="en-US" w:bidi="ar-SA"/>
              </w:rPr>
              <w:t>5.1 General Coordination and Monitoring of the Enabling Activities</w:t>
            </w:r>
          </w:p>
        </w:tc>
        <w:tc>
          <w:tcPr>
            <w:tcW w:w="3059" w:type="dxa"/>
            <w:tcBorders/>
          </w:tcPr>
          <w:p>
            <w:pPr>
              <w:pStyle w:val="Normal"/>
              <w:widowControl w:val="false"/>
              <w:spacing w:lineRule="auto" w:line="276" w:before="0" w:after="200"/>
              <w:jc w:val="left"/>
              <w:rPr>
                <w:rFonts w:ascii="Times New Roman" w:hAnsi="Times New Roman"/>
              </w:rPr>
            </w:pPr>
            <w:r>
              <w:rPr>
                <w:kern w:val="0"/>
                <w:lang w:val="en-US" w:eastAsia="en-US" w:bidi="ar-SA"/>
              </w:rPr>
              <w:t>All stakeholders</w:t>
            </w:r>
          </w:p>
        </w:tc>
        <w:tc>
          <w:tcPr>
            <w:tcW w:w="4027" w:type="dxa"/>
            <w:tcBorders/>
          </w:tcPr>
          <w:p>
            <w:pPr>
              <w:pStyle w:val="Normal"/>
              <w:widowControl w:val="false"/>
              <w:spacing w:lineRule="auto" w:line="276" w:before="0" w:after="200"/>
              <w:jc w:val="left"/>
              <w:rPr>
                <w:rFonts w:ascii="Times New Roman" w:hAnsi="Times New Roman"/>
              </w:rPr>
            </w:pPr>
            <w:r>
              <w:rPr>
                <w:kern w:val="0"/>
                <w:lang w:val="en-GB" w:eastAsia="en-US" w:bidi="ar-SA"/>
              </w:rPr>
              <w:t>Coordinated national strategy to phase-down HFC in Viet Nam involving all stakeholders</w:t>
            </w:r>
          </w:p>
        </w:tc>
      </w:tr>
    </w:tbl>
    <w:p>
      <w:pPr>
        <w:pStyle w:val="Normal"/>
        <w:rPr>
          <w:rFonts w:ascii="Times New Roman" w:hAnsi="Times New Roman"/>
        </w:rPr>
      </w:pPr>
      <w:r>
        <w:rPr/>
      </w:r>
    </w:p>
    <w:p>
      <w:pPr>
        <w:pStyle w:val="Normal"/>
        <w:tabs>
          <w:tab w:val="clear" w:pos="720"/>
          <w:tab w:val="left" w:pos="0" w:leader="none"/>
        </w:tabs>
        <w:rPr>
          <w:rFonts w:ascii="Times New Roman" w:hAnsi="Times New Roman"/>
          <w:b/>
          <w:b/>
          <w:caps/>
          <w:lang w:val="en-GB"/>
        </w:rPr>
      </w:pPr>
      <w:r>
        <w:rPr>
          <w:b/>
          <w:caps/>
          <w:lang w:val="en-GB"/>
        </w:rPr>
        <w:t>4. Implementation plan and budgets</w:t>
      </w:r>
    </w:p>
    <w:p>
      <w:pPr>
        <w:pStyle w:val="Normal"/>
        <w:spacing w:lineRule="auto" w:line="259" w:before="0" w:after="160"/>
        <w:contextualSpacing/>
        <w:rPr>
          <w:rFonts w:ascii="Times New Roman" w:hAnsi="Times New Roman"/>
        </w:rPr>
      </w:pPr>
      <w:r>
        <w:rPr/>
        <w:t>According to the planned programme, foreseen activities and planned milestones, the following budget as well as time plan are shown:</w:t>
      </w:r>
    </w:p>
    <w:p>
      <w:pPr>
        <w:pStyle w:val="Normal"/>
        <w:spacing w:lineRule="auto" w:line="259" w:before="0" w:after="160"/>
        <w:contextualSpacing/>
        <w:rPr>
          <w:rFonts w:ascii="Times New Roman" w:hAnsi="Times New Roman"/>
        </w:rPr>
      </w:pPr>
      <w:r>
        <w:rPr/>
      </w:r>
    </w:p>
    <w:p>
      <w:pPr>
        <w:sectPr>
          <w:headerReference w:type="even" r:id="rId144"/>
          <w:headerReference w:type="default" r:id="rId145"/>
          <w:footerReference w:type="even" r:id="rId146"/>
          <w:footerReference w:type="default" r:id="rId147"/>
          <w:footnotePr>
            <w:numFmt w:val="decimal"/>
          </w:footnotePr>
          <w:type w:val="nextPage"/>
          <w:pgSz w:w="12240" w:h="15840"/>
          <w:pgMar w:left="1440" w:right="1440" w:gutter="0" w:header="0" w:top="994" w:footer="720" w:bottom="1440"/>
          <w:pgNumType w:fmt="decimal"/>
          <w:formProt w:val="false"/>
          <w:textDirection w:val="lrTb"/>
          <w:docGrid w:type="default" w:linePitch="600" w:charSpace="36864"/>
        </w:sectPr>
        <w:pStyle w:val="Normal"/>
        <w:rPr>
          <w:rFonts w:ascii="Times New Roman" w:hAnsi="Times New Roman" w:eastAsia="Calibri"/>
          <w:b/>
          <w:b/>
          <w:lang w:val="en-GB"/>
        </w:rPr>
      </w:pPr>
      <w:r>
        <w:rPr>
          <w:rFonts w:eastAsia="Calibri"/>
          <w:b/>
          <w:lang w:val="en-GB"/>
        </w:rPr>
      </w:r>
      <w:r>
        <w:br w:type="page"/>
      </w:r>
    </w:p>
    <w:p>
      <w:pPr>
        <w:pStyle w:val="Normal"/>
        <w:spacing w:lineRule="auto" w:line="259" w:before="0" w:after="160"/>
        <w:contextualSpacing/>
        <w:rPr>
          <w:rFonts w:ascii="Times New Roman" w:hAnsi="Times New Roman" w:eastAsia="Calibri"/>
          <w:b/>
          <w:b/>
          <w:lang w:val="en-GB"/>
        </w:rPr>
      </w:pPr>
      <w:r>
        <w:rPr>
          <w:rFonts w:eastAsia="Calibri"/>
          <w:b/>
          <w:lang w:val="en-GB"/>
        </w:rPr>
        <w:t>Budget</w:t>
      </w:r>
    </w:p>
    <w:p>
      <w:pPr>
        <w:pStyle w:val="Normal"/>
        <w:spacing w:lineRule="auto" w:line="259" w:before="0" w:after="160"/>
        <w:ind w:left="720" w:hanging="0"/>
        <w:contextualSpacing/>
        <w:rPr>
          <w:rFonts w:ascii="Times New Roman" w:hAnsi="Times New Roman" w:eastAsia="Calibri"/>
          <w:b/>
          <w:b/>
          <w:lang w:val="en-GB"/>
        </w:rPr>
      </w:pPr>
      <w:r>
        <w:rPr>
          <w:rFonts w:eastAsia="Calibri"/>
          <w:b/>
          <w:lang w:val="en-GB"/>
        </w:rPr>
      </w:r>
    </w:p>
    <w:tbl>
      <w:tblPr>
        <w:tblStyle w:val="TableGrid"/>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3651"/>
        <w:gridCol w:w="7534"/>
        <w:gridCol w:w="2221"/>
      </w:tblGrid>
      <w:tr>
        <w:trPr>
          <w:trHeight w:val="485" w:hRule="atLeast"/>
        </w:trPr>
        <w:tc>
          <w:tcPr>
            <w:tcW w:w="3651" w:type="dxa"/>
            <w:tcBorders/>
            <w:shd w:color="auto" w:fill="DBE5F1" w:themeFill="accent1" w:themeFillTint="33" w:val="clear"/>
            <w:vAlign w:val="center"/>
          </w:tcPr>
          <w:p>
            <w:pPr>
              <w:pStyle w:val="Normal"/>
              <w:widowControl w:val="false"/>
              <w:spacing w:before="0" w:after="0"/>
              <w:jc w:val="center"/>
              <w:rPr>
                <w:rFonts w:ascii="Times New Roman" w:hAnsi="Times New Roman" w:eastAsia="Calibri"/>
                <w:b/>
                <w:b/>
                <w:lang w:val="en-GB"/>
              </w:rPr>
            </w:pPr>
            <w:r>
              <w:rPr>
                <w:rFonts w:eastAsia="Calibri"/>
                <w:b/>
                <w:kern w:val="0"/>
                <w:lang w:val="en-GB" w:eastAsia="en-US" w:bidi="ar-SA"/>
              </w:rPr>
              <w:t>Enabling Activity Category</w:t>
            </w:r>
          </w:p>
        </w:tc>
        <w:tc>
          <w:tcPr>
            <w:tcW w:w="7534" w:type="dxa"/>
            <w:tcBorders/>
            <w:shd w:color="auto" w:fill="DBE5F1" w:themeFill="accent1" w:themeFillTint="33" w:val="clear"/>
            <w:vAlign w:val="center"/>
          </w:tcPr>
          <w:p>
            <w:pPr>
              <w:pStyle w:val="Normal"/>
              <w:widowControl w:val="false"/>
              <w:spacing w:before="0" w:after="0"/>
              <w:jc w:val="center"/>
              <w:rPr>
                <w:rFonts w:ascii="Times New Roman" w:hAnsi="Times New Roman" w:eastAsia="Calibri"/>
                <w:b/>
                <w:b/>
                <w:lang w:val="en-GB"/>
              </w:rPr>
            </w:pPr>
            <w:r>
              <w:rPr>
                <w:rFonts w:eastAsia="Calibri"/>
                <w:b/>
                <w:kern w:val="0"/>
                <w:lang w:val="en-GB" w:eastAsia="en-US" w:bidi="ar-SA"/>
              </w:rPr>
              <w:t>Activities</w:t>
            </w:r>
          </w:p>
        </w:tc>
        <w:tc>
          <w:tcPr>
            <w:tcW w:w="2221" w:type="dxa"/>
            <w:tcBorders/>
            <w:shd w:color="auto" w:fill="DBE5F1" w:themeFill="accent1" w:themeFillTint="33" w:val="clear"/>
            <w:vAlign w:val="center"/>
          </w:tcPr>
          <w:p>
            <w:pPr>
              <w:pStyle w:val="Normal"/>
              <w:widowControl w:val="false"/>
              <w:spacing w:before="0" w:after="0"/>
              <w:jc w:val="center"/>
              <w:rPr>
                <w:rFonts w:ascii="Times New Roman" w:hAnsi="Times New Roman" w:eastAsia="Calibri"/>
                <w:b/>
                <w:b/>
                <w:bCs/>
                <w:lang w:val="en-GB"/>
              </w:rPr>
            </w:pPr>
            <w:r>
              <w:rPr>
                <w:rFonts w:eastAsia="Calibri"/>
                <w:b/>
                <w:bCs/>
                <w:kern w:val="0"/>
                <w:lang w:val="en-GB" w:eastAsia="en-US" w:bidi="ar-SA"/>
              </w:rPr>
              <w:t>Budget</w:t>
            </w:r>
          </w:p>
          <w:p>
            <w:pPr>
              <w:pStyle w:val="Normal"/>
              <w:widowControl w:val="false"/>
              <w:spacing w:before="0" w:after="0"/>
              <w:jc w:val="center"/>
              <w:rPr>
                <w:rFonts w:ascii="Times New Roman" w:hAnsi="Times New Roman" w:eastAsia="Calibri"/>
                <w:b/>
                <w:b/>
                <w:lang w:val="en-GB"/>
              </w:rPr>
            </w:pPr>
            <w:r>
              <w:rPr>
                <w:rFonts w:eastAsia="Calibri"/>
                <w:b/>
                <w:bCs/>
                <w:kern w:val="0"/>
                <w:lang w:val="en-GB" w:eastAsia="en-US" w:bidi="ar-SA"/>
              </w:rPr>
              <w:t>(in USD)</w:t>
            </w:r>
          </w:p>
        </w:tc>
      </w:tr>
      <w:tr>
        <w:trPr>
          <w:trHeight w:val="522" w:hRule="atLeast"/>
        </w:trPr>
        <w:tc>
          <w:tcPr>
            <w:tcW w:w="3651" w:type="dxa"/>
            <w:vMerge w:val="restart"/>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GB" w:eastAsia="en-US" w:bidi="ar-SA"/>
              </w:rPr>
              <w:t>1. Activities to facilitate and support early ratification</w:t>
            </w:r>
          </w:p>
        </w:tc>
        <w:tc>
          <w:tcPr>
            <w:tcW w:w="7534" w:type="dxa"/>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GB" w:eastAsia="en-US" w:bidi="ar-SA"/>
              </w:rPr>
              <w:t>1.1 C</w:t>
            </w:r>
            <w:r>
              <w:rPr>
                <w:rFonts w:eastAsia="Calibri"/>
                <w:kern w:val="0"/>
                <w:lang w:val="en-US" w:eastAsia="en-US" w:bidi="ar-SA"/>
              </w:rPr>
              <w:t xml:space="preserve">ost and benefit analysis  and LCA </w:t>
            </w:r>
            <w:r>
              <w:rPr>
                <w:rFonts w:eastAsia="Calibri"/>
                <w:kern w:val="0"/>
                <w:lang w:val="en-GB" w:eastAsia="en-US" w:bidi="ar-SA"/>
              </w:rPr>
              <w:t xml:space="preserve">on the impact of the ratification </w:t>
            </w:r>
          </w:p>
        </w:tc>
        <w:tc>
          <w:tcPr>
            <w:tcW w:w="2221" w:type="dxa"/>
            <w:tcBorders/>
            <w:vAlign w:val="center"/>
          </w:tcPr>
          <w:p>
            <w:pPr>
              <w:pStyle w:val="Normal"/>
              <w:widowControl w:val="false"/>
              <w:spacing w:before="0" w:after="0"/>
              <w:jc w:val="center"/>
              <w:rPr>
                <w:rFonts w:ascii="Times New Roman" w:hAnsi="Times New Roman" w:eastAsia="Calibri"/>
                <w:lang w:val="en-GB"/>
              </w:rPr>
            </w:pPr>
            <w:r>
              <w:rPr>
                <w:rFonts w:eastAsia="Calibri"/>
                <w:kern w:val="0"/>
                <w:lang w:val="en-GB" w:eastAsia="en-US" w:bidi="ar-SA"/>
              </w:rPr>
              <w:t>22,000</w:t>
            </w:r>
          </w:p>
        </w:tc>
      </w:tr>
      <w:tr>
        <w:trPr>
          <w:trHeight w:val="171" w:hRule="atLeast"/>
        </w:trPr>
        <w:tc>
          <w:tcPr>
            <w:tcW w:w="3651" w:type="dxa"/>
            <w:vMerge w:val="continue"/>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GB" w:eastAsia="en-US" w:bidi="ar-SA"/>
              </w:rPr>
              <w:t>1.2 Coordination with government representatives and preparation of background documents</w:t>
            </w:r>
          </w:p>
        </w:tc>
        <w:tc>
          <w:tcPr>
            <w:tcW w:w="2221" w:type="dxa"/>
            <w:tcBorders/>
            <w:vAlign w:val="center"/>
          </w:tcPr>
          <w:p>
            <w:pPr>
              <w:pStyle w:val="Normal"/>
              <w:widowControl w:val="false"/>
              <w:spacing w:before="0" w:after="0"/>
              <w:jc w:val="center"/>
              <w:rPr>
                <w:rFonts w:ascii="Times New Roman" w:hAnsi="Times New Roman" w:eastAsia="Calibri"/>
                <w:lang w:val="en-GB"/>
              </w:rPr>
            </w:pPr>
            <w:r>
              <w:rPr>
                <w:rFonts w:eastAsia="Calibri"/>
                <w:kern w:val="0"/>
                <w:lang w:val="en-GB" w:eastAsia="en-US" w:bidi="ar-SA"/>
              </w:rPr>
              <w:t>18,000</w:t>
            </w:r>
          </w:p>
        </w:tc>
      </w:tr>
      <w:tr>
        <w:trPr>
          <w:trHeight w:val="171" w:hRule="atLeast"/>
        </w:trPr>
        <w:tc>
          <w:tcPr>
            <w:tcW w:w="3651" w:type="dxa"/>
            <w:vMerge w:val="continue"/>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GB" w:eastAsia="en-US" w:bidi="ar-SA"/>
              </w:rPr>
              <w:t xml:space="preserve">1.3 Awareness raising of stakeholders on HFC-phase down (e.g; Kigali Amendment informative conference at the Ozone Day 2018, fact sheets and case studies on transitioning to low-GWP alternatives in various applications) </w:t>
            </w:r>
          </w:p>
        </w:tc>
        <w:tc>
          <w:tcPr>
            <w:tcW w:w="2221" w:type="dxa"/>
            <w:tcBorders/>
            <w:vAlign w:val="center"/>
          </w:tcPr>
          <w:p>
            <w:pPr>
              <w:pStyle w:val="Normal"/>
              <w:widowControl w:val="false"/>
              <w:spacing w:before="0" w:after="0"/>
              <w:jc w:val="center"/>
              <w:rPr>
                <w:rFonts w:ascii="Times New Roman" w:hAnsi="Times New Roman" w:eastAsia="Calibri"/>
                <w:lang w:val="en-GB"/>
              </w:rPr>
            </w:pPr>
            <w:r>
              <w:rPr>
                <w:rFonts w:eastAsia="Calibri"/>
                <w:kern w:val="0"/>
                <w:lang w:val="en-GB" w:eastAsia="en-US" w:bidi="ar-SA"/>
              </w:rPr>
              <w:t>45,000</w:t>
            </w:r>
          </w:p>
        </w:tc>
      </w:tr>
      <w:tr>
        <w:trPr>
          <w:trHeight w:val="251" w:hRule="atLeast"/>
        </w:trPr>
        <w:tc>
          <w:tcPr>
            <w:tcW w:w="3651" w:type="dxa"/>
            <w:vMerge w:val="continue"/>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right"/>
              <w:rPr>
                <w:rFonts w:ascii="Times New Roman" w:hAnsi="Times New Roman" w:eastAsia="Calibri"/>
                <w:b/>
                <w:b/>
                <w:i/>
                <w:i/>
                <w:lang w:val="en-GB"/>
              </w:rPr>
            </w:pPr>
            <w:r>
              <w:rPr>
                <w:rFonts w:eastAsia="Calibri"/>
                <w:b/>
                <w:i/>
                <w:kern w:val="0"/>
                <w:lang w:val="en-GB" w:eastAsia="en-US" w:bidi="ar-SA"/>
              </w:rPr>
              <w:t>Subtotal 1</w:t>
            </w:r>
          </w:p>
        </w:tc>
        <w:tc>
          <w:tcPr>
            <w:tcW w:w="2221" w:type="dxa"/>
            <w:tcBorders/>
            <w:vAlign w:val="center"/>
          </w:tcPr>
          <w:p>
            <w:pPr>
              <w:pStyle w:val="Normal"/>
              <w:widowControl w:val="false"/>
              <w:spacing w:before="0" w:after="0"/>
              <w:jc w:val="center"/>
              <w:rPr>
                <w:rFonts w:ascii="Times New Roman" w:hAnsi="Times New Roman" w:eastAsia="Calibri"/>
                <w:b/>
                <w:b/>
                <w:lang w:val="en-GB"/>
              </w:rPr>
            </w:pPr>
            <w:r>
              <w:rPr>
                <w:rFonts w:eastAsia="Calibri"/>
                <w:b/>
                <w:kern w:val="0"/>
                <w:lang w:val="en-GB" w:eastAsia="en-US" w:bidi="ar-SA"/>
              </w:rPr>
              <w:t>85,000</w:t>
            </w:r>
          </w:p>
        </w:tc>
      </w:tr>
      <w:tr>
        <w:trPr>
          <w:trHeight w:val="261" w:hRule="atLeast"/>
        </w:trPr>
        <w:tc>
          <w:tcPr>
            <w:tcW w:w="3651" w:type="dxa"/>
            <w:vMerge w:val="restart"/>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GB" w:eastAsia="en-US" w:bidi="ar-SA"/>
              </w:rPr>
              <w:t xml:space="preserve">2. </w:t>
            </w:r>
            <w:r>
              <w:rPr>
                <w:rFonts w:eastAsia="Calibri"/>
                <w:kern w:val="0"/>
                <w:lang w:val="en-US" w:eastAsia="en-US" w:bidi="ar-SA"/>
              </w:rPr>
              <w:t>Country-specific activities aimed at initiating supporting institutional arrangements</w:t>
            </w:r>
          </w:p>
        </w:tc>
        <w:tc>
          <w:tcPr>
            <w:tcW w:w="7534" w:type="dxa"/>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GB" w:eastAsia="en-US" w:bidi="ar-SA"/>
              </w:rPr>
              <w:t xml:space="preserve">2.1 </w:t>
            </w:r>
            <w:r>
              <w:rPr>
                <w:rFonts w:eastAsia="Calibri"/>
                <w:kern w:val="0"/>
                <w:lang w:val="en-US" w:eastAsia="en-US" w:bidi="ar-SA"/>
              </w:rPr>
              <w:t>Reviewing institutional arrangements on HFC control measures and linkages to the national strategy on environment and on the mitigation of climate change</w:t>
            </w:r>
          </w:p>
        </w:tc>
        <w:tc>
          <w:tcPr>
            <w:tcW w:w="2221" w:type="dxa"/>
            <w:tcBorders/>
            <w:vAlign w:val="center"/>
          </w:tcPr>
          <w:p>
            <w:pPr>
              <w:pStyle w:val="Normal"/>
              <w:widowControl w:val="false"/>
              <w:spacing w:before="0" w:after="0"/>
              <w:jc w:val="center"/>
              <w:rPr>
                <w:rFonts w:ascii="Times New Roman" w:hAnsi="Times New Roman" w:eastAsia="Calibri"/>
                <w:lang w:val="en-GB"/>
              </w:rPr>
            </w:pPr>
            <w:r>
              <w:rPr>
                <w:rFonts w:eastAsia="Calibri"/>
                <w:kern w:val="0"/>
                <w:lang w:val="en-GB" w:eastAsia="en-US" w:bidi="ar-SA"/>
              </w:rPr>
              <w:t>13,000</w:t>
            </w:r>
          </w:p>
        </w:tc>
      </w:tr>
      <w:tr>
        <w:trPr>
          <w:trHeight w:val="261" w:hRule="atLeast"/>
        </w:trPr>
        <w:tc>
          <w:tcPr>
            <w:tcW w:w="3651" w:type="dxa"/>
            <w:vMerge w:val="continue"/>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GB" w:eastAsia="en-US" w:bidi="ar-SA"/>
              </w:rPr>
              <w:t xml:space="preserve">2.2 </w:t>
            </w:r>
            <w:r>
              <w:rPr>
                <w:rFonts w:eastAsia="Calibri"/>
                <w:kern w:val="0"/>
                <w:lang w:val="en-US" w:eastAsia="en-US" w:bidi="ar-SA"/>
              </w:rPr>
              <w:t>Reviewing codes and standards, permits, inspections, operating standards for HFC and ODS alternatives (use, maintenance, end-user), prohibitions, testing, labelling (production, manufacturing, wholesalers or distributors) etc.</w:t>
            </w:r>
          </w:p>
        </w:tc>
        <w:tc>
          <w:tcPr>
            <w:tcW w:w="2221" w:type="dxa"/>
            <w:tcBorders/>
            <w:vAlign w:val="center"/>
          </w:tcPr>
          <w:p>
            <w:pPr>
              <w:pStyle w:val="Normal"/>
              <w:widowControl w:val="false"/>
              <w:spacing w:before="0" w:after="0"/>
              <w:jc w:val="center"/>
              <w:rPr>
                <w:rFonts w:ascii="Times New Roman" w:hAnsi="Times New Roman" w:eastAsia="Calibri"/>
                <w:lang w:val="en-GB"/>
              </w:rPr>
            </w:pPr>
            <w:r>
              <w:rPr>
                <w:rFonts w:eastAsia="Calibri"/>
                <w:kern w:val="0"/>
                <w:lang w:val="en-GB" w:eastAsia="en-US" w:bidi="ar-SA"/>
              </w:rPr>
              <w:t>15,000</w:t>
            </w:r>
          </w:p>
        </w:tc>
      </w:tr>
      <w:tr>
        <w:trPr>
          <w:trHeight w:val="261" w:hRule="atLeast"/>
        </w:trPr>
        <w:tc>
          <w:tcPr>
            <w:tcW w:w="3651" w:type="dxa"/>
            <w:vMerge w:val="continue"/>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ind w:left="-47" w:hanging="0"/>
              <w:jc w:val="left"/>
              <w:rPr>
                <w:rFonts w:ascii="Times New Roman" w:hAnsi="Times New Roman" w:eastAsia="Calibri"/>
              </w:rPr>
            </w:pPr>
            <w:r>
              <w:rPr>
                <w:rFonts w:eastAsia="Calibri"/>
                <w:kern w:val="0"/>
                <w:lang w:val="en-GB" w:eastAsia="en-US" w:bidi="ar-SA"/>
              </w:rPr>
              <w:t xml:space="preserve">2.3 </w:t>
            </w:r>
            <w:r>
              <w:rPr>
                <w:rFonts w:eastAsia="Calibri"/>
                <w:kern w:val="0"/>
                <w:lang w:val="en-US" w:eastAsia="en-US" w:bidi="ar-SA"/>
              </w:rPr>
              <w:t>Reviewing standards for flammable/toxic low- and zero-GWP alternatives in line with international standards</w:t>
            </w:r>
          </w:p>
        </w:tc>
        <w:tc>
          <w:tcPr>
            <w:tcW w:w="2221" w:type="dxa"/>
            <w:tcBorders/>
            <w:vAlign w:val="center"/>
          </w:tcPr>
          <w:p>
            <w:pPr>
              <w:pStyle w:val="Normal"/>
              <w:widowControl w:val="false"/>
              <w:spacing w:before="0" w:after="0"/>
              <w:ind w:left="-47" w:hanging="0"/>
              <w:jc w:val="center"/>
              <w:rPr>
                <w:rFonts w:ascii="Times New Roman" w:hAnsi="Times New Roman" w:eastAsia="Calibri"/>
                <w:lang w:val="en-GB"/>
              </w:rPr>
            </w:pPr>
            <w:r>
              <w:rPr>
                <w:rFonts w:eastAsia="Calibri"/>
                <w:kern w:val="0"/>
                <w:lang w:val="en-GB" w:eastAsia="en-US" w:bidi="ar-SA"/>
              </w:rPr>
              <w:t>10,000</w:t>
            </w:r>
          </w:p>
        </w:tc>
      </w:tr>
      <w:tr>
        <w:trPr>
          <w:trHeight w:val="261" w:hRule="atLeast"/>
        </w:trPr>
        <w:tc>
          <w:tcPr>
            <w:tcW w:w="3651" w:type="dxa"/>
            <w:vMerge w:val="continue"/>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ind w:left="-47" w:hanging="0"/>
              <w:jc w:val="right"/>
              <w:rPr>
                <w:rFonts w:ascii="Times New Roman" w:hAnsi="Times New Roman" w:eastAsia="Calibri"/>
                <w:lang w:val="en-GB"/>
              </w:rPr>
            </w:pPr>
            <w:r>
              <w:rPr>
                <w:rFonts w:eastAsia="Calibri"/>
                <w:b/>
                <w:i/>
                <w:kern w:val="0"/>
                <w:lang w:val="en-GB" w:eastAsia="en-US" w:bidi="ar-SA"/>
              </w:rPr>
              <w:t>Subtotal 2</w:t>
            </w:r>
          </w:p>
        </w:tc>
        <w:tc>
          <w:tcPr>
            <w:tcW w:w="2221" w:type="dxa"/>
            <w:tcBorders/>
            <w:vAlign w:val="center"/>
          </w:tcPr>
          <w:p>
            <w:pPr>
              <w:pStyle w:val="Normal"/>
              <w:widowControl w:val="false"/>
              <w:spacing w:before="0" w:after="0"/>
              <w:ind w:left="-47" w:hanging="0"/>
              <w:jc w:val="center"/>
              <w:rPr>
                <w:rFonts w:ascii="Times New Roman" w:hAnsi="Times New Roman" w:eastAsia="Calibri"/>
                <w:b/>
                <w:b/>
                <w:lang w:val="en-GB"/>
              </w:rPr>
            </w:pPr>
            <w:r>
              <w:rPr>
                <w:rFonts w:eastAsia="Calibri"/>
                <w:b/>
                <w:kern w:val="0"/>
                <w:lang w:val="en-GB" w:eastAsia="en-US" w:bidi="ar-SA"/>
              </w:rPr>
              <w:t>38,000</w:t>
            </w:r>
          </w:p>
        </w:tc>
      </w:tr>
      <w:tr>
        <w:trPr>
          <w:trHeight w:val="261" w:hRule="atLeast"/>
        </w:trPr>
        <w:tc>
          <w:tcPr>
            <w:tcW w:w="3651" w:type="dxa"/>
            <w:vMerge w:val="restart"/>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US" w:eastAsia="en-US" w:bidi="ar-SA"/>
              </w:rPr>
              <w:t>3. Data reporting on HFC consumption</w:t>
            </w:r>
          </w:p>
        </w:tc>
        <w:tc>
          <w:tcPr>
            <w:tcW w:w="7534" w:type="dxa"/>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GB" w:eastAsia="en-US" w:bidi="ar-SA"/>
              </w:rPr>
              <w:t xml:space="preserve">3.1 </w:t>
            </w:r>
            <w:r>
              <w:rPr>
                <w:rFonts w:eastAsia="Calibri"/>
                <w:kern w:val="0"/>
                <w:lang w:val="en-US" w:eastAsia="en-US" w:bidi="ar-SA"/>
              </w:rPr>
              <w:t>Reviewing national mechanisms used for ODS reporting to include HFCs production/consumption (Decision 76/7d)</w:t>
            </w:r>
          </w:p>
        </w:tc>
        <w:tc>
          <w:tcPr>
            <w:tcW w:w="2221" w:type="dxa"/>
            <w:tcBorders/>
            <w:vAlign w:val="center"/>
          </w:tcPr>
          <w:p>
            <w:pPr>
              <w:pStyle w:val="Normal"/>
              <w:widowControl w:val="false"/>
              <w:spacing w:before="0" w:after="0"/>
              <w:ind w:left="-47" w:hanging="0"/>
              <w:jc w:val="center"/>
              <w:rPr>
                <w:rFonts w:ascii="Times New Roman" w:hAnsi="Times New Roman" w:eastAsia="Calibri"/>
                <w:lang w:val="en-GB"/>
              </w:rPr>
            </w:pPr>
            <w:r>
              <w:rPr>
                <w:rFonts w:eastAsia="Calibri"/>
                <w:kern w:val="0"/>
                <w:lang w:val="en-GB" w:eastAsia="en-US" w:bidi="ar-SA"/>
              </w:rPr>
              <w:t>12,000</w:t>
            </w:r>
          </w:p>
        </w:tc>
      </w:tr>
      <w:tr>
        <w:trPr>
          <w:trHeight w:val="261" w:hRule="atLeast"/>
        </w:trPr>
        <w:tc>
          <w:tcPr>
            <w:tcW w:w="3651" w:type="dxa"/>
            <w:vMerge w:val="continue"/>
            <w:tcBorders/>
            <w:vAlign w:val="center"/>
          </w:tcPr>
          <w:p>
            <w:pPr>
              <w:pStyle w:val="Normal"/>
              <w:widowControl w:val="false"/>
              <w:spacing w:before="0" w:after="0"/>
              <w:ind w:left="-47" w:hanging="0"/>
              <w:jc w:val="left"/>
              <w:rPr>
                <w:rFonts w:ascii="Times New Roman" w:hAnsi="Times New Roman" w:eastAsia="Calibri"/>
              </w:rPr>
            </w:pPr>
            <w:r>
              <w:rPr>
                <w:rFonts w:eastAsia="Calibri"/>
                <w:kern w:val="0"/>
                <w:lang w:val="en-US" w:eastAsia="en-US" w:bidi="ar-SA"/>
              </w:rPr>
            </w:r>
          </w:p>
        </w:tc>
        <w:tc>
          <w:tcPr>
            <w:tcW w:w="7534" w:type="dxa"/>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GB" w:eastAsia="en-US" w:bidi="ar-SA"/>
              </w:rPr>
              <w:t xml:space="preserve">3.2 </w:t>
            </w:r>
            <w:r>
              <w:rPr>
                <w:rFonts w:eastAsia="Calibri"/>
                <w:kern w:val="0"/>
                <w:lang w:val="en-US" w:eastAsia="en-US" w:bidi="ar-SA"/>
              </w:rPr>
              <w:t>Improving inter-institutional coordination in the country, related to the collection, verification and reporting of HFCs consumption and production (where applicable) and ODS alternatives</w:t>
            </w:r>
          </w:p>
        </w:tc>
        <w:tc>
          <w:tcPr>
            <w:tcW w:w="2221" w:type="dxa"/>
            <w:tcBorders/>
            <w:vAlign w:val="center"/>
          </w:tcPr>
          <w:p>
            <w:pPr>
              <w:pStyle w:val="Normal"/>
              <w:widowControl w:val="false"/>
              <w:spacing w:before="0" w:after="0"/>
              <w:ind w:left="-47" w:hanging="0"/>
              <w:jc w:val="center"/>
              <w:rPr>
                <w:rFonts w:ascii="Times New Roman" w:hAnsi="Times New Roman" w:eastAsia="Calibri"/>
                <w:lang w:val="en-GB"/>
              </w:rPr>
            </w:pPr>
            <w:r>
              <w:rPr>
                <w:rFonts w:eastAsia="Calibri"/>
                <w:kern w:val="0"/>
                <w:lang w:val="en-GB" w:eastAsia="en-US" w:bidi="ar-SA"/>
              </w:rPr>
              <w:t>10,000</w:t>
            </w:r>
          </w:p>
        </w:tc>
      </w:tr>
      <w:tr>
        <w:trPr>
          <w:trHeight w:val="261" w:hRule="atLeast"/>
        </w:trPr>
        <w:tc>
          <w:tcPr>
            <w:tcW w:w="3651" w:type="dxa"/>
            <w:vMerge w:val="continue"/>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GB" w:eastAsia="en-US" w:bidi="ar-SA"/>
              </w:rPr>
              <w:t xml:space="preserve">3.3 </w:t>
            </w:r>
            <w:r>
              <w:rPr>
                <w:rFonts w:eastAsia="Calibri"/>
                <w:kern w:val="0"/>
                <w:lang w:val="en-US" w:eastAsia="en-US" w:bidi="ar-SA"/>
              </w:rPr>
              <w:t>Carrying out gap analysis on the availability of ODS related data in the country</w:t>
            </w:r>
          </w:p>
        </w:tc>
        <w:tc>
          <w:tcPr>
            <w:tcW w:w="2221" w:type="dxa"/>
            <w:tcBorders/>
            <w:vAlign w:val="center"/>
          </w:tcPr>
          <w:p>
            <w:pPr>
              <w:pStyle w:val="Normal"/>
              <w:widowControl w:val="false"/>
              <w:spacing w:before="0" w:after="0"/>
              <w:ind w:left="-47" w:hanging="0"/>
              <w:jc w:val="center"/>
              <w:rPr>
                <w:rFonts w:ascii="Times New Roman" w:hAnsi="Times New Roman" w:eastAsia="Calibri"/>
                <w:lang w:val="en-GB"/>
              </w:rPr>
            </w:pPr>
            <w:r>
              <w:rPr>
                <w:rFonts w:eastAsia="Calibri"/>
                <w:kern w:val="0"/>
                <w:lang w:val="en-GB" w:eastAsia="en-US" w:bidi="ar-SA"/>
              </w:rPr>
              <w:t>5,000</w:t>
            </w:r>
          </w:p>
        </w:tc>
      </w:tr>
      <w:tr>
        <w:trPr>
          <w:trHeight w:val="261" w:hRule="atLeast"/>
        </w:trPr>
        <w:tc>
          <w:tcPr>
            <w:tcW w:w="3651" w:type="dxa"/>
            <w:vMerge w:val="continue"/>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GB" w:eastAsia="en-US" w:bidi="ar-SA"/>
              </w:rPr>
              <w:t xml:space="preserve">3.4 </w:t>
            </w:r>
            <w:r>
              <w:rPr>
                <w:rFonts w:eastAsia="Calibri"/>
                <w:kern w:val="0"/>
                <w:lang w:val="en-US" w:eastAsia="en-US" w:bidi="ar-SA"/>
              </w:rPr>
              <w:t>Improving a national database based on the above - Enhancing the records and control tools on HFCs and alternative substances in cooperation with customs, authorities and stakeholders</w:t>
            </w:r>
          </w:p>
        </w:tc>
        <w:tc>
          <w:tcPr>
            <w:tcW w:w="2221" w:type="dxa"/>
            <w:tcBorders/>
            <w:vAlign w:val="center"/>
          </w:tcPr>
          <w:p>
            <w:pPr>
              <w:pStyle w:val="Normal"/>
              <w:widowControl w:val="false"/>
              <w:spacing w:before="0" w:after="0"/>
              <w:jc w:val="center"/>
              <w:rPr>
                <w:rFonts w:ascii="Times New Roman" w:hAnsi="Times New Roman" w:eastAsia="Calibri"/>
                <w:lang w:val="en-GB"/>
              </w:rPr>
            </w:pPr>
            <w:r>
              <w:rPr>
                <w:rFonts w:eastAsia="Calibri"/>
                <w:kern w:val="0"/>
                <w:lang w:val="en-GB" w:eastAsia="en-US" w:bidi="ar-SA"/>
              </w:rPr>
              <w:t>15,000</w:t>
            </w:r>
          </w:p>
        </w:tc>
      </w:tr>
      <w:tr>
        <w:trPr>
          <w:trHeight w:val="261" w:hRule="atLeast"/>
        </w:trPr>
        <w:tc>
          <w:tcPr>
            <w:tcW w:w="3651" w:type="dxa"/>
            <w:vMerge w:val="continue"/>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right"/>
              <w:rPr>
                <w:rFonts w:ascii="Times New Roman" w:hAnsi="Times New Roman" w:eastAsia="Calibri"/>
                <w:lang w:val="en-GB"/>
              </w:rPr>
            </w:pPr>
            <w:r>
              <w:rPr>
                <w:rFonts w:eastAsia="Calibri"/>
                <w:b/>
                <w:i/>
                <w:kern w:val="0"/>
                <w:lang w:val="en-GB" w:eastAsia="en-US" w:bidi="ar-SA"/>
              </w:rPr>
              <w:t>Subtotal 3</w:t>
            </w:r>
          </w:p>
        </w:tc>
        <w:tc>
          <w:tcPr>
            <w:tcW w:w="2221" w:type="dxa"/>
            <w:tcBorders/>
            <w:vAlign w:val="center"/>
          </w:tcPr>
          <w:p>
            <w:pPr>
              <w:pStyle w:val="Normal"/>
              <w:widowControl w:val="false"/>
              <w:spacing w:before="0" w:after="0"/>
              <w:jc w:val="center"/>
              <w:rPr>
                <w:rFonts w:ascii="Times New Roman" w:hAnsi="Times New Roman" w:eastAsia="Calibri"/>
                <w:b/>
                <w:b/>
                <w:lang w:val="en-GB"/>
              </w:rPr>
            </w:pPr>
            <w:r>
              <w:rPr>
                <w:rFonts w:eastAsia="Calibri"/>
                <w:b/>
                <w:kern w:val="0"/>
                <w:lang w:val="en-GB" w:eastAsia="en-US" w:bidi="ar-SA"/>
              </w:rPr>
              <w:t>42,000</w:t>
            </w:r>
          </w:p>
        </w:tc>
      </w:tr>
      <w:tr>
        <w:trPr>
          <w:trHeight w:val="261" w:hRule="atLeast"/>
        </w:trPr>
        <w:tc>
          <w:tcPr>
            <w:tcW w:w="3651" w:type="dxa"/>
            <w:vMerge w:val="restart"/>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GB" w:eastAsia="en-US" w:bidi="ar-SA"/>
              </w:rPr>
              <w:t>4. Demonstration of non-investment activities - Preliminary capacity building on requirements for the implementation of the KA</w:t>
            </w:r>
          </w:p>
        </w:tc>
        <w:tc>
          <w:tcPr>
            <w:tcW w:w="7534" w:type="dxa"/>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GB" w:eastAsia="en-US" w:bidi="ar-SA"/>
              </w:rPr>
              <w:t>4.1 Identification of energy savings opportunities in the RAC sectors and assessing their cost-efficiency</w:t>
            </w:r>
          </w:p>
        </w:tc>
        <w:tc>
          <w:tcPr>
            <w:tcW w:w="2221" w:type="dxa"/>
            <w:tcBorders/>
            <w:vAlign w:val="center"/>
          </w:tcPr>
          <w:p>
            <w:pPr>
              <w:pStyle w:val="Normal"/>
              <w:widowControl w:val="false"/>
              <w:spacing w:before="0" w:after="0"/>
              <w:jc w:val="center"/>
              <w:rPr>
                <w:rFonts w:ascii="Times New Roman" w:hAnsi="Times New Roman" w:eastAsia="Calibri"/>
                <w:lang w:val="en-GB"/>
              </w:rPr>
            </w:pPr>
            <w:r>
              <w:rPr>
                <w:rFonts w:eastAsia="Calibri"/>
                <w:kern w:val="0"/>
                <w:lang w:val="en-GB" w:eastAsia="en-US" w:bidi="ar-SA"/>
              </w:rPr>
              <w:t>30,000</w:t>
            </w:r>
          </w:p>
        </w:tc>
      </w:tr>
      <w:tr>
        <w:trPr>
          <w:trHeight w:val="171" w:hRule="atLeast"/>
        </w:trPr>
        <w:tc>
          <w:tcPr>
            <w:tcW w:w="3651" w:type="dxa"/>
            <w:vMerge w:val="continue"/>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GB" w:eastAsia="en-US" w:bidi="ar-SA"/>
              </w:rPr>
              <w:t>4.2 Training for National Ozone officers and other related stakeholders on energy efficiency</w:t>
            </w:r>
          </w:p>
        </w:tc>
        <w:tc>
          <w:tcPr>
            <w:tcW w:w="2221" w:type="dxa"/>
            <w:tcBorders/>
            <w:vAlign w:val="center"/>
          </w:tcPr>
          <w:p>
            <w:pPr>
              <w:pStyle w:val="Normal"/>
              <w:widowControl w:val="false"/>
              <w:spacing w:before="0" w:after="0"/>
              <w:jc w:val="center"/>
              <w:rPr>
                <w:rFonts w:ascii="Times New Roman" w:hAnsi="Times New Roman" w:eastAsia="Calibri"/>
                <w:lang w:val="en-GB"/>
              </w:rPr>
            </w:pPr>
            <w:r>
              <w:rPr>
                <w:rFonts w:eastAsia="Calibri"/>
                <w:kern w:val="0"/>
                <w:lang w:val="en-GB" w:eastAsia="en-US" w:bidi="ar-SA"/>
              </w:rPr>
              <w:t>15,000</w:t>
            </w:r>
          </w:p>
        </w:tc>
      </w:tr>
      <w:tr>
        <w:trPr>
          <w:trHeight w:val="171" w:hRule="atLeast"/>
        </w:trPr>
        <w:tc>
          <w:tcPr>
            <w:tcW w:w="3651" w:type="dxa"/>
            <w:vMerge w:val="continue"/>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right"/>
              <w:rPr>
                <w:rFonts w:ascii="Times New Roman" w:hAnsi="Times New Roman" w:eastAsia="Calibri"/>
                <w:lang w:val="en-GB"/>
              </w:rPr>
            </w:pPr>
            <w:r>
              <w:rPr>
                <w:rFonts w:eastAsia="Calibri"/>
                <w:b/>
                <w:i/>
                <w:kern w:val="0"/>
                <w:lang w:val="en-GB" w:eastAsia="en-US" w:bidi="ar-SA"/>
              </w:rPr>
              <w:t>Subtotal 4</w:t>
            </w:r>
          </w:p>
        </w:tc>
        <w:tc>
          <w:tcPr>
            <w:tcW w:w="2221" w:type="dxa"/>
            <w:tcBorders/>
            <w:vAlign w:val="center"/>
          </w:tcPr>
          <w:p>
            <w:pPr>
              <w:pStyle w:val="Normal"/>
              <w:widowControl w:val="false"/>
              <w:spacing w:before="0" w:after="0"/>
              <w:jc w:val="center"/>
              <w:rPr>
                <w:rFonts w:ascii="Times New Roman" w:hAnsi="Times New Roman" w:eastAsia="Calibri"/>
                <w:b/>
                <w:b/>
                <w:lang w:val="en-GB"/>
              </w:rPr>
            </w:pPr>
            <w:r>
              <w:rPr>
                <w:rFonts w:eastAsia="Calibri"/>
                <w:b/>
                <w:kern w:val="0"/>
                <w:lang w:val="en-GB" w:eastAsia="en-US" w:bidi="ar-SA"/>
              </w:rPr>
              <w:t>45,000</w:t>
            </w:r>
          </w:p>
        </w:tc>
      </w:tr>
      <w:tr>
        <w:trPr>
          <w:trHeight w:val="260" w:hRule="atLeast"/>
        </w:trPr>
        <w:tc>
          <w:tcPr>
            <w:tcW w:w="3651" w:type="dxa"/>
            <w:vMerge w:val="restart"/>
            <w:tcBorders/>
            <w:vAlign w:val="center"/>
          </w:tcPr>
          <w:p>
            <w:pPr>
              <w:pStyle w:val="Normal"/>
              <w:widowControl w:val="false"/>
              <w:spacing w:before="0" w:after="0"/>
              <w:ind w:left="-47" w:hanging="0"/>
              <w:jc w:val="left"/>
              <w:rPr>
                <w:rFonts w:ascii="Times New Roman" w:hAnsi="Times New Roman" w:eastAsia="Calibri"/>
                <w:lang w:val="en-GB"/>
              </w:rPr>
            </w:pPr>
            <w:r>
              <w:rPr>
                <w:rFonts w:eastAsia="Calibri"/>
                <w:kern w:val="0"/>
                <w:lang w:val="en-GB" w:eastAsia="en-US" w:bidi="ar-SA"/>
              </w:rPr>
              <w:t>5. Coordination of enabling activities</w:t>
            </w:r>
          </w:p>
          <w:p>
            <w:pPr>
              <w:pStyle w:val="Normal"/>
              <w:widowControl w:val="false"/>
              <w:spacing w:before="0" w:after="0"/>
              <w:ind w:left="313" w:hanging="0"/>
              <w:contextualSpacing/>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US" w:eastAsia="en-US" w:bidi="ar-SA"/>
              </w:rPr>
            </w:r>
          </w:p>
          <w:p>
            <w:pPr>
              <w:pStyle w:val="Normal"/>
              <w:widowControl w:val="false"/>
              <w:spacing w:before="0" w:after="0"/>
              <w:jc w:val="left"/>
              <w:rPr>
                <w:rFonts w:ascii="Times New Roman" w:hAnsi="Times New Roman" w:eastAsia="Calibri"/>
                <w:lang w:val="en-GB"/>
              </w:rPr>
            </w:pPr>
            <w:r>
              <w:rPr>
                <w:rFonts w:eastAsia="Calibri"/>
                <w:kern w:val="0"/>
                <w:lang w:val="en-GB" w:eastAsia="en-US" w:bidi="ar-SA"/>
              </w:rPr>
              <w:t>5.1 General Coordination and Monitoring of the Enabling Activities</w:t>
            </w:r>
          </w:p>
        </w:tc>
        <w:tc>
          <w:tcPr>
            <w:tcW w:w="2221" w:type="dxa"/>
            <w:tcBorders/>
            <w:vAlign w:val="center"/>
          </w:tcPr>
          <w:p>
            <w:pPr>
              <w:pStyle w:val="Normal"/>
              <w:widowControl w:val="false"/>
              <w:spacing w:before="0" w:after="0"/>
              <w:jc w:val="center"/>
              <w:rPr>
                <w:rFonts w:ascii="Times New Roman" w:hAnsi="Times New Roman" w:eastAsia="Calibri"/>
                <w:lang w:val="en-GB"/>
              </w:rPr>
            </w:pPr>
            <w:r>
              <w:rPr>
                <w:rFonts w:eastAsia="Calibri"/>
                <w:kern w:val="0"/>
                <w:lang w:val="en-GB" w:eastAsia="en-US" w:bidi="ar-SA"/>
              </w:rPr>
              <w:t>40,000</w:t>
            </w:r>
          </w:p>
        </w:tc>
      </w:tr>
      <w:tr>
        <w:trPr>
          <w:trHeight w:val="171" w:hRule="atLeast"/>
        </w:trPr>
        <w:tc>
          <w:tcPr>
            <w:tcW w:w="3651" w:type="dxa"/>
            <w:vMerge w:val="continue"/>
            <w:tcBorders/>
            <w:vAlign w:val="center"/>
          </w:tcPr>
          <w:p>
            <w:pPr>
              <w:pStyle w:val="Normal"/>
              <w:widowControl w:val="false"/>
              <w:spacing w:before="0" w:after="0"/>
              <w:jc w:val="left"/>
              <w:rPr>
                <w:rFonts w:ascii="Times New Roman" w:hAnsi="Times New Roman" w:eastAsia="Calibri"/>
                <w:lang w:val="en-GB"/>
              </w:rPr>
            </w:pPr>
            <w:r>
              <w:rPr>
                <w:rFonts w:eastAsia="Calibri"/>
                <w:kern w:val="0"/>
                <w:lang w:val="en-US" w:eastAsia="en-US" w:bidi="ar-SA"/>
              </w:rPr>
            </w:r>
          </w:p>
        </w:tc>
        <w:tc>
          <w:tcPr>
            <w:tcW w:w="7534" w:type="dxa"/>
            <w:tcBorders/>
            <w:vAlign w:val="center"/>
          </w:tcPr>
          <w:p>
            <w:pPr>
              <w:pStyle w:val="Normal"/>
              <w:widowControl w:val="false"/>
              <w:spacing w:before="0" w:after="0"/>
              <w:jc w:val="right"/>
              <w:rPr>
                <w:rFonts w:ascii="Times New Roman" w:hAnsi="Times New Roman" w:eastAsia="Calibri"/>
                <w:lang w:val="en-GB"/>
              </w:rPr>
            </w:pPr>
            <w:r>
              <w:rPr>
                <w:rFonts w:eastAsia="Calibri"/>
                <w:b/>
                <w:i/>
                <w:kern w:val="0"/>
                <w:lang w:val="en-GB" w:eastAsia="en-US" w:bidi="ar-SA"/>
              </w:rPr>
              <w:t>Subtotal 5</w:t>
            </w:r>
          </w:p>
        </w:tc>
        <w:tc>
          <w:tcPr>
            <w:tcW w:w="2221" w:type="dxa"/>
            <w:tcBorders/>
            <w:vAlign w:val="center"/>
          </w:tcPr>
          <w:p>
            <w:pPr>
              <w:pStyle w:val="Normal"/>
              <w:widowControl w:val="false"/>
              <w:spacing w:before="0" w:after="0"/>
              <w:jc w:val="center"/>
              <w:rPr>
                <w:rFonts w:ascii="Times New Roman" w:hAnsi="Times New Roman" w:eastAsia="Calibri"/>
                <w:b/>
                <w:b/>
                <w:lang w:val="en-GB"/>
              </w:rPr>
            </w:pPr>
            <w:r>
              <w:rPr>
                <w:rFonts w:eastAsia="Calibri"/>
                <w:b/>
                <w:kern w:val="0"/>
                <w:lang w:val="en-GB" w:eastAsia="en-US" w:bidi="ar-SA"/>
              </w:rPr>
              <w:t>40,000</w:t>
            </w:r>
          </w:p>
        </w:tc>
      </w:tr>
      <w:tr>
        <w:trPr>
          <w:trHeight w:val="261" w:hRule="atLeast"/>
        </w:trPr>
        <w:tc>
          <w:tcPr>
            <w:tcW w:w="11185" w:type="dxa"/>
            <w:gridSpan w:val="2"/>
            <w:tcBorders/>
            <w:shd w:color="auto" w:fill="DBE5F1" w:themeFill="accent1" w:themeFillTint="33" w:val="clear"/>
            <w:vAlign w:val="center"/>
          </w:tcPr>
          <w:p>
            <w:pPr>
              <w:pStyle w:val="Normal"/>
              <w:widowControl w:val="false"/>
              <w:spacing w:before="0" w:after="0"/>
              <w:jc w:val="right"/>
              <w:rPr>
                <w:rFonts w:ascii="Times New Roman" w:hAnsi="Times New Roman" w:eastAsia="Calibri"/>
                <w:b/>
                <w:b/>
                <w:i/>
                <w:i/>
                <w:lang w:val="en-GB"/>
              </w:rPr>
            </w:pPr>
            <w:r>
              <w:rPr>
                <w:rFonts w:eastAsia="Calibri"/>
                <w:b/>
                <w:i/>
                <w:kern w:val="0"/>
                <w:lang w:val="en-GB" w:eastAsia="en-US" w:bidi="ar-SA"/>
              </w:rPr>
              <w:t>Total</w:t>
            </w:r>
          </w:p>
        </w:tc>
        <w:tc>
          <w:tcPr>
            <w:tcW w:w="2221" w:type="dxa"/>
            <w:tcBorders/>
            <w:shd w:color="auto" w:fill="DBE5F1" w:themeFill="accent1" w:themeFillTint="33" w:val="clear"/>
            <w:vAlign w:val="center"/>
          </w:tcPr>
          <w:p>
            <w:pPr>
              <w:pStyle w:val="Normal"/>
              <w:widowControl w:val="false"/>
              <w:spacing w:before="0" w:after="0"/>
              <w:jc w:val="center"/>
              <w:rPr>
                <w:rFonts w:ascii="Times New Roman" w:hAnsi="Times New Roman" w:eastAsia="Calibri"/>
                <w:b/>
                <w:b/>
                <w:lang w:val="en-GB"/>
              </w:rPr>
            </w:pPr>
            <w:r>
              <w:rPr>
                <w:rFonts w:eastAsia="Calibri"/>
                <w:b/>
                <w:kern w:val="0"/>
                <w:lang w:val="en-GB" w:eastAsia="en-US" w:bidi="ar-SA"/>
              </w:rPr>
              <w:t>250,000</w:t>
            </w:r>
          </w:p>
        </w:tc>
      </w:tr>
    </w:tbl>
    <w:p>
      <w:pPr>
        <w:pStyle w:val="Normal"/>
        <w:rPr>
          <w:rFonts w:ascii="Times New Roman" w:hAnsi="Times New Roman"/>
          <w:b/>
          <w:b/>
        </w:rPr>
      </w:pPr>
      <w:r>
        <w:rPr>
          <w:b/>
        </w:rPr>
        <w:t>Time plan for the implementation of EA in Viet Nam</w:t>
      </w:r>
    </w:p>
    <w:tbl>
      <w:tblPr>
        <w:tblW w:w="987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16"/>
        <w:gridCol w:w="1011"/>
        <w:gridCol w:w="334"/>
        <w:gridCol w:w="333"/>
        <w:gridCol w:w="334"/>
        <w:gridCol w:w="334"/>
        <w:gridCol w:w="334"/>
        <w:gridCol w:w="333"/>
        <w:gridCol w:w="334"/>
        <w:gridCol w:w="334"/>
        <w:gridCol w:w="333"/>
        <w:gridCol w:w="450"/>
        <w:gridCol w:w="451"/>
        <w:gridCol w:w="450"/>
        <w:gridCol w:w="450"/>
        <w:gridCol w:w="450"/>
        <w:gridCol w:w="450"/>
        <w:gridCol w:w="451"/>
        <w:gridCol w:w="450"/>
        <w:gridCol w:w="537"/>
      </w:tblGrid>
      <w:tr>
        <w:trPr>
          <w:trHeight w:val="382" w:hRule="atLeast"/>
        </w:trPr>
        <w:tc>
          <w:tcPr>
            <w:tcW w:w="1716" w:type="dxa"/>
            <w:vMerge w:val="restart"/>
            <w:tcBorders>
              <w:top w:val="single" w:sz="8" w:space="0" w:color="000000"/>
              <w:left w:val="single" w:sz="8" w:space="0" w:color="000000"/>
              <w:bottom w:val="single" w:sz="8" w:space="0" w:color="000000"/>
            </w:tcBorders>
            <w:shd w:color="auto" w:fill="auto" w:val="clear"/>
            <w:vAlign w:val="center"/>
          </w:tcPr>
          <w:p>
            <w:pPr>
              <w:pStyle w:val="Normal"/>
              <w:widowControl w:val="false"/>
              <w:jc w:val="center"/>
              <w:rPr>
                <w:rFonts w:ascii="Times New Roman" w:hAnsi="Times New Roman"/>
                <w:bCs/>
                <w:color w:val="000000"/>
                <w:lang w:val="en-GB" w:eastAsia="en-GB"/>
              </w:rPr>
            </w:pPr>
            <w:r>
              <w:rPr>
                <w:bCs/>
                <w:color w:val="000000"/>
                <w:lang w:val="en-GB" w:eastAsia="en-GB"/>
              </w:rPr>
              <w:t>Enabling Activity</w:t>
            </w:r>
          </w:p>
        </w:tc>
        <w:tc>
          <w:tcPr>
            <w:tcW w:w="1011" w:type="dxa"/>
            <w:vMerge w:val="restart"/>
            <w:tcBorders>
              <w:top w:val="single" w:sz="8" w:space="0" w:color="000000"/>
              <w:bottom w:val="single" w:sz="8" w:space="0" w:color="000000"/>
            </w:tcBorders>
            <w:shd w:color="auto" w:fill="auto" w:val="clear"/>
            <w:vAlign w:val="center"/>
          </w:tcPr>
          <w:p>
            <w:pPr>
              <w:pStyle w:val="Normal"/>
              <w:widowControl w:val="false"/>
              <w:jc w:val="center"/>
              <w:rPr>
                <w:rFonts w:ascii="Times New Roman" w:hAnsi="Times New Roman"/>
                <w:bCs/>
                <w:color w:val="000000"/>
                <w:lang w:val="en-GB" w:eastAsia="en-GB"/>
              </w:rPr>
            </w:pPr>
            <w:r>
              <w:rPr>
                <w:bCs/>
                <w:color w:val="000000"/>
                <w:lang w:val="en-GB" w:eastAsia="en-GB"/>
              </w:rPr>
              <w:t>Line of activity</w:t>
            </w:r>
          </w:p>
        </w:tc>
        <w:tc>
          <w:tcPr>
            <w:tcW w:w="7142" w:type="dxa"/>
            <w:gridSpan w:val="18"/>
            <w:tcBorders>
              <w:top w:val="single" w:sz="8" w:space="0" w:color="000000"/>
              <w:right w:val="single" w:sz="8" w:space="0" w:color="000000"/>
            </w:tcBorders>
            <w:shd w:color="auto" w:fill="auto" w:val="clear"/>
            <w:vAlign w:val="bottom"/>
          </w:tcPr>
          <w:p>
            <w:pPr>
              <w:pStyle w:val="Normal"/>
              <w:widowControl w:val="false"/>
              <w:jc w:val="center"/>
              <w:rPr>
                <w:rFonts w:ascii="Times New Roman" w:hAnsi="Times New Roman"/>
                <w:bCs/>
                <w:color w:val="000000"/>
                <w:lang w:val="en-GB" w:eastAsia="en-GB"/>
              </w:rPr>
            </w:pPr>
            <w:r>
              <w:rPr>
                <w:bCs/>
                <w:color w:val="000000"/>
                <w:lang w:val="en-GB" w:eastAsia="en-GB"/>
              </w:rPr>
              <w:t>Months</w:t>
            </w:r>
          </w:p>
        </w:tc>
      </w:tr>
      <w:tr>
        <w:trPr>
          <w:trHeight w:val="401" w:hRule="atLeast"/>
        </w:trPr>
        <w:tc>
          <w:tcPr>
            <w:tcW w:w="1716" w:type="dxa"/>
            <w:vMerge w:val="continue"/>
            <w:tcBorders>
              <w:top w:val="single" w:sz="8" w:space="0" w:color="000000"/>
              <w:left w:val="single" w:sz="8" w:space="0" w:color="000000"/>
              <w:bottom w:val="single" w:sz="8" w:space="0" w:color="000000"/>
            </w:tcBorders>
            <w:vAlign w:val="center"/>
          </w:tcPr>
          <w:p>
            <w:pPr>
              <w:pStyle w:val="Normal"/>
              <w:widowControl w:val="false"/>
              <w:rPr>
                <w:rFonts w:ascii="Times New Roman" w:hAnsi="Times New Roman"/>
                <w:bCs/>
                <w:color w:val="000000"/>
                <w:lang w:val="en-GB" w:eastAsia="en-GB"/>
              </w:rPr>
            </w:pPr>
            <w:r>
              <w:rPr>
                <w:bCs/>
                <w:color w:val="000000"/>
                <w:lang w:val="en-GB" w:eastAsia="en-GB"/>
              </w:rPr>
            </w:r>
          </w:p>
        </w:tc>
        <w:tc>
          <w:tcPr>
            <w:tcW w:w="1011" w:type="dxa"/>
            <w:vMerge w:val="continue"/>
            <w:tcBorders>
              <w:top w:val="single" w:sz="8" w:space="0" w:color="000000"/>
              <w:bottom w:val="single" w:sz="8" w:space="0" w:color="000000"/>
            </w:tcBorders>
            <w:vAlign w:val="center"/>
          </w:tcPr>
          <w:p>
            <w:pPr>
              <w:pStyle w:val="Normal"/>
              <w:widowControl w:val="false"/>
              <w:rPr>
                <w:rFonts w:ascii="Times New Roman" w:hAnsi="Times New Roman"/>
                <w:bCs/>
                <w:color w:val="000000"/>
                <w:lang w:val="en-GB" w:eastAsia="en-GB"/>
              </w:rPr>
            </w:pPr>
            <w:r>
              <w:rPr>
                <w:bCs/>
                <w:color w:val="000000"/>
                <w:lang w:val="en-GB" w:eastAsia="en-GB"/>
              </w:rPr>
            </w:r>
          </w:p>
        </w:tc>
        <w:tc>
          <w:tcPr>
            <w:tcW w:w="334"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w:t>
            </w:r>
          </w:p>
        </w:tc>
        <w:tc>
          <w:tcPr>
            <w:tcW w:w="33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2</w:t>
            </w:r>
          </w:p>
        </w:tc>
        <w:tc>
          <w:tcPr>
            <w:tcW w:w="334"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3</w:t>
            </w:r>
          </w:p>
        </w:tc>
        <w:tc>
          <w:tcPr>
            <w:tcW w:w="334"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4</w:t>
            </w:r>
          </w:p>
        </w:tc>
        <w:tc>
          <w:tcPr>
            <w:tcW w:w="334"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5</w:t>
            </w:r>
          </w:p>
        </w:tc>
        <w:tc>
          <w:tcPr>
            <w:tcW w:w="33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6</w:t>
            </w:r>
          </w:p>
        </w:tc>
        <w:tc>
          <w:tcPr>
            <w:tcW w:w="334"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7</w:t>
            </w:r>
          </w:p>
        </w:tc>
        <w:tc>
          <w:tcPr>
            <w:tcW w:w="334"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8</w:t>
            </w:r>
          </w:p>
        </w:tc>
        <w:tc>
          <w:tcPr>
            <w:tcW w:w="333"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9</w:t>
            </w:r>
          </w:p>
        </w:tc>
        <w:tc>
          <w:tcPr>
            <w:tcW w:w="450"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10</w:t>
            </w:r>
          </w:p>
        </w:tc>
        <w:tc>
          <w:tcPr>
            <w:tcW w:w="451"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11</w:t>
            </w:r>
          </w:p>
        </w:tc>
        <w:tc>
          <w:tcPr>
            <w:tcW w:w="450"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12</w:t>
            </w:r>
          </w:p>
        </w:tc>
        <w:tc>
          <w:tcPr>
            <w:tcW w:w="450"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13</w:t>
            </w:r>
          </w:p>
        </w:tc>
        <w:tc>
          <w:tcPr>
            <w:tcW w:w="450"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14</w:t>
            </w:r>
          </w:p>
        </w:tc>
        <w:tc>
          <w:tcPr>
            <w:tcW w:w="450"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15</w:t>
            </w:r>
          </w:p>
        </w:tc>
        <w:tc>
          <w:tcPr>
            <w:tcW w:w="451"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16</w:t>
            </w:r>
          </w:p>
        </w:tc>
        <w:tc>
          <w:tcPr>
            <w:tcW w:w="450" w:type="dxa"/>
            <w:tcBorders>
              <w:bottom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17</w:t>
            </w:r>
          </w:p>
        </w:tc>
        <w:tc>
          <w:tcPr>
            <w:tcW w:w="537" w:type="dxa"/>
            <w:tcBorders>
              <w:bottom w:val="single" w:sz="8" w:space="0" w:color="000000"/>
              <w:right w:val="single" w:sz="8" w:space="0" w:color="000000"/>
            </w:tcBorders>
            <w:shd w:color="auto" w:fill="auto" w:val="clear"/>
            <w:vAlign w:val="bottom"/>
          </w:tcPr>
          <w:p>
            <w:pPr>
              <w:pStyle w:val="Normal"/>
              <w:widowControl w:val="false"/>
              <w:jc w:val="right"/>
              <w:rPr>
                <w:rFonts w:ascii="Times New Roman" w:hAnsi="Times New Roman"/>
                <w:bCs/>
                <w:color w:val="000000"/>
                <w:lang w:val="en-GB" w:eastAsia="en-GB"/>
              </w:rPr>
            </w:pPr>
            <w:r>
              <w:rPr>
                <w:bCs/>
                <w:color w:val="000000"/>
                <w:lang w:val="en-GB" w:eastAsia="en-GB"/>
              </w:rPr>
              <w:t>18</w:t>
            </w:r>
          </w:p>
        </w:tc>
      </w:tr>
      <w:tr>
        <w:trPr>
          <w:trHeight w:val="401" w:hRule="atLeast"/>
        </w:trPr>
        <w:tc>
          <w:tcPr>
            <w:tcW w:w="1716" w:type="dxa"/>
            <w:vMerge w:val="restart"/>
            <w:tcBorders>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xml:space="preserve">1. Early ratification support </w:t>
            </w:r>
          </w:p>
        </w:tc>
        <w:tc>
          <w:tcPr>
            <w:tcW w:w="1011" w:type="dxa"/>
            <w:tcBorders>
              <w:top w:val="single" w:sz="8" w:space="0" w:color="000000"/>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1.1</w:t>
            </w:r>
          </w:p>
        </w:tc>
        <w:tc>
          <w:tcPr>
            <w:tcW w:w="334" w:type="dxa"/>
            <w:tcBorders>
              <w:top w:val="single" w:sz="8" w:space="0" w:color="000000"/>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top w:val="single" w:sz="8" w:space="0" w:color="000000"/>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000000"/>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val="en-GB" w:eastAsia="en-GB"/>
              </w:rPr>
            </w:pPr>
            <w:r>
              <w:rPr>
                <w:color w:val="000000"/>
                <w:lang w:val="en-GB" w:eastAsia="en-GB"/>
              </w:rPr>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1.2</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val="en-GB" w:eastAsia="en-GB"/>
              </w:rPr>
            </w:pPr>
            <w:r>
              <w:rPr>
                <w:color w:val="000000"/>
                <w:lang w:val="en-GB" w:eastAsia="en-GB"/>
              </w:rPr>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1.3</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000000" w:fill="5B9BD5"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top w:val="single" w:sz="8" w:space="0" w:color="D0CECE"/>
              <w:bottom w:val="single" w:sz="8" w:space="0" w:color="D0CECE"/>
              <w:right w:val="single" w:sz="8" w:space="0" w:color="000000"/>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restart"/>
            <w:tcBorders>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xml:space="preserve">2. </w:t>
            </w:r>
            <w:r>
              <w:rPr>
                <w:color w:val="000000"/>
                <w:lang w:eastAsia="en-GB"/>
              </w:rPr>
              <w:t>Institutional arrangements</w:t>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2.1</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top w:val="single" w:sz="8" w:space="0" w:color="D0CECE"/>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val="en-GB" w:eastAsia="en-GB"/>
              </w:rPr>
            </w:pPr>
            <w:r>
              <w:rPr>
                <w:color w:val="000000"/>
                <w:lang w:val="en-GB" w:eastAsia="en-GB"/>
              </w:rPr>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2.2</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top w:val="single" w:sz="8" w:space="0" w:color="D0CECE"/>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val="en-GB" w:eastAsia="en-GB"/>
              </w:rPr>
            </w:pPr>
            <w:r>
              <w:rPr>
                <w:color w:val="000000"/>
                <w:lang w:val="en-GB" w:eastAsia="en-GB"/>
              </w:rPr>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2.3</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top w:val="single" w:sz="8" w:space="0" w:color="D0CECE"/>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restart"/>
            <w:tcBorders>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xml:space="preserve">3. </w:t>
            </w:r>
            <w:r>
              <w:rPr>
                <w:color w:val="000000"/>
                <w:lang w:eastAsia="en-GB"/>
              </w:rPr>
              <w:t>Data reporting on HFC</w:t>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3.1</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top w:val="single" w:sz="8" w:space="0" w:color="D0CECE"/>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continue"/>
            <w:tcBorders>
              <w:left w:val="single" w:sz="8" w:space="0" w:color="000000"/>
              <w:right w:val="single" w:sz="8" w:space="0" w:color="D0CECE"/>
            </w:tcBorders>
            <w:vAlign w:val="center"/>
          </w:tcPr>
          <w:p>
            <w:pPr>
              <w:pStyle w:val="Normal"/>
              <w:widowControl w:val="false"/>
              <w:rPr>
                <w:rFonts w:ascii="Times New Roman" w:hAnsi="Times New Roman"/>
                <w:color w:val="000000"/>
                <w:lang w:val="en-GB" w:eastAsia="en-GB"/>
              </w:rPr>
            </w:pPr>
            <w:r>
              <w:rPr>
                <w:color w:val="000000"/>
                <w:lang w:val="en-GB" w:eastAsia="en-GB"/>
              </w:rPr>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3.2</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top w:val="single" w:sz="8" w:space="0" w:color="D0CECE"/>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continue"/>
            <w:tcBorders>
              <w:left w:val="single" w:sz="8" w:space="0" w:color="000000"/>
              <w:right w:val="single" w:sz="8" w:space="0" w:color="D0CECE"/>
            </w:tcBorders>
            <w:vAlign w:val="center"/>
          </w:tcPr>
          <w:p>
            <w:pPr>
              <w:pStyle w:val="Normal"/>
              <w:widowControl w:val="false"/>
              <w:rPr>
                <w:rFonts w:ascii="Times New Roman" w:hAnsi="Times New Roman"/>
                <w:color w:val="000000"/>
                <w:lang w:val="en-GB" w:eastAsia="en-GB"/>
              </w:rPr>
            </w:pPr>
            <w:r>
              <w:rPr>
                <w:color w:val="000000"/>
                <w:lang w:val="en-GB" w:eastAsia="en-GB"/>
              </w:rPr>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3.3</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top w:val="single" w:sz="8" w:space="0" w:color="D0CECE"/>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continue"/>
            <w:tcBorders>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3.4</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333"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333"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c>
          <w:tcPr>
            <w:tcW w:w="537"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r>
          </w:p>
        </w:tc>
      </w:tr>
      <w:tr>
        <w:trPr>
          <w:trHeight w:val="401" w:hRule="atLeast"/>
        </w:trPr>
        <w:tc>
          <w:tcPr>
            <w:tcW w:w="1716" w:type="dxa"/>
            <w:vMerge w:val="restart"/>
            <w:tcBorders>
              <w:left w:val="single" w:sz="8" w:space="0" w:color="000000"/>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4. Demonstration of non-investment activities</w:t>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4.1</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000000"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vMerge w:val="continue"/>
            <w:tcBorders>
              <w:left w:val="single" w:sz="8" w:space="0" w:color="000000"/>
              <w:bottom w:val="single" w:sz="8" w:space="0" w:color="D0CECE"/>
              <w:right w:val="single" w:sz="8" w:space="0" w:color="D0CECE"/>
            </w:tcBorders>
            <w:vAlign w:val="center"/>
          </w:tcPr>
          <w:p>
            <w:pPr>
              <w:pStyle w:val="Normal"/>
              <w:widowControl w:val="false"/>
              <w:rPr>
                <w:rFonts w:ascii="Times New Roman" w:hAnsi="Times New Roman"/>
                <w:color w:val="000000"/>
                <w:lang w:val="en-GB" w:eastAsia="en-GB"/>
              </w:rPr>
            </w:pPr>
            <w:r>
              <w:rPr>
                <w:color w:val="000000"/>
                <w:lang w:val="en-GB" w:eastAsia="en-GB"/>
              </w:rPr>
            </w:r>
          </w:p>
        </w:tc>
        <w:tc>
          <w:tcPr>
            <w:tcW w:w="1011" w:type="dxa"/>
            <w:tcBorders>
              <w:bottom w:val="single" w:sz="8" w:space="0" w:color="D0CECE"/>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4.2</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000000"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000000"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D0CECE"/>
              <w:right w:val="single" w:sz="8" w:space="0" w:color="D0CECE"/>
            </w:tcBorders>
            <w:shd w:color="000000"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D0CECE"/>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bottom w:val="single" w:sz="8" w:space="0" w:color="D0CECE"/>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bottom w:val="single" w:sz="8" w:space="0" w:color="D0CECE"/>
              <w:right w:val="single" w:sz="8" w:space="0" w:color="000000"/>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r>
        <w:trPr>
          <w:trHeight w:val="401" w:hRule="atLeast"/>
        </w:trPr>
        <w:tc>
          <w:tcPr>
            <w:tcW w:w="1716" w:type="dxa"/>
            <w:tcBorders>
              <w:left w:val="single" w:sz="8" w:space="0" w:color="000000"/>
              <w:bottom w:val="single" w:sz="8" w:space="0" w:color="000000"/>
              <w:right w:val="single" w:sz="8" w:space="0" w:color="D0CECE"/>
            </w:tcBorders>
            <w:shd w:color="auto" w:fill="auto" w:val="clear"/>
            <w:vAlign w:val="bottom"/>
          </w:tcPr>
          <w:p>
            <w:pPr>
              <w:pStyle w:val="Normal"/>
              <w:widowControl w:val="false"/>
              <w:rPr>
                <w:rFonts w:ascii="Times New Roman" w:hAnsi="Times New Roman"/>
                <w:color w:val="000000"/>
                <w:lang w:val="en-GB" w:eastAsia="en-GB"/>
              </w:rPr>
            </w:pPr>
            <w:r>
              <w:rPr>
                <w:color w:val="000000"/>
                <w:lang w:val="en-GB" w:eastAsia="en-GB"/>
              </w:rPr>
              <w:t>5. Coordination</w:t>
            </w:r>
          </w:p>
        </w:tc>
        <w:tc>
          <w:tcPr>
            <w:tcW w:w="1011" w:type="dxa"/>
            <w:tcBorders>
              <w:bottom w:val="single" w:sz="8" w:space="0" w:color="000000"/>
              <w:right w:val="single" w:sz="8" w:space="0" w:color="D0CECE"/>
            </w:tcBorders>
            <w:shd w:color="auto" w:fill="auto" w:val="clear"/>
            <w:vAlign w:val="bottom"/>
          </w:tcPr>
          <w:p>
            <w:pPr>
              <w:pStyle w:val="Normal"/>
              <w:widowControl w:val="false"/>
              <w:jc w:val="center"/>
              <w:rPr>
                <w:rFonts w:ascii="Times New Roman" w:hAnsi="Times New Roman"/>
                <w:color w:val="000000"/>
                <w:lang w:val="en-GB" w:eastAsia="en-GB"/>
              </w:rPr>
            </w:pPr>
            <w:r>
              <w:rPr>
                <w:color w:val="000000"/>
                <w:lang w:val="en-GB" w:eastAsia="en-GB"/>
              </w:rPr>
              <w:t>5.1</w:t>
            </w:r>
          </w:p>
        </w:tc>
        <w:tc>
          <w:tcPr>
            <w:tcW w:w="334" w:type="dxa"/>
            <w:tcBorders>
              <w:top w:val="single" w:sz="8" w:space="0" w:color="D0CECE"/>
              <w:bottom w:val="single" w:sz="8" w:space="0" w:color="000000"/>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top w:val="single" w:sz="8" w:space="0" w:color="D0CECE"/>
              <w:bottom w:val="single" w:sz="8" w:space="0" w:color="000000"/>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000000"/>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000000"/>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000000"/>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top w:val="single" w:sz="8" w:space="0" w:color="D0CECE"/>
              <w:bottom w:val="single" w:sz="8" w:space="0" w:color="000000"/>
              <w:right w:val="single" w:sz="8" w:space="0" w:color="D0CECE"/>
            </w:tcBorders>
            <w:shd w:color="auto"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4"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333"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1"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450" w:type="dxa"/>
            <w:tcBorders>
              <w:top w:val="single" w:sz="8" w:space="0" w:color="D0CECE"/>
              <w:bottom w:val="single" w:sz="8" w:space="0" w:color="000000"/>
              <w:right w:val="single" w:sz="8" w:space="0" w:color="D0CECE"/>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c>
          <w:tcPr>
            <w:tcW w:w="537" w:type="dxa"/>
            <w:tcBorders>
              <w:top w:val="single" w:sz="8" w:space="0" w:color="D0CECE"/>
              <w:bottom w:val="single" w:sz="8" w:space="0" w:color="000000"/>
              <w:right w:val="single" w:sz="8" w:space="0" w:color="000000"/>
            </w:tcBorders>
            <w:shd w:color="000000" w:fill="548DD4" w:themeFill="text2" w:themeFillTint="99" w:val="clear"/>
            <w:vAlign w:val="bottom"/>
          </w:tcPr>
          <w:p>
            <w:pPr>
              <w:pStyle w:val="Normal"/>
              <w:widowControl w:val="false"/>
              <w:rPr>
                <w:rFonts w:ascii="Times New Roman" w:hAnsi="Times New Roman"/>
                <w:color w:val="000000"/>
                <w:lang w:val="en-GB" w:eastAsia="en-GB"/>
              </w:rPr>
            </w:pPr>
            <w:r>
              <w:rPr>
                <w:color w:val="000000"/>
                <w:lang w:val="en-GB" w:eastAsia="en-GB"/>
              </w:rPr>
              <w:t> </w:t>
            </w:r>
          </w:p>
        </w:tc>
      </w:tr>
    </w:tbl>
    <w:p>
      <w:pPr>
        <w:sectPr>
          <w:headerReference w:type="even" r:id="rId148"/>
          <w:headerReference w:type="default" r:id="rId149"/>
          <w:footerReference w:type="even" r:id="rId150"/>
          <w:footerReference w:type="default" r:id="rId151"/>
          <w:footnotePr>
            <w:numFmt w:val="decimal"/>
          </w:footnotePr>
          <w:type w:val="nextPage"/>
          <w:pgSz w:orient="landscape" w:w="15840" w:h="12240"/>
          <w:pgMar w:left="1440" w:right="994" w:gutter="0" w:header="0" w:top="1440" w:footer="720" w:bottom="1440"/>
          <w:pgNumType w:fmt="decimal"/>
          <w:formProt w:val="false"/>
          <w:textDirection w:val="lrTb"/>
          <w:docGrid w:type="default" w:linePitch="360" w:charSpace="4096"/>
        </w:sectPr>
        <w:pStyle w:val="Normal"/>
        <w:rPr>
          <w:rFonts w:ascii="Times New Roman" w:hAnsi="Times New Roman"/>
        </w:rPr>
      </w:pPr>
      <w:r>
        <w:rPr/>
      </w:r>
      <w:r>
        <w:br w:type="page"/>
      </w:r>
    </w:p>
    <w:p>
      <w:pPr>
        <w:pStyle w:val="Normal"/>
        <w:rPr>
          <w:rFonts w:ascii="Times New Roman" w:hAnsi="Times New Roman"/>
          <w:b/>
          <w:b/>
          <w:caps/>
        </w:rPr>
      </w:pPr>
      <w:r>
        <w:rPr>
          <w:b/>
          <w:caps/>
        </w:rPr>
        <w:t>5. Institutional arrangements</w:t>
      </w:r>
    </w:p>
    <w:p>
      <w:pPr>
        <w:pStyle w:val="Default"/>
        <w:jc w:val="both"/>
        <w:rPr/>
      </w:pPr>
      <w:r>
        <w:rPr/>
        <w:t>The Ministry of Natural Resources and Environment (MONRE), through the National Ozone Unit (NOU), and the United Nations Industrial Development Organization (UNIDO) will be jointly responsible for the correct implementation of the above-mentioned activities.</w:t>
      </w:r>
    </w:p>
    <w:p>
      <w:pPr>
        <w:pStyle w:val="Default"/>
        <w:jc w:val="both"/>
        <w:rPr/>
      </w:pPr>
      <w:r>
        <w:rPr/>
      </w:r>
    </w:p>
    <w:p>
      <w:pPr>
        <w:pStyle w:val="Normal"/>
        <w:rPr>
          <w:rFonts w:ascii="Times New Roman" w:hAnsi="Times New Roman"/>
        </w:rPr>
      </w:pPr>
      <w:r>
        <w:rPr/>
        <w:t>The team in charge of project management in UNIDO will visit Viet Nam to discuss and agree with national counterparts and relevant stakeholders on the basics of project design and enabling activities implementation.</w:t>
      </w:r>
    </w:p>
    <w:p>
      <w:pPr>
        <w:pStyle w:val="Default"/>
        <w:jc w:val="both"/>
        <w:rPr/>
      </w:pPr>
      <w:r>
        <w:rPr/>
        <w:t>The role of UNIDO will be focused on the general implementation and execution of the enabling activities and the appropriate expenditure of the funds allocated for each of them. Besides that, UNIDO will provide technical assistance based on the support of international experts on the different areas of work.</w:t>
      </w:r>
    </w:p>
    <w:p>
      <w:pPr>
        <w:pStyle w:val="Default"/>
        <w:jc w:val="both"/>
        <w:rPr/>
      </w:pPr>
      <w:r>
        <w:rPr/>
      </w:r>
    </w:p>
    <w:p>
      <w:pPr>
        <w:pStyle w:val="Default"/>
        <w:jc w:val="both"/>
        <w:rPr/>
      </w:pPr>
      <w:r>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pPr>
        <w:pStyle w:val="Default"/>
        <w:jc w:val="both"/>
        <w:rPr/>
      </w:pPr>
      <w:r>
        <w:rPr/>
      </w:r>
    </w:p>
    <w:p>
      <w:pPr>
        <w:pStyle w:val="Normal"/>
        <w:widowControl/>
        <w:spacing w:lineRule="auto" w:line="276" w:before="0" w:after="200"/>
        <w:rPr>
          <w:rFonts w:ascii="Times New Roman" w:hAnsi="Times New Roman"/>
          <w:sz w:val="22"/>
          <w:szCs w:val="22"/>
        </w:rPr>
      </w:pPr>
      <w:r>
        <w:rPr/>
      </w:r>
    </w:p>
    <w:sectPr>
      <w:headerReference w:type="even" r:id="rId152"/>
      <w:headerReference w:type="default" r:id="rId153"/>
      <w:footerReference w:type="even" r:id="rId154"/>
      <w:footerReference w:type="default" r:id="rId155"/>
      <w:footnotePr>
        <w:numFmt w:val="decimal"/>
      </w:footnotePr>
      <w:type w:val="nextPage"/>
      <w:pgSz w:w="12240" w:h="15840"/>
      <w:pgMar w:left="1440" w:right="1440" w:gutter="0" w:header="0" w:top="1440" w:footer="72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Cambria">
    <w:charset w:val="01"/>
    <w:family w:val="roman"/>
    <w:pitch w:val="variable"/>
  </w:font>
  <w:font w:name="Liberation Sans">
    <w:altName w:val="Arial"/>
    <w:charset w:val="01"/>
    <w:family w:val="swiss"/>
    <w:pitch w:val="variable"/>
  </w:font>
  <w:font w:name="Courier New">
    <w:charset w:val="01"/>
    <w:family w:val="roman"/>
    <w:pitch w:val="variable"/>
  </w:font>
  <w:font w:name="Univers">
    <w:charset w:val="01"/>
    <w:family w:val="roman"/>
    <w:pitch w:val="variable"/>
  </w:font>
  <w:font w:name="Univers Bold">
    <w:charset w:val="01"/>
    <w:family w:val="roman"/>
    <w:pitch w:val="variable"/>
  </w:font>
  <w:font w:name="Cambria Math">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1" w:color="000000"/>
        <w:left w:val="single" w:sz="4" w:space="0" w:color="000000"/>
        <w:bottom w:val="single" w:sz="4" w:space="1" w:color="000000"/>
        <w:right w:val="single" w:sz="4" w:space="4" w:color="000000"/>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pPr>
      <w:pStyle w:val="Normal"/>
      <w:pBdr>
        <w:top w:val="single" w:sz="4" w:space="1" w:color="000000"/>
        <w:left w:val="single" w:sz="4" w:space="0" w:color="000000"/>
        <w:bottom w:val="single" w:sz="4" w:space="1" w:color="000000"/>
        <w:right w:val="single" w:sz="4" w:space="4" w:color="000000"/>
      </w:pBdr>
      <w:jc w:val="center"/>
      <w:rPr>
        <w:sz w:val="18"/>
        <w:szCs w:val="18"/>
      </w:rPr>
    </w:pPr>
    <w:r>
      <w:rPr>
        <w:sz w:val="18"/>
        <w:szCs w:val="18"/>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4</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5</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1653979"/>
    </w:sdtPr>
    <w:sdtContent>
      <w:p>
        <w:pPr>
          <w:pStyle w:val="Footer"/>
          <w:jc w:val="center"/>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4</w:t>
    </w:r>
    <w:r>
      <w:rPr/>
      <w:fldChar w:fldCharType="end"/>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3</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42307444"/>
    </w:sdtPr>
    <w:sdtContent>
      <w:p>
        <w:pPr>
          <w:pStyle w:val="Footer"/>
          <w:jc w:val="center"/>
          <w:rPr/>
        </w:pPr>
        <w:r>
          <w:rPr/>
          <w:fldChar w:fldCharType="begin"/>
        </w:r>
        <w:r>
          <w:rPr/>
          <w:instrText xml:space="preserve"> PAGE </w:instrText>
        </w:r>
        <w:r>
          <w:rPr/>
          <w:fldChar w:fldCharType="separate"/>
        </w:r>
        <w:r>
          <w:rPr/>
          <w:t>1</w:t>
        </w:r>
        <w:r>
          <w:rPr/>
          <w:fldChar w:fldCharType="end"/>
        </w:r>
      </w:p>
    </w:sdtContent>
  </w:sdt>
  <w:p>
    <w:pPr>
      <w:pStyle w:val="Footer"/>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4</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5</w:t>
    </w:r>
    <w:r>
      <w:rPr/>
      <w:fldChar w:fldCharType="end"/>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4</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5</w:t>
    </w:r>
    <w:r>
      <w:rPr/>
      <w:fldChar w:fldCharType="end"/>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85409604"/>
    </w:sdtPr>
    <w:sdtContent>
      <w:p>
        <w:pPr>
          <w:pStyle w:val="Footer"/>
          <w:jc w:val="center"/>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4</w:t>
    </w:r>
    <w:r>
      <w:rPr/>
      <w:fldChar w:fldCharType="end"/>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3</w:t>
    </w:r>
    <w: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29118285"/>
    </w:sdtPr>
    <w:sdtContent>
      <w:p>
        <w:pPr>
          <w:pStyle w:val="Footer"/>
          <w:jc w:val="center"/>
          <w:rPr/>
        </w:pPr>
        <w:r>
          <w:rPr/>
          <w:fldChar w:fldCharType="begin"/>
        </w:r>
        <w:r>
          <w:rPr/>
          <w:instrText xml:space="preserve"> PAGE </w:instrText>
        </w:r>
        <w:r>
          <w:rPr/>
          <w:fldChar w:fldCharType="separate"/>
        </w:r>
        <w:r>
          <w:rPr/>
          <w:t>1</w:t>
        </w:r>
        <w:r>
          <w:rPr/>
          <w:fldChar w:fldCharType="end"/>
        </w:r>
      </w:p>
    </w:sdtContent>
  </w:sdt>
  <w:p>
    <w:pPr>
      <w:pStyle w:val="Footer"/>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4</w:t>
    </w:r>
    <w:r>
      <w:rPr/>
      <w:fldChar w:fldCharType="end"/>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3</w:t>
    </w:r>
    <w:r>
      <w:rPr/>
      <w:fldChar w:fldCharType="end"/>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15503591"/>
    </w:sdtPr>
    <w:sdtContent>
      <w:p>
        <w:pPr>
          <w:pStyle w:val="Footer"/>
          <w:jc w:val="center"/>
          <w:rPr/>
        </w:pPr>
        <w:r>
          <w:rPr/>
          <w:fldChar w:fldCharType="begin"/>
        </w:r>
        <w:r>
          <w:rPr/>
          <w:instrText xml:space="preserve"> PAGE </w:instrText>
        </w:r>
        <w:r>
          <w:rPr/>
          <w:fldChar w:fldCharType="separate"/>
        </w:r>
        <w:r>
          <w:rPr/>
          <w:t>47</w:t>
        </w:r>
        <w:r>
          <w:rPr/>
          <w:fldChar w:fldCharType="end"/>
        </w:r>
      </w:p>
      <w:p>
        <w:pPr>
          <w:pStyle w:val="Footer"/>
          <w:rPr/>
        </w:pPr>
        <w:r>
          <w:rPr/>
        </w:r>
      </w:p>
    </w:sdtContent>
  </w:sdt>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29036721"/>
    </w:sdtPr>
    <w:sdtContent>
      <w:p>
        <w:pPr>
          <w:pStyle w:val="Footer"/>
          <w:jc w:val="center"/>
          <w:rPr/>
        </w:pPr>
        <w:r>
          <w:rPr/>
          <w:fldChar w:fldCharType="begin"/>
        </w:r>
        <w:r>
          <w:rPr/>
          <w:instrText xml:space="preserve"> PAGE </w:instrText>
        </w:r>
        <w:r>
          <w:rPr/>
          <w:fldChar w:fldCharType="separate"/>
        </w:r>
        <w:r>
          <w:rPr/>
          <w:t>47</w:t>
        </w:r>
        <w:r>
          <w:rPr/>
          <w:fldChar w:fldCharType="end"/>
        </w:r>
      </w:p>
      <w:p>
        <w:pPr>
          <w:pStyle w:val="Footer"/>
          <w:rPr/>
        </w:pPr>
        <w:r>
          <w:rPr/>
        </w:r>
      </w:p>
    </w:sdtContent>
  </w:sdt>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7654490"/>
    </w:sdtPr>
    <w:sdtContent>
      <w:p>
        <w:pPr>
          <w:pStyle w:val="Footer"/>
          <w:jc w:val="center"/>
          <w:rPr/>
        </w:pPr>
        <w:r>
          <w:rPr/>
          <w:fldChar w:fldCharType="begin"/>
        </w:r>
        <w:r>
          <w:rPr/>
          <w:instrText xml:space="preserve"> PAGE </w:instrText>
        </w:r>
        <w:r>
          <w:rPr/>
          <w:fldChar w:fldCharType="separate"/>
        </w:r>
        <w:r>
          <w:rPr/>
          <w:t>51</w:t>
        </w:r>
        <w:r>
          <w:rPr/>
          <w:fldChar w:fldCharType="end"/>
        </w:r>
      </w:p>
      <w:p>
        <w:pPr>
          <w:pStyle w:val="Footer"/>
          <w:rPr/>
        </w:pPr>
        <w:r>
          <w:rPr/>
        </w:r>
      </w:p>
    </w:sdtContent>
  </w:sdt>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49665054"/>
    </w:sdtPr>
    <w:sdtContent>
      <w:p>
        <w:pPr>
          <w:pStyle w:val="Footer"/>
          <w:jc w:val="center"/>
          <w:rPr/>
        </w:pPr>
        <w:r>
          <w:rPr/>
          <w:fldChar w:fldCharType="begin"/>
        </w:r>
        <w:r>
          <w:rPr/>
          <w:instrText xml:space="preserve"> PAGE </w:instrText>
        </w:r>
        <w:r>
          <w:rPr/>
          <w:fldChar w:fldCharType="separate"/>
        </w:r>
        <w:r>
          <w:rPr/>
          <w:t>51</w:t>
        </w:r>
        <w:r>
          <w:rPr/>
          <w:fldChar w:fldCharType="end"/>
        </w:r>
      </w:p>
      <w:p>
        <w:pPr>
          <w:pStyle w:val="Footer"/>
          <w:rPr/>
        </w:pPr>
        <w:r>
          <w:rPr/>
        </w:r>
      </w:p>
    </w:sdtContent>
  </w:sdt>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71201244"/>
    </w:sdtPr>
    <w:sdtContent>
      <w:p>
        <w:pPr>
          <w:pStyle w:val="Footer"/>
          <w:jc w:val="center"/>
          <w:rPr/>
        </w:pPr>
        <w:r>
          <w:rPr/>
          <w:fldChar w:fldCharType="begin"/>
        </w:r>
        <w:r>
          <w:rPr/>
          <w:instrText xml:space="preserve"> PAGE </w:instrText>
        </w:r>
        <w:r>
          <w:rPr/>
          <w:fldChar w:fldCharType="separate"/>
        </w:r>
        <w:r>
          <w:rPr/>
          <w:t>53</w:t>
        </w:r>
        <w:r>
          <w:rPr/>
          <w:fldChar w:fldCharType="end"/>
        </w:r>
      </w:p>
      <w:p>
        <w:pPr>
          <w:pStyle w:val="Footer"/>
          <w:rPr/>
        </w:pPr>
        <w:r>
          <w:rPr/>
        </w:r>
      </w:p>
    </w:sdtContent>
  </w:sdt>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59244747"/>
    </w:sdtPr>
    <w:sdtContent>
      <w:p>
        <w:pPr>
          <w:pStyle w:val="Footer"/>
          <w:jc w:val="center"/>
          <w:rPr/>
        </w:pPr>
        <w:r>
          <w:rPr/>
          <w:fldChar w:fldCharType="begin"/>
        </w:r>
        <w:r>
          <w:rPr/>
          <w:instrText xml:space="preserve"> PAGE </w:instrText>
        </w:r>
        <w:r>
          <w:rPr/>
          <w:fldChar w:fldCharType="separate"/>
        </w:r>
        <w:r>
          <w:rPr/>
          <w:t>53</w:t>
        </w:r>
        <w:r>
          <w:rPr/>
          <w:fldChar w:fldCharType="end"/>
        </w:r>
      </w:p>
      <w:p>
        <w:pPr>
          <w:pStyle w:val="Footer"/>
          <w:rPr/>
        </w:pPr>
        <w:r>
          <w:rPr/>
        </w:r>
      </w:p>
    </w:sdtContent>
  </w:sdt>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13917848"/>
    </w:sdtPr>
    <w:sdtContent>
      <w:p>
        <w:pPr>
          <w:pStyle w:val="Footer"/>
          <w:jc w:val="center"/>
          <w:rPr/>
        </w:pPr>
        <w:r>
          <w:rPr/>
          <w:fldChar w:fldCharType="begin"/>
        </w:r>
        <w:r>
          <w:rPr/>
          <w:instrText xml:space="preserve"> PAGE </w:instrText>
        </w:r>
        <w:r>
          <w:rPr/>
          <w:fldChar w:fldCharType="separate"/>
        </w:r>
        <w:r>
          <w:rPr/>
          <w:t>56</w:t>
        </w:r>
        <w:r>
          <w:rPr/>
          <w:fldChar w:fldCharType="end"/>
        </w:r>
      </w:p>
      <w:p>
        <w:pPr>
          <w:pStyle w:val="Footer"/>
          <w:rPr/>
        </w:pPr>
        <w:r>
          <w:rPr/>
        </w:r>
      </w:p>
    </w:sdtContent>
  </w:sdt>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70732122"/>
    </w:sdtPr>
    <w:sdtContent>
      <w:p>
        <w:pPr>
          <w:pStyle w:val="Footer"/>
          <w:jc w:val="center"/>
          <w:rPr/>
        </w:pPr>
        <w:r>
          <w:rPr/>
          <w:fldChar w:fldCharType="begin"/>
        </w:r>
        <w:r>
          <w:rPr/>
          <w:instrText xml:space="preserve"> PAGE </w:instrText>
        </w:r>
        <w:r>
          <w:rPr/>
          <w:fldChar w:fldCharType="separate"/>
        </w:r>
        <w:r>
          <w:rPr/>
          <w:t>56</w:t>
        </w:r>
        <w:r>
          <w:rPr/>
          <w:fldChar w:fldCharType="end"/>
        </w:r>
      </w:p>
      <w:p>
        <w:pPr>
          <w:pStyle w:val="Footer"/>
          <w:rPr/>
        </w:pPr>
        <w:r>
          <w:rPr/>
        </w:r>
      </w:p>
    </w:sdtContent>
  </w:sdt>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0684915"/>
    </w:sdtPr>
    <w:sdtContent>
      <w:p>
        <w:pPr>
          <w:pStyle w:val="Footer"/>
          <w:jc w:val="center"/>
          <w:rPr/>
        </w:pPr>
        <w:r>
          <w:rPr/>
          <w:fldChar w:fldCharType="begin"/>
        </w:r>
        <w:r>
          <w:rPr/>
          <w:instrText xml:space="preserve"> PAGE </w:instrText>
        </w:r>
        <w:r>
          <w:rPr/>
          <w:fldChar w:fldCharType="separate"/>
        </w:r>
        <w:r>
          <w:rPr/>
          <w:t>59</w:t>
        </w:r>
        <w:r>
          <w:rPr/>
          <w:fldChar w:fldCharType="end"/>
        </w:r>
      </w:p>
      <w:p>
        <w:pPr>
          <w:pStyle w:val="Footer"/>
          <w:rPr/>
        </w:pPr>
        <w:r>
          <w:rPr/>
        </w:r>
      </w:p>
    </w:sdtContent>
  </w:sdt>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40011154"/>
    </w:sdtPr>
    <w:sdtContent>
      <w:p>
        <w:pPr>
          <w:pStyle w:val="Footer"/>
          <w:jc w:val="center"/>
          <w:rPr/>
        </w:pPr>
        <w:r>
          <w:rPr/>
          <w:fldChar w:fldCharType="begin"/>
        </w:r>
        <w:r>
          <w:rPr/>
          <w:instrText xml:space="preserve"> PAGE </w:instrText>
        </w:r>
        <w:r>
          <w:rPr/>
          <w:fldChar w:fldCharType="separate"/>
        </w:r>
        <w:r>
          <w:rPr/>
          <w:t>59</w:t>
        </w:r>
        <w:r>
          <w:rPr/>
          <w:fldChar w:fldCharType="end"/>
        </w:r>
      </w:p>
      <w:p>
        <w:pPr>
          <w:pStyle w:val="Footer"/>
          <w:rPr/>
        </w:pPr>
        <w:r>
          <w:rPr/>
        </w:r>
      </w:p>
    </w:sdtContent>
  </w:sdt>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45886844"/>
    </w:sdtPr>
    <w:sdtContent>
      <w:p>
        <w:pPr>
          <w:pStyle w:val="Footer"/>
          <w:jc w:val="center"/>
          <w:rPr/>
        </w:pPr>
        <w:r>
          <w:rPr/>
          <w:fldChar w:fldCharType="begin"/>
        </w:r>
        <w:r>
          <w:rPr/>
          <w:instrText xml:space="preserve"> PAGE </w:instrText>
        </w:r>
        <w:r>
          <w:rPr/>
          <w:fldChar w:fldCharType="separate"/>
        </w:r>
        <w:r>
          <w:rPr/>
          <w:t>61</w:t>
        </w:r>
        <w:r>
          <w:rPr/>
          <w:fldChar w:fldCharType="end"/>
        </w:r>
      </w:p>
      <w:p>
        <w:pPr>
          <w:pStyle w:val="Footer"/>
          <w:rPr/>
        </w:pPr>
        <w:r>
          <w:rPr/>
        </w:r>
      </w:p>
    </w:sdtContent>
  </w:sdt>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23915422"/>
    </w:sdtPr>
    <w:sdtContent>
      <w:p>
        <w:pPr>
          <w:pStyle w:val="Footer"/>
          <w:jc w:val="center"/>
          <w:rPr/>
        </w:pPr>
        <w:r>
          <w:rPr/>
          <w:fldChar w:fldCharType="begin"/>
        </w:r>
        <w:r>
          <w:rPr/>
          <w:instrText xml:space="preserve"> PAGE </w:instrText>
        </w:r>
        <w:r>
          <w:rPr/>
          <w:fldChar w:fldCharType="separate"/>
        </w:r>
        <w:r>
          <w:rPr/>
          <w:t>61</w:t>
        </w:r>
        <w:r>
          <w:rPr/>
          <w:fldChar w:fldCharType="end"/>
        </w:r>
      </w:p>
      <w:p>
        <w:pPr>
          <w:pStyle w:val="Footer"/>
          <w:rPr/>
        </w:pPr>
        <w:r>
          <w:rPr/>
        </w:r>
      </w:p>
    </w:sdtContent>
  </w:sdt>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6519502"/>
    </w:sdtPr>
    <w:sdtContent>
      <w:p>
        <w:pPr>
          <w:pStyle w:val="Footer"/>
          <w:jc w:val="center"/>
          <w:rPr/>
        </w:pPr>
        <w:r>
          <w:rPr/>
          <w:fldChar w:fldCharType="begin"/>
        </w:r>
        <w:r>
          <w:rPr/>
          <w:instrText xml:space="preserve"> PAGE </w:instrText>
        </w:r>
        <w:r>
          <w:rPr/>
          <w:fldChar w:fldCharType="separate"/>
        </w:r>
        <w:r>
          <w:rPr/>
          <w:t>66</w:t>
        </w:r>
        <w:r>
          <w:rPr/>
          <w:fldChar w:fldCharType="end"/>
        </w:r>
      </w:p>
      <w:p>
        <w:pPr>
          <w:pStyle w:val="Footer"/>
          <w:rPr/>
        </w:pPr>
        <w:r>
          <w:rPr/>
        </w:r>
      </w:p>
    </w:sdtContent>
  </w:sdt>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23135082"/>
    </w:sdtPr>
    <w:sdtContent>
      <w:p>
        <w:pPr>
          <w:pStyle w:val="Footer"/>
          <w:jc w:val="center"/>
          <w:rPr/>
        </w:pPr>
        <w:r>
          <w:rPr/>
          <w:fldChar w:fldCharType="begin"/>
        </w:r>
        <w:r>
          <w:rPr/>
          <w:instrText xml:space="preserve"> PAGE </w:instrText>
        </w:r>
        <w:r>
          <w:rPr/>
          <w:fldChar w:fldCharType="separate"/>
        </w:r>
        <w:r>
          <w:rPr/>
          <w:t>66</w:t>
        </w:r>
        <w:r>
          <w:rPr/>
          <w:fldChar w:fldCharType="end"/>
        </w:r>
      </w:p>
      <w:p>
        <w:pPr>
          <w:pStyle w:val="Footer"/>
          <w:rPr/>
        </w:pPr>
        <w:r>
          <w:rPr/>
        </w:r>
      </w:p>
    </w:sdtContent>
  </w:sdt>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45644415"/>
    </w:sdtPr>
    <w:sdtContent>
      <w:p>
        <w:pPr>
          <w:pStyle w:val="Footer"/>
          <w:jc w:val="center"/>
          <w:rPr/>
        </w:pPr>
        <w:r>
          <w:rPr/>
          <w:fldChar w:fldCharType="begin"/>
        </w:r>
        <w:r>
          <w:rPr/>
          <w:instrText xml:space="preserve"> PAGE </w:instrText>
        </w:r>
        <w:r>
          <w:rPr/>
          <w:fldChar w:fldCharType="separate"/>
        </w:r>
        <w:r>
          <w:rPr/>
          <w:t>71</w:t>
        </w:r>
        <w:r>
          <w:rPr/>
          <w:fldChar w:fldCharType="end"/>
        </w:r>
      </w:p>
      <w:p>
        <w:pPr>
          <w:pStyle w:val="Footer"/>
          <w:rPr/>
        </w:pPr>
        <w:r>
          <w:rPr/>
        </w:r>
      </w:p>
    </w:sdtContent>
  </w:sdt>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96853643"/>
    </w:sdtPr>
    <w:sdtContent>
      <w:p>
        <w:pPr>
          <w:pStyle w:val="Footer"/>
          <w:jc w:val="center"/>
          <w:rPr/>
        </w:pPr>
        <w:r>
          <w:rPr/>
          <w:fldChar w:fldCharType="begin"/>
        </w:r>
        <w:r>
          <w:rPr/>
          <w:instrText xml:space="preserve"> PAGE </w:instrText>
        </w:r>
        <w:r>
          <w:rPr/>
          <w:fldChar w:fldCharType="separate"/>
        </w:r>
        <w:r>
          <w:rPr/>
          <w:t>71</w:t>
        </w:r>
        <w:r>
          <w:rPr/>
          <w:fldChar w:fldCharType="end"/>
        </w:r>
      </w:p>
      <w:p>
        <w:pPr>
          <w:pStyle w:val="Footer"/>
          <w:rPr/>
        </w:pPr>
        <w:r>
          <w:rPr/>
        </w:r>
      </w:p>
    </w:sdtContent>
  </w:sdt>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40808507"/>
    </w:sdtPr>
    <w:sdtContent>
      <w:p>
        <w:pPr>
          <w:pStyle w:val="Footer"/>
          <w:jc w:val="center"/>
          <w:rPr/>
        </w:pPr>
        <w:r>
          <w:rPr/>
          <w:fldChar w:fldCharType="begin"/>
        </w:r>
        <w:r>
          <w:rPr/>
          <w:instrText xml:space="preserve"> PAGE </w:instrText>
        </w:r>
        <w:r>
          <w:rPr/>
          <w:fldChar w:fldCharType="separate"/>
        </w:r>
        <w:r>
          <w:rPr/>
          <w:t>73</w:t>
        </w:r>
        <w:r>
          <w:rPr/>
          <w:fldChar w:fldCharType="end"/>
        </w:r>
      </w:p>
      <w:p>
        <w:pPr>
          <w:pStyle w:val="Footer"/>
          <w:rPr/>
        </w:pPr>
        <w:r>
          <w:rPr/>
        </w:r>
      </w:p>
    </w:sdtContent>
  </w:sdt>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57547495"/>
    </w:sdtPr>
    <w:sdtContent>
      <w:p>
        <w:pPr>
          <w:pStyle w:val="Footer"/>
          <w:jc w:val="center"/>
          <w:rPr/>
        </w:pPr>
        <w:r>
          <w:rPr/>
          <w:fldChar w:fldCharType="begin"/>
        </w:r>
        <w:r>
          <w:rPr/>
          <w:instrText xml:space="preserve"> PAGE </w:instrText>
        </w:r>
        <w:r>
          <w:rPr/>
          <w:fldChar w:fldCharType="separate"/>
        </w:r>
        <w:r>
          <w:rPr/>
          <w:t>73</w:t>
        </w:r>
        <w:r>
          <w:rPr/>
          <w:fldChar w:fldCharType="end"/>
        </w:r>
      </w:p>
      <w:p>
        <w:pPr>
          <w:pStyle w:val="Footer"/>
          <w:rPr/>
        </w:pPr>
        <w:r>
          <w:rPr/>
        </w:r>
      </w:p>
    </w:sdtContent>
  </w:sdt>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13122803"/>
    </w:sdtPr>
    <w:sdtContent>
      <w:p>
        <w:pPr>
          <w:pStyle w:val="Footer"/>
          <w:jc w:val="center"/>
          <w:rPr/>
        </w:pPr>
        <w:r>
          <w:rPr/>
          <w:fldChar w:fldCharType="begin"/>
        </w:r>
        <w:r>
          <w:rPr/>
          <w:instrText xml:space="preserve"> PAGE </w:instrText>
        </w:r>
        <w:r>
          <w:rPr/>
          <w:fldChar w:fldCharType="separate"/>
        </w:r>
        <w:r>
          <w:rPr/>
          <w:t>77</w:t>
        </w:r>
        <w:r>
          <w:rPr/>
          <w:fldChar w:fldCharType="end"/>
        </w:r>
      </w:p>
      <w:p>
        <w:pPr>
          <w:pStyle w:val="Footer"/>
          <w:rPr/>
        </w:pPr>
        <w:r>
          <w:rPr/>
        </w:r>
      </w:p>
    </w:sdtContent>
  </w:sdt>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71542056"/>
    </w:sdtPr>
    <w:sdtContent>
      <w:p>
        <w:pPr>
          <w:pStyle w:val="Footer"/>
          <w:jc w:val="center"/>
          <w:rPr/>
        </w:pPr>
        <w:r>
          <w:rPr/>
          <w:fldChar w:fldCharType="begin"/>
        </w:r>
        <w:r>
          <w:rPr/>
          <w:instrText xml:space="preserve"> PAGE </w:instrText>
        </w:r>
        <w:r>
          <w:rPr/>
          <w:fldChar w:fldCharType="separate"/>
        </w:r>
        <w:r>
          <w:rPr/>
          <w:t>77</w:t>
        </w:r>
        <w:r>
          <w:rPr/>
          <w:fldChar w:fldCharType="end"/>
        </w:r>
      </w:p>
      <w:p>
        <w:pPr>
          <w:pStyle w:val="Footer"/>
          <w:rPr/>
        </w:pPr>
        <w:r>
          <w:rPr/>
        </w:r>
      </w:p>
    </w:sdtContent>
  </w:sdt>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18605425"/>
    </w:sdtPr>
    <w:sdtContent>
      <w:p>
        <w:pPr>
          <w:pStyle w:val="Footer"/>
          <w:jc w:val="center"/>
          <w:rPr/>
        </w:pPr>
        <w:r>
          <w:rPr/>
          <w:fldChar w:fldCharType="begin"/>
        </w:r>
        <w:r>
          <w:rPr/>
          <w:instrText xml:space="preserve"> PAGE </w:instrText>
        </w:r>
        <w:r>
          <w:rPr/>
          <w:fldChar w:fldCharType="separate"/>
        </w:r>
        <w:r>
          <w:rPr/>
          <w:t>80</w:t>
        </w:r>
        <w:r>
          <w:rPr/>
          <w:fldChar w:fldCharType="end"/>
        </w:r>
      </w:p>
      <w:p>
        <w:pPr>
          <w:pStyle w:val="Footer"/>
          <w:rPr/>
        </w:pPr>
        <w:r>
          <w:rPr/>
        </w:r>
      </w:p>
    </w:sdtContent>
  </w:sdt>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70049999"/>
    </w:sdtPr>
    <w:sdtContent>
      <w:p>
        <w:pPr>
          <w:pStyle w:val="Footer"/>
          <w:jc w:val="center"/>
          <w:rPr/>
        </w:pPr>
        <w:r>
          <w:rPr/>
          <w:fldChar w:fldCharType="begin"/>
        </w:r>
        <w:r>
          <w:rPr/>
          <w:instrText xml:space="preserve"> PAGE </w:instrText>
        </w:r>
        <w:r>
          <w:rPr/>
          <w:fldChar w:fldCharType="separate"/>
        </w:r>
        <w:r>
          <w:rPr/>
          <w:t>80</w:t>
        </w:r>
        <w:r>
          <w:rPr/>
          <w:fldChar w:fldCharType="end"/>
        </w:r>
      </w:p>
      <w:p>
        <w:pPr>
          <w:pStyle w:val="Footer"/>
          <w:rPr/>
        </w:pPr>
        <w:r>
          <w:rPr/>
        </w:r>
      </w:p>
    </w:sdtContent>
  </w:sdt>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62442272"/>
    </w:sdtPr>
    <w:sdtContent>
      <w:p>
        <w:pPr>
          <w:pStyle w:val="Footer"/>
          <w:jc w:val="center"/>
          <w:rPr/>
        </w:pPr>
        <w:r>
          <w:rPr/>
          <w:fldChar w:fldCharType="begin"/>
        </w:r>
        <w:r>
          <w:rPr/>
          <w:instrText xml:space="preserve"> PAGE </w:instrText>
        </w:r>
        <w:r>
          <w:rPr/>
          <w:fldChar w:fldCharType="separate"/>
        </w:r>
        <w:r>
          <w:rPr/>
          <w:t>86</w:t>
        </w:r>
        <w:r>
          <w:rPr/>
          <w:fldChar w:fldCharType="end"/>
        </w:r>
      </w:p>
      <w:p>
        <w:pPr>
          <w:pStyle w:val="Footer"/>
          <w:rPr/>
        </w:pPr>
        <w:r>
          <w:rPr/>
        </w:r>
      </w:p>
    </w:sdtContent>
  </w:sdt>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34028568"/>
    </w:sdtPr>
    <w:sdtContent>
      <w:p>
        <w:pPr>
          <w:pStyle w:val="Footer"/>
          <w:jc w:val="center"/>
          <w:rPr/>
        </w:pPr>
        <w:r>
          <w:rPr/>
          <w:fldChar w:fldCharType="begin"/>
        </w:r>
        <w:r>
          <w:rPr/>
          <w:instrText xml:space="preserve"> PAGE </w:instrText>
        </w:r>
        <w:r>
          <w:rPr/>
          <w:fldChar w:fldCharType="separate"/>
        </w:r>
        <w:r>
          <w:rPr/>
          <w:t>86</w:t>
        </w:r>
        <w:r>
          <w:rPr/>
          <w:fldChar w:fldCharType="end"/>
        </w:r>
      </w:p>
      <w:p>
        <w:pPr>
          <w:pStyle w:val="Footer"/>
          <w:rPr/>
        </w:pPr>
        <w:r>
          <w:rPr/>
        </w:r>
      </w:p>
    </w:sdtContent>
  </w:sdt>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8027449"/>
    </w:sdtPr>
    <w:sdtContent>
      <w:p>
        <w:pPr>
          <w:pStyle w:val="Footer"/>
          <w:jc w:val="center"/>
          <w:rPr/>
        </w:pPr>
        <w:r>
          <w:rPr/>
          <w:fldChar w:fldCharType="begin"/>
        </w:r>
        <w:r>
          <w:rPr/>
          <w:instrText xml:space="preserve"> PAGE </w:instrText>
        </w:r>
        <w:r>
          <w:rPr/>
          <w:fldChar w:fldCharType="separate"/>
        </w:r>
        <w:r>
          <w:rPr/>
          <w:t>88</w:t>
        </w:r>
        <w:r>
          <w:rPr/>
          <w:fldChar w:fldCharType="end"/>
        </w:r>
      </w:p>
      <w:p>
        <w:pPr>
          <w:pStyle w:val="Footer"/>
          <w:rPr/>
        </w:pPr>
        <w:r>
          <w:rPr/>
        </w:r>
      </w:p>
    </w:sdtContent>
  </w:sdt>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8471292"/>
    </w:sdtPr>
    <w:sdtContent>
      <w:p>
        <w:pPr>
          <w:pStyle w:val="Footer"/>
          <w:jc w:val="center"/>
          <w:rPr/>
        </w:pPr>
        <w:r>
          <w:rPr/>
          <w:fldChar w:fldCharType="begin"/>
        </w:r>
        <w:r>
          <w:rPr/>
          <w:instrText xml:space="preserve"> PAGE </w:instrText>
        </w:r>
        <w:r>
          <w:rPr/>
          <w:fldChar w:fldCharType="separate"/>
        </w:r>
        <w:r>
          <w:rPr/>
          <w:t>88</w:t>
        </w:r>
        <w:r>
          <w:rPr/>
          <w:fldChar w:fldCharType="end"/>
        </w:r>
      </w:p>
      <w:p>
        <w:pPr>
          <w:pStyle w:val="Footer"/>
          <w:rPr/>
        </w:pPr>
        <w:r>
          <w:rPr/>
        </w:r>
      </w:p>
    </w:sdtContent>
  </w:sdt>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45631544"/>
    </w:sdtPr>
    <w:sdtContent>
      <w:p>
        <w:pPr>
          <w:pStyle w:val="Footer"/>
          <w:jc w:val="center"/>
          <w:rPr/>
        </w:pPr>
        <w:r>
          <w:rPr/>
          <w:fldChar w:fldCharType="begin"/>
        </w:r>
        <w:r>
          <w:rPr/>
          <w:instrText xml:space="preserve"> PAGE </w:instrText>
        </w:r>
        <w:r>
          <w:rPr/>
          <w:fldChar w:fldCharType="separate"/>
        </w:r>
        <w:r>
          <w:rPr/>
          <w:t>89</w:t>
        </w:r>
        <w:r>
          <w:rPr/>
          <w:fldChar w:fldCharType="end"/>
        </w:r>
      </w:p>
      <w:p>
        <w:pPr>
          <w:pStyle w:val="Footer"/>
          <w:rPr/>
        </w:pPr>
        <w:r>
          <w:rPr/>
        </w:r>
      </w:p>
    </w:sdtContent>
  </w:sdt>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9545745"/>
    </w:sdtPr>
    <w:sdtContent>
      <w:p>
        <w:pPr>
          <w:pStyle w:val="Footer"/>
          <w:jc w:val="center"/>
          <w:rPr/>
        </w:pPr>
        <w:r>
          <w:rPr/>
          <w:fldChar w:fldCharType="begin"/>
        </w:r>
        <w:r>
          <w:rPr/>
          <w:instrText xml:space="preserve"> PAGE </w:instrText>
        </w:r>
        <w:r>
          <w:rPr/>
          <w:fldChar w:fldCharType="separate"/>
        </w:r>
        <w:r>
          <w:rPr/>
          <w:t>89</w:t>
        </w:r>
        <w:r>
          <w:rPr/>
          <w:fldChar w:fldCharType="end"/>
        </w:r>
      </w:p>
      <w:p>
        <w:pPr>
          <w:pStyle w:val="Footer"/>
          <w:rPr/>
        </w:pPr>
        <w:r>
          <w:rPr/>
        </w:r>
      </w:p>
    </w:sdtContent>
  </w:sdt>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33868390"/>
    </w:sdtPr>
    <w:sdtContent>
      <w:p>
        <w:pPr>
          <w:pStyle w:val="Footer"/>
          <w:jc w:val="center"/>
          <w:rPr/>
        </w:pPr>
        <w:r>
          <w:rPr/>
          <w:fldChar w:fldCharType="begin"/>
        </w:r>
        <w:r>
          <w:rPr/>
          <w:instrText xml:space="preserve"> PAGE </w:instrText>
        </w:r>
        <w:r>
          <w:rPr/>
          <w:fldChar w:fldCharType="separate"/>
        </w:r>
        <w:r>
          <w:rPr/>
          <w:t>104</w:t>
        </w:r>
        <w:r>
          <w:rPr/>
          <w:fldChar w:fldCharType="end"/>
        </w:r>
      </w:p>
      <w:p>
        <w:pPr>
          <w:pStyle w:val="Footer"/>
          <w:rPr/>
        </w:pPr>
        <w:r>
          <w:rPr/>
        </w:r>
      </w:p>
    </w:sdtContent>
  </w:sdt>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37667999"/>
    </w:sdtPr>
    <w:sdtContent>
      <w:p>
        <w:pPr>
          <w:pStyle w:val="Footer"/>
          <w:jc w:val="center"/>
          <w:rPr/>
        </w:pPr>
        <w:r>
          <w:rPr/>
          <w:fldChar w:fldCharType="begin"/>
        </w:r>
        <w:r>
          <w:rPr/>
          <w:instrText xml:space="preserve"> PAGE </w:instrText>
        </w:r>
        <w:r>
          <w:rPr/>
          <w:fldChar w:fldCharType="separate"/>
        </w:r>
        <w:r>
          <w:rPr/>
          <w:t>104</w:t>
        </w:r>
        <w:r>
          <w:rPr/>
          <w:fldChar w:fldCharType="end"/>
        </w:r>
      </w:p>
      <w:p>
        <w:pPr>
          <w:pStyle w:val="Footer"/>
          <w:rPr/>
        </w:pPr>
        <w:r>
          <w:rPr/>
        </w:r>
      </w:p>
    </w:sdtContent>
  </w:sdt>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98326287"/>
    </w:sdtPr>
    <w:sdtContent>
      <w:p>
        <w:pPr>
          <w:pStyle w:val="Footer"/>
          <w:jc w:val="center"/>
          <w:rPr/>
        </w:pPr>
        <w:r>
          <w:rPr/>
          <w:fldChar w:fldCharType="begin"/>
        </w:r>
        <w:r>
          <w:rPr/>
          <w:instrText xml:space="preserve"> PAGE </w:instrText>
        </w:r>
        <w:r>
          <w:rPr/>
          <w:fldChar w:fldCharType="separate"/>
        </w:r>
        <w:r>
          <w:rPr/>
          <w:t>105</w:t>
        </w:r>
        <w:r>
          <w:rPr/>
          <w:fldChar w:fldCharType="end"/>
        </w:r>
      </w:p>
      <w:p>
        <w:pPr>
          <w:pStyle w:val="Footer"/>
          <w:rPr/>
        </w:pPr>
        <w:r>
          <w:rPr/>
        </w:r>
      </w:p>
    </w:sdtContent>
  </w:sdt>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36305466"/>
    </w:sdtPr>
    <w:sdtContent>
      <w:p>
        <w:pPr>
          <w:pStyle w:val="Footer"/>
          <w:jc w:val="center"/>
          <w:rPr/>
        </w:pPr>
        <w:r>
          <w:rPr/>
          <w:fldChar w:fldCharType="begin"/>
        </w:r>
        <w:r>
          <w:rPr/>
          <w:instrText xml:space="preserve"> PAGE </w:instrText>
        </w:r>
        <w:r>
          <w:rPr/>
          <w:fldChar w:fldCharType="separate"/>
        </w:r>
        <w:r>
          <w:rPr/>
          <w:t>105</w:t>
        </w:r>
        <w:r>
          <w:rPr/>
          <w:fldChar w:fldCharType="end"/>
        </w:r>
      </w:p>
      <w:p>
        <w:pPr>
          <w:pStyle w:val="Footer"/>
          <w:rPr/>
        </w:pPr>
        <w:r>
          <w:rPr/>
        </w:r>
      </w:p>
    </w:sdtContent>
  </w:sdt>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50093631"/>
    </w:sdtPr>
    <w:sdtContent>
      <w:p>
        <w:pPr>
          <w:pStyle w:val="Footer"/>
          <w:jc w:val="center"/>
          <w:rPr/>
        </w:pPr>
        <w:r>
          <w:rPr/>
          <w:fldChar w:fldCharType="begin"/>
        </w:r>
        <w:r>
          <w:rPr/>
          <w:instrText xml:space="preserve"> PAGE </w:instrText>
        </w:r>
        <w:r>
          <w:rPr/>
          <w:fldChar w:fldCharType="separate"/>
        </w:r>
        <w:r>
          <w:rPr/>
          <w:t>111</w:t>
        </w:r>
        <w:r>
          <w:rPr/>
          <w:fldChar w:fldCharType="end"/>
        </w:r>
      </w:p>
      <w:p>
        <w:pPr>
          <w:pStyle w:val="Footer"/>
          <w:rPr/>
        </w:pPr>
        <w:r>
          <w:rPr/>
        </w:r>
      </w:p>
    </w:sdtContent>
  </w:sdt>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47901552"/>
    </w:sdtPr>
    <w:sdtContent>
      <w:p>
        <w:pPr>
          <w:pStyle w:val="Footer"/>
          <w:jc w:val="center"/>
          <w:rPr/>
        </w:pPr>
        <w:r>
          <w:rPr/>
          <w:fldChar w:fldCharType="begin"/>
        </w:r>
        <w:r>
          <w:rPr/>
          <w:instrText xml:space="preserve"> PAGE </w:instrText>
        </w:r>
        <w:r>
          <w:rPr/>
          <w:fldChar w:fldCharType="separate"/>
        </w:r>
        <w:r>
          <w:rPr/>
          <w:t>111</w:t>
        </w:r>
        <w:r>
          <w:rPr/>
          <w:fldChar w:fldCharType="end"/>
        </w:r>
      </w:p>
      <w:p>
        <w:pPr>
          <w:pStyle w:val="Footer"/>
          <w:rPr/>
        </w:pPr>
        <w:r>
          <w:rPr/>
        </w:r>
      </w:p>
    </w:sdtContent>
  </w:sdt>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42478390"/>
    </w:sdtPr>
    <w:sdtContent>
      <w:p>
        <w:pPr>
          <w:pStyle w:val="Footer"/>
          <w:jc w:val="center"/>
          <w:rPr/>
        </w:pPr>
        <w:r>
          <w:rPr/>
          <w:fldChar w:fldCharType="begin"/>
        </w:r>
        <w:r>
          <w:rPr/>
          <w:instrText xml:space="preserve"> PAGE </w:instrText>
        </w:r>
        <w:r>
          <w:rPr/>
          <w:fldChar w:fldCharType="separate"/>
        </w:r>
        <w:r>
          <w:rPr/>
          <w:t>112</w:t>
        </w:r>
        <w:r>
          <w:rPr/>
          <w:fldChar w:fldCharType="end"/>
        </w:r>
      </w:p>
      <w:p>
        <w:pPr>
          <w:pStyle w:val="Footer"/>
          <w:rPr/>
        </w:pPr>
        <w:r>
          <w:rPr/>
        </w:r>
      </w:p>
    </w:sdtContent>
  </w:sdt>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58620424"/>
    </w:sdtPr>
    <w:sdtContent>
      <w:p>
        <w:pPr>
          <w:pStyle w:val="Footer"/>
          <w:jc w:val="center"/>
          <w:rPr/>
        </w:pPr>
        <w:r>
          <w:rPr/>
          <w:fldChar w:fldCharType="begin"/>
        </w:r>
        <w:r>
          <w:rPr/>
          <w:instrText xml:space="preserve"> PAGE </w:instrText>
        </w:r>
        <w:r>
          <w:rPr/>
          <w:fldChar w:fldCharType="separate"/>
        </w:r>
        <w:r>
          <w:rPr/>
          <w:t>112</w:t>
        </w:r>
        <w:r>
          <w:rPr/>
          <w:fldChar w:fldCharType="end"/>
        </w:r>
      </w:p>
      <w:p>
        <w:pPr>
          <w:pStyle w:val="Footer"/>
          <w:rPr/>
        </w:pPr>
        <w:r>
          <w:rPr/>
        </w:r>
      </w:p>
    </w:sdtContent>
  </w:sdt>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46581549"/>
    </w:sdtPr>
    <w:sdtContent>
      <w:p>
        <w:pPr>
          <w:pStyle w:val="Footer"/>
          <w:jc w:val="center"/>
          <w:rPr/>
        </w:pPr>
        <w:r>
          <w:rPr/>
          <w:fldChar w:fldCharType="begin"/>
        </w:r>
        <w:r>
          <w:rPr/>
          <w:instrText xml:space="preserve"> PAGE </w:instrText>
        </w:r>
        <w:r>
          <w:rPr/>
          <w:fldChar w:fldCharType="separate"/>
        </w:r>
        <w:r>
          <w:rPr/>
          <w:t>117</w:t>
        </w:r>
        <w:r>
          <w:rPr/>
          <w:fldChar w:fldCharType="end"/>
        </w:r>
      </w:p>
      <w:p>
        <w:pPr>
          <w:pStyle w:val="Footer"/>
          <w:rPr/>
        </w:pPr>
        <w:r>
          <w:rPr/>
        </w:r>
      </w:p>
    </w:sdtContent>
  </w:sdt>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9837710"/>
    </w:sdtPr>
    <w:sdtContent>
      <w:p>
        <w:pPr>
          <w:pStyle w:val="Footer"/>
          <w:jc w:val="center"/>
          <w:rPr/>
        </w:pPr>
        <w:r>
          <w:rPr/>
          <w:fldChar w:fldCharType="begin"/>
        </w:r>
        <w:r>
          <w:rPr/>
          <w:instrText xml:space="preserve"> PAGE </w:instrText>
        </w:r>
        <w:r>
          <w:rPr/>
          <w:fldChar w:fldCharType="separate"/>
        </w:r>
        <w:r>
          <w:rPr/>
          <w:t>117</w:t>
        </w:r>
        <w:r>
          <w:rPr/>
          <w:fldChar w:fldCharType="end"/>
        </w:r>
      </w:p>
      <w:p>
        <w:pPr>
          <w:pStyle w:val="Footer"/>
          <w:rPr/>
        </w:pPr>
        <w:r>
          <w:rPr/>
        </w:r>
      </w:p>
    </w:sdtContent>
  </w:sdt>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55562405"/>
    </w:sdtPr>
    <w:sdtContent>
      <w:p>
        <w:pPr>
          <w:pStyle w:val="Footer"/>
          <w:jc w:val="center"/>
          <w:rPr/>
        </w:pPr>
        <w:r>
          <w:rPr/>
          <w:fldChar w:fldCharType="begin"/>
        </w:r>
        <w:r>
          <w:rPr/>
          <w:instrText xml:space="preserve"> PAGE </w:instrText>
        </w:r>
        <w:r>
          <w:rPr/>
          <w:fldChar w:fldCharType="separate"/>
        </w:r>
        <w:r>
          <w:rPr/>
          <w:t>119</w:t>
        </w:r>
        <w:r>
          <w:rPr/>
          <w:fldChar w:fldCharType="end"/>
        </w:r>
      </w:p>
      <w:p>
        <w:pPr>
          <w:pStyle w:val="Footer"/>
          <w:rPr/>
        </w:pPr>
        <w:r>
          <w:rPr/>
        </w:r>
      </w:p>
    </w:sdtContent>
  </w:sdt>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11960574"/>
    </w:sdtPr>
    <w:sdtContent>
      <w:p>
        <w:pPr>
          <w:pStyle w:val="Footer"/>
          <w:jc w:val="center"/>
          <w:rPr/>
        </w:pPr>
        <w:r>
          <w:rPr/>
          <w:fldChar w:fldCharType="begin"/>
        </w:r>
        <w:r>
          <w:rPr/>
          <w:instrText xml:space="preserve"> PAGE </w:instrText>
        </w:r>
        <w:r>
          <w:rPr/>
          <w:fldChar w:fldCharType="separate"/>
        </w:r>
        <w:r>
          <w:rPr/>
          <w:t>119</w:t>
        </w:r>
        <w:r>
          <w:rPr/>
          <w:fldChar w:fldCharType="end"/>
        </w:r>
      </w:p>
      <w:p>
        <w:pPr>
          <w:pStyle w:val="Footer"/>
          <w:rPr/>
        </w:pPr>
        <w:r>
          <w:rPr/>
        </w:r>
      </w:p>
    </w:sdtContent>
  </w:sdt>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79483757"/>
    </w:sdtPr>
    <w:sdtContent>
      <w:p>
        <w:pPr>
          <w:pStyle w:val="Footer"/>
          <w:jc w:val="center"/>
          <w:rPr/>
        </w:pPr>
        <w:r>
          <w:rPr/>
          <w:fldChar w:fldCharType="begin"/>
        </w:r>
        <w:r>
          <w:rPr/>
          <w:instrText xml:space="preserve"> PAGE </w:instrText>
        </w:r>
        <w:r>
          <w:rPr/>
          <w:fldChar w:fldCharType="separate"/>
        </w:r>
        <w:r>
          <w:rPr/>
          <w:t>124</w:t>
        </w:r>
        <w:r>
          <w:rPr/>
          <w:fldChar w:fldCharType="end"/>
        </w:r>
      </w:p>
      <w:p>
        <w:pPr>
          <w:pStyle w:val="Footer"/>
          <w:rPr/>
        </w:pPr>
        <w:r>
          <w:rPr/>
        </w:r>
      </w:p>
    </w:sdtContent>
  </w:sdt>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4899165"/>
    </w:sdtPr>
    <w:sdtContent>
      <w:p>
        <w:pPr>
          <w:pStyle w:val="Footer"/>
          <w:jc w:val="center"/>
          <w:rPr/>
        </w:pPr>
        <w:r>
          <w:rPr/>
          <w:fldChar w:fldCharType="begin"/>
        </w:r>
        <w:r>
          <w:rPr/>
          <w:instrText xml:space="preserve"> PAGE </w:instrText>
        </w:r>
        <w:r>
          <w:rPr/>
          <w:fldChar w:fldCharType="separate"/>
        </w:r>
        <w:r>
          <w:rPr/>
          <w:t>124</w:t>
        </w:r>
        <w:r>
          <w:rPr/>
          <w:fldChar w:fldCharType="end"/>
        </w:r>
      </w:p>
      <w:p>
        <w:pPr>
          <w:pStyle w:val="Footer"/>
          <w:rPr/>
        </w:pPr>
        <w:r>
          <w:rPr/>
        </w:r>
      </w:p>
    </w:sdtContent>
  </w:sdt>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26289238"/>
    </w:sdtPr>
    <w:sdtContent>
      <w:p>
        <w:pPr>
          <w:pStyle w:val="Footer"/>
          <w:jc w:val="center"/>
          <w:rPr/>
        </w:pPr>
        <w:r>
          <w:rPr/>
          <w:fldChar w:fldCharType="begin"/>
        </w:r>
        <w:r>
          <w:rPr/>
          <w:instrText xml:space="preserve"> PAGE </w:instrText>
        </w:r>
        <w:r>
          <w:rPr/>
          <w:fldChar w:fldCharType="separate"/>
        </w:r>
        <w:r>
          <w:rPr/>
          <w:t>131</w:t>
        </w:r>
        <w:r>
          <w:rPr/>
          <w:fldChar w:fldCharType="end"/>
        </w:r>
      </w:p>
      <w:p>
        <w:pPr>
          <w:pStyle w:val="Footer"/>
          <w:rPr/>
        </w:pPr>
        <w:r>
          <w:rPr/>
        </w:r>
      </w:p>
    </w:sdtContent>
  </w:sdt>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4258720"/>
    </w:sdtPr>
    <w:sdtContent>
      <w:p>
        <w:pPr>
          <w:pStyle w:val="Footer"/>
          <w:jc w:val="center"/>
          <w:rPr/>
        </w:pPr>
        <w:r>
          <w:rPr/>
          <w:fldChar w:fldCharType="begin"/>
        </w:r>
        <w:r>
          <w:rPr/>
          <w:instrText xml:space="preserve"> PAGE </w:instrText>
        </w:r>
        <w:r>
          <w:rPr/>
          <w:fldChar w:fldCharType="separate"/>
        </w:r>
        <w:r>
          <w:rPr/>
          <w:t>131</w:t>
        </w:r>
        <w:r>
          <w:rPr/>
          <w:fldChar w:fldCharType="end"/>
        </w:r>
      </w:p>
      <w:p>
        <w:pPr>
          <w:pStyle w:val="Footer"/>
          <w:rPr/>
        </w:pPr>
        <w:r>
          <w:rPr/>
        </w:r>
      </w:p>
    </w:sdtContent>
  </w:sdt>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16068922"/>
    </w:sdtPr>
    <w:sdtContent>
      <w:p>
        <w:pPr>
          <w:pStyle w:val="Footer"/>
          <w:jc w:val="center"/>
          <w:rPr/>
        </w:pPr>
        <w:r>
          <w:rPr/>
          <w:fldChar w:fldCharType="begin"/>
        </w:r>
        <w:r>
          <w:rPr/>
          <w:instrText xml:space="preserve"> PAGE </w:instrText>
        </w:r>
        <w:r>
          <w:rPr/>
          <w:fldChar w:fldCharType="separate"/>
        </w:r>
        <w:r>
          <w:rPr/>
          <w:t>133</w:t>
        </w:r>
        <w:r>
          <w:rPr/>
          <w:fldChar w:fldCharType="end"/>
        </w:r>
      </w:p>
      <w:p>
        <w:pPr>
          <w:pStyle w:val="Footer"/>
          <w:rPr/>
        </w:pPr>
        <w:r>
          <w:rPr/>
        </w:r>
      </w:p>
    </w:sdtContent>
  </w:sdt>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57854108"/>
    </w:sdtPr>
    <w:sdtContent>
      <w:p>
        <w:pPr>
          <w:pStyle w:val="Footer"/>
          <w:jc w:val="center"/>
          <w:rPr/>
        </w:pPr>
        <w:r>
          <w:rPr/>
          <w:fldChar w:fldCharType="begin"/>
        </w:r>
        <w:r>
          <w:rPr/>
          <w:instrText xml:space="preserve"> PAGE </w:instrText>
        </w:r>
        <w:r>
          <w:rPr/>
          <w:fldChar w:fldCharType="separate"/>
        </w:r>
        <w:r>
          <w:rPr/>
          <w:t>133</w:t>
        </w:r>
        <w:r>
          <w:rPr/>
          <w:fldChar w:fldCharType="end"/>
        </w:r>
      </w:p>
      <w:p>
        <w:pPr>
          <w:pStyle w:val="Footer"/>
          <w:rPr/>
        </w:pPr>
        <w:r>
          <w:rPr/>
        </w:r>
      </w:p>
    </w:sdtContent>
  </w:sdt>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48103532"/>
    </w:sdtPr>
    <w:sdtContent>
      <w:p>
        <w:pPr>
          <w:pStyle w:val="Footer"/>
          <w:jc w:val="center"/>
          <w:rPr/>
        </w:pPr>
        <w:r>
          <w:rPr/>
          <w:fldChar w:fldCharType="begin"/>
        </w:r>
        <w:r>
          <w:rPr/>
          <w:instrText xml:space="preserve"> PAGE </w:instrText>
        </w:r>
        <w:r>
          <w:rPr/>
          <w:fldChar w:fldCharType="separate"/>
        </w:r>
        <w:r>
          <w:rPr/>
          <w:t>140</w:t>
        </w:r>
        <w:r>
          <w:rPr/>
          <w:fldChar w:fldCharType="end"/>
        </w:r>
      </w:p>
      <w:p>
        <w:pPr>
          <w:pStyle w:val="Footer"/>
          <w:rPr/>
        </w:pPr>
        <w:r>
          <w:rPr/>
        </w:r>
      </w:p>
    </w:sdtContent>
  </w:sdt>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24516133"/>
    </w:sdtPr>
    <w:sdtContent>
      <w:p>
        <w:pPr>
          <w:pStyle w:val="Footer"/>
          <w:jc w:val="center"/>
          <w:rPr/>
        </w:pPr>
        <w:r>
          <w:rPr/>
          <w:fldChar w:fldCharType="begin"/>
        </w:r>
        <w:r>
          <w:rPr/>
          <w:instrText xml:space="preserve"> PAGE </w:instrText>
        </w:r>
        <w:r>
          <w:rPr/>
          <w:fldChar w:fldCharType="separate"/>
        </w:r>
        <w:r>
          <w:rPr/>
          <w:t>140</w:t>
        </w:r>
        <w:r>
          <w:rPr/>
          <w:fldChar w:fldCharType="end"/>
        </w:r>
      </w:p>
      <w:p>
        <w:pPr>
          <w:pStyle w:val="Footer"/>
          <w:rPr/>
        </w:pPr>
        <w:r>
          <w:rPr/>
        </w:r>
      </w:p>
    </w:sdtContent>
  </w:sdt>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41204351"/>
    </w:sdtPr>
    <w:sdtContent>
      <w:p>
        <w:pPr>
          <w:pStyle w:val="Footer"/>
          <w:jc w:val="center"/>
          <w:rPr/>
        </w:pPr>
        <w:r>
          <w:rPr/>
          <w:fldChar w:fldCharType="begin"/>
        </w:r>
        <w:r>
          <w:rPr/>
          <w:instrText xml:space="preserve"> PAGE </w:instrText>
        </w:r>
        <w:r>
          <w:rPr/>
          <w:fldChar w:fldCharType="separate"/>
        </w:r>
        <w:r>
          <w:rPr/>
          <w:t>143</w:t>
        </w:r>
        <w:r>
          <w:rPr/>
          <w:fldChar w:fldCharType="end"/>
        </w:r>
      </w:p>
      <w:p>
        <w:pPr>
          <w:pStyle w:val="Footer"/>
          <w:rPr/>
        </w:pPr>
        <w:r>
          <w:rPr/>
        </w:r>
      </w:p>
    </w:sdtContent>
  </w:sdt>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7632067"/>
    </w:sdtPr>
    <w:sdtContent>
      <w:p>
        <w:pPr>
          <w:pStyle w:val="Footer"/>
          <w:jc w:val="center"/>
          <w:rPr/>
        </w:pPr>
        <w:r>
          <w:rPr/>
          <w:fldChar w:fldCharType="begin"/>
        </w:r>
        <w:r>
          <w:rPr/>
          <w:instrText xml:space="preserve"> PAGE </w:instrText>
        </w:r>
        <w:r>
          <w:rPr/>
          <w:fldChar w:fldCharType="separate"/>
        </w:r>
        <w:r>
          <w:rPr/>
          <w:t>143</w:t>
        </w:r>
        <w:r>
          <w:rPr/>
          <w:fldChar w:fldCharType="end"/>
        </w:r>
      </w:p>
      <w:p>
        <w:pPr>
          <w:pStyle w:val="Footer"/>
          <w:rPr/>
        </w:pPr>
        <w:r>
          <w:rPr/>
        </w:r>
      </w:p>
    </w:sdtContent>
  </w:sdt>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17651500"/>
    </w:sdtPr>
    <w:sdtContent>
      <w:p>
        <w:pPr>
          <w:pStyle w:val="Footer"/>
          <w:jc w:val="center"/>
          <w:rPr/>
        </w:pPr>
        <w:r>
          <w:rPr/>
          <w:fldChar w:fldCharType="begin"/>
        </w:r>
        <w:r>
          <w:rPr/>
          <w:instrText xml:space="preserve"> PAGE </w:instrText>
        </w:r>
        <w:r>
          <w:rPr/>
          <w:fldChar w:fldCharType="separate"/>
        </w:r>
        <w:r>
          <w:rPr/>
          <w:t>147</w:t>
        </w:r>
        <w:r>
          <w:rPr/>
          <w:fldChar w:fldCharType="end"/>
        </w:r>
      </w:p>
      <w:p>
        <w:pPr>
          <w:pStyle w:val="Footer"/>
          <w:rPr/>
        </w:pPr>
        <w:r>
          <w:rPr/>
        </w:r>
      </w:p>
    </w:sdtContent>
  </w:sdt>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88067288"/>
    </w:sdtPr>
    <w:sdtContent>
      <w:p>
        <w:pPr>
          <w:pStyle w:val="Footer"/>
          <w:jc w:val="center"/>
          <w:rPr/>
        </w:pPr>
        <w:r>
          <w:rPr/>
          <w:fldChar w:fldCharType="begin"/>
        </w:r>
        <w:r>
          <w:rPr/>
          <w:instrText xml:space="preserve"> PAGE </w:instrText>
        </w:r>
        <w:r>
          <w:rPr/>
          <w:fldChar w:fldCharType="separate"/>
        </w:r>
        <w:r>
          <w:rPr/>
          <w:t>147</w:t>
        </w:r>
        <w:r>
          <w:rPr/>
          <w:fldChar w:fldCharType="end"/>
        </w:r>
      </w:p>
      <w:p>
        <w:pPr>
          <w:pStyle w:val="Footer"/>
          <w:rPr/>
        </w:pPr>
        <w:r>
          <w:rPr/>
        </w:r>
      </w:p>
    </w:sdtContent>
  </w:sdt>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06514541"/>
    </w:sdtPr>
    <w:sdtContent>
      <w:p>
        <w:pPr>
          <w:pStyle w:val="Footer"/>
          <w:jc w:val="center"/>
          <w:rPr/>
        </w:pPr>
        <w:r>
          <w:rPr/>
          <w:fldChar w:fldCharType="begin"/>
        </w:r>
        <w:r>
          <w:rPr/>
          <w:instrText xml:space="preserve"> PAGE </w:instrText>
        </w:r>
        <w:r>
          <w:rPr/>
          <w:fldChar w:fldCharType="separate"/>
        </w:r>
        <w:r>
          <w:rPr/>
          <w:t>152</w:t>
        </w:r>
        <w:r>
          <w:rPr/>
          <w:fldChar w:fldCharType="end"/>
        </w:r>
      </w:p>
      <w:p>
        <w:pPr>
          <w:pStyle w:val="Footer"/>
          <w:rPr/>
        </w:pPr>
        <w:r>
          <w:rPr/>
        </w:r>
      </w:p>
    </w:sdtContent>
  </w:sdt>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85648219"/>
    </w:sdtPr>
    <w:sdtContent>
      <w:p>
        <w:pPr>
          <w:pStyle w:val="Footer"/>
          <w:jc w:val="center"/>
          <w:rPr/>
        </w:pPr>
        <w:r>
          <w:rPr/>
          <w:fldChar w:fldCharType="begin"/>
        </w:r>
        <w:r>
          <w:rPr/>
          <w:instrText xml:space="preserve"> PAGE </w:instrText>
        </w:r>
        <w:r>
          <w:rPr/>
          <w:fldChar w:fldCharType="separate"/>
        </w:r>
        <w:r>
          <w:rPr/>
          <w:t>152</w:t>
        </w:r>
        <w:r>
          <w:rPr/>
          <w:fldChar w:fldCharType="end"/>
        </w:r>
      </w:p>
      <w:p>
        <w:pPr>
          <w:pStyle w:val="Footer"/>
          <w:rPr/>
        </w:pPr>
        <w:r>
          <w:rPr/>
        </w:r>
      </w:p>
    </w:sdtContent>
  </w:sdt>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6683926"/>
    </w:sdtPr>
    <w:sdtContent>
      <w:p>
        <w:pPr>
          <w:pStyle w:val="Footer"/>
          <w:jc w:val="center"/>
          <w:rPr/>
        </w:pPr>
        <w:r>
          <w:rPr/>
          <w:fldChar w:fldCharType="begin"/>
        </w:r>
        <w:r>
          <w:rPr/>
          <w:instrText xml:space="preserve"> PAGE </w:instrText>
        </w:r>
        <w:r>
          <w:rPr/>
          <w:fldChar w:fldCharType="separate"/>
        </w:r>
        <w:r>
          <w:rPr/>
          <w:t>154</w:t>
        </w:r>
        <w:r>
          <w:rPr/>
          <w:fldChar w:fldCharType="end"/>
        </w:r>
      </w:p>
      <w:p>
        <w:pPr>
          <w:pStyle w:val="Footer"/>
          <w:rPr/>
        </w:pPr>
        <w:r>
          <w:rPr/>
        </w:r>
      </w:p>
    </w:sdtContent>
  </w:sdt>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66893008"/>
    </w:sdtPr>
    <w:sdtContent>
      <w:p>
        <w:pPr>
          <w:pStyle w:val="Footer"/>
          <w:jc w:val="center"/>
          <w:rPr/>
        </w:pPr>
        <w:r>
          <w:rPr/>
          <w:fldChar w:fldCharType="begin"/>
        </w:r>
        <w:r>
          <w:rPr/>
          <w:instrText xml:space="preserve"> PAGE </w:instrText>
        </w:r>
        <w:r>
          <w:rPr/>
          <w:fldChar w:fldCharType="separate"/>
        </w:r>
        <w:r>
          <w:rPr/>
          <w:t>154</w:t>
        </w:r>
        <w:r>
          <w:rPr/>
          <w:fldChar w:fldCharType="end"/>
        </w:r>
      </w:p>
      <w:p>
        <w:pPr>
          <w:pStyle w:val="Footer"/>
          <w:rPr/>
        </w:pPr>
        <w:r>
          <w:rPr/>
        </w:r>
      </w:p>
    </w:sdtContent>
  </w:sdt>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rPr>
          <w:lang w:val="en-US"/>
        </w:rPr>
      </w:pPr>
      <w:r>
        <w:rPr>
          <w:rStyle w:val="FootnoteCharacters"/>
        </w:rPr>
        <w:footnoteRef/>
      </w:r>
      <w:r>
        <w:rPr/>
        <w:t xml:space="preserve"> </w:t>
      </w:r>
      <w:r>
        <w:rPr>
          <w:sz w:val="20"/>
          <w:szCs w:val="20"/>
          <w:lang w:val="en-US"/>
        </w:rPr>
        <w:t>The Executive Committee decided to approve all IS projects and renewals at a level 28 per cent higher than the historically agreed level, with a minimum level of IS funding of US $42,500 per year, to continue support for compliance with the Montreal Protocol and to address the challenges related to the phase-out of HCFCs in line with the objectives of decision XIX/6 and the transition to alternatives that minimized environmental impact (decision 74/51(c)).</w:t>
      </w:r>
    </w:p>
  </w:footnote>
  <w:footnote w:id="3">
    <w:p>
      <w:pPr>
        <w:pStyle w:val="Footnote"/>
        <w:rPr>
          <w:lang w:val="en-CA"/>
        </w:rPr>
      </w:pPr>
      <w:r>
        <w:rPr>
          <w:rStyle w:val="FootnoteCharacters"/>
        </w:rPr>
        <w:footnoteRef/>
      </w:r>
      <w:r>
        <w:rPr/>
        <w:t xml:space="preserve"> </w:t>
      </w:r>
      <w:r>
        <w:rPr/>
        <w:t xml:space="preserve">The Executive Committee decided </w:t>
      </w:r>
      <w:r>
        <w:rPr>
          <w:i/>
        </w:rPr>
        <w:t>inter alia</w:t>
      </w:r>
      <w:r>
        <w:rPr/>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4">
    <w:p>
      <w:pPr>
        <w:pStyle w:val="Footnote"/>
        <w:rPr/>
      </w:pPr>
      <w:r>
        <w:rPr>
          <w:rStyle w:val="FootnoteCharacters"/>
        </w:rPr>
        <w:footnoteRef/>
      </w:r>
      <w:r>
        <w:rPr/>
        <w:t xml:space="preserve"> </w:t>
      </w:r>
      <w:r>
        <w:rPr/>
        <w:t>Montreal, 5-7 September 2017. Bilateral and implementing agencies appreciated the development of the guide.</w:t>
      </w:r>
    </w:p>
  </w:footnote>
  <w:footnote w:id="5">
    <w:p>
      <w:pPr>
        <w:pStyle w:val="Footnote"/>
        <w:rPr>
          <w:lang w:val="en-CA"/>
        </w:rPr>
      </w:pPr>
      <w:r>
        <w:rPr>
          <w:rStyle w:val="FootnoteCharacters"/>
        </w:rPr>
        <w:footnoteRef/>
      </w:r>
      <w:r>
        <w:rPr/>
        <w:t xml:space="preserve"> </w:t>
      </w:r>
      <w:r>
        <w:rPr/>
        <w:t>UNEP/OzL.Pro/ExCom/80/22.</w:t>
      </w:r>
    </w:p>
  </w:footnote>
  <w:footnote w:id="6">
    <w:p>
      <w:pPr>
        <w:pStyle w:val="Footnote"/>
        <w:rPr/>
      </w:pPr>
      <w:r>
        <w:rPr>
          <w:rStyle w:val="FootnoteCharacters"/>
        </w:rPr>
        <w:footnoteRef/>
      </w:r>
      <w:r>
        <w:rPr/>
        <w:t xml:space="preserve"> </w:t>
      </w:r>
      <w:r>
        <w:rPr/>
        <w:t>UNEP/OzL.Pro/ExCom/80/30.</w:t>
      </w:r>
    </w:p>
  </w:footnote>
  <w:footnote w:id="7">
    <w:p>
      <w:pPr>
        <w:pStyle w:val="Footnote"/>
        <w:rPr>
          <w:lang w:val="en-CA"/>
        </w:rPr>
      </w:pPr>
      <w:r>
        <w:rPr>
          <w:rStyle w:val="FootnoteCharacters"/>
        </w:rPr>
        <w:footnoteRef/>
      </w:r>
      <w:r>
        <w:rPr/>
        <w:t xml:space="preserve"> </w:t>
      </w:r>
      <w:r>
        <w:rPr/>
        <w:t>UNEP/OzL.Pro/ExCom/80/32.</w:t>
      </w:r>
    </w:p>
  </w:footnote>
  <w:footnote w:id="8">
    <w:p>
      <w:pPr>
        <w:pStyle w:val="Footnote"/>
        <w:rPr>
          <w:lang w:val="en-CA"/>
        </w:rPr>
      </w:pPr>
      <w:r>
        <w:rPr>
          <w:rStyle w:val="FootnoteCharacters"/>
        </w:rPr>
        <w:footnoteRef/>
      </w:r>
      <w:r>
        <w:rPr/>
        <w:t xml:space="preserve"> </w:t>
      </w:r>
      <w:r>
        <w:rPr/>
        <w:t>UNEP/OzL.Pro/ExCom/80/38.</w:t>
      </w:r>
    </w:p>
  </w:footnote>
  <w:footnote w:id="9">
    <w:p>
      <w:pPr>
        <w:pStyle w:val="Footnote"/>
        <w:rPr>
          <w:lang w:val="en-CA"/>
        </w:rPr>
      </w:pPr>
      <w:r>
        <w:rPr>
          <w:rStyle w:val="FootnoteCharacters"/>
        </w:rPr>
        <w:footnoteRef/>
      </w:r>
      <w:r>
        <w:rPr/>
        <w:t xml:space="preserve"> </w:t>
      </w:r>
      <w:r>
        <w:rPr/>
        <w:t>UNEP/OzL.Pro/ExCom/80/45.</w:t>
      </w:r>
    </w:p>
  </w:footnote>
  <w:footnote w:id="10">
    <w:p>
      <w:pPr>
        <w:pStyle w:val="Footnote"/>
        <w:rPr>
          <w:lang w:val="en-CA"/>
        </w:rPr>
      </w:pPr>
      <w:r>
        <w:rPr>
          <w:rStyle w:val="FootnoteCharacters"/>
        </w:rPr>
        <w:footnoteRef/>
      </w:r>
      <w:r>
        <w:rPr/>
        <w:t xml:space="preserve"> </w:t>
      </w:r>
      <w:r>
        <w:rPr/>
        <w:t xml:space="preserve">The Executive Committee decided </w:t>
      </w:r>
      <w:r>
        <w:rPr>
          <w:i/>
        </w:rPr>
        <w:t>inter alia</w:t>
      </w:r>
      <w:r>
        <w:rPr/>
        <w:t xml:space="preserve"> to consider approving a limited number of HFC-related projects in the manufacturing sector only, to allow the Committee to gain experience in the incremental capital and operating costs that might be associated with phasing down HFCs, on the understanding: that any country that submitted a project should have ratified the Kigali Amendment or submitted a formal letter indicating the government’s intention to ratify the Amendment; that no further funding would be available until the instrument of ratification had been deposited at the United Nations in New York; and that any amount of HFC reduced as a result of the project would be deducted from the starting point.</w:t>
      </w:r>
    </w:p>
  </w:footnote>
  <w:footnote w:id="11">
    <w:p>
      <w:pPr>
        <w:pStyle w:val="Footnote"/>
        <w:rPr/>
      </w:pPr>
      <w:r>
        <w:rPr>
          <w:rStyle w:val="FootnoteCharacters"/>
        </w:rPr>
        <w:footnoteRef/>
      </w:r>
      <w:r>
        <w:rPr/>
        <w:t xml:space="preserve"> </w:t>
      </w:r>
      <w:r>
        <w:rPr/>
        <w:t>The Executive Committee inter alia reiterated decision 78/3(g) and decided the following criteria for considering proposals for HFC-related projects: the projects should be in individual enterprises deciding to convert to mature technologies, should have broad replicability to the country or region or sector, and should take into account geographic distribution; projects must be fully implemented by no more than two years; project completion reports should be comprehensive with detailed information on the eligible incremental capital costs, incremental operating costs, any possible savings incurred during the conversion and relevant factors that facilitated implementation.</w:t>
      </w:r>
    </w:p>
    <w:p>
      <w:pPr>
        <w:pStyle w:val="Footnote"/>
        <w:rPr>
          <w:lang w:val="en-CA"/>
        </w:rPr>
      </w:pPr>
      <w:r>
        <w:rPr/>
        <w:t xml:space="preserve">  </w:t>
      </w:r>
      <w:r>
        <w:rPr/>
        <w:t>Decision 79/45(d).</w:t>
      </w:r>
    </w:p>
  </w:footnote>
  <w:footnote w:id="12">
    <w:p>
      <w:pPr>
        <w:pStyle w:val="Footnote"/>
        <w:widowControl w:val="false"/>
        <w:rPr/>
      </w:pPr>
      <w:r>
        <w:rPr>
          <w:rStyle w:val="FootnoteCharacters"/>
        </w:rPr>
        <w:footnoteRef/>
      </w:r>
      <w:r>
        <w:rPr/>
        <w:t xml:space="preserve"> </w:t>
      </w:r>
      <w:r>
        <w:rPr/>
        <w:t>Enabling activities listed in subcomponent 3A will be performed at the same time in a maximum of 18 months, please see work program below.</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fldChar w:fldCharType="begin"/>
    </w:r>
    <w:r>
      <w:rPr/>
      <w:instrText xml:space="preserve"> DOCPROPERTY "Document number"</w:instrText>
    </w:r>
    <w:r>
      <w:rPr/>
      <w:fldChar w:fldCharType="separate"/>
    </w:r>
    <w:r>
      <w:rPr/>
      <w:t>UNEP/OzL.Pro/ExCom/80/26</w:t>
    </w:r>
    <w:r>
      <w:rPr/>
      <w:fldChar w:fldCharType="end"/>
    </w:r>
  </w:p>
  <w:p>
    <w:pPr>
      <w:pStyle w:val="Normal"/>
      <w:rPr/>
    </w:pPr>
    <w:r>
      <w:rPr/>
    </w:r>
  </w:p>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Normal"/>
      <w:rPr/>
    </w:pPr>
    <w:r>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fldChar w:fldCharType="begin"/>
    </w:r>
    <w:r>
      <w:rPr/>
      <w:instrText xml:space="preserve"> DOCPROPERTY "Document number"</w:instrText>
    </w:r>
    <w:r>
      <w:rPr/>
      <w:fldChar w:fldCharType="separate"/>
    </w:r>
    <w:r>
      <w:rPr/>
      <w:t>UNEP/OzL.Pro/ExCom/80/26</w:t>
    </w:r>
    <w:r>
      <w:rPr/>
      <w:fldChar w:fldCharType="end"/>
    </w:r>
  </w:p>
  <w:p>
    <w:pPr>
      <w:pStyle w:val="Normal"/>
      <w:rPr/>
    </w:pPr>
    <w:r>
      <w:rPr/>
      <w:t>Annex I</w:t>
    </w:r>
  </w:p>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Normal"/>
      <w:jc w:val="right"/>
      <w:rPr/>
    </w:pPr>
    <w:r>
      <w:rPr/>
      <w:t>Annex I</w:t>
    </w:r>
  </w:p>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Header"/>
      <w:jc w:val="right"/>
      <w:rPr/>
    </w:pPr>
    <w:r>
      <w:rPr/>
      <w:t>Annex I</w:t>
    </w:r>
  </w:p>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fldChar w:fldCharType="begin"/>
    </w:r>
    <w:r>
      <w:rPr/>
      <w:instrText xml:space="preserve"> DOCPROPERTY "Document number"</w:instrText>
    </w:r>
    <w:r>
      <w:rPr/>
      <w:fldChar w:fldCharType="separate"/>
    </w:r>
    <w:r>
      <w:rPr/>
      <w:t>UNEP/OzL.Pro/ExCom/80/26</w:t>
    </w:r>
    <w:r>
      <w:rPr/>
      <w:fldChar w:fldCharType="end"/>
    </w:r>
  </w:p>
  <w:p>
    <w:pPr>
      <w:pStyle w:val="Normal"/>
      <w:rPr/>
    </w:pPr>
    <w:r>
      <w:rPr/>
      <w:t>Annex I</w:t>
    </w:r>
  </w:p>
  <w:p>
    <w:pPr>
      <w:pStyle w:val="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Normal"/>
      <w:jc w:val="right"/>
      <w:rPr/>
    </w:pPr>
    <w:r>
      <w:rPr/>
      <w:t>Annex I</w:t>
    </w:r>
  </w:p>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Header"/>
      <w:jc w:val="right"/>
      <w:rPr/>
    </w:pPr>
    <w:r>
      <w:rPr/>
      <w:t>Annex II</w:t>
    </w:r>
  </w:p>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fldChar w:fldCharType="begin"/>
    </w:r>
    <w:r>
      <w:rPr/>
      <w:instrText xml:space="preserve"> DOCPROPERTY "Document number"</w:instrText>
    </w:r>
    <w:r>
      <w:rPr/>
      <w:fldChar w:fldCharType="separate"/>
    </w:r>
    <w:r>
      <w:rPr/>
      <w:t>UNEP/OzL.Pro/ExCom/80/26</w:t>
    </w:r>
    <w:r>
      <w:rPr/>
      <w:fldChar w:fldCharType="end"/>
    </w:r>
  </w:p>
  <w:p>
    <w:pPr>
      <w:pStyle w:val="Normal"/>
      <w:rPr/>
    </w:pPr>
    <w:r>
      <w:rPr/>
      <w:t>Annex I</w:t>
    </w:r>
  </w:p>
  <w:p>
    <w:pPr>
      <w:pStyle w:val="Normal"/>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Normal"/>
      <w:jc w:val="right"/>
      <w:rPr/>
    </w:pPr>
    <w:r>
      <w:rPr/>
      <w:t>Annex I</w:t>
    </w:r>
  </w:p>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fldChar w:fldCharType="begin"/>
    </w:r>
    <w:r>
      <w:rPr/>
      <w:instrText xml:space="preserve"> DOCPROPERTY "Document number"</w:instrText>
    </w:r>
    <w:r>
      <w:rPr/>
      <w:fldChar w:fldCharType="separate"/>
    </w:r>
    <w:r>
      <w:rPr/>
      <w:t>UNEP/OzL.Pro/ExCom/80/26</w:t>
    </w:r>
    <w:r>
      <w:rPr/>
      <w:fldChar w:fldCharType="end"/>
    </w:r>
  </w:p>
  <w:p>
    <w:pPr>
      <w:pStyle w:val="Normal"/>
      <w:rPr/>
    </w:pPr>
    <w:r>
      <w:rPr/>
      <w:t>Annex I</w:t>
    </w:r>
  </w:p>
  <w:p>
    <w:pPr>
      <w:pStyle w:val="Normal"/>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Normal"/>
      <w:jc w:val="right"/>
      <w:rPr/>
    </w:pPr>
    <w:r>
      <w:rPr/>
      <w:t>Annex I</w:t>
    </w:r>
  </w:p>
  <w:p>
    <w:pPr>
      <w:pStyle w:val="Head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Header"/>
      <w:jc w:val="right"/>
      <w:rPr/>
    </w:pPr>
    <w:r>
      <w:rPr/>
      <w:t>Annex I</w:t>
    </w:r>
  </w:p>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fldChar w:fldCharType="begin"/>
    </w:r>
    <w:r>
      <w:rPr/>
      <w:instrText xml:space="preserve"> DOCPROPERTY "Document number"</w:instrText>
    </w:r>
    <w:r>
      <w:rPr/>
      <w:fldChar w:fldCharType="separate"/>
    </w:r>
    <w:r>
      <w:rPr/>
      <w:t>UNEP/OzL.Pro/ExCom/80/26</w:t>
    </w:r>
    <w:r>
      <w:rPr/>
      <w:fldChar w:fldCharType="end"/>
    </w:r>
  </w:p>
  <w:p>
    <w:pPr>
      <w:pStyle w:val="Normal"/>
      <w:rPr/>
    </w:pPr>
    <w:r>
      <w:rPr/>
      <w:t>Annex I</w:t>
    </w:r>
  </w:p>
  <w:p>
    <w:pPr>
      <w:pStyle w:val="Normal"/>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Normal"/>
      <w:jc w:val="right"/>
      <w:rPr/>
    </w:pPr>
    <w:r>
      <w:rPr/>
      <w:t>Annex I</w:t>
    </w:r>
  </w:p>
  <w:p>
    <w:pPr>
      <w:pStyle w:val="Header"/>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Header"/>
      <w:jc w:val="right"/>
      <w:rPr/>
    </w:pPr>
    <w:r>
      <w:rPr/>
      <w:t>Annex II</w:t>
    </w:r>
  </w:p>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fldChar w:fldCharType="begin"/>
    </w:r>
    <w:r>
      <w:rPr/>
      <w:instrText xml:space="preserve"> DOCPROPERTY "Document number"</w:instrText>
    </w:r>
    <w:r>
      <w:rPr/>
      <w:fldChar w:fldCharType="separate"/>
    </w:r>
    <w:r>
      <w:rPr/>
      <w:t>UNEP/OzL.Pro/ExCom/80/26</w:t>
    </w:r>
    <w:r>
      <w:rPr/>
      <w:fldChar w:fldCharType="end"/>
    </w:r>
  </w:p>
  <w:p>
    <w:pPr>
      <w:pStyle w:val="Normal"/>
      <w:rPr/>
    </w:pPr>
    <w:r>
      <w:rPr/>
      <w:t>Annex I</w:t>
    </w:r>
  </w:p>
  <w:p>
    <w:pPr>
      <w:pStyle w:val="Normal"/>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fldChar w:fldCharType="begin"/>
    </w:r>
    <w:r>
      <w:rPr/>
      <w:instrText xml:space="preserve"> DOCPROPERTY "Document number"</w:instrText>
    </w:r>
    <w:r>
      <w:rPr/>
      <w:fldChar w:fldCharType="separate"/>
    </w:r>
    <w:r>
      <w:rPr/>
      <w:t>UNEP/OzL.Pro/ExCom/80/26</w:t>
    </w:r>
    <w:r>
      <w:rPr/>
      <w:fldChar w:fldCharType="end"/>
    </w:r>
  </w:p>
  <w:p>
    <w:pPr>
      <w:pStyle w:val="Normal"/>
      <w:jc w:val="right"/>
      <w:rPr/>
    </w:pPr>
    <w:r>
      <w:rPr/>
      <w:t>Annex I</w:t>
    </w:r>
  </w:p>
  <w:p>
    <w:pPr>
      <w:pStyle w:val="Header"/>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pStyle w:val="Heading6"/>
      <w:numFmt w:val="lowerLetter"/>
      <w:lvlText w:val="(%6)"/>
      <w:lvlJc w:val="left"/>
      <w:pPr>
        <w:tabs>
          <w:tab w:val="num" w:pos="0"/>
        </w:tabs>
        <w:ind w:left="4291" w:hanging="720"/>
      </w:pPr>
      <w:rPr/>
    </w:lvl>
    <w:lvl w:ilvl="6">
      <w:start w:val="1"/>
      <w:pStyle w:val="Heading7"/>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pStyle w:val="Heading9"/>
      <w:numFmt w:val="lowerRoman"/>
      <w:lvlText w:val="(%9)"/>
      <w:lvlJc w:val="left"/>
      <w:pPr>
        <w:tabs>
          <w:tab w:val="num" w:pos="0"/>
        </w:tabs>
        <w:ind w:left="6408" w:hanging="706"/>
      </w:pPr>
      <w:rPr/>
    </w:lvl>
  </w:abstractNum>
  <w:abstractNum w:abstractNumId="2">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3">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4">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5">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bullet"/>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bullet"/>
      <w:lvlText w:val=""/>
      <w:lvlJc w:val="left"/>
      <w:pPr>
        <w:tabs>
          <w:tab w:val="num" w:pos="1800"/>
        </w:tabs>
        <w:ind w:left="18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lvl w:ilvl="0">
      <w:start w:val="1"/>
      <w:numFmt w:val="decimal"/>
      <w:lvlText w:val="%1."/>
      <w:lvlJc w:val="left"/>
      <w:pPr>
        <w:tabs>
          <w:tab w:val="num" w:pos="1800"/>
        </w:tabs>
        <w:ind w:left="180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lvl w:ilvl="0">
      <w:start w:val="1"/>
      <w:numFmt w:val="decimal"/>
      <w:lvlText w:val="%1."/>
      <w:lvlJc w:val="left"/>
      <w:pPr>
        <w:tabs>
          <w:tab w:val="num" w:pos="360"/>
        </w:tabs>
        <w:ind w:left="360" w:hanging="360"/>
      </w:pPr>
      <w:rPr/>
    </w:lvl>
    <w:lvl w:ilvl="1">
      <w:start w:val="1"/>
      <w:numFmt w:val="decimal"/>
      <w:lvlText w:val="%1.%2."/>
      <w:lvlJc w:val="left"/>
      <w:pPr>
        <w:tabs>
          <w:tab w:val="num" w:pos="792"/>
        </w:tabs>
        <w:ind w:left="792" w:hanging="432"/>
      </w:pPr>
      <w:rPr/>
    </w:lvl>
    <w:lvl w:ilvl="2">
      <w:start w:val="1"/>
      <w:numFmt w:val="decimal"/>
      <w:lvlText w:val="%1.%2.%3."/>
      <w:lvlJc w:val="left"/>
      <w:pPr>
        <w:tabs>
          <w:tab w:val="num" w:pos="1440"/>
        </w:tabs>
        <w:ind w:left="1224" w:hanging="504"/>
      </w:pPr>
      <w:rPr/>
    </w:lvl>
    <w:lvl w:ilvl="3">
      <w:start w:val="1"/>
      <w:numFmt w:val="decimal"/>
      <w:lvlText w:val="%1.%2.%3.%4."/>
      <w:lvlJc w:val="left"/>
      <w:pPr>
        <w:tabs>
          <w:tab w:val="num" w:pos="180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17">
    <w:lvl w:ilvl="0">
      <w:start w:val="1"/>
      <w:numFmt w:val="decimal"/>
      <w:lvlText w:val="%1)"/>
      <w:lvlJc w:val="left"/>
      <w:pPr>
        <w:tabs>
          <w:tab w:val="num" w:pos="360"/>
        </w:tabs>
        <w:ind w:left="360" w:hanging="360"/>
      </w:pPr>
      <w:rPr/>
    </w:lvl>
    <w:lvl w:ilvl="1">
      <w:start w:val="1"/>
      <w:numFmt w:val="lowerLetter"/>
      <w:lvlText w:val="%2)"/>
      <w:lvlJc w:val="left"/>
      <w:pPr>
        <w:tabs>
          <w:tab w:val="num" w:pos="720"/>
        </w:tabs>
        <w:ind w:left="720" w:hanging="360"/>
      </w:pPr>
      <w:rPr/>
    </w:lvl>
    <w:lvl w:ilvl="2">
      <w:start w:val="1"/>
      <w:numFmt w:val="lowerRoman"/>
      <w:lvlText w:val="%3)"/>
      <w:lvlJc w:val="left"/>
      <w:pPr>
        <w:tabs>
          <w:tab w:val="num" w:pos="1080"/>
        </w:tabs>
        <w:ind w:left="1080" w:hanging="360"/>
      </w:pPr>
      <w:rPr/>
    </w:lvl>
    <w:lvl w:ilvl="3">
      <w:start w:val="1"/>
      <w:numFmt w:val="decimal"/>
      <w:lvlText w:val="(%4)"/>
      <w:lvlJc w:val="left"/>
      <w:pPr>
        <w:tabs>
          <w:tab w:val="num" w:pos="1440"/>
        </w:tabs>
        <w:ind w:left="1440" w:hanging="360"/>
      </w:pPr>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8">
    <w:lvl w:ilvl="0">
      <w:start w:val="1"/>
      <w:numFmt w:val="upperRoman"/>
      <w:lvlText w:val="Article %1."/>
      <w:lvlJc w:val="left"/>
      <w:pPr>
        <w:tabs>
          <w:tab w:val="num" w:pos="1440"/>
        </w:tabs>
        <w:ind w:left="0" w:hanging="0"/>
      </w:pPr>
      <w:rPr/>
    </w:lvl>
    <w:lvl w:ilvl="1">
      <w:start w:val="1"/>
      <w:numFmt w:val="decimalZero"/>
      <w:lvlText w:val="Section %1.%2"/>
      <w:lvlJc w:val="left"/>
      <w:pPr>
        <w:tabs>
          <w:tab w:val="num" w:pos="1080"/>
        </w:tabs>
        <w:ind w:left="0" w:hanging="0"/>
      </w:pPr>
      <w:rPr/>
    </w:lvl>
    <w:lvl w:ilvl="2">
      <w:start w:val="1"/>
      <w:numFmt w:val="lowerLetter"/>
      <w:lvlText w:val="(%3)"/>
      <w:lvlJc w:val="left"/>
      <w:pPr>
        <w:tabs>
          <w:tab w:val="num" w:pos="720"/>
        </w:tabs>
        <w:ind w:left="720" w:hanging="432"/>
      </w:pPr>
      <w:rPr/>
    </w:lvl>
    <w:lvl w:ilvl="3">
      <w:start w:val="1"/>
      <w:numFmt w:val="lowerRoman"/>
      <w:lvlText w:val="(%4)"/>
      <w:lvlJc w:val="right"/>
      <w:pPr>
        <w:tabs>
          <w:tab w:val="num" w:pos="864"/>
        </w:tabs>
        <w:ind w:left="864" w:hanging="144"/>
      </w:pPr>
      <w:rPr/>
    </w:lvl>
    <w:lvl w:ilvl="4">
      <w:start w:val="1"/>
      <w:numFmt w:val="decimal"/>
      <w:lvlText w:val="%5)"/>
      <w:lvlJc w:val="left"/>
      <w:pPr>
        <w:tabs>
          <w:tab w:val="num" w:pos="1008"/>
        </w:tabs>
        <w:ind w:left="1008" w:hanging="432"/>
      </w:pPr>
      <w:rPr/>
    </w:lvl>
    <w:lvl w:ilvl="5">
      <w:start w:val="1"/>
      <w:numFmt w:val="lowerLetter"/>
      <w:lvlText w:val="%6)"/>
      <w:lvlJc w:val="left"/>
      <w:pPr>
        <w:tabs>
          <w:tab w:val="num" w:pos="1152"/>
        </w:tabs>
        <w:ind w:left="1152" w:hanging="432"/>
      </w:pPr>
      <w:rPr/>
    </w:lvl>
    <w:lvl w:ilvl="6">
      <w:start w:val="1"/>
      <w:numFmt w:val="lowerRoman"/>
      <w:lvlText w:val="%7)"/>
      <w:lvlJc w:val="right"/>
      <w:pPr>
        <w:tabs>
          <w:tab w:val="num" w:pos="1296"/>
        </w:tabs>
        <w:ind w:left="1296" w:hanging="288"/>
      </w:pPr>
      <w:rPr/>
    </w:lvl>
    <w:lvl w:ilvl="7">
      <w:start w:val="1"/>
      <w:numFmt w:val="lowerLetter"/>
      <w:lvlText w:val="%8."/>
      <w:lvlJc w:val="left"/>
      <w:pPr>
        <w:tabs>
          <w:tab w:val="num" w:pos="1440"/>
        </w:tabs>
        <w:ind w:left="1440" w:hanging="432"/>
      </w:pPr>
      <w:rPr/>
    </w:lvl>
    <w:lvl w:ilvl="8">
      <w:start w:val="1"/>
      <w:numFmt w:val="lowerRoman"/>
      <w:lvlText w:val="%9."/>
      <w:lvlJc w:val="right"/>
      <w:pPr>
        <w:tabs>
          <w:tab w:val="num" w:pos="1584"/>
        </w:tabs>
        <w:ind w:left="1584" w:hanging="144"/>
      </w:pPr>
      <w:rPr/>
    </w:lvl>
  </w:abstractNum>
  <w:abstractNum w:abstractNumId="19">
    <w:lvl w:ilvl="0">
      <w:start w:val="1"/>
      <w:numFmt w:val="lowerLetter"/>
      <w:lvlText w:val="%1."/>
      <w:lvlJc w:val="left"/>
      <w:pPr>
        <w:tabs>
          <w:tab w:val="num" w:pos="3600"/>
        </w:tabs>
        <w:ind w:left="3600" w:hanging="360"/>
      </w:pPr>
      <w:rPr/>
    </w:lvl>
    <w:lvl w:ilvl="1">
      <w:start w:val="1"/>
      <w:numFmt w:val="lowerLetter"/>
      <w:lvlText w:val="%2."/>
      <w:lvlJc w:val="left"/>
      <w:pPr>
        <w:tabs>
          <w:tab w:val="num" w:pos="4320"/>
        </w:tabs>
        <w:ind w:left="4320" w:hanging="360"/>
      </w:pPr>
      <w:rPr/>
    </w:lvl>
    <w:lvl w:ilvl="2">
      <w:start w:val="1"/>
      <w:numFmt w:val="lowerRoman"/>
      <w:lvlText w:val="%3."/>
      <w:lvlJc w:val="right"/>
      <w:pPr>
        <w:tabs>
          <w:tab w:val="num" w:pos="5040"/>
        </w:tabs>
        <w:ind w:left="5040" w:hanging="180"/>
      </w:pPr>
      <w:rPr/>
    </w:lvl>
    <w:lvl w:ilvl="3">
      <w:start w:val="1"/>
      <w:numFmt w:val="decimal"/>
      <w:lvlText w:val="%4."/>
      <w:lvlJc w:val="left"/>
      <w:pPr>
        <w:tabs>
          <w:tab w:val="num" w:pos="5760"/>
        </w:tabs>
        <w:ind w:left="5760" w:hanging="360"/>
      </w:pPr>
      <w:rPr/>
    </w:lvl>
    <w:lvl w:ilvl="4">
      <w:start w:val="1"/>
      <w:numFmt w:val="lowerLetter"/>
      <w:lvlText w:val="%5."/>
      <w:lvlJc w:val="left"/>
      <w:pPr>
        <w:tabs>
          <w:tab w:val="num" w:pos="6480"/>
        </w:tabs>
        <w:ind w:left="6480" w:hanging="360"/>
      </w:pPr>
      <w:rPr/>
    </w:lvl>
    <w:lvl w:ilvl="5">
      <w:start w:val="1"/>
      <w:numFmt w:val="lowerRoman"/>
      <w:lvlText w:val="%6."/>
      <w:lvlJc w:val="right"/>
      <w:pPr>
        <w:tabs>
          <w:tab w:val="num" w:pos="7200"/>
        </w:tabs>
        <w:ind w:left="7200" w:hanging="180"/>
      </w:pPr>
      <w:rPr/>
    </w:lvl>
    <w:lvl w:ilvl="6">
      <w:start w:val="1"/>
      <w:numFmt w:val="decimal"/>
      <w:lvlText w:val="%7."/>
      <w:lvlJc w:val="left"/>
      <w:pPr>
        <w:tabs>
          <w:tab w:val="num" w:pos="7920"/>
        </w:tabs>
        <w:ind w:left="7920" w:hanging="360"/>
      </w:pPr>
      <w:rPr/>
    </w:lvl>
    <w:lvl w:ilvl="7">
      <w:start w:val="1"/>
      <w:numFmt w:val="lowerLetter"/>
      <w:lvlText w:val="%8."/>
      <w:lvlJc w:val="left"/>
      <w:pPr>
        <w:tabs>
          <w:tab w:val="num" w:pos="8640"/>
        </w:tabs>
        <w:ind w:left="8640" w:hanging="360"/>
      </w:pPr>
      <w:rPr/>
    </w:lvl>
    <w:lvl w:ilvl="8">
      <w:start w:val="1"/>
      <w:numFmt w:val="lowerRoman"/>
      <w:lvlText w:val="%9."/>
      <w:lvlJc w:val="right"/>
      <w:pPr>
        <w:tabs>
          <w:tab w:val="num" w:pos="9360"/>
        </w:tabs>
        <w:ind w:left="9360" w:hanging="180"/>
      </w:pPr>
      <w:rPr/>
    </w:lvl>
  </w:abstractNum>
  <w:abstractNum w:abstractNumId="20">
    <w:lvl w:ilvl="0">
      <w:start w:val="1"/>
      <w:numFmt w:val="lowerRoman"/>
      <w:lvlText w:val="%1."/>
      <w:lvlJc w:val="right"/>
      <w:pPr>
        <w:tabs>
          <w:tab w:val="num" w:pos="0"/>
        </w:tabs>
        <w:ind w:left="3583" w:hanging="360"/>
      </w:pPr>
      <w:rPr/>
    </w:lvl>
    <w:lvl w:ilvl="1">
      <w:start w:val="1"/>
      <w:numFmt w:val="lowerLetter"/>
      <w:lvlText w:val="%2."/>
      <w:lvlJc w:val="left"/>
      <w:pPr>
        <w:tabs>
          <w:tab w:val="num" w:pos="0"/>
        </w:tabs>
        <w:ind w:left="4303" w:hanging="360"/>
      </w:pPr>
      <w:rPr/>
    </w:lvl>
    <w:lvl w:ilvl="2">
      <w:start w:val="1"/>
      <w:numFmt w:val="lowerRoman"/>
      <w:lvlText w:val="%3."/>
      <w:lvlJc w:val="right"/>
      <w:pPr>
        <w:tabs>
          <w:tab w:val="num" w:pos="0"/>
        </w:tabs>
        <w:ind w:left="5023" w:hanging="180"/>
      </w:pPr>
      <w:rPr/>
    </w:lvl>
    <w:lvl w:ilvl="3">
      <w:start w:val="1"/>
      <w:numFmt w:val="decimal"/>
      <w:lvlText w:val="%4."/>
      <w:lvlJc w:val="left"/>
      <w:pPr>
        <w:tabs>
          <w:tab w:val="num" w:pos="0"/>
        </w:tabs>
        <w:ind w:left="5743" w:hanging="360"/>
      </w:pPr>
      <w:rPr/>
    </w:lvl>
    <w:lvl w:ilvl="4">
      <w:start w:val="1"/>
      <w:numFmt w:val="lowerLetter"/>
      <w:lvlText w:val="%5."/>
      <w:lvlJc w:val="left"/>
      <w:pPr>
        <w:tabs>
          <w:tab w:val="num" w:pos="0"/>
        </w:tabs>
        <w:ind w:left="6463" w:hanging="360"/>
      </w:pPr>
      <w:rPr/>
    </w:lvl>
    <w:lvl w:ilvl="5">
      <w:start w:val="1"/>
      <w:numFmt w:val="lowerRoman"/>
      <w:lvlText w:val="%6."/>
      <w:lvlJc w:val="right"/>
      <w:pPr>
        <w:tabs>
          <w:tab w:val="num" w:pos="0"/>
        </w:tabs>
        <w:ind w:left="7183" w:hanging="180"/>
      </w:pPr>
      <w:rPr/>
    </w:lvl>
    <w:lvl w:ilvl="6">
      <w:start w:val="1"/>
      <w:numFmt w:val="decimal"/>
      <w:lvlText w:val="%7."/>
      <w:lvlJc w:val="left"/>
      <w:pPr>
        <w:tabs>
          <w:tab w:val="num" w:pos="0"/>
        </w:tabs>
        <w:ind w:left="7903" w:hanging="360"/>
      </w:pPr>
      <w:rPr/>
    </w:lvl>
    <w:lvl w:ilvl="7">
      <w:start w:val="1"/>
      <w:numFmt w:val="lowerLetter"/>
      <w:lvlText w:val="%8."/>
      <w:lvlJc w:val="left"/>
      <w:pPr>
        <w:tabs>
          <w:tab w:val="num" w:pos="0"/>
        </w:tabs>
        <w:ind w:left="8623" w:hanging="360"/>
      </w:pPr>
      <w:rPr/>
    </w:lvl>
    <w:lvl w:ilvl="8">
      <w:start w:val="1"/>
      <w:numFmt w:val="lowerRoman"/>
      <w:lvlText w:val="%9."/>
      <w:lvlJc w:val="right"/>
      <w:pPr>
        <w:tabs>
          <w:tab w:val="num" w:pos="0"/>
        </w:tabs>
        <w:ind w:left="9343" w:hanging="180"/>
      </w:pPr>
      <w:rPr/>
    </w:lvl>
  </w:abstractNum>
  <w:abstractNum w:abstractNumId="21">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22">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23">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24">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25">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26">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27">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28">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29">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30">
    <w:lvl w:ilvl="0">
      <w:start w:val="1"/>
      <w:numFmt w:val="decimal"/>
      <w:lvlText w:val="%1."/>
      <w:lvlJc w:val="left"/>
      <w:pPr>
        <w:tabs>
          <w:tab w:val="num" w:pos="0"/>
        </w:tabs>
        <w:ind w:left="0" w:hanging="0"/>
      </w:pPr>
      <w:rPr>
        <w:b w:val="false"/>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start w:val="1"/>
      <w:numFmt w:val="decimal"/>
      <w:lvlText w:val="%1."/>
      <w:lvlJc w:val="left"/>
      <w:pPr>
        <w:tabs>
          <w:tab w:val="num" w:pos="0"/>
        </w:tabs>
        <w:ind w:left="0" w:hanging="0"/>
      </w:pPr>
      <w:rPr/>
    </w:lvl>
    <w:lvl w:ilvl="1">
      <w:start w:val="1"/>
      <w:numFmt w:val="lowerLetter"/>
      <w:lvlText w:val="(%2)"/>
      <w:lvlJc w:val="left"/>
      <w:pPr>
        <w:tabs>
          <w:tab w:val="num" w:pos="0"/>
        </w:tabs>
        <w:ind w:left="1440" w:hanging="720"/>
      </w:pPr>
      <w:rPr/>
    </w:lvl>
    <w:lvl w:ilvl="2">
      <w:start w:val="1"/>
      <w:numFmt w:val="lowerRoman"/>
      <w:lvlText w:val="(%3)"/>
      <w:lvlJc w:val="left"/>
      <w:pPr>
        <w:tabs>
          <w:tab w:val="num" w:pos="0"/>
        </w:tabs>
        <w:ind w:left="2160" w:hanging="720"/>
      </w:pPr>
      <w:rPr/>
    </w:lvl>
    <w:lvl w:ilvl="3">
      <w:start w:val="1"/>
      <w:numFmt w:val="lowerLetter"/>
      <w:lvlText w:val="%4)"/>
      <w:lvlJc w:val="left"/>
      <w:pPr>
        <w:tabs>
          <w:tab w:val="num" w:pos="0"/>
        </w:tabs>
        <w:ind w:left="2776" w:hanging="706"/>
      </w:pPr>
      <w:rPr>
        <w:i w:val="false"/>
        <w:b w:val="false"/>
      </w:rPr>
    </w:lvl>
    <w:lvl w:ilvl="4">
      <w:start w:val="1"/>
      <w:numFmt w:val="decimal"/>
      <w:lvlText w:val="(%5)"/>
      <w:lvlJc w:val="left"/>
      <w:pPr>
        <w:tabs>
          <w:tab w:val="num" w:pos="0"/>
        </w:tabs>
        <w:ind w:left="3571" w:hanging="705"/>
      </w:pPr>
      <w:rPr/>
    </w:lvl>
    <w:lvl w:ilvl="5">
      <w:start w:val="1"/>
      <w:numFmt w:val="lowerLetter"/>
      <w:lvlText w:val="(%6)"/>
      <w:lvlJc w:val="left"/>
      <w:pPr>
        <w:tabs>
          <w:tab w:val="num" w:pos="0"/>
        </w:tabs>
        <w:ind w:left="4291" w:hanging="720"/>
      </w:pPr>
      <w:rPr/>
    </w:lvl>
    <w:lvl w:ilvl="6">
      <w:start w:val="1"/>
      <w:numFmt w:val="lowerRoman"/>
      <w:lvlText w:val="(%7)"/>
      <w:lvlJc w:val="left"/>
      <w:pPr>
        <w:tabs>
          <w:tab w:val="num" w:pos="0"/>
        </w:tabs>
        <w:ind w:left="4997" w:hanging="706"/>
      </w:pPr>
      <w:rPr/>
    </w:lvl>
    <w:lvl w:ilvl="7">
      <w:start w:val="1"/>
      <w:numFmt w:val="lowerLetter"/>
      <w:lvlText w:val="(%8)"/>
      <w:lvlJc w:val="left"/>
      <w:pPr>
        <w:tabs>
          <w:tab w:val="num" w:pos="0"/>
        </w:tabs>
        <w:ind w:left="5702" w:hanging="705"/>
      </w:pPr>
      <w:rPr/>
    </w:lvl>
    <w:lvl w:ilvl="8">
      <w:start w:val="1"/>
      <w:numFmt w:val="lowerRoman"/>
      <w:lvlText w:val="(%9)"/>
      <w:lvlJc w:val="left"/>
      <w:pPr>
        <w:tabs>
          <w:tab w:val="num" w:pos="0"/>
        </w:tabs>
        <w:ind w:left="6408" w:hanging="706"/>
      </w:pPr>
      <w:rPr/>
    </w:lvl>
  </w:abstractNum>
  <w:abstractNum w:abstractNumId="33">
    <w:lvl w:ilvl="0">
      <w:start w:val="1"/>
      <w:numFmt w:val="bullet"/>
      <w:lvlText w:val=""/>
      <w:lvlJc w:val="left"/>
      <w:pPr>
        <w:tabs>
          <w:tab w:val="num" w:pos="0"/>
        </w:tabs>
        <w:ind w:left="720" w:hanging="360"/>
      </w:pPr>
      <w:rPr>
        <w:rFonts w:ascii="Symbol" w:hAnsi="Symbol" w:cs="Symbol" w:hint="default"/>
        <w:b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i w:val="false"/>
        <w:b w:val="false"/>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2"/>
      <w:numFmt w:val="decimal"/>
      <w:lvlText w:val="%1"/>
      <w:lvlJc w:val="left"/>
      <w:pPr>
        <w:tabs>
          <w:tab w:val="num" w:pos="0"/>
        </w:tabs>
        <w:ind w:left="360" w:hanging="360"/>
      </w:pPr>
      <w:rPr>
        <w:b/>
      </w:rPr>
    </w:lvl>
    <w:lvl w:ilvl="1">
      <w:start w:val="1"/>
      <w:numFmt w:val="decimal"/>
      <w:lvlText w:val="b.%2"/>
      <w:lvlJc w:val="left"/>
      <w:pPr>
        <w:tabs>
          <w:tab w:val="num" w:pos="0"/>
        </w:tabs>
        <w:ind w:left="1080" w:hanging="360"/>
      </w:pPr>
      <w:rPr>
        <w:b w:val="false"/>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37">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2"/>
      <w:numFmt w:val="decimal"/>
      <w:lvlText w:val="%1"/>
      <w:lvlJc w:val="left"/>
      <w:pPr>
        <w:tabs>
          <w:tab w:val="num" w:pos="0"/>
        </w:tabs>
        <w:ind w:left="360" w:hanging="360"/>
      </w:pPr>
      <w:rPr>
        <w:b/>
      </w:rPr>
    </w:lvl>
    <w:lvl w:ilvl="1">
      <w:start w:val="1"/>
      <w:numFmt w:val="decimal"/>
      <w:lvlText w:val="b.%2"/>
      <w:lvlJc w:val="left"/>
      <w:pPr>
        <w:tabs>
          <w:tab w:val="num" w:pos="0"/>
        </w:tabs>
        <w:ind w:left="1080" w:hanging="360"/>
      </w:pPr>
      <w:rPr>
        <w:b w:val="false"/>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40">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2"/>
      <w:numFmt w:val="decimal"/>
      <w:lvlText w:val="%1"/>
      <w:lvlJc w:val="left"/>
      <w:pPr>
        <w:tabs>
          <w:tab w:val="num" w:pos="0"/>
        </w:tabs>
        <w:ind w:left="360" w:hanging="360"/>
      </w:pPr>
      <w:rPr>
        <w:b/>
      </w:rPr>
    </w:lvl>
    <w:lvl w:ilvl="1">
      <w:start w:val="1"/>
      <w:numFmt w:val="decimal"/>
      <w:lvlText w:val="b.%2"/>
      <w:lvlJc w:val="left"/>
      <w:pPr>
        <w:tabs>
          <w:tab w:val="num" w:pos="0"/>
        </w:tabs>
        <w:ind w:left="1080" w:hanging="360"/>
      </w:pPr>
      <w:rPr>
        <w:b w:val="false"/>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43">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2"/>
      <w:numFmt w:val="decimal"/>
      <w:lvlText w:val="%1"/>
      <w:lvlJc w:val="left"/>
      <w:pPr>
        <w:tabs>
          <w:tab w:val="num" w:pos="0"/>
        </w:tabs>
        <w:ind w:left="360" w:hanging="360"/>
      </w:pPr>
      <w:rPr>
        <w:b/>
      </w:rPr>
    </w:lvl>
    <w:lvl w:ilvl="1">
      <w:start w:val="1"/>
      <w:numFmt w:val="decimal"/>
      <w:lvlText w:val="b.%2"/>
      <w:lvlJc w:val="left"/>
      <w:pPr>
        <w:tabs>
          <w:tab w:val="num" w:pos="0"/>
        </w:tabs>
        <w:ind w:left="1080" w:hanging="360"/>
      </w:pPr>
      <w:rPr>
        <w:b w:val="false"/>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4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7">
    <w:lvl w:ilvl="0">
      <w:start w:val="1"/>
      <w:numFmt w:val="upperRoman"/>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8">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9">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0">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2">
    <w:lvl w:ilvl="0">
      <w:start w:val="2"/>
      <w:numFmt w:val="decimal"/>
      <w:lvlText w:val="%1"/>
      <w:lvlJc w:val="left"/>
      <w:pPr>
        <w:tabs>
          <w:tab w:val="num" w:pos="0"/>
        </w:tabs>
        <w:ind w:left="360" w:hanging="360"/>
      </w:pPr>
      <w:rPr>
        <w:b/>
      </w:rPr>
    </w:lvl>
    <w:lvl w:ilvl="1">
      <w:start w:val="1"/>
      <w:numFmt w:val="decimal"/>
      <w:lvlText w:val="b.%2"/>
      <w:lvlJc w:val="left"/>
      <w:pPr>
        <w:tabs>
          <w:tab w:val="num" w:pos="0"/>
        </w:tabs>
        <w:ind w:left="1080" w:hanging="360"/>
      </w:pPr>
      <w:rPr>
        <w:b w:val="false"/>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53">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4">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5">
    <w:lvl w:ilvl="0">
      <w:start w:val="2"/>
      <w:numFmt w:val="decimal"/>
      <w:lvlText w:val="%1"/>
      <w:lvlJc w:val="left"/>
      <w:pPr>
        <w:tabs>
          <w:tab w:val="num" w:pos="0"/>
        </w:tabs>
        <w:ind w:left="360" w:hanging="360"/>
      </w:pPr>
      <w:rPr>
        <w:b/>
      </w:rPr>
    </w:lvl>
    <w:lvl w:ilvl="1">
      <w:start w:val="1"/>
      <w:numFmt w:val="decimal"/>
      <w:lvlText w:val="b.%2"/>
      <w:lvlJc w:val="left"/>
      <w:pPr>
        <w:tabs>
          <w:tab w:val="num" w:pos="0"/>
        </w:tabs>
        <w:ind w:left="1080" w:hanging="360"/>
      </w:pPr>
      <w:rPr>
        <w:b w:val="false"/>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56">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7">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2"/>
      <w:numFmt w:val="decimal"/>
      <w:lvlText w:val="%1"/>
      <w:lvlJc w:val="left"/>
      <w:pPr>
        <w:tabs>
          <w:tab w:val="num" w:pos="0"/>
        </w:tabs>
        <w:ind w:left="360" w:hanging="360"/>
      </w:pPr>
      <w:rPr>
        <w:b/>
      </w:rPr>
    </w:lvl>
    <w:lvl w:ilvl="1">
      <w:start w:val="1"/>
      <w:numFmt w:val="decimal"/>
      <w:lvlText w:val="b.%2"/>
      <w:lvlJc w:val="left"/>
      <w:pPr>
        <w:tabs>
          <w:tab w:val="num" w:pos="0"/>
        </w:tabs>
        <w:ind w:left="1080" w:hanging="360"/>
      </w:pPr>
      <w:rPr>
        <w:b w:val="false"/>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59">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2"/>
      <w:numFmt w:val="decimal"/>
      <w:lvlText w:val="%1"/>
      <w:lvlJc w:val="left"/>
      <w:pPr>
        <w:tabs>
          <w:tab w:val="num" w:pos="0"/>
        </w:tabs>
        <w:ind w:left="360" w:hanging="360"/>
      </w:pPr>
      <w:rPr>
        <w:b/>
      </w:rPr>
    </w:lvl>
    <w:lvl w:ilvl="1">
      <w:start w:val="1"/>
      <w:numFmt w:val="decimal"/>
      <w:lvlText w:val="b.%2"/>
      <w:lvlJc w:val="left"/>
      <w:pPr>
        <w:tabs>
          <w:tab w:val="num" w:pos="0"/>
        </w:tabs>
        <w:ind w:left="1080" w:hanging="360"/>
      </w:pPr>
      <w:rPr>
        <w:b w:val="false"/>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62">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2"/>
      <w:numFmt w:val="decimal"/>
      <w:lvlText w:val="%1"/>
      <w:lvlJc w:val="left"/>
      <w:pPr>
        <w:tabs>
          <w:tab w:val="num" w:pos="0"/>
        </w:tabs>
        <w:ind w:left="360" w:hanging="360"/>
      </w:pPr>
      <w:rPr>
        <w:b/>
      </w:rPr>
    </w:lvl>
    <w:lvl w:ilvl="1">
      <w:start w:val="1"/>
      <w:numFmt w:val="decimal"/>
      <w:lvlText w:val="b.%2"/>
      <w:lvlJc w:val="left"/>
      <w:pPr>
        <w:tabs>
          <w:tab w:val="num" w:pos="0"/>
        </w:tabs>
        <w:ind w:left="1080" w:hanging="360"/>
      </w:pPr>
      <w:rPr>
        <w:b w:val="false"/>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21"/>
    <w:lvlOverride w:ilvl="0">
      <w:startOverride w:val="1"/>
    </w:lvlOverride>
  </w:num>
  <w:num w:numId="66">
    <w:abstractNumId w:val="21"/>
  </w:num>
  <w:num w:numId="67">
    <w:abstractNumId w:val="21"/>
  </w:num>
  <w:num w:numId="68">
    <w:abstractNumId w:val="21"/>
  </w:num>
  <w:num w:numId="69">
    <w:abstractNumId w:val="21"/>
    <w:lvlOverride w:ilvl="0">
      <w:startOverride w:val="1"/>
    </w:lvlOverride>
  </w:num>
  <w:num w:numId="70">
    <w:abstractNumId w:val="21"/>
  </w:num>
  <w:num w:numId="71">
    <w:abstractNumId w:val="21"/>
  </w:num>
  <w:num w:numId="72">
    <w:abstractNumId w:val="21"/>
  </w:num>
  <w:num w:numId="73">
    <w:abstractNumId w:val="21"/>
  </w:num>
  <w:num w:numId="74">
    <w:abstractNumId w:val="21"/>
  </w:num>
  <w:num w:numId="75">
    <w:abstractNumId w:val="21"/>
  </w:num>
  <w:num w:numId="76">
    <w:abstractNumId w:val="21"/>
  </w:num>
  <w:num w:numId="77">
    <w:abstractNumId w:val="21"/>
  </w:num>
  <w:num w:numId="78">
    <w:abstractNumId w:val="21"/>
    <w:lvlOverride w:ilvl="0">
      <w:startOverride w:val="1"/>
    </w:lvlOverride>
  </w:num>
  <w:num w:numId="79">
    <w:abstractNumId w:val="21"/>
  </w:num>
  <w:num w:numId="80">
    <w:abstractNumId w:val="21"/>
  </w:num>
</w:numbering>
</file>

<file path=word/settings.xml><?xml version="1.0" encoding="utf-8"?>
<w:settings xmlns:w="http://schemas.openxmlformats.org/wordprocessingml/2006/main">
  <w:zoom w:percent="100"/>
  <w:embedSystemFonts/>
  <w:defaultTabStop w:val="720"/>
  <w:autoHyphenation w:val="true"/>
  <w:evenAndOddHeaders/>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327e7"/>
    <w:pPr>
      <w:widowControl/>
      <w:bidi w:val="0"/>
      <w:spacing w:before="0" w:after="0"/>
      <w:jc w:val="both"/>
    </w:pPr>
    <w:rPr>
      <w:rFonts w:ascii="Times New Roman" w:hAnsi="Times New Roman" w:eastAsia="Times New Roman" w:cs="Times New Roman"/>
      <w:color w:val="auto"/>
      <w:kern w:val="0"/>
      <w:sz w:val="22"/>
      <w:szCs w:val="22"/>
      <w:lang w:val="en-GB" w:eastAsia="en-US" w:bidi="ar-SA"/>
    </w:rPr>
  </w:style>
  <w:style w:type="paragraph" w:styleId="Heading1">
    <w:name w:val="Heading 1"/>
    <w:basedOn w:val="Normal"/>
    <w:next w:val="Normal"/>
    <w:link w:val="Heading1Char1"/>
    <w:qFormat/>
    <w:rsid w:val="0033525d"/>
    <w:pPr>
      <w:numPr>
        <w:ilvl w:val="0"/>
        <w:numId w:val="1"/>
      </w:numPr>
      <w:spacing w:before="0" w:after="240"/>
      <w:outlineLvl w:val="0"/>
    </w:pPr>
    <w:rPr/>
  </w:style>
  <w:style w:type="paragraph" w:styleId="Heading2">
    <w:name w:val="Heading 2"/>
    <w:basedOn w:val="Normal"/>
    <w:next w:val="Normal"/>
    <w:qFormat/>
    <w:rsid w:val="0033525d"/>
    <w:pPr>
      <w:widowControl w:val="false"/>
      <w:numPr>
        <w:ilvl w:val="1"/>
        <w:numId w:val="2"/>
      </w:numPr>
      <w:spacing w:before="0" w:after="240"/>
      <w:outlineLvl w:val="1"/>
    </w:pPr>
    <w:rPr/>
  </w:style>
  <w:style w:type="paragraph" w:styleId="Heading3">
    <w:name w:val="Heading 3"/>
    <w:basedOn w:val="Normal"/>
    <w:next w:val="Normal"/>
    <w:qFormat/>
    <w:rsid w:val="0033525d"/>
    <w:pPr>
      <w:widowControl w:val="false"/>
      <w:numPr>
        <w:ilvl w:val="2"/>
        <w:numId w:val="3"/>
      </w:numPr>
      <w:spacing w:before="0" w:after="240"/>
      <w:outlineLvl w:val="2"/>
    </w:pPr>
    <w:rPr/>
  </w:style>
  <w:style w:type="paragraph" w:styleId="Heading4">
    <w:name w:val="Heading 4"/>
    <w:basedOn w:val="Normal"/>
    <w:next w:val="Heading9"/>
    <w:qFormat/>
    <w:rsid w:val="007b6871"/>
    <w:pPr>
      <w:keepNext w:val="true"/>
      <w:numPr>
        <w:ilvl w:val="3"/>
        <w:numId w:val="4"/>
      </w:numPr>
      <w:spacing w:before="240" w:after="60"/>
      <w:outlineLvl w:val="3"/>
    </w:pPr>
    <w:rPr/>
  </w:style>
  <w:style w:type="paragraph" w:styleId="Heading5">
    <w:name w:val="Heading 5"/>
    <w:basedOn w:val="Normal"/>
    <w:next w:val="Normal"/>
    <w:qFormat/>
    <w:rsid w:val="00dc6a10"/>
    <w:pPr>
      <w:keepNext w:val="true"/>
      <w:numPr>
        <w:ilvl w:val="0"/>
        <w:numId w:val="20"/>
      </w:numPr>
      <w:spacing w:before="0" w:after="240"/>
      <w:ind w:left="3600" w:hanging="720"/>
      <w:outlineLvl w:val="4"/>
    </w:pPr>
    <w:r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styleId="DefaultParagraphFont" w:default="1">
    <w:name w:val="Default Paragraph Font"/>
    <w:uiPriority w:val="1"/>
    <w:semiHidden/>
    <w:unhideWhenUsed/>
    <w:qFormat/>
    <w:rPr/>
  </w:style>
  <w:style w:type="character" w:styleId="Heading1Char1" w:customStyle="1">
    <w:name w:val="Heading 1 Char1"/>
    <w:basedOn w:val="DefaultParagraphFont"/>
    <w:link w:val="Heading1"/>
    <w:qFormat/>
    <w:rsid w:val="0033525d"/>
    <w:rPr>
      <w:sz w:val="22"/>
      <w:szCs w:val="22"/>
      <w:lang w:val="en-GB"/>
    </w:rPr>
  </w:style>
  <w:style w:type="character" w:styleId="Annotationreference">
    <w:name w:val="annotation reference"/>
    <w:basedOn w:val="DefaultParagraphFont"/>
    <w:uiPriority w:val="99"/>
    <w:semiHidden/>
    <w:unhideWhenUsed/>
    <w:qFormat/>
    <w:rsid w:val="00b04161"/>
    <w:rPr>
      <w:sz w:val="16"/>
      <w:szCs w:val="16"/>
    </w:rPr>
  </w:style>
  <w:style w:type="character" w:styleId="PlaceholderText">
    <w:name w:val="Placeholder Text"/>
    <w:basedOn w:val="DefaultParagraphFont"/>
    <w:uiPriority w:val="99"/>
    <w:semiHidden/>
    <w:qFormat/>
    <w:rsid w:val="00fc2540"/>
    <w:rPr>
      <w:color w:val="808080"/>
    </w:rPr>
  </w:style>
  <w:style w:type="character" w:styleId="BalloonTextChar" w:customStyle="1">
    <w:name w:val="Balloon Text Char"/>
    <w:basedOn w:val="DefaultParagraphFont"/>
    <w:link w:val="BalloonText"/>
    <w:uiPriority w:val="99"/>
    <w:semiHidden/>
    <w:qFormat/>
    <w:rsid w:val="00fc2540"/>
    <w:rPr>
      <w:rFonts w:ascii="Tahoma" w:hAnsi="Tahoma" w:cs="Tahoma"/>
      <w:sz w:val="16"/>
      <w:szCs w:val="16"/>
      <w:lang w:val="en-GB"/>
    </w:rPr>
  </w:style>
  <w:style w:type="character" w:styleId="CommentTextChar" w:customStyle="1">
    <w:name w:val="Comment Text Char"/>
    <w:basedOn w:val="DefaultParagraphFont"/>
    <w:link w:val="Annotationtext"/>
    <w:uiPriority w:val="99"/>
    <w:semiHidden/>
    <w:qFormat/>
    <w:rsid w:val="00b04161"/>
    <w:rPr>
      <w:lang w:val="en-GB"/>
    </w:rPr>
  </w:style>
  <w:style w:type="character" w:styleId="CommentSubjectChar" w:customStyle="1">
    <w:name w:val="Comment Subject Char"/>
    <w:basedOn w:val="CommentTextChar"/>
    <w:link w:val="Annotationsubject"/>
    <w:uiPriority w:val="99"/>
    <w:semiHidden/>
    <w:qFormat/>
    <w:rsid w:val="00b04161"/>
    <w:rPr>
      <w:b/>
      <w:bCs/>
      <w:lang w:val="en-GB"/>
    </w:rPr>
  </w:style>
  <w:style w:type="character" w:styleId="FootnoteTextChar" w:customStyle="1">
    <w:name w:val="Footnote Text Char"/>
    <w:basedOn w:val="DefaultParagraphFont"/>
    <w:link w:val="Footnote"/>
    <w:uiPriority w:val="99"/>
    <w:qFormat/>
    <w:rsid w:val="00df6933"/>
    <w:rPr>
      <w:lang w:val="en-GB"/>
    </w:rPr>
  </w:style>
  <w:style w:type="character" w:styleId="FootnoteCharacters">
    <w:name w:val="Footnote Characters"/>
    <w:basedOn w:val="DefaultParagraphFont"/>
    <w:uiPriority w:val="99"/>
    <w:unhideWhenUsed/>
    <w:qFormat/>
    <w:rsid w:val="00df6933"/>
    <w:rPr>
      <w:vertAlign w:val="superscript"/>
    </w:rPr>
  </w:style>
  <w:style w:type="character" w:styleId="FootnoteAnchor">
    <w:name w:val="Footnote Anchor"/>
    <w:rPr>
      <w:vertAlign w:val="superscript"/>
    </w:rPr>
  </w:style>
  <w:style w:type="character" w:styleId="FooterChar" w:customStyle="1">
    <w:name w:val="Footer Char"/>
    <w:basedOn w:val="DefaultParagraphFont"/>
    <w:link w:val="Footer"/>
    <w:uiPriority w:val="99"/>
    <w:qFormat/>
    <w:rsid w:val="001811db"/>
    <w:rPr>
      <w:sz w:val="22"/>
      <w:szCs w:val="22"/>
      <w:lang w:val="en-GB"/>
    </w:rPr>
  </w:style>
  <w:style w:type="character" w:styleId="BookTitle">
    <w:name w:val="Book Title"/>
    <w:qFormat/>
    <w:rPr>
      <w:rFonts w:ascii="Cambria" w:hAnsi="Cambria" w:eastAsia="Times New Roman"/>
      <w:b/>
      <w:i/>
      <w:sz w:val="24"/>
      <w:szCs w:val="24"/>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rsid w:val="00a5151a"/>
    <w:pPr>
      <w:tabs>
        <w:tab w:val="clear" w:pos="720"/>
        <w:tab w:val="center" w:pos="4320" w:leader="none"/>
        <w:tab w:val="right" w:pos="8640" w:leader="none"/>
      </w:tabs>
    </w:pPr>
    <w:rPr/>
  </w:style>
  <w:style w:type="paragraph" w:styleId="Subtitle" w:customStyle="1">
    <w:name w:val="sub-title"/>
    <w:qFormat/>
    <w:rsid w:val="0033525d"/>
    <w:pPr>
      <w:widowControl/>
      <w:bidi w:val="0"/>
      <w:spacing w:before="0" w:after="0"/>
      <w:jc w:val="both"/>
      <w:outlineLvl w:val="0"/>
    </w:pPr>
    <w:rPr>
      <w:rFonts w:ascii="Times New Roman" w:hAnsi="Times New Roman" w:eastAsia="Times New Roman" w:cs="Times New Roman"/>
      <w:b/>
      <w:color w:val="auto"/>
      <w:kern w:val="0"/>
      <w:sz w:val="22"/>
      <w:szCs w:val="22"/>
      <w:lang w:val="en-US" w:eastAsia="en-US" w:bidi="ar-SA"/>
    </w:rPr>
  </w:style>
  <w:style w:type="paragraph" w:styleId="Title1" w:customStyle="1">
    <w:name w:val="Title1"/>
    <w:qFormat/>
    <w:rsid w:val="0033525d"/>
    <w:pPr>
      <w:widowControl/>
      <w:bidi w:val="0"/>
      <w:spacing w:before="0" w:after="0"/>
      <w:jc w:val="center"/>
      <w:outlineLvl w:val="0"/>
    </w:pPr>
    <w:rPr>
      <w:rFonts w:ascii="Times New Roman" w:hAnsi="Times New Roman" w:eastAsia="Times New Roman" w:cs="Times New Roman"/>
      <w:b/>
      <w:caps/>
      <w:color w:val="auto"/>
      <w:kern w:val="0"/>
      <w:sz w:val="22"/>
      <w:szCs w:val="22"/>
      <w:lang w:val="en-GB" w:eastAsia="en-US" w:bidi="ar-SA"/>
    </w:rPr>
  </w:style>
  <w:style w:type="paragraph" w:styleId="Decision" w:customStyle="1">
    <w:name w:val="Decision"/>
    <w:basedOn w:val="Normal"/>
    <w:qFormat/>
    <w:rsid w:val="0033525d"/>
    <w:pPr>
      <w:keepLines/>
      <w:jc w:val="right"/>
    </w:pPr>
    <w:rPr>
      <w:b/>
    </w:rPr>
  </w:style>
  <w:style w:type="paragraph" w:styleId="0Heading0" w:customStyle="1">
    <w:name w:val="0 Heading 0"/>
    <w:qFormat/>
    <w:rsid w:val="0033525d"/>
    <w:pPr>
      <w:widowControl/>
      <w:bidi w:val="0"/>
      <w:spacing w:before="0" w:after="0"/>
      <w:jc w:val="left"/>
    </w:pPr>
    <w:rPr>
      <w:rFonts w:ascii="Times New Roman" w:hAnsi="Times New Roman" w:eastAsia="Times New Roman" w:cs="Times New Roman"/>
      <w:color w:val="auto"/>
      <w:kern w:val="0"/>
      <w:sz w:val="22"/>
      <w:szCs w:val="22"/>
      <w:lang w:val="en-GB" w:eastAsia="en-US" w:bidi="ar-SA"/>
    </w:rPr>
  </w:style>
  <w:style w:type="paragraph" w:styleId="Footer">
    <w:name w:val="Footer"/>
    <w:basedOn w:val="Normal"/>
    <w:link w:val="FooterChar"/>
    <w:uiPriority w:val="99"/>
    <w:rsid w:val="00a5151a"/>
    <w:pPr>
      <w:tabs>
        <w:tab w:val="clear" w:pos="720"/>
        <w:tab w:val="center" w:pos="4320" w:leader="none"/>
        <w:tab w:val="right" w:pos="8640" w:leader="none"/>
      </w:tabs>
    </w:pPr>
    <w:rPr/>
  </w:style>
  <w:style w:type="paragraph" w:styleId="BlockText">
    <w:name w:val="Block Text"/>
    <w:basedOn w:val="Normal"/>
    <w:semiHidden/>
    <w:qFormat/>
    <w:rsid w:val="00493d40"/>
    <w:pPr>
      <w:spacing w:before="0" w:after="120"/>
      <w:ind w:left="1440" w:right="1440" w:hanging="0"/>
    </w:pPr>
    <w:rPr/>
  </w:style>
  <w:style w:type="paragraph" w:styleId="BodyText3">
    <w:name w:val="Body Text 3"/>
    <w:basedOn w:val="Normal"/>
    <w:semiHidden/>
    <w:qFormat/>
    <w:rsid w:val="00493d40"/>
    <w:pPr>
      <w:spacing w:before="0" w:after="120"/>
    </w:pPr>
    <w:rPr>
      <w:sz w:val="16"/>
      <w:szCs w:val="16"/>
    </w:rPr>
  </w:style>
  <w:style w:type="paragraph" w:styleId="BodyTextIndent3">
    <w:name w:val="Body Text Indent 3"/>
    <w:basedOn w:val="Normal"/>
    <w:semiHidden/>
    <w:qFormat/>
    <w:rsid w:val="00493d40"/>
    <w:pPr>
      <w:spacing w:before="0" w:after="120"/>
      <w:ind w:left="360" w:hanging="0"/>
    </w:pPr>
    <w:rPr>
      <w:sz w:val="16"/>
      <w:szCs w:val="16"/>
    </w:rPr>
  </w:style>
  <w:style w:type="paragraph" w:styleId="PlainText">
    <w:name w:val="Plain Text"/>
    <w:basedOn w:val="Normal"/>
    <w:semiHidden/>
    <w:qFormat/>
    <w:rsid w:val="00493d40"/>
    <w:pPr/>
    <w:rPr>
      <w:rFonts w:ascii="Courier New" w:hAnsi="Courier New" w:cs="Courier New"/>
      <w:sz w:val="20"/>
    </w:rPr>
  </w:style>
  <w:style w:type="paragraph" w:styleId="Header4" w:customStyle="1">
    <w:name w:val="Header4"/>
    <w:basedOn w:val="Normal"/>
    <w:next w:val="Normal"/>
    <w:qFormat/>
    <w:rsid w:val="00dc6a10"/>
    <w:pPr>
      <w:widowControl w:val="false"/>
      <w:numPr>
        <w:ilvl w:val="0"/>
        <w:numId w:val="19"/>
      </w:numPr>
      <w:tabs>
        <w:tab w:val="clear" w:pos="720"/>
        <w:tab w:val="left" w:pos="2880" w:leader="none"/>
        <w:tab w:val="left" w:pos="5760" w:leader="none"/>
      </w:tabs>
      <w:spacing w:before="0" w:after="240"/>
      <w:ind w:left="2880" w:hanging="720"/>
    </w:pPr>
    <w:rPr/>
  </w:style>
  <w:style w:type="paragraph" w:styleId="Subtitle1">
    <w:name w:val="Subtitle"/>
    <w:basedOn w:val="Normal"/>
    <w:qFormat/>
    <w:rsid w:val="0033525d"/>
    <w:pPr>
      <w:spacing w:before="0"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
    </w:rPr>
  </w:style>
  <w:style w:type="paragraph" w:styleId="Date">
    <w:name w:val="Date"/>
    <w:basedOn w:val="Normal"/>
    <w:next w:val="Normal"/>
    <w:qFormat/>
    <w:rsid w:val="0033525d"/>
    <w:pPr/>
    <w:rPr/>
  </w:style>
  <w:style w:type="paragraph" w:styleId="BalloonText">
    <w:name w:val="Balloon Text"/>
    <w:basedOn w:val="Normal"/>
    <w:link w:val="BalloonTextChar"/>
    <w:uiPriority w:val="99"/>
    <w:semiHidden/>
    <w:unhideWhenUsed/>
    <w:qFormat/>
    <w:rsid w:val="00fc2540"/>
    <w:pPr/>
    <w:rPr>
      <w:rFonts w:ascii="Tahoma" w:hAnsi="Tahoma" w:cs="Tahoma"/>
      <w:sz w:val="16"/>
      <w:szCs w:val="16"/>
    </w:rPr>
  </w:style>
  <w:style w:type="paragraph" w:styleId="Annotationtext">
    <w:name w:val="annotation text"/>
    <w:basedOn w:val="Normal"/>
    <w:link w:val="CommentTextChar"/>
    <w:uiPriority w:val="99"/>
    <w:semiHidden/>
    <w:unhideWhenUsed/>
    <w:qFormat/>
    <w:rsid w:val="00b04161"/>
    <w:pPr/>
    <w:rPr>
      <w:sz w:val="20"/>
      <w:szCs w:val="20"/>
    </w:rPr>
  </w:style>
  <w:style w:type="paragraph" w:styleId="Annotationsubject">
    <w:name w:val="annotation subject"/>
    <w:basedOn w:val="Annotationtext"/>
    <w:next w:val="Annotationtext"/>
    <w:link w:val="CommentSubjectChar"/>
    <w:uiPriority w:val="99"/>
    <w:semiHidden/>
    <w:unhideWhenUsed/>
    <w:qFormat/>
    <w:rsid w:val="00b04161"/>
    <w:pPr/>
    <w:rPr>
      <w:b/>
      <w:bCs/>
    </w:rPr>
  </w:style>
  <w:style w:type="paragraph" w:styleId="StyleHeader4Para4Left0Firstline0" w:customStyle="1">
    <w:name w:val="Style Header4Para 4 + Left:  0&quot; First line:  0&quot;"/>
    <w:basedOn w:val="Header4"/>
    <w:qFormat/>
    <w:rsid w:val="004e7f9c"/>
    <w:pPr>
      <w:ind w:left="0" w:hanging="0"/>
    </w:pPr>
    <w:rPr>
      <w:sz w:val="20"/>
    </w:rPr>
  </w:style>
  <w:style w:type="paragraph" w:styleId="Footnote">
    <w:name w:val="Footnote Text"/>
    <w:basedOn w:val="Normal"/>
    <w:link w:val="FootnoteTextChar"/>
    <w:uiPriority w:val="99"/>
    <w:unhideWhenUsed/>
    <w:rsid w:val="00df6933"/>
    <w:pPr/>
    <w:rPr>
      <w:sz w:val="20"/>
      <w:szCs w:val="20"/>
    </w:rPr>
  </w:style>
  <w:style w:type="paragraph" w:styleId="NoSpacing">
    <w:name w:val="No Spacing"/>
    <w:uiPriority w:val="1"/>
    <w:qFormat/>
    <w:rsid w:val="004929ef"/>
    <w:pPr>
      <w:widowControl/>
      <w:bidi w:val="0"/>
      <w:spacing w:before="0" w:after="0"/>
      <w:jc w:val="both"/>
    </w:pPr>
    <w:rPr>
      <w:rFonts w:ascii="Times New Roman" w:hAnsi="Times New Roman" w:eastAsia="Times New Roman" w:cs="Times New Roman"/>
      <w:color w:val="auto"/>
      <w:kern w:val="0"/>
      <w:sz w:val="22"/>
      <w:szCs w:val="22"/>
      <w:lang w:val="en-GB" w:eastAsia="en-US" w:bidi="ar-SA"/>
    </w:rPr>
  </w:style>
  <w:style w:type="paragraph" w:styleId="HeaderLeft">
    <w:name w:val="Header Left"/>
    <w:basedOn w:val="Header"/>
    <w:qFormat/>
    <w:pPr/>
    <w:rPr/>
  </w:style>
  <w:style w:type="paragraph" w:styleId="ListParagraph">
    <w:name w:val="List Paragraph"/>
    <w:basedOn w:val="Normal"/>
    <w:qFormat/>
    <w:pPr>
      <w:spacing w:before="0" w:after="0"/>
      <w:ind w:left="720" w:hanging="0"/>
      <w:contextualSpacing/>
    </w:pPr>
    <w:rPr/>
  </w:style>
  <w:style w:type="paragraph" w:styleId="Style5">
    <w:name w:val="Style"/>
    <w:qFormat/>
    <w:pPr>
      <w:widowControl w:val="false"/>
      <w:bidi w:val="0"/>
      <w:spacing w:lineRule="auto" w:line="240" w:before="0" w:after="0"/>
      <w:jc w:val="left"/>
    </w:pPr>
    <w:rPr>
      <w:rFonts w:ascii="Times New Roman" w:hAnsi="Times New Roman" w:eastAsia="Times New Roman" w:cs="Times New Roman"/>
      <w:color w:val="auto"/>
      <w:kern w:val="0"/>
      <w:sz w:val="24"/>
      <w:szCs w:val="24"/>
      <w:lang w:val="en-US" w:eastAsia="en-US" w:bidi="ar-SA"/>
    </w:rPr>
  </w:style>
  <w:style w:type="paragraph" w:styleId="Default">
    <w:name w:val="Default"/>
    <w:qFormat/>
    <w:pPr>
      <w:widowControl/>
      <w:bidi w:val="0"/>
      <w:spacing w:lineRule="auto" w:line="240" w:before="0" w:after="0"/>
      <w:jc w:val="left"/>
    </w:pPr>
    <w:rPr>
      <w:rFonts w:ascii="Times New Roman" w:hAnsi="Times New Roman" w:cs="Times New Roman" w:eastAsia="Times New Roman"/>
      <w:color w:val="000000"/>
      <w:kern w:val="0"/>
      <w:sz w:val="24"/>
      <w:szCs w:val="24"/>
      <w:lang w:val="en-US" w:eastAsia="en-US" w:bidi="ar-SA"/>
    </w:rPr>
  </w:style>
  <w:style w:type="paragraph" w:styleId="NormalWeb">
    <w:name w:val="Normal (Web)"/>
    <w:basedOn w:val="Normal"/>
    <w:qFormat/>
    <w:pPr>
      <w:widowControl/>
    </w:pPr>
    <w:rPr>
      <w:rFonts w:ascii="Times New Roman" w:hAnsi="Times New Roman" w:eastAsia="Calibri" w:eastAsiaTheme="minorHAnsi"/>
    </w:rPr>
  </w:style>
  <w:style w:type="numbering" w:styleId="NoList" w:default="1">
    <w:name w:val="No List"/>
    <w:uiPriority w:val="99"/>
    <w:semiHidden/>
    <w:unhideWhenUsed/>
    <w:qFormat/>
  </w:style>
  <w:style w:type="numbering" w:styleId="OutlineList2">
    <w:name w:val="Outline List 2"/>
    <w:semiHidden/>
    <w:qFormat/>
    <w:rsid w:val="00493d40"/>
  </w:style>
  <w:style w:type="numbering" w:styleId="OutlineList1">
    <w:name w:val="Outline List 1"/>
    <w:semiHidden/>
    <w:qFormat/>
    <w:rsid w:val="00493d40"/>
  </w:style>
  <w:style w:type="numbering" w:styleId="OutlineList3">
    <w:name w:val="Outline List 3"/>
    <w:semiHidden/>
    <w:qFormat/>
    <w:rsid w:val="00493d40"/>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3Deffects1">
    <w:name w:val="Table 3D effects 1"/>
    <w:basedOn w:val="TableNormal"/>
    <w:semiHidden/>
    <w:rsid w:val="00493d40"/>
    <w:pPr>
      <w:jc w:val="both"/>
    </w:p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rsid w:val="00493d40"/>
    <w:pPr>
      <w:jc w:val="both"/>
    </w:pPr>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93d40"/>
    <w:pPr>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493d40"/>
    <w:pPr>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493d40"/>
    <w:pPr>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rsid w:val="00493d40"/>
    <w:pPr>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semiHidden/>
    <w:rsid w:val="00493d40"/>
    <w:pPr>
      <w:jc w:val="both"/>
    </w:pPr>
    <w:tblPr>
      <w:tblBorders>
        <w:bottom w:val="single" w:color="000000" w:sz="12" w:space="0"/>
      </w:tblBorders>
    </w:tblPr>
    <w:tcPr>
      <w:shd w:val="pct20" w:color="FFFF00" w:fill="FFFFFF"/>
    </w:tcPr>
    <w:tblStylePr w:type="firstRow">
      <w:rPr>
        <w:b/>
        <w:bCs/>
        <w:i/>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semiHidden/>
    <w:rsid w:val="00493d40"/>
    <w:pPr>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93d40"/>
    <w:pPr>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blStylePr>
  </w:style>
  <w:style w:type="table" w:styleId="TableContemporary">
    <w:name w:val="Table Contemporary"/>
    <w:basedOn w:val="TableNormal"/>
    <w:semiHidden/>
    <w:rsid w:val="00493d40"/>
    <w:pPr>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93d40"/>
    <w:pPr>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39"/>
    <w:rsid w:val="00493d4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
    <w:name w:val="Table Grid 2"/>
    <w:basedOn w:val="TableNormal"/>
    <w:semiHidden/>
    <w:rsid w:val="00493d40"/>
    <w:pPr>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493d40"/>
    <w:pPr>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493d40"/>
    <w:pPr>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493d40"/>
    <w:pPr>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493d40"/>
    <w:pPr>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semiHidden/>
    <w:rsid w:val="00493d40"/>
    <w:pPr>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93d40"/>
    <w:pPr>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93d40"/>
    <w:pPr>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color w:val="000080"/>
      </w:rPr>
      <w:tblPr/>
      <w:tcPr>
        <w:tcBorders>
          <w:tl2br w:val="none" w:color="auto" w:sz="0" w:space="0"/>
          <w:tr2bl w:val="none" w:color="auto" w:sz="0" w:space="0"/>
        </w:tcBorders>
      </w:tcPr>
    </w:tblStylePr>
  </w:style>
  <w:style w:type="table" w:styleId="TableList4">
    <w:name w:val="Table List 4"/>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93d40"/>
    <w:pPr>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93d40"/>
    <w:pPr>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93d40"/>
    <w:pPr>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rsid w:val="00493d40"/>
    <w:pPr>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493d40"/>
    <w:pPr>
      <w:jc w:val="both"/>
    </w:p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93d40"/>
    <w:pPr>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93d40"/>
    <w:pPr>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93d4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93d40"/>
    <w:pPr>
      <w:jc w:val="both"/>
    </w:p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493d40"/>
    <w:pPr>
      <w:jc w:val="both"/>
    </w:p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493d40"/>
    <w:pPr>
      <w:jc w:val="both"/>
    </w:p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rPr>
        <w:color w:val="auto"/>
      </w:rPr>
      <w:tblPr/>
      <w:tcPr>
        <w:tcBorders>
          <w:tl2br w:val="none" w:color="auto" w:sz="0" w:space="0"/>
          <w:tr2bl w:val="none" w:color="auto" w:sz="0" w:space="0"/>
        </w:tcBorders>
      </w:tcPr>
    </w:tblStylePr>
  </w:style>
  <w:style w:type="table" w:customStyle="1" w:styleId="TableGrid10">
    <w:name w:val="Table Grid1"/>
    <w:basedOn w:val="TableNormal"/>
    <w:rsid w:val="004929ef"/>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0">
    <w:name w:val="Table Grid4"/>
    <w:basedOn w:val="TableNormal"/>
    <w:rsid w:val="004929ef"/>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image" Target="media/image3.png"/><Relationship Id="rId16" Type="http://schemas.openxmlformats.org/officeDocument/2006/relationships/header" Target="header6.xml"/><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footer" Target="footer7.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header" Target="header9.xml"/><Relationship Id="rId23" Type="http://schemas.openxmlformats.org/officeDocument/2006/relationships/header" Target="header10.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image" Target="media/image4.jpeg"/><Relationship Id="rId27" Type="http://schemas.openxmlformats.org/officeDocument/2006/relationships/image" Target="media/image5.jpeg"/><Relationship Id="rId28" Type="http://schemas.openxmlformats.org/officeDocument/2006/relationships/header" Target="header11.xml"/><Relationship Id="rId29" Type="http://schemas.openxmlformats.org/officeDocument/2006/relationships/header" Target="header12.xml"/><Relationship Id="rId30" Type="http://schemas.openxmlformats.org/officeDocument/2006/relationships/header" Target="header13.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header" Target="header14.xml"/><Relationship Id="rId35" Type="http://schemas.openxmlformats.org/officeDocument/2006/relationships/header" Target="header15.xml"/><Relationship Id="rId36" Type="http://schemas.openxmlformats.org/officeDocument/2006/relationships/header" Target="header16.xml"/><Relationship Id="rId37" Type="http://schemas.openxmlformats.org/officeDocument/2006/relationships/footer" Target="footer15.xml"/><Relationship Id="rId38" Type="http://schemas.openxmlformats.org/officeDocument/2006/relationships/footer" Target="footer16.xml"/><Relationship Id="rId39" Type="http://schemas.openxmlformats.org/officeDocument/2006/relationships/footer" Target="footer17.xml"/><Relationship Id="rId40" Type="http://schemas.openxmlformats.org/officeDocument/2006/relationships/header" Target="header17.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footer" Target="footer19.xml"/><Relationship Id="rId44" Type="http://schemas.openxmlformats.org/officeDocument/2006/relationships/header" Target="header19.xml"/><Relationship Id="rId45" Type="http://schemas.openxmlformats.org/officeDocument/2006/relationships/header" Target="header20.xml"/><Relationship Id="rId46" Type="http://schemas.openxmlformats.org/officeDocument/2006/relationships/footer" Target="footer20.xml"/><Relationship Id="rId47" Type="http://schemas.openxmlformats.org/officeDocument/2006/relationships/footer" Target="footer21.xml"/><Relationship Id="rId48" Type="http://schemas.openxmlformats.org/officeDocument/2006/relationships/header" Target="header21.xml"/><Relationship Id="rId49" Type="http://schemas.openxmlformats.org/officeDocument/2006/relationships/header" Target="header22.xml"/><Relationship Id="rId50" Type="http://schemas.openxmlformats.org/officeDocument/2006/relationships/footer" Target="footer22.xml"/><Relationship Id="rId51" Type="http://schemas.openxmlformats.org/officeDocument/2006/relationships/footer" Target="footer23.xml"/><Relationship Id="rId52" Type="http://schemas.openxmlformats.org/officeDocument/2006/relationships/header" Target="header23.xml"/><Relationship Id="rId53" Type="http://schemas.openxmlformats.org/officeDocument/2006/relationships/header" Target="header24.xml"/><Relationship Id="rId54" Type="http://schemas.openxmlformats.org/officeDocument/2006/relationships/footer" Target="footer24.xml"/><Relationship Id="rId55" Type="http://schemas.openxmlformats.org/officeDocument/2006/relationships/footer" Target="footer25.xml"/><Relationship Id="rId56" Type="http://schemas.openxmlformats.org/officeDocument/2006/relationships/header" Target="header25.xml"/><Relationship Id="rId57" Type="http://schemas.openxmlformats.org/officeDocument/2006/relationships/header" Target="header26.xml"/><Relationship Id="rId58" Type="http://schemas.openxmlformats.org/officeDocument/2006/relationships/footer" Target="footer26.xml"/><Relationship Id="rId59" Type="http://schemas.openxmlformats.org/officeDocument/2006/relationships/footer" Target="footer27.xml"/><Relationship Id="rId60" Type="http://schemas.openxmlformats.org/officeDocument/2006/relationships/header" Target="header27.xml"/><Relationship Id="rId61" Type="http://schemas.openxmlformats.org/officeDocument/2006/relationships/header" Target="header28.xml"/><Relationship Id="rId62" Type="http://schemas.openxmlformats.org/officeDocument/2006/relationships/footer" Target="footer28.xml"/><Relationship Id="rId63" Type="http://schemas.openxmlformats.org/officeDocument/2006/relationships/footer" Target="footer29.xml"/><Relationship Id="rId64" Type="http://schemas.openxmlformats.org/officeDocument/2006/relationships/header" Target="header29.xml"/><Relationship Id="rId65" Type="http://schemas.openxmlformats.org/officeDocument/2006/relationships/header" Target="header30.xml"/><Relationship Id="rId66" Type="http://schemas.openxmlformats.org/officeDocument/2006/relationships/footer" Target="footer30.xml"/><Relationship Id="rId67" Type="http://schemas.openxmlformats.org/officeDocument/2006/relationships/footer" Target="footer31.xml"/><Relationship Id="rId68" Type="http://schemas.openxmlformats.org/officeDocument/2006/relationships/header" Target="header31.xml"/><Relationship Id="rId69" Type="http://schemas.openxmlformats.org/officeDocument/2006/relationships/header" Target="header32.xml"/><Relationship Id="rId70" Type="http://schemas.openxmlformats.org/officeDocument/2006/relationships/footer" Target="footer32.xml"/><Relationship Id="rId71" Type="http://schemas.openxmlformats.org/officeDocument/2006/relationships/footer" Target="footer33.xml"/><Relationship Id="rId72" Type="http://schemas.openxmlformats.org/officeDocument/2006/relationships/header" Target="header33.xml"/><Relationship Id="rId73" Type="http://schemas.openxmlformats.org/officeDocument/2006/relationships/header" Target="header34.xml"/><Relationship Id="rId74" Type="http://schemas.openxmlformats.org/officeDocument/2006/relationships/footer" Target="footer34.xml"/><Relationship Id="rId75" Type="http://schemas.openxmlformats.org/officeDocument/2006/relationships/footer" Target="footer35.xml"/><Relationship Id="rId76" Type="http://schemas.openxmlformats.org/officeDocument/2006/relationships/header" Target="header35.xml"/><Relationship Id="rId77" Type="http://schemas.openxmlformats.org/officeDocument/2006/relationships/header" Target="header36.xml"/><Relationship Id="rId78" Type="http://schemas.openxmlformats.org/officeDocument/2006/relationships/footer" Target="footer36.xml"/><Relationship Id="rId79" Type="http://schemas.openxmlformats.org/officeDocument/2006/relationships/footer" Target="footer37.xml"/><Relationship Id="rId80" Type="http://schemas.openxmlformats.org/officeDocument/2006/relationships/header" Target="header37.xml"/><Relationship Id="rId81" Type="http://schemas.openxmlformats.org/officeDocument/2006/relationships/header" Target="header38.xml"/><Relationship Id="rId82" Type="http://schemas.openxmlformats.org/officeDocument/2006/relationships/footer" Target="footer38.xml"/><Relationship Id="rId83" Type="http://schemas.openxmlformats.org/officeDocument/2006/relationships/footer" Target="footer39.xml"/><Relationship Id="rId84" Type="http://schemas.openxmlformats.org/officeDocument/2006/relationships/header" Target="header39.xml"/><Relationship Id="rId85" Type="http://schemas.openxmlformats.org/officeDocument/2006/relationships/header" Target="header40.xml"/><Relationship Id="rId86" Type="http://schemas.openxmlformats.org/officeDocument/2006/relationships/footer" Target="footer40.xml"/><Relationship Id="rId87" Type="http://schemas.openxmlformats.org/officeDocument/2006/relationships/footer" Target="footer41.xml"/><Relationship Id="rId88" Type="http://schemas.openxmlformats.org/officeDocument/2006/relationships/header" Target="header41.xml"/><Relationship Id="rId89" Type="http://schemas.openxmlformats.org/officeDocument/2006/relationships/header" Target="header42.xml"/><Relationship Id="rId90" Type="http://schemas.openxmlformats.org/officeDocument/2006/relationships/footer" Target="footer42.xml"/><Relationship Id="rId91" Type="http://schemas.openxmlformats.org/officeDocument/2006/relationships/footer" Target="footer43.xml"/><Relationship Id="rId92" Type="http://schemas.openxmlformats.org/officeDocument/2006/relationships/header" Target="header43.xml"/><Relationship Id="rId93" Type="http://schemas.openxmlformats.org/officeDocument/2006/relationships/header" Target="header44.xml"/><Relationship Id="rId94" Type="http://schemas.openxmlformats.org/officeDocument/2006/relationships/footer" Target="footer44.xml"/><Relationship Id="rId95" Type="http://schemas.openxmlformats.org/officeDocument/2006/relationships/footer" Target="footer45.xml"/><Relationship Id="rId96" Type="http://schemas.openxmlformats.org/officeDocument/2006/relationships/header" Target="header45.xml"/><Relationship Id="rId97" Type="http://schemas.openxmlformats.org/officeDocument/2006/relationships/header" Target="header46.xml"/><Relationship Id="rId98" Type="http://schemas.openxmlformats.org/officeDocument/2006/relationships/footer" Target="footer46.xml"/><Relationship Id="rId99" Type="http://schemas.openxmlformats.org/officeDocument/2006/relationships/footer" Target="footer47.xml"/><Relationship Id="rId100" Type="http://schemas.openxmlformats.org/officeDocument/2006/relationships/header" Target="header47.xml"/><Relationship Id="rId101" Type="http://schemas.openxmlformats.org/officeDocument/2006/relationships/header" Target="header48.xml"/><Relationship Id="rId102" Type="http://schemas.openxmlformats.org/officeDocument/2006/relationships/footer" Target="footer48.xml"/><Relationship Id="rId103" Type="http://schemas.openxmlformats.org/officeDocument/2006/relationships/footer" Target="footer49.xml"/><Relationship Id="rId104" Type="http://schemas.openxmlformats.org/officeDocument/2006/relationships/header" Target="header49.xml"/><Relationship Id="rId105" Type="http://schemas.openxmlformats.org/officeDocument/2006/relationships/header" Target="header50.xml"/><Relationship Id="rId106" Type="http://schemas.openxmlformats.org/officeDocument/2006/relationships/footer" Target="footer50.xml"/><Relationship Id="rId107" Type="http://schemas.openxmlformats.org/officeDocument/2006/relationships/footer" Target="footer51.xml"/><Relationship Id="rId108" Type="http://schemas.openxmlformats.org/officeDocument/2006/relationships/header" Target="header51.xml"/><Relationship Id="rId109" Type="http://schemas.openxmlformats.org/officeDocument/2006/relationships/header" Target="header52.xml"/><Relationship Id="rId110" Type="http://schemas.openxmlformats.org/officeDocument/2006/relationships/footer" Target="footer52.xml"/><Relationship Id="rId111" Type="http://schemas.openxmlformats.org/officeDocument/2006/relationships/footer" Target="footer53.xml"/><Relationship Id="rId112" Type="http://schemas.openxmlformats.org/officeDocument/2006/relationships/header" Target="header53.xml"/><Relationship Id="rId113" Type="http://schemas.openxmlformats.org/officeDocument/2006/relationships/header" Target="header54.xml"/><Relationship Id="rId114" Type="http://schemas.openxmlformats.org/officeDocument/2006/relationships/footer" Target="footer54.xml"/><Relationship Id="rId115" Type="http://schemas.openxmlformats.org/officeDocument/2006/relationships/footer" Target="footer55.xml"/><Relationship Id="rId116" Type="http://schemas.openxmlformats.org/officeDocument/2006/relationships/header" Target="header55.xml"/><Relationship Id="rId117" Type="http://schemas.openxmlformats.org/officeDocument/2006/relationships/header" Target="header56.xml"/><Relationship Id="rId118" Type="http://schemas.openxmlformats.org/officeDocument/2006/relationships/footer" Target="footer56.xml"/><Relationship Id="rId119" Type="http://schemas.openxmlformats.org/officeDocument/2006/relationships/footer" Target="footer57.xml"/><Relationship Id="rId120" Type="http://schemas.openxmlformats.org/officeDocument/2006/relationships/header" Target="header57.xml"/><Relationship Id="rId121" Type="http://schemas.openxmlformats.org/officeDocument/2006/relationships/header" Target="header58.xml"/><Relationship Id="rId122" Type="http://schemas.openxmlformats.org/officeDocument/2006/relationships/footer" Target="footer58.xml"/><Relationship Id="rId123" Type="http://schemas.openxmlformats.org/officeDocument/2006/relationships/footer" Target="footer59.xml"/><Relationship Id="rId124" Type="http://schemas.openxmlformats.org/officeDocument/2006/relationships/header" Target="header59.xml"/><Relationship Id="rId125" Type="http://schemas.openxmlformats.org/officeDocument/2006/relationships/header" Target="header60.xml"/><Relationship Id="rId126" Type="http://schemas.openxmlformats.org/officeDocument/2006/relationships/footer" Target="footer60.xml"/><Relationship Id="rId127" Type="http://schemas.openxmlformats.org/officeDocument/2006/relationships/footer" Target="footer61.xml"/><Relationship Id="rId128" Type="http://schemas.openxmlformats.org/officeDocument/2006/relationships/header" Target="header61.xml"/><Relationship Id="rId129" Type="http://schemas.openxmlformats.org/officeDocument/2006/relationships/header" Target="header62.xml"/><Relationship Id="rId130" Type="http://schemas.openxmlformats.org/officeDocument/2006/relationships/footer" Target="footer62.xml"/><Relationship Id="rId131" Type="http://schemas.openxmlformats.org/officeDocument/2006/relationships/footer" Target="footer63.xml"/><Relationship Id="rId132" Type="http://schemas.openxmlformats.org/officeDocument/2006/relationships/header" Target="header63.xml"/><Relationship Id="rId133" Type="http://schemas.openxmlformats.org/officeDocument/2006/relationships/header" Target="header64.xml"/><Relationship Id="rId134" Type="http://schemas.openxmlformats.org/officeDocument/2006/relationships/footer" Target="footer64.xml"/><Relationship Id="rId135" Type="http://schemas.openxmlformats.org/officeDocument/2006/relationships/footer" Target="footer65.xml"/><Relationship Id="rId136" Type="http://schemas.openxmlformats.org/officeDocument/2006/relationships/header" Target="header65.xml"/><Relationship Id="rId137" Type="http://schemas.openxmlformats.org/officeDocument/2006/relationships/header" Target="header66.xml"/><Relationship Id="rId138" Type="http://schemas.openxmlformats.org/officeDocument/2006/relationships/footer" Target="footer66.xml"/><Relationship Id="rId139" Type="http://schemas.openxmlformats.org/officeDocument/2006/relationships/footer" Target="footer67.xml"/><Relationship Id="rId140" Type="http://schemas.openxmlformats.org/officeDocument/2006/relationships/header" Target="header67.xml"/><Relationship Id="rId141" Type="http://schemas.openxmlformats.org/officeDocument/2006/relationships/header" Target="header68.xml"/><Relationship Id="rId142" Type="http://schemas.openxmlformats.org/officeDocument/2006/relationships/footer" Target="footer68.xml"/><Relationship Id="rId143" Type="http://schemas.openxmlformats.org/officeDocument/2006/relationships/footer" Target="footer69.xml"/><Relationship Id="rId144" Type="http://schemas.openxmlformats.org/officeDocument/2006/relationships/header" Target="header69.xml"/><Relationship Id="rId145" Type="http://schemas.openxmlformats.org/officeDocument/2006/relationships/header" Target="header70.xml"/><Relationship Id="rId146" Type="http://schemas.openxmlformats.org/officeDocument/2006/relationships/footer" Target="footer70.xml"/><Relationship Id="rId147" Type="http://schemas.openxmlformats.org/officeDocument/2006/relationships/footer" Target="footer71.xml"/><Relationship Id="rId148" Type="http://schemas.openxmlformats.org/officeDocument/2006/relationships/header" Target="header71.xml"/><Relationship Id="rId149" Type="http://schemas.openxmlformats.org/officeDocument/2006/relationships/header" Target="header72.xml"/><Relationship Id="rId150" Type="http://schemas.openxmlformats.org/officeDocument/2006/relationships/footer" Target="footer72.xml"/><Relationship Id="rId151" Type="http://schemas.openxmlformats.org/officeDocument/2006/relationships/footer" Target="footer73.xml"/><Relationship Id="rId152" Type="http://schemas.openxmlformats.org/officeDocument/2006/relationships/header" Target="header73.xml"/><Relationship Id="rId153" Type="http://schemas.openxmlformats.org/officeDocument/2006/relationships/header" Target="header74.xml"/><Relationship Id="rId154" Type="http://schemas.openxmlformats.org/officeDocument/2006/relationships/footer" Target="footer74.xml"/><Relationship Id="rId155" Type="http://schemas.openxmlformats.org/officeDocument/2006/relationships/footer" Target="footer75.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Relationship Id="rId161" Type="http://schemas.openxmlformats.org/officeDocument/2006/relationships/customXml" Target="../customXml/item1.xml"/><Relationship Id="rId162" Type="http://schemas.openxmlformats.org/officeDocument/2006/relationships/customXml" Target="../customXml/item2.xml"/><Relationship Id="rId163" Type="http://schemas.openxmlformats.org/officeDocument/2006/relationships/customXml" Target="../customXml/item3.xml"/><Relationship Id="rId164"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0022006E-0020-0052-6500-610064004F00">UNEP/OzL.Pro/ExCom/80/26</Document_x0020_number>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0x010100EDC4D3BE67EA81429E9CFCEF859CE76D</ContentType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814703B-C0C7-46F8-A525-35F82CADBA76}"/>
</file>

<file path=customXml/itemProps2.xml><?xml version="1.0" encoding="utf-8"?>
<ds:datastoreItem xmlns:ds="http://schemas.openxmlformats.org/officeDocument/2006/customXml" ds:itemID="{3DBFBAE6-284A-4C59-AE98-D89413E4C878}"/>
</file>

<file path=customXml/itemProps3.xml><?xml version="1.0" encoding="utf-8"?>
<ds:datastoreItem xmlns:ds="http://schemas.openxmlformats.org/officeDocument/2006/customXml" ds:itemID="{4D0ABCD5-2AA8-45E4-87F1-87DEE89F6155}"/>
</file>

<file path=customXml/itemProps4.xml><?xml version="1.0" encoding="utf-8"?>
<ds:datastoreItem xmlns:ds="http://schemas.openxmlformats.org/officeDocument/2006/customXml" ds:itemID="{5D6EEDDC-746E-4623-83B1-31E90F276079}"/>
</file>

<file path=docProps/app.xml><?xml version="1.0" encoding="utf-8"?>
<Properties xmlns="http://schemas.openxmlformats.org/officeDocument/2006/extended-properties" xmlns:vt="http://schemas.openxmlformats.org/officeDocument/2006/docPropsVTypes">
  <Template>Eec80G.dotm</Template>
  <TotalTime>4</TotalTime>
  <Application>LibreOffice/7.3.7.2$Linux_X86_64 LibreOffice_project/30$Build-2</Application>
  <AppVersion>15.0000</AppVersion>
  <Pages>175</Pages>
  <Words>14461</Words>
  <Characters>85783</Characters>
  <CharactersWithSpaces>101190</CharactersWithSpaces>
  <Paragraphs>3919</Paragraphs>
  <Company>UNMFS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ontentType>Document</cp:contentType>
  <dcterms:created xsi:type="dcterms:W3CDTF">2017-10-20T15:52:00Z</dcterms:created>
  <dc:creator>Despina Psillou</dc:creator>
  <dc:description/>
  <dc:language>en-AU</dc:language>
  <cp:lastModifiedBy/>
  <cp:lastPrinted>2017-10-20T00:46:00Z</cp:lastPrinted>
  <dcterms:modified xsi:type="dcterms:W3CDTF">2024-04-05T13:17:01Z</dcterms:modified>
  <cp:revision>4</cp:revision>
  <dc:subject/>
  <dc:title>UNIDO's Work programme amendments for 2017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UNEP/OzL.Pro/ExCom/80/26</vt:lpwstr>
  </property>
  <property fmtid="{D5CDD505-2E9C-101B-9397-08002B2CF9AE}" pid="3" name="Revision date">
    <vt:lpwstr>19/10/2017</vt:lpwstr>
  </property>
</Properties>
</file>