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FC998D7" w14:textId="77777777">
        <w:trPr>
          <w:trHeight w:val="720"/>
        </w:trPr>
        <w:tc>
          <w:tcPr>
            <w:tcW w:w="4410" w:type="dxa"/>
            <w:gridSpan w:val="2"/>
            <w:tcBorders>
              <w:bottom w:val="single" w:sz="18" w:space="0" w:color="auto"/>
            </w:tcBorders>
          </w:tcPr>
          <w:p w14:paraId="4A707DF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89D260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B3312D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3F93AF6" w14:textId="77777777" w:rsidR="007E5D09" w:rsidRDefault="00E1360E" w:rsidP="0084173D">
            <w:pPr>
              <w:jc w:val="left"/>
              <w:rPr>
                <w:lang w:val="en-US"/>
              </w:rPr>
            </w:pPr>
            <w:r>
              <w:rPr>
                <w:lang w:val="en-US"/>
              </w:rPr>
              <w:t>Distr.</w:t>
            </w:r>
          </w:p>
          <w:p w14:paraId="5B57B473" w14:textId="77777777" w:rsidR="007E5D09" w:rsidRDefault="00E1360E" w:rsidP="0084173D">
            <w:pPr>
              <w:jc w:val="left"/>
              <w:rPr>
                <w:lang w:val="en-US"/>
              </w:rPr>
            </w:pPr>
            <w:r>
              <w:rPr>
                <w:lang w:val="en-US"/>
              </w:rPr>
              <w:t>GENERAL</w:t>
            </w:r>
          </w:p>
          <w:p w14:paraId="4EB28BC0" w14:textId="77777777" w:rsidR="007E5D09" w:rsidRDefault="007E5D09" w:rsidP="0084173D">
            <w:pPr>
              <w:jc w:val="left"/>
              <w:rPr>
                <w:lang w:val="en-US"/>
              </w:rPr>
            </w:pPr>
          </w:p>
          <w:p w14:paraId="32A814C6" w14:textId="6F4BB37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4E27D6">
              <w:rPr>
                <w:rFonts w:asciiTheme="majorBidi" w:hAnsiTheme="majorBidi" w:cstheme="majorBidi"/>
                <w:szCs w:val="24"/>
              </w:rPr>
              <w:t>UNEP/OzL.Pro/ExCom/97/86</w:t>
            </w:r>
            <w:r w:rsidRPr="004E181B">
              <w:rPr>
                <w:rFonts w:asciiTheme="majorBidi" w:hAnsiTheme="majorBidi" w:cstheme="majorBidi"/>
                <w:szCs w:val="24"/>
              </w:rPr>
              <w:fldChar w:fldCharType="end"/>
            </w:r>
          </w:p>
          <w:p w14:paraId="7531C977" w14:textId="351FE305"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4E27D6">
              <w:rPr>
                <w:szCs w:val="24"/>
                <w:lang w:val="en-CA" w:bidi="ar-SA"/>
              </w:rPr>
              <w:t>24 October 2025</w:t>
            </w:r>
            <w:r w:rsidRPr="008B7BCA">
              <w:rPr>
                <w:szCs w:val="24"/>
                <w:lang w:val="en-CA" w:bidi="ar-SA"/>
              </w:rPr>
              <w:fldChar w:fldCharType="end"/>
            </w:r>
          </w:p>
          <w:p w14:paraId="120ADCC2" w14:textId="77777777" w:rsidR="008B7BCA" w:rsidRDefault="008B7BCA" w:rsidP="0084173D">
            <w:pPr>
              <w:jc w:val="left"/>
              <w:rPr>
                <w:rtl/>
                <w:lang w:val="en-US"/>
              </w:rPr>
            </w:pPr>
          </w:p>
          <w:p w14:paraId="45C3C223" w14:textId="77777777" w:rsidR="007E5D09" w:rsidRDefault="00E1360E" w:rsidP="0084173D">
            <w:pPr>
              <w:jc w:val="left"/>
              <w:rPr>
                <w:lang w:val="en-US"/>
              </w:rPr>
            </w:pPr>
            <w:r>
              <w:rPr>
                <w:lang w:val="en-US"/>
              </w:rPr>
              <w:t>ARABIC</w:t>
            </w:r>
          </w:p>
          <w:p w14:paraId="01FB9362"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B51C1D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A86012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1E7919C"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BC9D023"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2B066B61" wp14:editId="30521FD6">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42869C"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599C260A" wp14:editId="566C2A8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166D231" w14:textId="77777777" w:rsidR="007E5D09" w:rsidRDefault="007E5D09">
      <w:pPr>
        <w:pStyle w:val="Caption"/>
        <w:spacing w:line="200" w:lineRule="exact"/>
        <w:ind w:left="187" w:right="187" w:hanging="187"/>
        <w:jc w:val="both"/>
        <w:rPr>
          <w:rFonts w:cs="Akhbar MT"/>
          <w:b/>
          <w:bCs/>
          <w:sz w:val="28"/>
          <w:szCs w:val="28"/>
          <w:rtl/>
        </w:rPr>
      </w:pPr>
    </w:p>
    <w:p w14:paraId="409A86F4"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33820BA"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1B4C2A22"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53F9146C"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4065CF71" w14:textId="08A4F402" w:rsidR="00093D41" w:rsidRPr="00093D41" w:rsidRDefault="00093D41" w:rsidP="00093D41">
      <w:pPr>
        <w:bidi/>
        <w:jc w:val="left"/>
        <w:rPr>
          <w:lang w:val="fr-FR"/>
        </w:rPr>
      </w:pPr>
      <w:r>
        <w:rPr>
          <w:sz w:val="28"/>
          <w:szCs w:val="28"/>
          <w:rtl/>
        </w:rPr>
        <w:t xml:space="preserve">البند </w:t>
      </w:r>
      <w:r w:rsidRPr="00826E32">
        <w:rPr>
          <w:sz w:val="28"/>
          <w:szCs w:val="28"/>
        </w:rPr>
        <w:t>10</w:t>
      </w:r>
      <w:r>
        <w:rPr>
          <w:sz w:val="28"/>
          <w:szCs w:val="28"/>
          <w:rtl/>
        </w:rPr>
        <w:t xml:space="preserve"> من جدول الأعمال المؤقت</w:t>
      </w:r>
      <w:r>
        <w:rPr>
          <w:rStyle w:val="FootnoteCharacters"/>
          <w:sz w:val="28"/>
          <w:szCs w:val="28"/>
          <w:rtl/>
        </w:rPr>
        <w:t xml:space="preserve"> </w:t>
      </w:r>
      <w:r w:rsidRPr="00550019">
        <w:rPr>
          <w:rStyle w:val="FootnoteReference"/>
          <w:lang w:val="fr-FR"/>
        </w:rPr>
        <w:footnoteReference w:id="1"/>
      </w:r>
    </w:p>
    <w:p w14:paraId="1CD3FA78" w14:textId="77777777" w:rsidR="00093D41" w:rsidRDefault="00093D41" w:rsidP="00093D41">
      <w:pPr>
        <w:bidi/>
        <w:jc w:val="left"/>
      </w:pPr>
    </w:p>
    <w:p w14:paraId="0B3C8DF6" w14:textId="77777777" w:rsidR="00093D41" w:rsidRDefault="00093D41" w:rsidP="00093D41">
      <w:pPr>
        <w:bidi/>
      </w:pPr>
    </w:p>
    <w:p w14:paraId="2D1ECAF8" w14:textId="77777777" w:rsidR="00093D41" w:rsidRDefault="00093D41" w:rsidP="00093D41">
      <w:pPr>
        <w:bidi/>
      </w:pPr>
    </w:p>
    <w:p w14:paraId="444DB3D4" w14:textId="52C782F6" w:rsidR="00093D41" w:rsidRPr="00D23286" w:rsidRDefault="00D23286" w:rsidP="00D23286">
      <w:pPr>
        <w:jc w:val="center"/>
        <w:rPr>
          <w:b/>
          <w:bCs/>
          <w:sz w:val="26"/>
          <w:szCs w:val="26"/>
          <w:lang w:val="en-CA" w:bidi="ar-SA"/>
        </w:rPr>
      </w:pPr>
      <w:r w:rsidRPr="00D23286">
        <w:rPr>
          <w:b/>
          <w:bCs/>
          <w:sz w:val="26"/>
          <w:szCs w:val="26"/>
          <w:rtl/>
          <w:lang w:val="en-CA" w:bidi="ar-SA"/>
        </w:rPr>
        <w:t xml:space="preserve">تحديث بشأن تفعيل مراكز التميز </w:t>
      </w:r>
      <w:r w:rsidRPr="00D23286">
        <w:rPr>
          <w:rFonts w:hint="cs"/>
          <w:b/>
          <w:bCs/>
          <w:sz w:val="26"/>
          <w:szCs w:val="26"/>
          <w:rtl/>
          <w:lang w:val="en-CA" w:bidi="ar-SA"/>
        </w:rPr>
        <w:t>من أجل ا</w:t>
      </w:r>
      <w:r w:rsidRPr="00D23286">
        <w:rPr>
          <w:b/>
          <w:bCs/>
          <w:sz w:val="26"/>
          <w:szCs w:val="26"/>
          <w:rtl/>
          <w:lang w:val="en-CA" w:bidi="ar-SA"/>
        </w:rPr>
        <w:t xml:space="preserve">لتبريد المستدام ومراكز </w:t>
      </w:r>
      <w:r w:rsidRPr="00D23286">
        <w:rPr>
          <w:rFonts w:hint="cs"/>
          <w:b/>
          <w:bCs/>
          <w:sz w:val="26"/>
          <w:szCs w:val="26"/>
          <w:rtl/>
          <w:lang w:val="en-CA" w:bidi="ar-SA"/>
        </w:rPr>
        <w:t>ال</w:t>
      </w:r>
      <w:r w:rsidRPr="00D23286">
        <w:rPr>
          <w:b/>
          <w:bCs/>
          <w:sz w:val="26"/>
          <w:szCs w:val="26"/>
          <w:rtl/>
          <w:lang w:val="en-CA" w:bidi="ar-SA"/>
        </w:rPr>
        <w:t xml:space="preserve">اختبار </w:t>
      </w:r>
      <w:r w:rsidRPr="00D23286">
        <w:rPr>
          <w:rFonts w:hint="cs"/>
          <w:b/>
          <w:bCs/>
          <w:sz w:val="26"/>
          <w:szCs w:val="26"/>
          <w:rtl/>
          <w:lang w:val="en-CA" w:bidi="ar-SA"/>
        </w:rPr>
        <w:t>الخاصة ب</w:t>
      </w:r>
      <w:r w:rsidRPr="00D23286">
        <w:rPr>
          <w:b/>
          <w:bCs/>
          <w:sz w:val="26"/>
          <w:szCs w:val="26"/>
          <w:rtl/>
          <w:lang w:val="en-CA" w:bidi="ar-SA"/>
        </w:rPr>
        <w:t xml:space="preserve">كفاءة </w:t>
      </w:r>
      <w:r w:rsidRPr="00D23286">
        <w:rPr>
          <w:rFonts w:hint="cs"/>
          <w:b/>
          <w:bCs/>
          <w:sz w:val="26"/>
          <w:szCs w:val="26"/>
          <w:rtl/>
          <w:lang w:val="en-CA" w:bidi="ar-SA"/>
        </w:rPr>
        <w:t xml:space="preserve">استخدام </w:t>
      </w:r>
      <w:r w:rsidRPr="00D23286">
        <w:rPr>
          <w:b/>
          <w:bCs/>
          <w:sz w:val="26"/>
          <w:szCs w:val="26"/>
          <w:rtl/>
          <w:lang w:val="en-CA" w:bidi="ar-SA"/>
        </w:rPr>
        <w:t xml:space="preserve">الطاقة (المقرر </w:t>
      </w:r>
      <w:r w:rsidRPr="00D23286">
        <w:rPr>
          <w:rFonts w:hint="cs"/>
          <w:b/>
          <w:bCs/>
          <w:sz w:val="26"/>
          <w:szCs w:val="26"/>
          <w:rtl/>
          <w:lang w:val="en-CA" w:bidi="ar-SA"/>
        </w:rPr>
        <w:t>95/87/(هـ)</w:t>
      </w:r>
      <w:r w:rsidRPr="00D23286">
        <w:rPr>
          <w:b/>
          <w:bCs/>
          <w:sz w:val="26"/>
          <w:szCs w:val="26"/>
          <w:rtl/>
          <w:lang w:val="en-CA" w:bidi="ar-SA"/>
        </w:rPr>
        <w:t>)</w:t>
      </w:r>
    </w:p>
    <w:p w14:paraId="73F89FDC" w14:textId="77777777" w:rsidR="00093D41" w:rsidRDefault="00093D41" w:rsidP="00093D41">
      <w:pPr>
        <w:bidi/>
        <w:jc w:val="left"/>
        <w:rPr>
          <w:sz w:val="26"/>
          <w:szCs w:val="26"/>
        </w:rPr>
      </w:pPr>
      <w:r>
        <w:rPr>
          <w:b/>
          <w:bCs/>
          <w:sz w:val="26"/>
          <w:szCs w:val="26"/>
          <w:rtl/>
          <w:lang w:eastAsia="ar-SA" w:bidi="ar-EG"/>
        </w:rPr>
        <w:t>المقدمة</w:t>
      </w:r>
    </w:p>
    <w:p w14:paraId="24199E94" w14:textId="77777777" w:rsidR="00093D41" w:rsidRDefault="00093D41" w:rsidP="00093D41">
      <w:pPr>
        <w:bidi/>
        <w:jc w:val="left"/>
        <w:rPr>
          <w:sz w:val="26"/>
          <w:szCs w:val="26"/>
        </w:rPr>
      </w:pPr>
    </w:p>
    <w:p w14:paraId="05E55DB9" w14:textId="6AC58B83" w:rsidR="00093D41" w:rsidRDefault="00093D41" w:rsidP="00093D41">
      <w:pPr>
        <w:pStyle w:val="Heading1"/>
        <w:bidi/>
        <w:rPr>
          <w:sz w:val="26"/>
          <w:szCs w:val="26"/>
        </w:rPr>
      </w:pPr>
      <w:r>
        <w:rPr>
          <w:sz w:val="26"/>
          <w:szCs w:val="26"/>
          <w:rtl/>
          <w:lang w:eastAsia="ar-SA" w:bidi="ar-EG"/>
        </w:rPr>
        <w:t>طلبت اللجنة التنفيذية من الأمانة، في اجتماعها الخامس والتسعين، في إطار بند جدول الأعمال المتعلق بتقديم مزيد من التفاصيل عن الإطار التشغيلي بشأن الكفاءة في استخدام الطاقة أثناء التخفيض التدريجي للمواد الهيدروفلوروكربونية،</w:t>
      </w:r>
      <w:r>
        <w:rPr>
          <w:rStyle w:val="FootnoteReference"/>
          <w:sz w:val="26"/>
          <w:szCs w:val="26"/>
          <w:rtl/>
          <w:lang w:eastAsia="ar-SA" w:bidi="ar-EG"/>
        </w:rPr>
        <w:footnoteReference w:id="2"/>
      </w:r>
      <w:r>
        <w:rPr>
          <w:sz w:val="26"/>
          <w:szCs w:val="26"/>
          <w:rtl/>
          <w:lang w:eastAsia="ar-SA" w:bidi="ar-EG"/>
        </w:rPr>
        <w:t xml:space="preserve"> إعداد ورقة مُحدَّثة لكي تنظر فيها في اجتماعها السابع والتسعين، على أن تتناول: (</w:t>
      </w:r>
      <w:r>
        <w:rPr>
          <w:sz w:val="26"/>
          <w:szCs w:val="26"/>
          <w:lang w:eastAsia="ar-SA" w:bidi="ar-EG"/>
        </w:rPr>
        <w:t>1</w:t>
      </w:r>
      <w:r>
        <w:rPr>
          <w:sz w:val="26"/>
          <w:szCs w:val="26"/>
          <w:rtl/>
          <w:lang w:eastAsia="ar-SA" w:bidi="ar-EG"/>
        </w:rPr>
        <w:t>) الوظائف المحددة لمركزي الامتياز في مجال التبريد المستدام ومراكز اختبار الكفاءة في استخدام الطاقة؛ (</w:t>
      </w:r>
      <w:r>
        <w:rPr>
          <w:sz w:val="26"/>
          <w:szCs w:val="26"/>
          <w:lang w:eastAsia="ar-SA" w:bidi="ar-EG"/>
        </w:rPr>
        <w:t>2</w:t>
      </w:r>
      <w:r>
        <w:rPr>
          <w:sz w:val="26"/>
          <w:szCs w:val="26"/>
          <w:rtl/>
          <w:lang w:eastAsia="ar-SA" w:bidi="ar-EG"/>
        </w:rPr>
        <w:t>) وتقييم نماذج الأعمال المستدامة للمراكز الإقليمية؛ (</w:t>
      </w:r>
      <w:r>
        <w:rPr>
          <w:sz w:val="26"/>
          <w:szCs w:val="26"/>
          <w:lang w:eastAsia="ar-SA" w:bidi="ar-EG"/>
        </w:rPr>
        <w:t>3</w:t>
      </w:r>
      <w:r>
        <w:rPr>
          <w:sz w:val="26"/>
          <w:szCs w:val="26"/>
          <w:rtl/>
          <w:lang w:eastAsia="ar-SA" w:bidi="ar-EG"/>
        </w:rPr>
        <w:t xml:space="preserve">) وتقييم احتمال تكرار نفس الأنشطة الممولة في إطار خطة إدارة إزالة المواد الهيدروكلوروفلوروكربونية و/أو خطط التنفيذ المتعلقة بالمواد الهيدروفلوروكربونية بموجب تعديل كيغالي، أو الأنشطة التي تنفذها المراكز القائمة؛ (د) وتحديد الفرص الممكنة لاستخدام المراكز والآليات القائمة بالفعل لاختبار الكفاءة في استخدام الطاقة للمعدات (المقرر </w:t>
      </w:r>
      <w:r>
        <w:rPr>
          <w:sz w:val="26"/>
          <w:szCs w:val="26"/>
          <w:lang w:eastAsia="ar-SA" w:bidi="ar-EG"/>
        </w:rPr>
        <w:t>95/87</w:t>
      </w:r>
      <w:r>
        <w:rPr>
          <w:sz w:val="26"/>
          <w:szCs w:val="26"/>
          <w:rtl/>
          <w:lang w:eastAsia="ar-SA" w:bidi="ar-EG"/>
        </w:rPr>
        <w:t>(</w:t>
      </w:r>
      <w:r w:rsidR="00E10B30">
        <w:rPr>
          <w:rFonts w:hint="cs"/>
          <w:sz w:val="26"/>
          <w:szCs w:val="26"/>
          <w:rtl/>
          <w:lang w:eastAsia="ar-SA" w:bidi="ar-EG"/>
        </w:rPr>
        <w:t>هـ</w:t>
      </w:r>
      <w:r>
        <w:rPr>
          <w:sz w:val="26"/>
          <w:szCs w:val="26"/>
          <w:rtl/>
          <w:lang w:eastAsia="ar-SA" w:bidi="ar-EG"/>
        </w:rPr>
        <w:t xml:space="preserve">)). وتأتي هذه الوثيقة رداً على المقرر، وهي تتناول الجوانب المختلفة المتعلقة بمراكز اختبار الكفاءة في استخدام الطاقة. </w:t>
      </w:r>
    </w:p>
    <w:p w14:paraId="4B494066" w14:textId="77777777" w:rsidR="00093D41" w:rsidRDefault="00093D41" w:rsidP="00093D41">
      <w:pPr>
        <w:pStyle w:val="Heading1"/>
        <w:bidi/>
        <w:rPr>
          <w:sz w:val="26"/>
          <w:szCs w:val="26"/>
        </w:rPr>
      </w:pPr>
      <w:r>
        <w:rPr>
          <w:sz w:val="26"/>
          <w:szCs w:val="26"/>
          <w:rtl/>
          <w:lang w:eastAsia="ar-SA" w:bidi="ar-EG"/>
        </w:rPr>
        <w:t>وفي إطار إعداد هذه الوثيقة، استعرضت الأمانة الوثائق السابقة التي وُضعَت بشأن الإطار التشغيلي للكفاءة في استخدام الطاقة أثناء التخفيض التدريجي للمواد الهيدروفلوروكربونية، بما في ذلك مراكز الاختبار، واستعرضت المعلومات المقدمة في مشروعين تلقيا تمويلاً متعلقاً بتحسين مراكز الاختبار القائمة، واستشارت ممثلين من كل من معهد تكييف الهواء والتدفئة والتبريد (</w:t>
      </w:r>
      <w:r>
        <w:rPr>
          <w:sz w:val="26"/>
          <w:szCs w:val="26"/>
          <w:lang w:eastAsia="ar-SA" w:bidi="en-GB"/>
        </w:rPr>
        <w:t>AHRI</w:t>
      </w:r>
      <w:r>
        <w:rPr>
          <w:sz w:val="26"/>
          <w:szCs w:val="26"/>
          <w:rtl/>
          <w:lang w:eastAsia="ar-SA" w:bidi="ar-EG"/>
        </w:rPr>
        <w:t>)، ويورو فينت (</w:t>
      </w:r>
      <w:r>
        <w:rPr>
          <w:sz w:val="26"/>
          <w:szCs w:val="26"/>
          <w:lang w:eastAsia="ar-SA" w:bidi="en-GB"/>
        </w:rPr>
        <w:t>Eurovent</w:t>
      </w:r>
      <w:r>
        <w:rPr>
          <w:sz w:val="26"/>
          <w:szCs w:val="26"/>
          <w:rtl/>
          <w:lang w:eastAsia="ar-SA" w:bidi="ar-EG"/>
        </w:rPr>
        <w:t>)، ومختبرات أندررايترز (</w:t>
      </w:r>
      <w:r>
        <w:rPr>
          <w:sz w:val="26"/>
          <w:szCs w:val="26"/>
          <w:lang w:eastAsia="ar-SA" w:bidi="en-GB"/>
        </w:rPr>
        <w:t>Underwriters Laboratories</w:t>
      </w:r>
      <w:r>
        <w:rPr>
          <w:sz w:val="26"/>
          <w:szCs w:val="26"/>
          <w:rtl/>
          <w:lang w:eastAsia="ar-SA" w:bidi="ar-EG"/>
        </w:rPr>
        <w:t>)، وبرنامج وضع البطاقات ومعايير الأجهزة (</w:t>
      </w:r>
      <w:r>
        <w:rPr>
          <w:sz w:val="26"/>
          <w:szCs w:val="26"/>
          <w:lang w:eastAsia="ar-SA" w:bidi="en-GB"/>
        </w:rPr>
        <w:t>CLASP</w:t>
      </w:r>
      <w:r>
        <w:rPr>
          <w:sz w:val="26"/>
          <w:szCs w:val="26"/>
          <w:rtl/>
          <w:lang w:eastAsia="ar-SA" w:bidi="ar-EG"/>
        </w:rPr>
        <w:t>)، ومختبر لورانس بيركلي الوطني (</w:t>
      </w:r>
      <w:r>
        <w:rPr>
          <w:sz w:val="26"/>
          <w:szCs w:val="26"/>
          <w:lang w:eastAsia="ar-SA" w:bidi="en-GB"/>
        </w:rPr>
        <w:t>LBNL</w:t>
      </w:r>
      <w:r>
        <w:rPr>
          <w:sz w:val="26"/>
          <w:szCs w:val="26"/>
          <w:rtl/>
          <w:lang w:eastAsia="ar-SA" w:bidi="ar-EG"/>
        </w:rPr>
        <w:t>)، ومجموعة من القطاعات المحددة ذات الخبرة في إنشاء وتشغيل مراكز الاختبار. وبالإضافة إلى ذلك، بالنسبة للمعلومات المتعلقة بالتكاليف الرأسمالية والتكاليف التشغيلية، تم الحصول على آراء خبراء يتمتعون بخبرة في إنشاء و/أو تشغيل تلك المراكز.</w:t>
      </w:r>
    </w:p>
    <w:p w14:paraId="543859C0" w14:textId="77777777" w:rsidR="00093D41" w:rsidRDefault="00093D41" w:rsidP="00093D41">
      <w:pPr>
        <w:keepNext/>
        <w:shd w:val="clear" w:color="auto" w:fill="FFFFFF"/>
        <w:bidi/>
        <w:rPr>
          <w:sz w:val="26"/>
          <w:szCs w:val="26"/>
        </w:rPr>
      </w:pPr>
      <w:r>
        <w:rPr>
          <w:b/>
          <w:bCs/>
          <w:sz w:val="26"/>
          <w:szCs w:val="26"/>
          <w:rtl/>
          <w:lang w:eastAsia="ar-SA" w:bidi="ar-EG"/>
        </w:rPr>
        <w:lastRenderedPageBreak/>
        <w:t xml:space="preserve">دور مراكز اختبار الكفاءة في استخدام الطاقة </w:t>
      </w:r>
    </w:p>
    <w:p w14:paraId="10D80CA5" w14:textId="77777777" w:rsidR="00093D41" w:rsidRDefault="00093D41" w:rsidP="00093D41">
      <w:pPr>
        <w:keepNext/>
        <w:shd w:val="clear" w:color="auto" w:fill="FFFFFF"/>
        <w:bidi/>
        <w:rPr>
          <w:spacing w:val="2"/>
          <w:sz w:val="26"/>
          <w:szCs w:val="26"/>
        </w:rPr>
      </w:pPr>
    </w:p>
    <w:p w14:paraId="4B69CD03" w14:textId="1C7D8CA9" w:rsidR="00093D41" w:rsidRDefault="00093D41" w:rsidP="00093D41">
      <w:pPr>
        <w:pStyle w:val="Heading1"/>
        <w:bidi/>
        <w:rPr>
          <w:sz w:val="26"/>
          <w:szCs w:val="26"/>
        </w:rPr>
      </w:pPr>
      <w:r>
        <w:rPr>
          <w:sz w:val="26"/>
          <w:szCs w:val="26"/>
          <w:rtl/>
          <w:lang w:eastAsia="ar-SA" w:bidi="ar-EG"/>
        </w:rPr>
        <w:t xml:space="preserve">تؤدي مراكز اختبار الكفاءة في استخدام الطاقة (مراكز الاختبار) دوراً رئيسياً في ضمان التنفيذ الفعال لمعايير الكفاءة في استخدام الطاقة والأنشطة ذات الصلة، مثل برامج وضع البطاقات على المنتجات المختلفة في بلد ما. ويتمثل هدفها الرئيسي في تمكين إنفاذ المعايير الدنيا لأداء الطاقة أو الآليات المناظرة المتعلقة بأداء المعدات المختلفة. ويتحقق ذلك من خلال تقييم مدى الامتثال قبل الطرح في السوق (أو الاعتماد)، </w:t>
      </w:r>
      <w:r w:rsidR="00433243">
        <w:rPr>
          <w:rFonts w:hint="cs"/>
          <w:sz w:val="26"/>
          <w:szCs w:val="26"/>
          <w:rtl/>
          <w:lang w:eastAsia="ar-SA" w:bidi="ar-EG"/>
        </w:rPr>
        <w:t>والرقابة</w:t>
      </w:r>
      <w:r>
        <w:rPr>
          <w:sz w:val="26"/>
          <w:szCs w:val="26"/>
          <w:rtl/>
          <w:lang w:eastAsia="ar-SA" w:bidi="ar-EG"/>
        </w:rPr>
        <w:t xml:space="preserve"> بعد الطرح في السرق والتحقق من الامتثال. وتعتمد إجراءات الاختبار على المعايير الدولية مثل معايير المنظمة الدولية للمعايير الأيزو (</w:t>
      </w:r>
      <w:r>
        <w:rPr>
          <w:sz w:val="26"/>
          <w:szCs w:val="26"/>
          <w:lang w:eastAsia="ar-SA" w:bidi="en-GB"/>
        </w:rPr>
        <w:t>ISO</w:t>
      </w:r>
      <w:r>
        <w:rPr>
          <w:sz w:val="26"/>
          <w:szCs w:val="26"/>
          <w:rtl/>
          <w:lang w:eastAsia="ar-SA" w:bidi="ar-EG"/>
        </w:rPr>
        <w:t>) واللجنة الكهروتقنية الدولية (</w:t>
      </w:r>
      <w:r>
        <w:rPr>
          <w:sz w:val="26"/>
          <w:szCs w:val="26"/>
          <w:lang w:eastAsia="ar-SA" w:bidi="en-GB"/>
        </w:rPr>
        <w:t>ICE</w:t>
      </w:r>
      <w:r>
        <w:rPr>
          <w:sz w:val="26"/>
          <w:szCs w:val="26"/>
          <w:rtl/>
          <w:lang w:eastAsia="ar-SA" w:bidi="ar-EG"/>
        </w:rPr>
        <w:t>)، والمعايير الإقليمية مثل معهد تكييف الهواء والتدفئة والتبريد، والجمعية الأمريكية لمهندسي التدفئة والتبريد وتكييف الهواء (</w:t>
      </w:r>
      <w:r>
        <w:rPr>
          <w:sz w:val="26"/>
          <w:szCs w:val="26"/>
          <w:lang w:eastAsia="ar-SA" w:bidi="en-GB"/>
        </w:rPr>
        <w:t>ASHRAE</w:t>
      </w:r>
      <w:r>
        <w:rPr>
          <w:sz w:val="26"/>
          <w:szCs w:val="26"/>
          <w:rtl/>
          <w:lang w:eastAsia="ar-SA" w:bidi="ar-EG"/>
        </w:rPr>
        <w:t>)، وتوجيهات التصميم الإيكولوجي، المعايير الوطنية المصممة بناءً على المتطلبات الخاصة بكل بلد، أو واحد أو أكثر مما سبق.</w:t>
      </w:r>
      <w:r>
        <w:rPr>
          <w:rStyle w:val="FootnoteReference"/>
          <w:spacing w:val="2"/>
          <w:sz w:val="26"/>
          <w:szCs w:val="26"/>
          <w:rtl/>
          <w:lang w:eastAsia="ar-SA" w:bidi="ar-EG"/>
        </w:rPr>
        <w:footnoteReference w:id="3"/>
      </w:r>
    </w:p>
    <w:p w14:paraId="34EAD956" w14:textId="51691B9B" w:rsidR="00093D41" w:rsidRDefault="00093D41" w:rsidP="00093D41">
      <w:pPr>
        <w:pStyle w:val="Heading1"/>
        <w:bidi/>
        <w:rPr>
          <w:sz w:val="26"/>
          <w:szCs w:val="26"/>
        </w:rPr>
      </w:pPr>
      <w:r>
        <w:rPr>
          <w:sz w:val="26"/>
          <w:szCs w:val="26"/>
          <w:rtl/>
          <w:lang w:eastAsia="ar-SA" w:bidi="ar-EG"/>
        </w:rPr>
        <w:t>يمكن لمراكز الاختبار أن تقدم خدمات إضافية لبناء ثقة المستهلك في أداء المنتج، منها على سبيل المثال، من خلال الاعتمادات المناسبة وإصدار بطاقات الأداء، وتقديم الدعم الفني إلى مصنعي المنتجات المختلفة لتحسين أداء منتجاتهم، وتقديم آراء فنية لصناع السياسات لتسهيل مهمة تعزيز لوائح كفاءة استخدام الطاقة ووصول أكثر المنتجات ملاءمة وأكفأها في استخدام الطاقة إلى سوق البلد. ويمكن إنشاء مراكز الاختبار كذلك على المستوى المحلي أو الدولي. ورغم أن المقرر (</w:t>
      </w:r>
      <w:r>
        <w:rPr>
          <w:sz w:val="26"/>
          <w:szCs w:val="26"/>
          <w:lang w:eastAsia="ar-SA" w:bidi="ar-EG"/>
        </w:rPr>
        <w:t>95/87</w:t>
      </w:r>
      <w:r>
        <w:rPr>
          <w:sz w:val="26"/>
          <w:szCs w:val="26"/>
          <w:rtl/>
          <w:lang w:eastAsia="ar-SA" w:bidi="ar-EG"/>
        </w:rPr>
        <w:t>(</w:t>
      </w:r>
      <w:r w:rsidR="00433243">
        <w:rPr>
          <w:rFonts w:hint="cs"/>
          <w:sz w:val="26"/>
          <w:szCs w:val="26"/>
          <w:rtl/>
          <w:lang w:eastAsia="ar-SA" w:bidi="ar-EG"/>
        </w:rPr>
        <w:t>هـ</w:t>
      </w:r>
      <w:r>
        <w:rPr>
          <w:sz w:val="26"/>
          <w:szCs w:val="26"/>
          <w:rtl/>
          <w:lang w:eastAsia="ar-SA" w:bidi="ar-EG"/>
        </w:rPr>
        <w:t xml:space="preserve">)) يذكر مراكز اختبار الكفاءة في استخدام الطاقة الإقليمية على وجه التحديد، فإن الأمانة تذكر في هذه الوثيقة مراكز الاختبار الوطنية فقط عند اللزوم. </w:t>
      </w:r>
    </w:p>
    <w:p w14:paraId="30A08BA3" w14:textId="5A81A005" w:rsidR="00093D41" w:rsidRDefault="00093D41" w:rsidP="00093D41">
      <w:pPr>
        <w:pStyle w:val="Heading1"/>
        <w:bidi/>
        <w:rPr>
          <w:sz w:val="26"/>
          <w:szCs w:val="26"/>
        </w:rPr>
      </w:pPr>
      <w:r>
        <w:rPr>
          <w:sz w:val="26"/>
          <w:szCs w:val="26"/>
          <w:rtl/>
          <w:lang w:eastAsia="ar-SA" w:bidi="ar-EG"/>
        </w:rPr>
        <w:t>يمكن لمراكز الاختبار الإقليمية أن تؤدي دوراً هاماً في تقديم هذه الخدمات إلى البلدان في منطقة معينة. وفي المناطق التي وافقت فيها مجموعة من البلدان على تنفيذ معايير إقليمية للكفاءة في استخدام الطاقة، يمكن لتلك المراكز وعمليات الاعتماد المرتبطة بها أن تسهل التنفيذ الفعال من حيث التكلفة للمعايير وتحسين وصول موردي المعدات والمكونات إلى تلك الأسواق الإقليمية. ومع ذلك، فإن تنفيذ الاتفاقيات الإقليمية بشأن المعايير وإجراءات الاختبار، واعتراف الهيئات التنظيمية الوطنية المعنية بهذه المعايير الإقليمية وإجراءات الاختبار، والتكاليف اللوجستية (مثل تكاليف شحن المعدات/المكونات لإجراء الاختبار، وإجراءات الجمارك لتسهيل وخفض التكلفة نقل السلع، وشروط شحن البضائع التي تحتوي على غازات تبريد قابلة للاشتعال</w:t>
      </w:r>
      <w:r w:rsidR="00433243">
        <w:rPr>
          <w:sz w:val="26"/>
          <w:szCs w:val="26"/>
          <w:rtl/>
          <w:lang w:eastAsia="ar-SA" w:bidi="ar-EG"/>
        </w:rPr>
        <w:t>/</w:t>
      </w:r>
      <w:r>
        <w:rPr>
          <w:sz w:val="26"/>
          <w:szCs w:val="26"/>
          <w:rtl/>
          <w:lang w:eastAsia="ar-SA" w:bidi="ar-EG"/>
        </w:rPr>
        <w:t>سامة) تشكل جمعها تحديات كبيرة. ولا بد من معالجة تلك التحديات لتمكين التشغيل الفعال لمراكز الاختبار الإقليمية.</w:t>
      </w:r>
    </w:p>
    <w:p w14:paraId="1A19CC6D" w14:textId="77777777" w:rsidR="00093D41" w:rsidRDefault="00093D41" w:rsidP="00093D41">
      <w:pPr>
        <w:shd w:val="clear" w:color="auto" w:fill="FFFFFF"/>
        <w:bidi/>
        <w:rPr>
          <w:sz w:val="26"/>
          <w:szCs w:val="26"/>
        </w:rPr>
      </w:pPr>
      <w:r>
        <w:rPr>
          <w:b/>
          <w:bCs/>
          <w:spacing w:val="2"/>
          <w:sz w:val="26"/>
          <w:szCs w:val="26"/>
          <w:rtl/>
          <w:lang w:eastAsia="ar-SA" w:bidi="ar-EG"/>
        </w:rPr>
        <w:t>إنشاء مراكز اختبار الكفاءة في استخدام الطاقة</w:t>
      </w:r>
      <w:r>
        <w:rPr>
          <w:spacing w:val="2"/>
          <w:sz w:val="26"/>
          <w:szCs w:val="26"/>
          <w:rtl/>
          <w:lang w:eastAsia="ar-SA" w:bidi="ar-EG"/>
        </w:rPr>
        <w:t xml:space="preserve"> </w:t>
      </w:r>
      <w:r>
        <w:rPr>
          <w:b/>
          <w:bCs/>
          <w:spacing w:val="2"/>
          <w:sz w:val="26"/>
          <w:szCs w:val="26"/>
          <w:rtl/>
          <w:lang w:eastAsia="ar-SA" w:bidi="ar-EG"/>
        </w:rPr>
        <w:t xml:space="preserve">على المستوى الإقليمي، ووضع إجراءات الاعتماد </w:t>
      </w:r>
    </w:p>
    <w:p w14:paraId="6AC42DC3" w14:textId="77777777" w:rsidR="00093D41" w:rsidRDefault="00093D41" w:rsidP="00093D41">
      <w:pPr>
        <w:shd w:val="clear" w:color="auto" w:fill="FFFFFF"/>
        <w:bidi/>
        <w:rPr>
          <w:spacing w:val="2"/>
          <w:sz w:val="26"/>
          <w:szCs w:val="26"/>
        </w:rPr>
      </w:pPr>
    </w:p>
    <w:p w14:paraId="031C8C94" w14:textId="77777777" w:rsidR="00093D41" w:rsidRDefault="00093D41" w:rsidP="00093D41">
      <w:pPr>
        <w:pStyle w:val="Heading1"/>
        <w:bidi/>
        <w:rPr>
          <w:sz w:val="26"/>
          <w:szCs w:val="26"/>
        </w:rPr>
      </w:pPr>
      <w:r>
        <w:rPr>
          <w:sz w:val="26"/>
          <w:szCs w:val="26"/>
          <w:rtl/>
          <w:lang w:eastAsia="ar-SA" w:bidi="ar-EG"/>
        </w:rPr>
        <w:t>وفيما يلي الإجراءات المتبعة عادةً في إنشاء مركز اختبار إقليمي:</w:t>
      </w:r>
    </w:p>
    <w:p w14:paraId="7949AB1B" w14:textId="77777777" w:rsidR="00093D41" w:rsidRDefault="00093D41" w:rsidP="00093D41">
      <w:pPr>
        <w:shd w:val="clear" w:color="auto" w:fill="FFFFFF"/>
        <w:bidi/>
        <w:rPr>
          <w:sz w:val="26"/>
          <w:szCs w:val="26"/>
        </w:rPr>
      </w:pPr>
      <w:r>
        <w:rPr>
          <w:spacing w:val="2"/>
          <w:sz w:val="26"/>
          <w:szCs w:val="26"/>
          <w:u w:val="single"/>
          <w:rtl/>
          <w:lang w:eastAsia="ar-SA" w:bidi="ar-EG"/>
        </w:rPr>
        <w:t>تقييم السوق لتحديد جدوى المشروعات على المدى البعيد</w:t>
      </w:r>
    </w:p>
    <w:p w14:paraId="1A36247F" w14:textId="77777777" w:rsidR="00093D41" w:rsidRDefault="00093D41" w:rsidP="00093D41">
      <w:pPr>
        <w:shd w:val="clear" w:color="auto" w:fill="FFFFFF"/>
        <w:bidi/>
        <w:rPr>
          <w:spacing w:val="2"/>
          <w:sz w:val="26"/>
          <w:szCs w:val="26"/>
        </w:rPr>
      </w:pPr>
    </w:p>
    <w:p w14:paraId="2A22E618" w14:textId="77777777" w:rsidR="00093D41" w:rsidRDefault="00093D41" w:rsidP="004E27D6">
      <w:pPr>
        <w:pStyle w:val="Heading2"/>
        <w:numPr>
          <w:ilvl w:val="0"/>
          <w:numId w:val="23"/>
        </w:numPr>
        <w:bidi/>
        <w:ind w:left="1440" w:hanging="727"/>
        <w:rPr>
          <w:sz w:val="26"/>
          <w:szCs w:val="26"/>
        </w:rPr>
      </w:pPr>
      <w:r>
        <w:rPr>
          <w:sz w:val="26"/>
          <w:szCs w:val="26"/>
          <w:rtl/>
          <w:lang w:eastAsia="ar-SA" w:bidi="ar-EG"/>
        </w:rPr>
        <w:t>تقييم احتياجات البلدان داخل المنطقة والتزام تلك البلدان بالاعتراف بمركز الاختبار الإقليمي والاستفادة منه؛</w:t>
      </w:r>
    </w:p>
    <w:p w14:paraId="17E1E4E9" w14:textId="16650DFF" w:rsidR="00093D41" w:rsidRDefault="00093D41" w:rsidP="004E27D6">
      <w:pPr>
        <w:pStyle w:val="Heading2"/>
        <w:numPr>
          <w:ilvl w:val="0"/>
          <w:numId w:val="23"/>
        </w:numPr>
        <w:bidi/>
        <w:ind w:left="1440" w:hanging="727"/>
        <w:rPr>
          <w:sz w:val="26"/>
          <w:szCs w:val="26"/>
        </w:rPr>
      </w:pPr>
      <w:r>
        <w:rPr>
          <w:sz w:val="26"/>
          <w:szCs w:val="26"/>
          <w:rtl/>
          <w:lang w:eastAsia="ar-SA" w:bidi="ar-EG"/>
        </w:rPr>
        <w:t>التنفيذ القوي للوائح المعايير الدنيا لأداء الطاقة</w:t>
      </w:r>
      <w:r>
        <w:rPr>
          <w:sz w:val="26"/>
          <w:szCs w:val="26"/>
          <w:vertAlign w:val="superscript"/>
          <w:rtl/>
          <w:lang w:eastAsia="ar-SA" w:bidi="ar-EG"/>
        </w:rPr>
        <w:t xml:space="preserve"> </w:t>
      </w:r>
      <w:r>
        <w:rPr>
          <w:sz w:val="26"/>
          <w:szCs w:val="26"/>
          <w:rtl/>
          <w:lang w:eastAsia="ar-SA" w:bidi="ar-EG"/>
        </w:rPr>
        <w:t xml:space="preserve">وعمليات الاعتماد/المراقبة في البلدان الموجودة داخل المنطقة التي تعترف بمركز الاختبار الإقليمي؛ </w:t>
      </w:r>
    </w:p>
    <w:p w14:paraId="50178F57" w14:textId="3DD69E3E" w:rsidR="00093D41" w:rsidRDefault="00093D41" w:rsidP="004E27D6">
      <w:pPr>
        <w:pStyle w:val="Heading2"/>
        <w:numPr>
          <w:ilvl w:val="0"/>
          <w:numId w:val="23"/>
        </w:numPr>
        <w:bidi/>
        <w:ind w:left="1440" w:hanging="727"/>
        <w:rPr>
          <w:sz w:val="26"/>
          <w:szCs w:val="26"/>
        </w:rPr>
      </w:pPr>
      <w:r>
        <w:rPr>
          <w:sz w:val="26"/>
          <w:szCs w:val="26"/>
          <w:rtl/>
          <w:lang w:eastAsia="ar-SA" w:bidi="ar-EG"/>
        </w:rPr>
        <w:t xml:space="preserve">إنفاذ لوائح مراقبة تنفيذ معايير الكفاءة في استخدام الطاقة بشكل مستقل، إضافة إلى برامج وضع البطاقات، بما فيها برامج مراقبة السوق لرصد الأداء وفقاً لمعايير الكفاءة في استخدام الطاقة؛ </w:t>
      </w:r>
    </w:p>
    <w:p w14:paraId="32E2EE7F" w14:textId="1F49AF93" w:rsidR="00093D41" w:rsidRDefault="00093D41" w:rsidP="004E27D6">
      <w:pPr>
        <w:pStyle w:val="Heading2"/>
        <w:numPr>
          <w:ilvl w:val="0"/>
          <w:numId w:val="23"/>
        </w:numPr>
        <w:bidi/>
        <w:ind w:left="1440" w:hanging="727"/>
        <w:rPr>
          <w:sz w:val="26"/>
          <w:szCs w:val="26"/>
        </w:rPr>
      </w:pPr>
      <w:r>
        <w:rPr>
          <w:sz w:val="26"/>
          <w:szCs w:val="26"/>
          <w:rtl/>
          <w:lang w:eastAsia="ar-SA" w:bidi="ar-EG"/>
        </w:rPr>
        <w:t xml:space="preserve">تحديد موقع لمركز الاختبار بحيث يكون مقبولاً لجميع البلدان، مع مراعاة عوامل مثل مسارات توريد </w:t>
      </w:r>
      <w:r>
        <w:rPr>
          <w:sz w:val="26"/>
          <w:szCs w:val="26"/>
          <w:rtl/>
          <w:lang w:eastAsia="ar-SA" w:bidi="ar-EG"/>
        </w:rPr>
        <w:lastRenderedPageBreak/>
        <w:t>المعدات، وإمكانية وصول أصحاب المصلحة في القطاع الذين يوردون المعدات ذات الصلة إلى المراكز، وتكلفة وسهولة نقل البضائع إلى المركز، وتكاليف الاختبار التي سيحصلها المركز. ويجب أن تشمل عملية تحديد الموقع أيضاً تقييماً لمراكز الاختبار (القائمة أو المراكز تحت الإنشاء) وإمكانية الاستفادة من تلك المراكز.</w:t>
      </w:r>
      <w:r w:rsidR="00703225">
        <w:rPr>
          <w:sz w:val="26"/>
          <w:szCs w:val="26"/>
          <w:rtl/>
          <w:lang w:eastAsia="ar-SA" w:bidi="ar-EG"/>
        </w:rPr>
        <w:t xml:space="preserve"> </w:t>
      </w:r>
    </w:p>
    <w:p w14:paraId="46E45B92" w14:textId="77777777" w:rsidR="00093D41" w:rsidRDefault="00093D41" w:rsidP="00093D41">
      <w:pPr>
        <w:bidi/>
        <w:rPr>
          <w:sz w:val="26"/>
          <w:szCs w:val="26"/>
        </w:rPr>
      </w:pPr>
      <w:r>
        <w:rPr>
          <w:spacing w:val="2"/>
          <w:sz w:val="26"/>
          <w:szCs w:val="26"/>
          <w:u w:val="single"/>
          <w:rtl/>
          <w:lang w:eastAsia="ar-SA" w:bidi="ar-EG"/>
        </w:rPr>
        <w:t xml:space="preserve">التكاليف الرأسمالية والتكاليف التشغيلية </w:t>
      </w:r>
    </w:p>
    <w:p w14:paraId="4199DD49" w14:textId="77777777" w:rsidR="00093D41" w:rsidRDefault="00093D41" w:rsidP="00093D41">
      <w:pPr>
        <w:pStyle w:val="ListParagraph"/>
        <w:shd w:val="clear" w:color="auto" w:fill="FFFFFF"/>
        <w:bidi/>
        <w:rPr>
          <w:spacing w:val="2"/>
          <w:sz w:val="26"/>
          <w:szCs w:val="26"/>
        </w:rPr>
      </w:pPr>
    </w:p>
    <w:p w14:paraId="46CB0CEA" w14:textId="26A38058" w:rsidR="00093D41" w:rsidRDefault="00093D41" w:rsidP="004E27D6">
      <w:pPr>
        <w:pStyle w:val="Heading2"/>
        <w:numPr>
          <w:ilvl w:val="0"/>
          <w:numId w:val="23"/>
        </w:numPr>
        <w:bidi/>
        <w:ind w:left="1440" w:hanging="727"/>
        <w:rPr>
          <w:sz w:val="26"/>
          <w:szCs w:val="26"/>
        </w:rPr>
      </w:pPr>
      <w:r>
        <w:rPr>
          <w:sz w:val="26"/>
          <w:szCs w:val="26"/>
          <w:rtl/>
          <w:lang w:eastAsia="ar-SA" w:bidi="ar-EG"/>
        </w:rPr>
        <w:t xml:space="preserve">تشمل التكاليف الرأسمالية لمراكز الاختبار التكاليف المتعلقة بشراء المعدات والاعتماد الأولي لتلك المراكز. ويعرض الجدول </w:t>
      </w:r>
      <w:r>
        <w:rPr>
          <w:sz w:val="26"/>
          <w:szCs w:val="26"/>
          <w:lang w:eastAsia="ar-SA" w:bidi="ar-EG"/>
        </w:rPr>
        <w:t>1</w:t>
      </w:r>
      <w:r>
        <w:rPr>
          <w:sz w:val="26"/>
          <w:szCs w:val="26"/>
          <w:rtl/>
          <w:lang w:eastAsia="ar-SA" w:bidi="ar-EG"/>
        </w:rPr>
        <w:t xml:space="preserve"> فيما يلي التكاليف الرأسمالية وتكلفة الاعتماد لمراكز الاختبار بناءً على مساهمات المنظمات ذات الخبرة في إنشاء مراكز الاختبار، والخبراء من الميدان:</w:t>
      </w:r>
      <w:r w:rsidR="00703225">
        <w:rPr>
          <w:sz w:val="26"/>
          <w:szCs w:val="26"/>
          <w:rtl/>
          <w:lang w:eastAsia="ar-SA" w:bidi="ar-EG"/>
        </w:rPr>
        <w:t xml:space="preserve"> </w:t>
      </w:r>
    </w:p>
    <w:p w14:paraId="76BB4D36" w14:textId="77777777" w:rsidR="00093D41" w:rsidRDefault="00093D41" w:rsidP="00093D41">
      <w:pPr>
        <w:pStyle w:val="ListParagraph"/>
        <w:bidi/>
        <w:ind w:left="1440"/>
        <w:rPr>
          <w:sz w:val="26"/>
          <w:szCs w:val="26"/>
        </w:rPr>
      </w:pPr>
      <w:r>
        <w:rPr>
          <w:b/>
          <w:bCs/>
          <w:spacing w:val="2"/>
          <w:sz w:val="26"/>
          <w:szCs w:val="26"/>
          <w:rtl/>
          <w:lang w:eastAsia="ar-SA" w:bidi="ar-EG"/>
        </w:rPr>
        <w:t xml:space="preserve">الجدول </w:t>
      </w:r>
      <w:r>
        <w:rPr>
          <w:b/>
          <w:bCs/>
          <w:spacing w:val="2"/>
          <w:sz w:val="26"/>
          <w:szCs w:val="26"/>
          <w:lang w:eastAsia="ar-SA" w:bidi="ar-EG"/>
        </w:rPr>
        <w:t>1</w:t>
      </w:r>
      <w:r>
        <w:rPr>
          <w:b/>
          <w:bCs/>
          <w:spacing w:val="2"/>
          <w:sz w:val="26"/>
          <w:szCs w:val="26"/>
          <w:rtl/>
          <w:lang w:eastAsia="ar-SA" w:bidi="ar-EG"/>
        </w:rPr>
        <w:t>: أفضل تقديرات للتكاليف الرأسمالية لإنشاء مركز اختبار</w:t>
      </w:r>
      <w:r>
        <w:rPr>
          <w:rStyle w:val="FootnoteReference"/>
          <w:b/>
          <w:bCs/>
          <w:spacing w:val="2"/>
          <w:sz w:val="26"/>
          <w:szCs w:val="26"/>
          <w:rtl/>
          <w:lang w:eastAsia="ar-SA" w:bidi="ar-EG"/>
        </w:rPr>
        <w:footnoteReference w:id="4"/>
      </w:r>
    </w:p>
    <w:tbl>
      <w:tblPr>
        <w:tblStyle w:val="TableGrid"/>
        <w:bidiVisual/>
        <w:tblW w:w="8080" w:type="dxa"/>
        <w:tblInd w:w="1281" w:type="dxa"/>
        <w:tblLayout w:type="fixed"/>
        <w:tblLook w:val="04A0" w:firstRow="1" w:lastRow="0" w:firstColumn="1" w:lastColumn="0" w:noHBand="0" w:noVBand="1"/>
      </w:tblPr>
      <w:tblGrid>
        <w:gridCol w:w="6094"/>
        <w:gridCol w:w="1986"/>
      </w:tblGrid>
      <w:tr w:rsidR="00093D41" w14:paraId="2063A6F2" w14:textId="77777777" w:rsidTr="003433DF">
        <w:trPr>
          <w:trHeight w:val="642"/>
        </w:trPr>
        <w:tc>
          <w:tcPr>
            <w:tcW w:w="6094" w:type="dxa"/>
          </w:tcPr>
          <w:p w14:paraId="0A8E1984" w14:textId="77777777" w:rsidR="00093D41" w:rsidRPr="003433DF" w:rsidRDefault="00093D41" w:rsidP="00026181">
            <w:pPr>
              <w:pStyle w:val="ListParagraph"/>
              <w:bidi/>
              <w:ind w:left="0"/>
              <w:rPr>
                <w:sz w:val="22"/>
                <w:szCs w:val="22"/>
              </w:rPr>
            </w:pPr>
            <w:r w:rsidRPr="003433DF">
              <w:rPr>
                <w:b/>
                <w:bCs/>
                <w:spacing w:val="2"/>
                <w:sz w:val="22"/>
                <w:szCs w:val="22"/>
                <w:rtl/>
                <w:lang w:eastAsia="ar-SA" w:bidi="ar-EG"/>
              </w:rPr>
              <w:t>التفاصيل</w:t>
            </w:r>
          </w:p>
        </w:tc>
        <w:tc>
          <w:tcPr>
            <w:tcW w:w="1986" w:type="dxa"/>
          </w:tcPr>
          <w:p w14:paraId="08758B0A" w14:textId="77777777" w:rsidR="00093D41" w:rsidRPr="003433DF" w:rsidRDefault="00093D41" w:rsidP="00026181">
            <w:pPr>
              <w:pStyle w:val="ListParagraph"/>
              <w:bidi/>
              <w:ind w:left="0"/>
              <w:jc w:val="center"/>
              <w:rPr>
                <w:sz w:val="22"/>
                <w:szCs w:val="22"/>
              </w:rPr>
            </w:pPr>
            <w:r w:rsidRPr="003433DF">
              <w:rPr>
                <w:b/>
                <w:bCs/>
                <w:spacing w:val="2"/>
                <w:sz w:val="22"/>
                <w:szCs w:val="22"/>
                <w:rtl/>
                <w:lang w:eastAsia="ar-SA" w:bidi="ar-EG"/>
              </w:rPr>
              <w:t>التكلفة (دولار أمريكي)</w:t>
            </w:r>
          </w:p>
        </w:tc>
      </w:tr>
      <w:tr w:rsidR="00093D41" w14:paraId="0CEEE7F0" w14:textId="77777777" w:rsidTr="003433DF">
        <w:trPr>
          <w:trHeight w:val="642"/>
        </w:trPr>
        <w:tc>
          <w:tcPr>
            <w:tcW w:w="6094" w:type="dxa"/>
          </w:tcPr>
          <w:p w14:paraId="2A08611D" w14:textId="77777777" w:rsidR="00093D41" w:rsidRPr="003433DF" w:rsidRDefault="00093D41" w:rsidP="00026181">
            <w:pPr>
              <w:pStyle w:val="ListParagraph"/>
              <w:bidi/>
              <w:ind w:left="0"/>
              <w:rPr>
                <w:sz w:val="22"/>
                <w:szCs w:val="22"/>
              </w:rPr>
            </w:pPr>
            <w:r w:rsidRPr="003433DF">
              <w:rPr>
                <w:spacing w:val="2"/>
                <w:sz w:val="22"/>
                <w:szCs w:val="22"/>
                <w:rtl/>
                <w:lang w:eastAsia="ar-SA" w:bidi="ar-EG"/>
              </w:rPr>
              <w:t>تشمل التكاليف المقدرة لمعدات اختبار المعدات المختلفة تكاليف معدات اختبار الثلاجات المنزلية (</w:t>
            </w:r>
            <w:r w:rsidRPr="003433DF">
              <w:rPr>
                <w:spacing w:val="2"/>
                <w:sz w:val="22"/>
                <w:szCs w:val="22"/>
                <w:lang w:eastAsia="ar-SA" w:bidi="ar-EG"/>
              </w:rPr>
              <w:t>240,000</w:t>
            </w:r>
            <w:r w:rsidRPr="003433DF">
              <w:rPr>
                <w:spacing w:val="2"/>
                <w:sz w:val="22"/>
                <w:szCs w:val="22"/>
                <w:rtl/>
                <w:lang w:eastAsia="ar-SA" w:bidi="ar-EG"/>
              </w:rPr>
              <w:t xml:space="preserve"> دولار أمريكي) ووحدات التبريد التجارية المستقلة (</w:t>
            </w:r>
            <w:r w:rsidRPr="003433DF">
              <w:rPr>
                <w:spacing w:val="2"/>
                <w:sz w:val="22"/>
                <w:szCs w:val="22"/>
                <w:lang w:eastAsia="ar-SA" w:bidi="ar-EG"/>
              </w:rPr>
              <w:t>250,000</w:t>
            </w:r>
            <w:r w:rsidRPr="003433DF">
              <w:rPr>
                <w:spacing w:val="2"/>
                <w:sz w:val="22"/>
                <w:szCs w:val="22"/>
                <w:rtl/>
                <w:lang w:eastAsia="ar-SA" w:bidi="ar-EG"/>
              </w:rPr>
              <w:t xml:space="preserve"> دولار أمريكي) وأجهزة تكييف الهواء المنزلية حتى </w:t>
            </w:r>
            <w:r w:rsidRPr="003433DF">
              <w:rPr>
                <w:spacing w:val="2"/>
                <w:sz w:val="22"/>
                <w:szCs w:val="22"/>
                <w:lang w:eastAsia="ar-SA" w:bidi="ar-EG"/>
              </w:rPr>
              <w:t>3</w:t>
            </w:r>
            <w:r w:rsidRPr="003433DF">
              <w:rPr>
                <w:spacing w:val="2"/>
                <w:sz w:val="22"/>
                <w:szCs w:val="22"/>
                <w:rtl/>
                <w:lang w:eastAsia="ar-SA" w:bidi="ar-EG"/>
              </w:rPr>
              <w:t xml:space="preserve"> طن تبريد.</w:t>
            </w:r>
            <w:r w:rsidRPr="003433DF">
              <w:rPr>
                <w:rStyle w:val="FootnoteReference"/>
                <w:spacing w:val="2"/>
                <w:sz w:val="22"/>
                <w:szCs w:val="22"/>
                <w:rtl/>
                <w:lang w:eastAsia="ar-SA" w:bidi="ar-EG"/>
              </w:rPr>
              <w:footnoteReference w:id="5"/>
            </w:r>
            <w:r w:rsidRPr="003433DF">
              <w:rPr>
                <w:spacing w:val="2"/>
                <w:sz w:val="22"/>
                <w:szCs w:val="22"/>
                <w:rtl/>
                <w:lang w:eastAsia="ar-SA" w:bidi="ar-EG"/>
              </w:rPr>
              <w:t xml:space="preserve"> (</w:t>
            </w:r>
            <w:r w:rsidRPr="003433DF">
              <w:rPr>
                <w:spacing w:val="2"/>
                <w:sz w:val="22"/>
                <w:szCs w:val="22"/>
                <w:lang w:eastAsia="ar-SA" w:bidi="ar-EG"/>
              </w:rPr>
              <w:t>350,000</w:t>
            </w:r>
            <w:r w:rsidRPr="003433DF">
              <w:rPr>
                <w:spacing w:val="2"/>
                <w:sz w:val="22"/>
                <w:szCs w:val="22"/>
                <w:rtl/>
                <w:lang w:eastAsia="ar-SA" w:bidi="ar-EG"/>
              </w:rPr>
              <w:t xml:space="preserve"> دولار أمريكي). وتغطي التكاليف الرأسمالية أيضاً منشأة اختبار جودة غازات التبريد (</w:t>
            </w:r>
            <w:r w:rsidRPr="003433DF">
              <w:rPr>
                <w:spacing w:val="2"/>
                <w:sz w:val="22"/>
                <w:szCs w:val="22"/>
                <w:lang w:eastAsia="ar-SA" w:bidi="ar-EG"/>
              </w:rPr>
              <w:t>60,000</w:t>
            </w:r>
            <w:r w:rsidRPr="003433DF">
              <w:rPr>
                <w:spacing w:val="2"/>
                <w:sz w:val="22"/>
                <w:szCs w:val="22"/>
                <w:rtl/>
                <w:lang w:eastAsia="ar-SA" w:bidi="ar-EG"/>
              </w:rPr>
              <w:t xml:space="preserve"> دولار أمريكي)، وتشمل رسوم الشحن والتخليص الجمركي في البلدان المتلقية.</w:t>
            </w:r>
          </w:p>
        </w:tc>
        <w:tc>
          <w:tcPr>
            <w:tcW w:w="1986" w:type="dxa"/>
          </w:tcPr>
          <w:p w14:paraId="1E826F27" w14:textId="77777777" w:rsidR="00093D41" w:rsidRPr="003433DF" w:rsidRDefault="00093D41" w:rsidP="00433243">
            <w:pPr>
              <w:pStyle w:val="ListParagraph"/>
              <w:bidi/>
              <w:ind w:left="0"/>
              <w:jc w:val="left"/>
              <w:rPr>
                <w:sz w:val="22"/>
                <w:szCs w:val="22"/>
              </w:rPr>
            </w:pPr>
            <w:r w:rsidRPr="003433DF">
              <w:rPr>
                <w:spacing w:val="2"/>
                <w:sz w:val="22"/>
                <w:szCs w:val="22"/>
                <w:lang w:eastAsia="ar-SA" w:bidi="ar-EG"/>
              </w:rPr>
              <w:t>900,000</w:t>
            </w:r>
          </w:p>
        </w:tc>
      </w:tr>
      <w:tr w:rsidR="00093D41" w14:paraId="0BBE55F8" w14:textId="77777777" w:rsidTr="003433DF">
        <w:trPr>
          <w:trHeight w:val="642"/>
        </w:trPr>
        <w:tc>
          <w:tcPr>
            <w:tcW w:w="6094" w:type="dxa"/>
          </w:tcPr>
          <w:p w14:paraId="4444A194" w14:textId="77777777" w:rsidR="00093D41" w:rsidRPr="003433DF" w:rsidRDefault="00093D41" w:rsidP="00026181">
            <w:pPr>
              <w:pStyle w:val="ListParagraph"/>
              <w:bidi/>
              <w:ind w:left="0"/>
              <w:jc w:val="left"/>
              <w:rPr>
                <w:sz w:val="22"/>
                <w:szCs w:val="22"/>
              </w:rPr>
            </w:pPr>
            <w:r w:rsidRPr="003433DF">
              <w:rPr>
                <w:spacing w:val="2"/>
                <w:sz w:val="22"/>
                <w:szCs w:val="22"/>
                <w:rtl/>
                <w:lang w:eastAsia="ar-SA" w:bidi="ar-EG"/>
              </w:rPr>
              <w:t>تكاليف الحصول على الاعتماد (مثل رسوم الحصول على شهادة الأيزو وغيرها من الشهادات ذات الصلة)</w:t>
            </w:r>
          </w:p>
        </w:tc>
        <w:tc>
          <w:tcPr>
            <w:tcW w:w="1986" w:type="dxa"/>
          </w:tcPr>
          <w:p w14:paraId="17F777DF" w14:textId="77777777" w:rsidR="00093D41" w:rsidRPr="003433DF" w:rsidRDefault="00093D41" w:rsidP="00433243">
            <w:pPr>
              <w:pStyle w:val="ListParagraph"/>
              <w:bidi/>
              <w:ind w:left="0"/>
              <w:jc w:val="left"/>
              <w:rPr>
                <w:sz w:val="22"/>
                <w:szCs w:val="22"/>
              </w:rPr>
            </w:pPr>
            <w:r w:rsidRPr="003433DF">
              <w:rPr>
                <w:spacing w:val="2"/>
                <w:sz w:val="22"/>
                <w:szCs w:val="22"/>
                <w:lang w:eastAsia="ar-SA" w:bidi="ar-EG"/>
              </w:rPr>
              <w:t>50,000</w:t>
            </w:r>
          </w:p>
        </w:tc>
      </w:tr>
      <w:tr w:rsidR="00093D41" w14:paraId="49D2E983" w14:textId="77777777" w:rsidTr="003433DF">
        <w:trPr>
          <w:trHeight w:val="642"/>
        </w:trPr>
        <w:tc>
          <w:tcPr>
            <w:tcW w:w="6094" w:type="dxa"/>
          </w:tcPr>
          <w:p w14:paraId="1FF4C82A" w14:textId="77777777" w:rsidR="00093D41" w:rsidRPr="003433DF" w:rsidRDefault="00093D41" w:rsidP="00026181">
            <w:pPr>
              <w:pStyle w:val="ListParagraph"/>
              <w:bidi/>
              <w:ind w:left="0"/>
              <w:jc w:val="left"/>
              <w:rPr>
                <w:sz w:val="22"/>
                <w:szCs w:val="22"/>
              </w:rPr>
            </w:pPr>
            <w:r w:rsidRPr="003433DF">
              <w:rPr>
                <w:b/>
                <w:bCs/>
                <w:spacing w:val="2"/>
                <w:sz w:val="22"/>
                <w:szCs w:val="22"/>
                <w:rtl/>
                <w:lang w:eastAsia="ar-SA" w:bidi="ar-EG"/>
              </w:rPr>
              <w:t>إجمالي التكاليف الرأسمالية</w:t>
            </w:r>
          </w:p>
        </w:tc>
        <w:tc>
          <w:tcPr>
            <w:tcW w:w="1986" w:type="dxa"/>
          </w:tcPr>
          <w:p w14:paraId="0CAFA829" w14:textId="77777777" w:rsidR="00093D41" w:rsidRPr="003433DF" w:rsidRDefault="00093D41" w:rsidP="00433243">
            <w:pPr>
              <w:pStyle w:val="ListParagraph"/>
              <w:bidi/>
              <w:ind w:left="0"/>
              <w:jc w:val="left"/>
              <w:rPr>
                <w:sz w:val="22"/>
                <w:szCs w:val="22"/>
              </w:rPr>
            </w:pPr>
            <w:r w:rsidRPr="003433DF">
              <w:rPr>
                <w:b/>
                <w:bCs/>
                <w:spacing w:val="2"/>
                <w:sz w:val="22"/>
                <w:szCs w:val="22"/>
                <w:lang w:eastAsia="ar-SA" w:bidi="ar-EG"/>
              </w:rPr>
              <w:t>950,000</w:t>
            </w:r>
          </w:p>
        </w:tc>
      </w:tr>
    </w:tbl>
    <w:p w14:paraId="3B551E68" w14:textId="77777777" w:rsidR="00093D41" w:rsidRDefault="00093D41" w:rsidP="00B37C68">
      <w:pPr>
        <w:pStyle w:val="ListParagraph"/>
        <w:bidi/>
        <w:ind w:left="1280"/>
        <w:rPr>
          <w:sz w:val="26"/>
          <w:szCs w:val="26"/>
        </w:rPr>
      </w:pPr>
      <w:r>
        <w:rPr>
          <w:spacing w:val="2"/>
          <w:sz w:val="26"/>
          <w:szCs w:val="26"/>
          <w:u w:val="single"/>
          <w:rtl/>
          <w:lang w:eastAsia="ar-SA" w:bidi="ar-EG"/>
        </w:rPr>
        <w:t>ملاحظات:</w:t>
      </w:r>
      <w:r>
        <w:rPr>
          <w:spacing w:val="2"/>
          <w:sz w:val="26"/>
          <w:szCs w:val="26"/>
          <w:rtl/>
          <w:lang w:eastAsia="ar-SA" w:bidi="ar-EG"/>
        </w:rPr>
        <w:t xml:space="preserve"> (</w:t>
      </w:r>
      <w:r>
        <w:rPr>
          <w:spacing w:val="2"/>
          <w:sz w:val="26"/>
          <w:szCs w:val="26"/>
          <w:lang w:eastAsia="ar-SA" w:bidi="ar-EG"/>
        </w:rPr>
        <w:t>1</w:t>
      </w:r>
      <w:r>
        <w:rPr>
          <w:spacing w:val="2"/>
          <w:sz w:val="26"/>
          <w:szCs w:val="26"/>
          <w:rtl/>
          <w:lang w:eastAsia="ar-SA" w:bidi="ar-EG"/>
        </w:rPr>
        <w:t>) قد يلزم تحسين درجة المعدات بشكل دوري حسب التطور التقني الحادث. ويجب دراسة تكاليف التحسين بعناية ودمجها في نموذج عمل تشغيل المركز؛ (</w:t>
      </w:r>
      <w:r>
        <w:rPr>
          <w:spacing w:val="2"/>
          <w:sz w:val="26"/>
          <w:szCs w:val="26"/>
          <w:lang w:eastAsia="ar-SA" w:bidi="ar-EG"/>
        </w:rPr>
        <w:t>2</w:t>
      </w:r>
      <w:r>
        <w:rPr>
          <w:spacing w:val="2"/>
          <w:sz w:val="26"/>
          <w:szCs w:val="26"/>
          <w:rtl/>
          <w:lang w:eastAsia="ar-SA" w:bidi="ar-EG"/>
        </w:rPr>
        <w:t>) قد تختلف التكاليف حسب مواصفات المعدات وموقعها، لذلك يجب إجراء تحليل لكل مستوى من مستويات تكلفة المشروع على أساس كل حالة على حدة.</w:t>
      </w:r>
    </w:p>
    <w:p w14:paraId="4B7C5120" w14:textId="77777777" w:rsidR="00093D41" w:rsidRDefault="00093D41" w:rsidP="00093D41">
      <w:pPr>
        <w:pStyle w:val="ListParagraph"/>
        <w:bidi/>
        <w:rPr>
          <w:spacing w:val="2"/>
          <w:sz w:val="26"/>
          <w:szCs w:val="26"/>
        </w:rPr>
      </w:pPr>
    </w:p>
    <w:p w14:paraId="7B410E31" w14:textId="58A38C3D" w:rsidR="00093D41" w:rsidRDefault="00093D41" w:rsidP="004E27D6">
      <w:pPr>
        <w:pStyle w:val="Heading2"/>
        <w:numPr>
          <w:ilvl w:val="0"/>
          <w:numId w:val="23"/>
        </w:numPr>
        <w:bidi/>
        <w:ind w:left="1440" w:hanging="727"/>
        <w:rPr>
          <w:sz w:val="26"/>
          <w:szCs w:val="26"/>
        </w:rPr>
      </w:pPr>
      <w:r>
        <w:rPr>
          <w:sz w:val="26"/>
          <w:szCs w:val="26"/>
          <w:rtl/>
          <w:lang w:eastAsia="ar-SA" w:bidi="ar-EG"/>
        </w:rPr>
        <w:t>تختلف التكاليف التشغيلية بناءً على عدة عوامل منها الموقع وعدد وأنواع الوحدات التي تخضع للاختبار للاعتماد ومراقبة السوق والتفتيش. والتكاليف التشغيلية هي التكاليف المتعلقة بشكل أساسي بالموظفين ومواد الاختبار والصيانة، بما فيها المعايرة والمراجعة السنوية، والمرافق والتكاليف الإدارية الأخرى. ويشمل الموظفون الفنيون اللازمون لتشغيل مركز الاختبار مهندساً للإشراف على الجوانب الفنية المتعلقة باختبار فئات مختلفة من المعدات (مثل تعديل إجراء الاختبار لمراعاة الظروف المناخية المختلفة وجودة إمدادات الكهرباء والتعديل في مقياس الكفاءة في استخدام الطاقة) وفنياً أو اثنين لمساعدة المهندس في إجراء الاختبار. ويختلف عدد الموظفين باختلاف حجم وعمليات الأعمال المقترحة لتشغيل المركز. وتشكل التكاليف التشغيلية جزءاً من نموذج الأعمال، ويمكن اعتبار هذه التكاليف خارج أي دعم محتمل يقدمه الصندوق المتعدد الأطراف؛</w:t>
      </w:r>
      <w:r w:rsidR="00703225">
        <w:rPr>
          <w:sz w:val="26"/>
          <w:szCs w:val="26"/>
          <w:rtl/>
          <w:lang w:eastAsia="ar-SA" w:bidi="ar-EG"/>
        </w:rPr>
        <w:t xml:space="preserve"> </w:t>
      </w:r>
      <w:r>
        <w:rPr>
          <w:sz w:val="26"/>
          <w:szCs w:val="26"/>
          <w:rtl/>
          <w:lang w:eastAsia="ar-SA" w:bidi="ar-EG"/>
        </w:rPr>
        <w:t xml:space="preserve"> </w:t>
      </w:r>
    </w:p>
    <w:p w14:paraId="09CA5847" w14:textId="661C39EA" w:rsidR="00093D41" w:rsidRDefault="00093D41" w:rsidP="004E27D6">
      <w:pPr>
        <w:pStyle w:val="Heading2"/>
        <w:numPr>
          <w:ilvl w:val="0"/>
          <w:numId w:val="23"/>
        </w:numPr>
        <w:bidi/>
        <w:ind w:left="1440" w:hanging="727"/>
        <w:rPr>
          <w:sz w:val="26"/>
          <w:szCs w:val="26"/>
        </w:rPr>
      </w:pPr>
      <w:r>
        <w:rPr>
          <w:sz w:val="26"/>
          <w:szCs w:val="26"/>
          <w:rtl/>
          <w:lang w:eastAsia="ar-SA" w:bidi="ar-EG"/>
        </w:rPr>
        <w:t>يمكن تنفيذ أنشطة إضافية مثل برامج مراقبة السوق، وتحسين أداء المنتجات وإدخال تعديلات على التصميم، وحضور إجراءات الاختبار، وتدريب المهندسين على إجراءات الاختبار والاعتماد، بدعم من الوكالات الخارجية ذات الصلة (مثل منظمات التحقق الخارجية مثل الشركة العامة للرقابة (</w:t>
      </w:r>
      <w:r>
        <w:rPr>
          <w:sz w:val="26"/>
          <w:szCs w:val="26"/>
          <w:lang w:eastAsia="ar-SA" w:bidi="en-GB"/>
        </w:rPr>
        <w:t>SGS</w:t>
      </w:r>
      <w:r>
        <w:rPr>
          <w:sz w:val="26"/>
          <w:szCs w:val="26"/>
          <w:rtl/>
          <w:lang w:eastAsia="ar-SA" w:bidi="ar-EG"/>
        </w:rPr>
        <w:t>) و جمعية التفتيش الفني (</w:t>
      </w:r>
      <w:r>
        <w:rPr>
          <w:sz w:val="26"/>
          <w:szCs w:val="26"/>
          <w:lang w:eastAsia="ar-SA" w:bidi="en-GB"/>
        </w:rPr>
        <w:t>TÜV</w:t>
      </w:r>
      <w:r>
        <w:rPr>
          <w:sz w:val="26"/>
          <w:szCs w:val="26"/>
          <w:rtl/>
          <w:lang w:eastAsia="ar-SA" w:bidi="ar-EG"/>
        </w:rPr>
        <w:t xml:space="preserve">)، وكذلك الخبراء المتخصصين من مراكز الاختبار القائمة). </w:t>
      </w:r>
      <w:r>
        <w:rPr>
          <w:sz w:val="26"/>
          <w:szCs w:val="26"/>
          <w:rtl/>
          <w:lang w:eastAsia="ar-SA" w:bidi="ar-EG"/>
        </w:rPr>
        <w:lastRenderedPageBreak/>
        <w:t xml:space="preserve">ويجب الاستعانة بهؤلاء الخبراء/المنظمات المتخصصة لتنفيذ مهمات محددة حسب الحاجة. ويمكن أن تُسهم هذه الخدمات في مساعدة مركز الاختبار على اكتساب المعرفة وكسب الاعتراف الإقليمي، مما يُعزّز جدوى المركز، وقد يُساهم أيضًا في تحقيق إيرادات إضافية يمكن أن تدعم العمليات التشغيلية له. </w:t>
      </w:r>
    </w:p>
    <w:p w14:paraId="32A9539E" w14:textId="77777777" w:rsidR="00093D41" w:rsidRDefault="00093D41" w:rsidP="00093D41">
      <w:pPr>
        <w:shd w:val="clear" w:color="auto" w:fill="FFFFFF"/>
        <w:bidi/>
        <w:rPr>
          <w:sz w:val="26"/>
          <w:szCs w:val="26"/>
        </w:rPr>
      </w:pPr>
      <w:r>
        <w:rPr>
          <w:spacing w:val="2"/>
          <w:sz w:val="26"/>
          <w:szCs w:val="26"/>
          <w:u w:val="single"/>
          <w:rtl/>
          <w:lang w:eastAsia="ar-SA" w:bidi="ar-EG"/>
        </w:rPr>
        <w:t xml:space="preserve">التمويل المشترك </w:t>
      </w:r>
    </w:p>
    <w:p w14:paraId="24F9943D" w14:textId="77777777" w:rsidR="00093D41" w:rsidRDefault="00093D41" w:rsidP="00093D41">
      <w:pPr>
        <w:shd w:val="clear" w:color="auto" w:fill="FFFFFF"/>
        <w:bidi/>
        <w:rPr>
          <w:spacing w:val="2"/>
          <w:sz w:val="26"/>
          <w:szCs w:val="26"/>
        </w:rPr>
      </w:pPr>
    </w:p>
    <w:p w14:paraId="15B8B8B6" w14:textId="017478D0" w:rsidR="00093D41" w:rsidRDefault="00093D41" w:rsidP="004E27D6">
      <w:pPr>
        <w:pStyle w:val="Heading2"/>
        <w:numPr>
          <w:ilvl w:val="0"/>
          <w:numId w:val="23"/>
        </w:numPr>
        <w:bidi/>
        <w:ind w:left="1440" w:hanging="727"/>
      </w:pPr>
      <w:r>
        <w:rPr>
          <w:sz w:val="26"/>
          <w:szCs w:val="26"/>
          <w:rtl/>
          <w:lang w:eastAsia="ar-SA" w:bidi="ar-EG"/>
        </w:rPr>
        <w:t>الحصول على مساهمات مالية من الحكومة (أو الحكومات) أو المصادر غير التابعة للصندوق المتعدد الأطراف داخل المنطقة لتغطية التكاليف الرأسمالية والتشغيلية هو شرطٌ أساسيٌ لتعزيز الالتزام بمواصلة العمليات ودعم مركز الاختبار. ومن المتوقع أن يفيد التمويل المشترك في تعزيز جاذبية جدوى المركز.</w:t>
      </w:r>
      <w:r w:rsidR="00703225">
        <w:rPr>
          <w:sz w:val="26"/>
          <w:szCs w:val="26"/>
          <w:rtl/>
          <w:lang w:eastAsia="ar-SA" w:bidi="ar-EG"/>
        </w:rPr>
        <w:t xml:space="preserve"> </w:t>
      </w:r>
    </w:p>
    <w:p w14:paraId="6A92DBB5" w14:textId="77777777" w:rsidR="00093D41" w:rsidRDefault="00093D41" w:rsidP="00093D41">
      <w:pPr>
        <w:shd w:val="clear" w:color="auto" w:fill="FFFFFF"/>
        <w:bidi/>
        <w:rPr>
          <w:sz w:val="26"/>
          <w:szCs w:val="26"/>
          <w:lang w:val="en-US"/>
        </w:rPr>
      </w:pPr>
      <w:r>
        <w:rPr>
          <w:spacing w:val="2"/>
          <w:sz w:val="26"/>
          <w:szCs w:val="26"/>
          <w:u w:val="single"/>
          <w:rtl/>
          <w:lang w:eastAsia="ar-SA" w:bidi="ar-EG"/>
        </w:rPr>
        <w:t xml:space="preserve">حجم العمليات اللازم لتحقيق جدوى </w:t>
      </w:r>
      <w:r>
        <w:rPr>
          <w:spacing w:val="2"/>
          <w:sz w:val="26"/>
          <w:szCs w:val="26"/>
          <w:u w:val="single"/>
          <w:rtl/>
          <w:lang w:val="en-US" w:eastAsia="ar-SA" w:bidi="ar-EG"/>
        </w:rPr>
        <w:t>المشروع</w:t>
      </w:r>
    </w:p>
    <w:p w14:paraId="1F03946F" w14:textId="77777777" w:rsidR="00093D41" w:rsidRDefault="00093D41" w:rsidP="00093D41">
      <w:pPr>
        <w:shd w:val="clear" w:color="auto" w:fill="FFFFFF"/>
        <w:bidi/>
        <w:rPr>
          <w:spacing w:val="2"/>
          <w:sz w:val="26"/>
          <w:szCs w:val="26"/>
        </w:rPr>
      </w:pPr>
    </w:p>
    <w:p w14:paraId="67622C74" w14:textId="77777777" w:rsidR="00093D41" w:rsidRDefault="00093D41" w:rsidP="004E27D6">
      <w:pPr>
        <w:pStyle w:val="Heading2"/>
        <w:numPr>
          <w:ilvl w:val="0"/>
          <w:numId w:val="23"/>
        </w:numPr>
        <w:bidi/>
        <w:ind w:left="1440" w:hanging="727"/>
        <w:rPr>
          <w:sz w:val="26"/>
          <w:szCs w:val="26"/>
        </w:rPr>
      </w:pPr>
      <w:r>
        <w:rPr>
          <w:sz w:val="26"/>
          <w:szCs w:val="26"/>
          <w:rtl/>
          <w:lang w:eastAsia="ar-SA" w:bidi="ar-EG"/>
        </w:rPr>
        <w:t>عدد المعدات بمختف فئاتها (مثل البرادات ومكيفات الهواء المنزلية) المتوقع اختبارها لمختلف البلدان، بما فيها البلدان الخاضعة لبرامج مراقبة السوق، هو ما سيحدد الإيرادات المباشرة التي ستدرها الاختبارات والاعتمادات، وبالتالي جدوى المركز ونموذج أعماله. ومن المتوقع أن تساهم الأنشطة المتعلقة بالاختبار/الاعتماد ومراقبة السوق في جزء كبير من الإيرادات، وستدفع بشكل مباشر العمليات التجارية للمركز.</w:t>
      </w:r>
    </w:p>
    <w:p w14:paraId="3C505EF1" w14:textId="77777777" w:rsidR="00093D41" w:rsidRDefault="00093D41" w:rsidP="00093D41">
      <w:pPr>
        <w:shd w:val="clear" w:color="auto" w:fill="FFFFFF"/>
        <w:bidi/>
        <w:rPr>
          <w:sz w:val="26"/>
          <w:szCs w:val="26"/>
        </w:rPr>
      </w:pPr>
      <w:r>
        <w:rPr>
          <w:spacing w:val="2"/>
          <w:sz w:val="26"/>
          <w:szCs w:val="26"/>
          <w:u w:val="single"/>
          <w:rtl/>
          <w:lang w:eastAsia="ar-SA" w:bidi="ar-EG"/>
        </w:rPr>
        <w:t xml:space="preserve">الهيكل الإداري </w:t>
      </w:r>
    </w:p>
    <w:p w14:paraId="7257269A" w14:textId="77777777" w:rsidR="00093D41" w:rsidRDefault="00093D41" w:rsidP="00093D41">
      <w:pPr>
        <w:shd w:val="clear" w:color="auto" w:fill="FFFFFF"/>
        <w:bidi/>
        <w:ind w:left="720"/>
        <w:rPr>
          <w:spacing w:val="2"/>
          <w:sz w:val="26"/>
          <w:szCs w:val="26"/>
        </w:rPr>
      </w:pPr>
    </w:p>
    <w:p w14:paraId="1470E719" w14:textId="25EECEA3" w:rsidR="00093D41" w:rsidRDefault="00093D41" w:rsidP="004E27D6">
      <w:pPr>
        <w:pStyle w:val="Heading2"/>
        <w:numPr>
          <w:ilvl w:val="0"/>
          <w:numId w:val="23"/>
        </w:numPr>
        <w:bidi/>
        <w:ind w:left="1440" w:hanging="727"/>
        <w:rPr>
          <w:sz w:val="26"/>
          <w:szCs w:val="26"/>
        </w:rPr>
      </w:pPr>
      <w:r>
        <w:rPr>
          <w:sz w:val="26"/>
          <w:szCs w:val="26"/>
          <w:rtl/>
          <w:lang w:eastAsia="ar-SA" w:bidi="ar-EG"/>
        </w:rPr>
        <w:t>ينبغي أن يضمن الهيكل الإداري للمركز الكفاءة الفنية، والاستقلالية والحياد، والتنسيق الإقليمي بين البلدان المشاركة. كما ينبغي أن يشمل عناصر تُمكن ممثلي البلدان المشاركة من الرصد الدوري وإعداد التقارير، قدر الإمكان، ومن تنفيذ إجراءات الدعم الفني والإشراف، وخاصة من خلال الهيئات الحكومية و/أو الهيئات المستقلة ذات الصلة. وقد تختلف سمات الهيكل الإداري حسب الاحتياجات والمتطلبات الإقليمية المحددة (على سبيل المثال، يمكن للبلدان في المنطقة أن ترأس لجنة الإدارة أو ما يعادلها بالتناوب).</w:t>
      </w:r>
      <w:r w:rsidR="00703225">
        <w:rPr>
          <w:sz w:val="26"/>
          <w:szCs w:val="26"/>
          <w:rtl/>
          <w:lang w:eastAsia="ar-SA" w:bidi="ar-EG"/>
        </w:rPr>
        <w:t xml:space="preserve"> </w:t>
      </w:r>
    </w:p>
    <w:p w14:paraId="4A5E5504" w14:textId="4441673B" w:rsidR="00093D41" w:rsidRDefault="00093D41" w:rsidP="00093D41">
      <w:pPr>
        <w:shd w:val="clear" w:color="auto" w:fill="FFFFFF"/>
        <w:bidi/>
        <w:rPr>
          <w:sz w:val="26"/>
          <w:szCs w:val="26"/>
        </w:rPr>
      </w:pPr>
      <w:r>
        <w:rPr>
          <w:spacing w:val="2"/>
          <w:sz w:val="26"/>
          <w:szCs w:val="26"/>
          <w:u w:val="single"/>
          <w:rtl/>
          <w:lang w:eastAsia="ar-SA" w:bidi="ar-EG"/>
        </w:rPr>
        <w:t>تحسين مركز فني وطني قائم</w:t>
      </w:r>
      <w:r w:rsidR="00703225">
        <w:rPr>
          <w:spacing w:val="2"/>
          <w:sz w:val="26"/>
          <w:szCs w:val="26"/>
          <w:u w:val="single"/>
          <w:rtl/>
          <w:lang w:eastAsia="ar-SA" w:bidi="ar-EG"/>
        </w:rPr>
        <w:t xml:space="preserve"> </w:t>
      </w:r>
    </w:p>
    <w:p w14:paraId="1FF0575E" w14:textId="77777777" w:rsidR="00093D41" w:rsidRDefault="00093D41" w:rsidP="00093D41">
      <w:pPr>
        <w:shd w:val="clear" w:color="auto" w:fill="FFFFFF"/>
        <w:bidi/>
        <w:rPr>
          <w:spacing w:val="2"/>
          <w:sz w:val="26"/>
          <w:szCs w:val="26"/>
        </w:rPr>
      </w:pPr>
    </w:p>
    <w:p w14:paraId="62546D9D" w14:textId="77777777" w:rsidR="00093D41" w:rsidRDefault="00093D41" w:rsidP="004E27D6">
      <w:pPr>
        <w:pStyle w:val="Heading2"/>
        <w:numPr>
          <w:ilvl w:val="0"/>
          <w:numId w:val="23"/>
        </w:numPr>
        <w:bidi/>
        <w:ind w:left="1440" w:hanging="727"/>
        <w:rPr>
          <w:sz w:val="26"/>
          <w:szCs w:val="26"/>
          <w:rtl/>
          <w:lang w:eastAsia="ar-SA" w:bidi="ar-EG"/>
        </w:rPr>
      </w:pPr>
      <w:r>
        <w:rPr>
          <w:sz w:val="26"/>
          <w:szCs w:val="26"/>
          <w:rtl/>
          <w:lang w:eastAsia="ar-SA" w:bidi="ar-EG"/>
        </w:rPr>
        <w:t>يمكن لمركز الاختبار الوطني الحالي أيضاً أن يكون مركز اختبار إقليمي لدعم البلدان الأخرى في المنطقة. وفي هذه الحالة، فإن التزام تلك البلدان بالاعتراف بمركز الاختبار والاستفادة منه باعتباره مركزاً إقليمياً سيكون أمراً أساسياً. وباستخدام مركز قائم، سيتطلب وضع هيكل إداري جهداً أقل، لأن المركز الوطني لديه بالفعل هيكل إدارة تشغيلي. وسيكون تحليل التكاليف والفوائد لاستخدام خدمات المركز الحالي في المنطقة أمراً بالغ الأهمية.</w:t>
      </w:r>
    </w:p>
    <w:p w14:paraId="401A478E" w14:textId="77777777" w:rsidR="00B37C68" w:rsidRDefault="00B37C68" w:rsidP="00B37C68">
      <w:pPr>
        <w:bidi/>
        <w:rPr>
          <w:rtl/>
          <w:lang w:eastAsia="ar-SA" w:bidi="ar-EG"/>
        </w:rPr>
      </w:pPr>
    </w:p>
    <w:p w14:paraId="38D278AA" w14:textId="77777777" w:rsidR="00B37C68" w:rsidRPr="00B37C68" w:rsidRDefault="00B37C68" w:rsidP="00B37C68">
      <w:pPr>
        <w:bidi/>
        <w:rPr>
          <w:lang w:eastAsia="ar-SA" w:bidi="ar-EG"/>
        </w:rPr>
      </w:pPr>
    </w:p>
    <w:p w14:paraId="5BFE1047" w14:textId="77777777" w:rsidR="00093D41" w:rsidRDefault="00093D41" w:rsidP="00093D41">
      <w:pPr>
        <w:pStyle w:val="NormalWeb"/>
        <w:bidi/>
        <w:spacing w:beforeAutospacing="0" w:afterAutospacing="0"/>
        <w:rPr>
          <w:sz w:val="26"/>
          <w:szCs w:val="26"/>
        </w:rPr>
      </w:pPr>
      <w:r>
        <w:rPr>
          <w:spacing w:val="2"/>
          <w:sz w:val="26"/>
          <w:szCs w:val="26"/>
          <w:u w:val="single"/>
          <w:rtl/>
          <w:lang w:eastAsia="ar-SA" w:bidi="ar-EG"/>
        </w:rPr>
        <w:t xml:space="preserve">إدراج مركز اختبار في أحد </w:t>
      </w:r>
      <w:r>
        <w:rPr>
          <w:sz w:val="26"/>
          <w:szCs w:val="26"/>
          <w:u w:val="single"/>
          <w:rtl/>
          <w:lang w:eastAsia="ar-SA" w:bidi="ar-EG"/>
        </w:rPr>
        <w:t>مراكز امتياز الكفاءة في استخدام الطاقة</w:t>
      </w:r>
      <w:r>
        <w:rPr>
          <w:spacing w:val="2"/>
          <w:sz w:val="26"/>
          <w:szCs w:val="26"/>
          <w:u w:val="single"/>
          <w:rtl/>
          <w:lang w:eastAsia="ar-SA" w:bidi="ar-EG"/>
        </w:rPr>
        <w:t xml:space="preserve"> القائمة</w:t>
      </w:r>
      <w:r>
        <w:rPr>
          <w:sz w:val="26"/>
          <w:szCs w:val="26"/>
          <w:u w:val="single"/>
          <w:rtl/>
          <w:lang w:eastAsia="ar-SA" w:bidi="ar-EG"/>
        </w:rPr>
        <w:t xml:space="preserve"> </w:t>
      </w:r>
    </w:p>
    <w:p w14:paraId="3CC35161" w14:textId="77777777" w:rsidR="00093D41" w:rsidRDefault="00093D41" w:rsidP="00093D41">
      <w:pPr>
        <w:pStyle w:val="NormalWeb"/>
        <w:bidi/>
        <w:spacing w:beforeAutospacing="0" w:afterAutospacing="0"/>
        <w:rPr>
          <w:sz w:val="26"/>
          <w:szCs w:val="26"/>
        </w:rPr>
      </w:pPr>
    </w:p>
    <w:p w14:paraId="2C15CB0F" w14:textId="77777777" w:rsidR="00093D41" w:rsidRDefault="00093D41" w:rsidP="004E27D6">
      <w:pPr>
        <w:pStyle w:val="Heading2"/>
        <w:numPr>
          <w:ilvl w:val="0"/>
          <w:numId w:val="23"/>
        </w:numPr>
        <w:bidi/>
        <w:ind w:left="1440" w:hanging="727"/>
        <w:rPr>
          <w:sz w:val="26"/>
          <w:szCs w:val="26"/>
        </w:rPr>
      </w:pPr>
      <w:r>
        <w:rPr>
          <w:sz w:val="26"/>
          <w:szCs w:val="26"/>
          <w:rtl/>
          <w:lang w:eastAsia="ar-SA" w:bidi="ar-EG"/>
        </w:rPr>
        <w:t xml:space="preserve">يمكن أن يستضيف مركز امتياز معترف به مركز اختبار مجهزاً جيداً ومعتمداً على أساس كل حالة على حدة. ويمكن أن يضم مركز الامتياز شركاء من منظمات أخرى ذات صلة تتولى تقديم خدمات مختلفة تتعلق بمعدات التبريد وتكييف الهواء والمضخات الحرارية كما هو موضح في الوثيقة </w:t>
      </w:r>
      <w:r>
        <w:rPr>
          <w:sz w:val="26"/>
          <w:szCs w:val="26"/>
          <w:lang w:eastAsia="ar-SA" w:bidi="en-GB"/>
        </w:rPr>
        <w:t>UNEP/OzL.Pro/ExCom</w:t>
      </w:r>
      <w:r>
        <w:rPr>
          <w:sz w:val="26"/>
          <w:szCs w:val="26"/>
          <w:lang w:eastAsia="ar-SA" w:bidi="ar-EG"/>
        </w:rPr>
        <w:t>/97/85</w:t>
      </w:r>
      <w:r>
        <w:rPr>
          <w:sz w:val="26"/>
          <w:szCs w:val="26"/>
          <w:rtl/>
          <w:lang w:eastAsia="ar-SA" w:bidi="ar-EG"/>
        </w:rPr>
        <w:t xml:space="preserve">. وتتمثل المزايا الرئيسية لاستضافة مركز الاختبار داخل مركز الامتياز في سهولة تشغيل المرفقين في موقع واحد، وهو ما يمكن مفيداً من الناحية اللوجستية؛ </w:t>
      </w:r>
      <w:r>
        <w:rPr>
          <w:sz w:val="26"/>
          <w:szCs w:val="26"/>
          <w:rtl/>
          <w:lang w:eastAsia="ar-SA" w:bidi="ar-EG"/>
        </w:rPr>
        <w:lastRenderedPageBreak/>
        <w:t xml:space="preserve">وتوافر الدعم الفني للأنشطة التي يقوم بها المرفقان؛ وانخفاض التكاليف الإدارية أثناء التشغيل. يجب تقييم جدوى الأعمال لمركز الاختبار بناءً على الخطوات الموضحة في الفقرات الفرعية </w:t>
      </w:r>
      <w:r>
        <w:rPr>
          <w:sz w:val="26"/>
          <w:szCs w:val="26"/>
          <w:lang w:eastAsia="ar-SA" w:bidi="ar-EG"/>
        </w:rPr>
        <w:t>6</w:t>
      </w:r>
      <w:r>
        <w:rPr>
          <w:sz w:val="26"/>
          <w:szCs w:val="26"/>
          <w:rtl/>
          <w:lang w:eastAsia="ar-SA" w:bidi="ar-EG"/>
        </w:rPr>
        <w:t xml:space="preserve"> (أ) إلى </w:t>
      </w:r>
      <w:r>
        <w:rPr>
          <w:sz w:val="26"/>
          <w:szCs w:val="26"/>
          <w:lang w:eastAsia="ar-SA" w:bidi="ar-EG"/>
        </w:rPr>
        <w:t>6</w:t>
      </w:r>
      <w:r>
        <w:rPr>
          <w:sz w:val="26"/>
          <w:szCs w:val="26"/>
          <w:rtl/>
          <w:lang w:eastAsia="ar-SA" w:bidi="ar-EG"/>
        </w:rPr>
        <w:t xml:space="preserve"> (ي).</w:t>
      </w:r>
    </w:p>
    <w:p w14:paraId="5B1BC99A" w14:textId="77777777" w:rsidR="00093D41" w:rsidRDefault="00093D41" w:rsidP="00093D41">
      <w:pPr>
        <w:pStyle w:val="NormalWeb"/>
        <w:keepNext/>
        <w:bidi/>
        <w:spacing w:beforeAutospacing="0" w:afterAutospacing="0"/>
        <w:jc w:val="both"/>
        <w:rPr>
          <w:sz w:val="26"/>
          <w:szCs w:val="26"/>
        </w:rPr>
      </w:pPr>
      <w:r>
        <w:rPr>
          <w:b/>
          <w:bCs/>
          <w:sz w:val="26"/>
          <w:szCs w:val="26"/>
          <w:rtl/>
          <w:lang w:eastAsia="ar-SA" w:bidi="ar-EG"/>
        </w:rPr>
        <w:t xml:space="preserve">خيارات دعم مراكز اختبار الكفاءة في استخدام الطاقة في إطار الصندوق المتعدد الأطراف </w:t>
      </w:r>
    </w:p>
    <w:p w14:paraId="5411F9E7" w14:textId="77777777" w:rsidR="00093D41" w:rsidRDefault="00093D41" w:rsidP="00093D41">
      <w:pPr>
        <w:pStyle w:val="NormalWeb"/>
        <w:keepNext/>
        <w:bidi/>
        <w:spacing w:beforeAutospacing="0" w:afterAutospacing="0"/>
        <w:rPr>
          <w:b/>
          <w:bCs/>
          <w:sz w:val="26"/>
          <w:szCs w:val="26"/>
        </w:rPr>
      </w:pPr>
    </w:p>
    <w:p w14:paraId="50ACEE68" w14:textId="77777777" w:rsidR="00093D41" w:rsidRDefault="00093D41" w:rsidP="00093D41">
      <w:pPr>
        <w:pStyle w:val="Heading1"/>
        <w:keepNext/>
        <w:bidi/>
        <w:rPr>
          <w:sz w:val="26"/>
          <w:szCs w:val="26"/>
        </w:rPr>
      </w:pPr>
      <w:r>
        <w:rPr>
          <w:sz w:val="26"/>
          <w:szCs w:val="26"/>
          <w:rtl/>
          <w:lang w:eastAsia="ar-SA" w:bidi="ar-EG"/>
        </w:rPr>
        <w:t xml:space="preserve">يمكن للصندوق المتعدد الأطراف أن يدعم إما التكاليف الرأسمالية اللازمة لتحسين مركز اختبار قائم، أو إنشاء مركز جديد. ويعرض الجدول </w:t>
      </w:r>
      <w:r>
        <w:rPr>
          <w:sz w:val="26"/>
          <w:szCs w:val="26"/>
          <w:lang w:eastAsia="ar-SA" w:bidi="ar-EG"/>
        </w:rPr>
        <w:t>1</w:t>
      </w:r>
      <w:r>
        <w:rPr>
          <w:sz w:val="26"/>
          <w:szCs w:val="26"/>
          <w:rtl/>
          <w:lang w:eastAsia="ar-SA" w:bidi="ar-EG"/>
        </w:rPr>
        <w:t xml:space="preserve"> الحد الأقصى للتكاليف الرأسمالية، وهو يشير إلى إنشاء مركز الاختبار. وسيخضع التمويل الجزئي للتحسين للتقييم على أساس كل حالة على حدة، بناءً على تحليل التكاليف والفوائد الخاص بالمركز. ويمكن أن تقوم اجتماعات الشبكة الإقليمية التي ينظمها برنامج الأمم المتحدة للبيئة بشأن الأوزون بدور منصة لتعزيز الاعتراف بالمراكز في المنطقة، حيثما كان ذلك مناسباً. </w:t>
      </w:r>
    </w:p>
    <w:p w14:paraId="1542DD4E" w14:textId="77777777" w:rsidR="00093D41" w:rsidRDefault="00093D41" w:rsidP="00093D41">
      <w:pPr>
        <w:pStyle w:val="Heading1"/>
        <w:bidi/>
        <w:rPr>
          <w:sz w:val="26"/>
          <w:szCs w:val="26"/>
        </w:rPr>
      </w:pPr>
      <w:r>
        <w:rPr>
          <w:sz w:val="26"/>
          <w:szCs w:val="26"/>
          <w:rtl/>
          <w:lang w:eastAsia="ar-SA" w:bidi="ar-EG"/>
        </w:rPr>
        <w:t xml:space="preserve">ولدعم مراكز اختبار الكفاءة في استخدام الطاقة، يمكن النظر في الخيارات التالية: </w:t>
      </w:r>
    </w:p>
    <w:p w14:paraId="4130C4CA" w14:textId="77777777" w:rsidR="00093D41" w:rsidRDefault="00093D41" w:rsidP="00093D41">
      <w:pPr>
        <w:shd w:val="clear" w:color="auto" w:fill="FFFFFF"/>
        <w:bidi/>
        <w:rPr>
          <w:sz w:val="26"/>
          <w:szCs w:val="26"/>
        </w:rPr>
      </w:pPr>
      <w:r>
        <w:rPr>
          <w:spacing w:val="2"/>
          <w:sz w:val="26"/>
          <w:szCs w:val="26"/>
          <w:u w:val="single"/>
          <w:rtl/>
          <w:lang w:eastAsia="ar-SA" w:bidi="ar-EG"/>
        </w:rPr>
        <w:t xml:space="preserve">البلدان المُصنِّعة التي طلبت أو ستطلب التمويل بموجب المقررين </w:t>
      </w:r>
      <w:r>
        <w:rPr>
          <w:spacing w:val="2"/>
          <w:sz w:val="26"/>
          <w:szCs w:val="26"/>
          <w:u w:val="single"/>
          <w:lang w:eastAsia="ar-SA" w:bidi="ar-EG"/>
        </w:rPr>
        <w:t>94/60</w:t>
      </w:r>
      <w:r>
        <w:rPr>
          <w:spacing w:val="2"/>
          <w:sz w:val="26"/>
          <w:szCs w:val="26"/>
          <w:u w:val="single"/>
          <w:rtl/>
          <w:lang w:eastAsia="ar-SA" w:bidi="ar-EG"/>
        </w:rPr>
        <w:t xml:space="preserve"> و</w:t>
      </w:r>
      <w:r>
        <w:rPr>
          <w:spacing w:val="2"/>
          <w:sz w:val="26"/>
          <w:szCs w:val="26"/>
          <w:u w:val="single"/>
          <w:lang w:eastAsia="ar-SA" w:bidi="ar-EG"/>
        </w:rPr>
        <w:t>95/87</w:t>
      </w:r>
      <w:r>
        <w:rPr>
          <w:rStyle w:val="FootnoteReference"/>
          <w:spacing w:val="2"/>
          <w:sz w:val="26"/>
          <w:szCs w:val="26"/>
          <w:rtl/>
          <w:lang w:eastAsia="ar-SA" w:bidi="ar-EG"/>
        </w:rPr>
        <w:footnoteReference w:id="6"/>
      </w:r>
    </w:p>
    <w:p w14:paraId="06FA4FDB" w14:textId="77777777" w:rsidR="00093D41" w:rsidRDefault="00093D41" w:rsidP="00093D41">
      <w:pPr>
        <w:shd w:val="clear" w:color="auto" w:fill="FFFFFF"/>
        <w:bidi/>
        <w:rPr>
          <w:spacing w:val="2"/>
          <w:sz w:val="26"/>
          <w:szCs w:val="26"/>
        </w:rPr>
      </w:pPr>
    </w:p>
    <w:p w14:paraId="4BD62933" w14:textId="77777777" w:rsidR="00093D41" w:rsidRDefault="00093D41" w:rsidP="00093D41">
      <w:pPr>
        <w:pStyle w:val="Heading1"/>
        <w:bidi/>
        <w:rPr>
          <w:sz w:val="26"/>
          <w:szCs w:val="26"/>
        </w:rPr>
      </w:pPr>
      <w:r>
        <w:rPr>
          <w:sz w:val="26"/>
          <w:szCs w:val="26"/>
          <w:rtl/>
          <w:lang w:eastAsia="ar-SA" w:bidi="ar-EG"/>
        </w:rPr>
        <w:t xml:space="preserve">نظراً لأن المشاريع المعتمدة بموجب المقررين </w:t>
      </w:r>
      <w:r>
        <w:rPr>
          <w:sz w:val="26"/>
          <w:szCs w:val="26"/>
          <w:lang w:eastAsia="ar-SA" w:bidi="ar-EG"/>
        </w:rPr>
        <w:t>94/60</w:t>
      </w:r>
      <w:r>
        <w:rPr>
          <w:sz w:val="26"/>
          <w:szCs w:val="26"/>
          <w:rtl/>
          <w:lang w:eastAsia="ar-SA" w:bidi="ar-EG"/>
        </w:rPr>
        <w:t xml:space="preserve"> و</w:t>
      </w:r>
      <w:r>
        <w:rPr>
          <w:sz w:val="26"/>
          <w:szCs w:val="26"/>
          <w:lang w:eastAsia="ar-SA" w:bidi="ar-EG"/>
        </w:rPr>
        <w:t>95/87</w:t>
      </w:r>
      <w:r>
        <w:rPr>
          <w:sz w:val="26"/>
          <w:szCs w:val="26"/>
          <w:rtl/>
          <w:lang w:eastAsia="ar-SA" w:bidi="ar-EG"/>
        </w:rPr>
        <w:t xml:space="preserve"> تتطلب نظاماً قوياً لرصد الأداء الكفء في استخدام الطاقة والتحقق منه والإبلاغ عنه، فإنه ينبغي النظر في توفير الدعم المالي لتحسين مراكز الاختبار الوطنية القائمة، عند اللزوم، ويمكن توفير ذلك التمويل بموجب نافذة التمويل المنشأة بموجب المقرر </w:t>
      </w:r>
      <w:r>
        <w:rPr>
          <w:sz w:val="26"/>
          <w:szCs w:val="26"/>
          <w:lang w:eastAsia="ar-SA" w:bidi="ar-EG"/>
        </w:rPr>
        <w:t>94/60</w:t>
      </w:r>
      <w:r>
        <w:rPr>
          <w:sz w:val="26"/>
          <w:szCs w:val="26"/>
          <w:rtl/>
          <w:lang w:eastAsia="ar-SA" w:bidi="ar-EG"/>
        </w:rPr>
        <w:t xml:space="preserve">. وفي الحالات الاستثنائية التي تطلب فيها بلد ما التمويل بموجب المقرر </w:t>
      </w:r>
      <w:r>
        <w:rPr>
          <w:sz w:val="26"/>
          <w:szCs w:val="26"/>
          <w:lang w:eastAsia="ar-SA" w:bidi="ar-EG"/>
        </w:rPr>
        <w:t>94/60</w:t>
      </w:r>
      <w:r>
        <w:rPr>
          <w:sz w:val="26"/>
          <w:szCs w:val="26"/>
          <w:rtl/>
          <w:lang w:eastAsia="ar-SA" w:bidi="ar-EG"/>
        </w:rPr>
        <w:t xml:space="preserve"> و/أو </w:t>
      </w:r>
      <w:r>
        <w:rPr>
          <w:sz w:val="26"/>
          <w:szCs w:val="26"/>
          <w:lang w:eastAsia="ar-SA" w:bidi="ar-EG"/>
        </w:rPr>
        <w:t>95/87</w:t>
      </w:r>
      <w:r>
        <w:rPr>
          <w:sz w:val="26"/>
          <w:szCs w:val="26"/>
          <w:rtl/>
          <w:lang w:eastAsia="ar-SA" w:bidi="ar-EG"/>
        </w:rPr>
        <w:t xml:space="preserve">، رغم عدم إنشاء مركز اختبار بعد فيه، يمكن النظر في إنشاء مركز اختبار جديد على أساس كل حالة على حدة، ويُحبَّذ أن يخدم هذا المركز المنطقة ككل أيضاً. </w:t>
      </w:r>
    </w:p>
    <w:p w14:paraId="71F75C8C" w14:textId="77777777" w:rsidR="00093D41" w:rsidRDefault="00093D41" w:rsidP="00093D41">
      <w:pPr>
        <w:shd w:val="clear" w:color="auto" w:fill="FFFFFF"/>
        <w:bidi/>
        <w:rPr>
          <w:sz w:val="26"/>
          <w:szCs w:val="26"/>
        </w:rPr>
      </w:pPr>
      <w:r>
        <w:rPr>
          <w:spacing w:val="2"/>
          <w:sz w:val="26"/>
          <w:szCs w:val="26"/>
          <w:u w:val="single"/>
          <w:rtl/>
          <w:lang w:eastAsia="ar-SA" w:bidi="ar-EG"/>
        </w:rPr>
        <w:t xml:space="preserve">البلدان غير المُصنِّعة </w:t>
      </w:r>
    </w:p>
    <w:p w14:paraId="39A64A97" w14:textId="77777777" w:rsidR="00093D41" w:rsidRDefault="00093D41" w:rsidP="00093D41">
      <w:pPr>
        <w:shd w:val="clear" w:color="auto" w:fill="FFFFFF"/>
        <w:bidi/>
        <w:ind w:left="1418" w:hanging="698"/>
        <w:rPr>
          <w:spacing w:val="2"/>
          <w:sz w:val="26"/>
          <w:szCs w:val="26"/>
        </w:rPr>
      </w:pPr>
    </w:p>
    <w:p w14:paraId="3B8853B4" w14:textId="77777777" w:rsidR="00093D41" w:rsidRDefault="00093D41" w:rsidP="00093D41">
      <w:pPr>
        <w:pStyle w:val="Heading1"/>
        <w:bidi/>
        <w:rPr>
          <w:sz w:val="26"/>
          <w:szCs w:val="26"/>
        </w:rPr>
      </w:pPr>
      <w:r>
        <w:rPr>
          <w:sz w:val="26"/>
          <w:szCs w:val="26"/>
          <w:rtl/>
          <w:lang w:eastAsia="ar-SA" w:bidi="ar-EG"/>
        </w:rPr>
        <w:t xml:space="preserve">في حالة البلدان غير المصنعة، يجب إعداد خريطة تفصيلية للمرافق الإقليمية القائمة لاختبار الكفاءة في استخدام الطاقة والاعتماد لمعدات التبريد وتكييف الهواء والمضخات الحرارية، </w:t>
      </w:r>
      <w:r>
        <w:rPr>
          <w:sz w:val="26"/>
          <w:szCs w:val="26"/>
          <w:rtl/>
          <w:lang w:val="en-US" w:eastAsia="ar-SA" w:bidi="ar-EG"/>
        </w:rPr>
        <w:t xml:space="preserve">مع </w:t>
      </w:r>
      <w:r>
        <w:rPr>
          <w:sz w:val="26"/>
          <w:szCs w:val="26"/>
          <w:rtl/>
          <w:lang w:eastAsia="ar-SA" w:bidi="ar-EG"/>
        </w:rPr>
        <w:t>إجراء تقييم مفصل للتعاون مع تلك المرافق. واستخدام المرافق الإقليمية القائمة والمعترف بها والتي تقدم خدمات مماثلة يمكن أن يسهل تشغيل مراكز الاختبار بشكل أسرع وأكثر فعالية من حيث التكلفة.</w:t>
      </w:r>
    </w:p>
    <w:p w14:paraId="77FFF9DA" w14:textId="77777777" w:rsidR="00093D41" w:rsidRDefault="00093D41" w:rsidP="00093D41">
      <w:pPr>
        <w:pStyle w:val="Heading1"/>
        <w:bidi/>
        <w:rPr>
          <w:sz w:val="26"/>
          <w:szCs w:val="26"/>
        </w:rPr>
      </w:pPr>
      <w:r>
        <w:rPr>
          <w:sz w:val="26"/>
          <w:szCs w:val="26"/>
          <w:rtl/>
          <w:lang w:eastAsia="ar-SA" w:bidi="ar-EG"/>
        </w:rPr>
        <w:t>يجب النظر في فرص تنفيذ معايير كفاءة استخدام الطاقة والاعتماد من خلال اتفاقيات الاعتراف المتبادل</w:t>
      </w:r>
      <w:r>
        <w:rPr>
          <w:rStyle w:val="FootnoteReference"/>
          <w:sz w:val="26"/>
          <w:szCs w:val="26"/>
          <w:rtl/>
          <w:lang w:eastAsia="ar-SA" w:bidi="ar-EG"/>
        </w:rPr>
        <w:footnoteReference w:id="7"/>
      </w:r>
      <w:r>
        <w:rPr>
          <w:sz w:val="26"/>
          <w:szCs w:val="26"/>
          <w:rtl/>
          <w:lang w:eastAsia="ar-SA" w:bidi="ar-EG"/>
        </w:rPr>
        <w:t xml:space="preserve"> حيثما تكون عملية وفعالة من حيث التكلفة. وهو أمر من شأنه أن يفيد بشكل خاص البلدان ذات حجم الاستهلاك المنخفض والمنخفض للغاية، شريطة إتاحة معايير وإجراءات الاختبار المقبولة لها.</w:t>
      </w:r>
    </w:p>
    <w:p w14:paraId="32211BC1" w14:textId="77777777" w:rsidR="00093D41" w:rsidRDefault="00093D41" w:rsidP="00093D41">
      <w:pPr>
        <w:pStyle w:val="Heading1"/>
        <w:bidi/>
        <w:rPr>
          <w:sz w:val="26"/>
          <w:szCs w:val="26"/>
        </w:rPr>
      </w:pPr>
      <w:r>
        <w:rPr>
          <w:sz w:val="26"/>
          <w:szCs w:val="26"/>
          <w:rtl/>
          <w:lang w:eastAsia="ar-SA" w:bidi="ar-EG"/>
        </w:rPr>
        <w:t xml:space="preserve">وفي حالات عدم وجود مركز اختبار قائم، يمكن النظر في إنشاء مركز إقليمي جديد بعد دراسة متأنية لاستدامته، والتأكّد مما إذا كان هناك التزام قوي من جانب دول المنطقة، وكذلك من المستوردين والمصنّعين – إذا كان ذلك ذا صلة – باستخدام هذا المركز. ويجب أن يستوفي إنشاء مثل هذا المركز الجديد المعايير الموضحة في الفقرة </w:t>
      </w:r>
      <w:r>
        <w:rPr>
          <w:sz w:val="26"/>
          <w:szCs w:val="26"/>
          <w:lang w:eastAsia="ar-SA" w:bidi="ar-EG"/>
        </w:rPr>
        <w:t>6</w:t>
      </w:r>
      <w:r>
        <w:rPr>
          <w:sz w:val="26"/>
          <w:szCs w:val="26"/>
          <w:rtl/>
          <w:lang w:eastAsia="ar-SA" w:bidi="ar-EG"/>
        </w:rPr>
        <w:t xml:space="preserve">. </w:t>
      </w:r>
    </w:p>
    <w:p w14:paraId="3B3282D2" w14:textId="77777777" w:rsidR="00093D41" w:rsidRDefault="00093D41" w:rsidP="00093D41">
      <w:pPr>
        <w:pStyle w:val="Heading1"/>
        <w:bidi/>
        <w:rPr>
          <w:sz w:val="26"/>
          <w:szCs w:val="26"/>
        </w:rPr>
      </w:pPr>
      <w:r>
        <w:rPr>
          <w:sz w:val="26"/>
          <w:szCs w:val="26"/>
          <w:rtl/>
          <w:lang w:eastAsia="ar-SA" w:bidi="ar-EG"/>
        </w:rPr>
        <w:t xml:space="preserve">سيعتمد تمويل مشروع مركز الاختبار الجديد على الهيكل المالي وخطط الأعمال الخاصة بعمليات مركز الاختبار القائم. وفي حالة اختيار الدول غير المصنعة هذا الخيار، يمكن اعتبار التكاليف الرأسمالية الأولية لمركز الاختبار ممولة بالكامل أو جزئياً من جانب الصندوق المتعدد الأطراف بموجب نافذة التمويل المحددة في المقرر </w:t>
      </w:r>
      <w:r>
        <w:rPr>
          <w:sz w:val="26"/>
          <w:szCs w:val="26"/>
          <w:lang w:eastAsia="ar-SA" w:bidi="ar-EG"/>
        </w:rPr>
        <w:t>91/65</w:t>
      </w:r>
      <w:r>
        <w:rPr>
          <w:sz w:val="26"/>
          <w:szCs w:val="26"/>
          <w:rtl/>
          <w:lang w:eastAsia="ar-SA" w:bidi="ar-EG"/>
        </w:rPr>
        <w:t xml:space="preserve">. وتوافر التمويل المشترك من الحكومة أو من جهة خارج الصندوق من شأنه أن يعزز جدوى مركز الاختبار واستدامته. </w:t>
      </w:r>
      <w:r>
        <w:rPr>
          <w:sz w:val="26"/>
          <w:szCs w:val="26"/>
          <w:rtl/>
          <w:lang w:eastAsia="ar-SA" w:bidi="ar-EG"/>
        </w:rPr>
        <w:lastRenderedPageBreak/>
        <w:t>وأي تأخير في تأمين مكون التمويل المشترك قد يؤدي إلى تأخير إنشاء المركز، وبالتالي، ينبغي أن يكون التمويل المشترك لتلك المراكز في صورة تمويل مؤكَّد.</w:t>
      </w:r>
    </w:p>
    <w:p w14:paraId="1BD1859D" w14:textId="77777777" w:rsidR="00093D41" w:rsidRDefault="00093D41" w:rsidP="00093D41">
      <w:pPr>
        <w:pStyle w:val="NormalWeb"/>
        <w:bidi/>
        <w:spacing w:beforeAutospacing="0" w:afterAutospacing="0"/>
        <w:rPr>
          <w:sz w:val="26"/>
          <w:szCs w:val="26"/>
        </w:rPr>
      </w:pPr>
      <w:r>
        <w:rPr>
          <w:b/>
          <w:bCs/>
          <w:sz w:val="26"/>
          <w:szCs w:val="26"/>
          <w:rtl/>
          <w:lang w:eastAsia="ar-SA" w:bidi="ar-EG"/>
        </w:rPr>
        <w:t xml:space="preserve">تمويل إعداد المشروعات </w:t>
      </w:r>
    </w:p>
    <w:p w14:paraId="4FFF8AE9" w14:textId="77777777" w:rsidR="00093D41" w:rsidRDefault="00093D41" w:rsidP="00093D41">
      <w:pPr>
        <w:bidi/>
        <w:jc w:val="right"/>
        <w:rPr>
          <w:sz w:val="26"/>
          <w:szCs w:val="26"/>
        </w:rPr>
      </w:pPr>
    </w:p>
    <w:p w14:paraId="1980F34D" w14:textId="77777777" w:rsidR="00093D41" w:rsidRDefault="00093D41" w:rsidP="00093D41">
      <w:pPr>
        <w:pStyle w:val="Heading1"/>
        <w:bidi/>
        <w:rPr>
          <w:sz w:val="26"/>
          <w:szCs w:val="26"/>
        </w:rPr>
      </w:pPr>
      <w:r>
        <w:rPr>
          <w:sz w:val="26"/>
          <w:szCs w:val="26"/>
          <w:rtl/>
          <w:lang w:eastAsia="ar-SA" w:bidi="ar-EG"/>
        </w:rPr>
        <w:t xml:space="preserve">يمكن النظر في تقديم دعم لإعداد مشروعات إنشاء أو تحسين مراكز الاختبار، بحيث يشمل الاستشارات، وجمع البيانات الميدانية، والأعمال التحليلية اللازمة لتطوير المشروع. ومن المقترح تخصيص تمويل يصل إلى </w:t>
      </w:r>
      <w:r>
        <w:rPr>
          <w:sz w:val="26"/>
          <w:szCs w:val="26"/>
          <w:lang w:eastAsia="ar-SA" w:bidi="ar-EG"/>
        </w:rPr>
        <w:t>35,000</w:t>
      </w:r>
      <w:r>
        <w:rPr>
          <w:sz w:val="26"/>
          <w:szCs w:val="26"/>
          <w:rtl/>
          <w:lang w:eastAsia="ar-SA" w:bidi="ar-EG"/>
        </w:rPr>
        <w:t xml:space="preserve"> دولار أميركي لتلك الأنشطة التحضيرية. ويمكن توفير هذا التمويل بموجب نافذة التمويل المخصصة للمشروع. </w:t>
      </w:r>
    </w:p>
    <w:p w14:paraId="03027E9C" w14:textId="77777777" w:rsidR="00093D41" w:rsidRDefault="00093D41" w:rsidP="00093D41">
      <w:pPr>
        <w:bidi/>
        <w:rPr>
          <w:sz w:val="26"/>
          <w:szCs w:val="26"/>
        </w:rPr>
      </w:pPr>
      <w:r>
        <w:rPr>
          <w:b/>
          <w:bCs/>
          <w:sz w:val="26"/>
          <w:szCs w:val="26"/>
          <w:rtl/>
          <w:lang w:eastAsia="ar-SA" w:bidi="ar-EG"/>
        </w:rPr>
        <w:t xml:space="preserve">انتهاء المشروعات </w:t>
      </w:r>
    </w:p>
    <w:p w14:paraId="11BFCB8A" w14:textId="77777777" w:rsidR="00093D41" w:rsidRDefault="00093D41" w:rsidP="00093D41">
      <w:pPr>
        <w:bidi/>
        <w:rPr>
          <w:sz w:val="26"/>
          <w:szCs w:val="26"/>
        </w:rPr>
      </w:pPr>
    </w:p>
    <w:p w14:paraId="05F02EB4" w14:textId="77777777" w:rsidR="00093D41" w:rsidRDefault="00093D41" w:rsidP="00093D41">
      <w:pPr>
        <w:pStyle w:val="Heading1"/>
        <w:bidi/>
        <w:rPr>
          <w:sz w:val="26"/>
          <w:szCs w:val="26"/>
        </w:rPr>
      </w:pPr>
      <w:r>
        <w:rPr>
          <w:sz w:val="26"/>
          <w:szCs w:val="26"/>
          <w:rtl/>
          <w:lang w:eastAsia="ar-SA" w:bidi="ar-EG"/>
        </w:rPr>
        <w:t xml:space="preserve">يكون لمشروعات إنشاء مركز اختبار الكفاءة في استخدام الطاقة على المستوى الإقليمي موعد انتهاء لا يتجاوز </w:t>
      </w:r>
      <w:r>
        <w:rPr>
          <w:sz w:val="26"/>
          <w:szCs w:val="26"/>
          <w:lang w:eastAsia="ar-SA" w:bidi="ar-EG"/>
        </w:rPr>
        <w:t>36</w:t>
      </w:r>
      <w:r>
        <w:rPr>
          <w:sz w:val="26"/>
          <w:szCs w:val="26"/>
          <w:rtl/>
          <w:lang w:eastAsia="ar-SA" w:bidi="ar-EG"/>
        </w:rPr>
        <w:t xml:space="preserve"> شهراً من تاريخ موافقة اللجنة التنفيذية، مع رفع تقرير مفصل عنها إلى اللجنة في غضون ستة أشهر من موعد انتهائها.</w:t>
      </w:r>
    </w:p>
    <w:p w14:paraId="6A3C5108" w14:textId="77777777" w:rsidR="00093D41" w:rsidRDefault="00093D41" w:rsidP="00093D41">
      <w:pPr>
        <w:bidi/>
        <w:jc w:val="left"/>
        <w:rPr>
          <w:sz w:val="26"/>
          <w:szCs w:val="26"/>
        </w:rPr>
      </w:pPr>
      <w:r>
        <w:rPr>
          <w:b/>
          <w:bCs/>
          <w:sz w:val="26"/>
          <w:szCs w:val="26"/>
          <w:rtl/>
          <w:lang w:eastAsia="ar-SA" w:bidi="ar-EG"/>
        </w:rPr>
        <w:t>التوصية</w:t>
      </w:r>
    </w:p>
    <w:p w14:paraId="26FD8F1A" w14:textId="77777777" w:rsidR="00093D41" w:rsidRDefault="00093D41" w:rsidP="00093D41">
      <w:pPr>
        <w:pStyle w:val="NormalWeb"/>
        <w:bidi/>
        <w:spacing w:beforeAutospacing="0" w:afterAutospacing="0"/>
        <w:rPr>
          <w:b/>
          <w:bCs/>
          <w:sz w:val="26"/>
          <w:szCs w:val="26"/>
        </w:rPr>
      </w:pPr>
    </w:p>
    <w:p w14:paraId="6867A133" w14:textId="77777777" w:rsidR="00093D41" w:rsidRDefault="00093D41" w:rsidP="00093D41">
      <w:pPr>
        <w:pStyle w:val="Heading1"/>
        <w:bidi/>
        <w:rPr>
          <w:sz w:val="26"/>
          <w:szCs w:val="26"/>
        </w:rPr>
      </w:pPr>
      <w:r>
        <w:rPr>
          <w:sz w:val="26"/>
          <w:szCs w:val="26"/>
          <w:rtl/>
          <w:lang w:eastAsia="ar-SA" w:bidi="ar-EG"/>
        </w:rPr>
        <w:t>قد ترغب اللجنة التنفيذية في الآتي:</w:t>
      </w:r>
    </w:p>
    <w:p w14:paraId="6AA009AD" w14:textId="337151A2" w:rsidR="00093D41" w:rsidRDefault="00433243" w:rsidP="004E27D6">
      <w:pPr>
        <w:pStyle w:val="Heading2"/>
        <w:numPr>
          <w:ilvl w:val="0"/>
          <w:numId w:val="56"/>
        </w:numPr>
        <w:bidi/>
        <w:ind w:left="1440" w:hanging="727"/>
        <w:rPr>
          <w:sz w:val="26"/>
          <w:szCs w:val="26"/>
        </w:rPr>
      </w:pPr>
      <w:r>
        <w:rPr>
          <w:rFonts w:hint="cs"/>
          <w:sz w:val="26"/>
          <w:szCs w:val="26"/>
          <w:rtl/>
          <w:lang w:eastAsia="ar-SA" w:bidi="ar-EG"/>
        </w:rPr>
        <w:t>الإحاطة علماً ب</w:t>
      </w:r>
      <w:r w:rsidR="00093D41">
        <w:rPr>
          <w:sz w:val="26"/>
          <w:szCs w:val="26"/>
          <w:rtl/>
          <w:lang w:eastAsia="ar-SA" w:bidi="ar-EG"/>
        </w:rPr>
        <w:t xml:space="preserve">المعلومات الواردة في الوثيقة </w:t>
      </w:r>
      <w:r w:rsidR="00093D41">
        <w:rPr>
          <w:sz w:val="26"/>
          <w:szCs w:val="26"/>
          <w:lang w:eastAsia="ar-SA" w:bidi="en-GB"/>
        </w:rPr>
        <w:t>UNEP/OzL.Pro/ExCom</w:t>
      </w:r>
      <w:r w:rsidR="00093D41">
        <w:rPr>
          <w:sz w:val="26"/>
          <w:szCs w:val="26"/>
          <w:lang w:eastAsia="ar-SA" w:bidi="ar-EG"/>
        </w:rPr>
        <w:t>/97/86</w:t>
      </w:r>
      <w:r w:rsidR="00093D41">
        <w:rPr>
          <w:sz w:val="26"/>
          <w:szCs w:val="26"/>
          <w:rtl/>
          <w:lang w:eastAsia="ar-SA" w:bidi="ar-EG"/>
        </w:rPr>
        <w:t xml:space="preserve"> فيما يتعلق بالتحديث بشأن تشغيل مراكز اختبار الكفاءة في استخدام الطاقة (المقرر </w:t>
      </w:r>
      <w:r w:rsidR="00093D41">
        <w:rPr>
          <w:sz w:val="26"/>
          <w:szCs w:val="26"/>
          <w:lang w:eastAsia="ar-SA" w:bidi="ar-EG"/>
        </w:rPr>
        <w:t>95/87</w:t>
      </w:r>
      <w:r w:rsidR="00093D41">
        <w:rPr>
          <w:sz w:val="26"/>
          <w:szCs w:val="26"/>
          <w:rtl/>
          <w:lang w:eastAsia="ar-SA" w:bidi="ar-EG"/>
        </w:rPr>
        <w:t>(</w:t>
      </w:r>
      <w:r w:rsidR="0031119E">
        <w:rPr>
          <w:rFonts w:hint="cs"/>
          <w:sz w:val="26"/>
          <w:szCs w:val="26"/>
          <w:rtl/>
          <w:lang w:eastAsia="ar-SA" w:bidi="ar-EG"/>
        </w:rPr>
        <w:t>هـ</w:t>
      </w:r>
      <w:r w:rsidR="00093D41">
        <w:rPr>
          <w:sz w:val="26"/>
          <w:szCs w:val="26"/>
          <w:rtl/>
          <w:lang w:eastAsia="ar-SA" w:bidi="ar-EG"/>
        </w:rPr>
        <w:t>))؛</w:t>
      </w:r>
    </w:p>
    <w:p w14:paraId="18A01E1F" w14:textId="348064E1" w:rsidR="00093D41" w:rsidRDefault="00093D41" w:rsidP="004E27D6">
      <w:pPr>
        <w:pStyle w:val="Heading2"/>
        <w:numPr>
          <w:ilvl w:val="0"/>
          <w:numId w:val="56"/>
        </w:numPr>
        <w:tabs>
          <w:tab w:val="num" w:pos="996"/>
          <w:tab w:val="num" w:pos="1280"/>
        </w:tabs>
        <w:bidi/>
        <w:ind w:left="1440" w:hanging="727"/>
        <w:rPr>
          <w:sz w:val="26"/>
          <w:szCs w:val="26"/>
        </w:rPr>
      </w:pPr>
      <w:r>
        <w:rPr>
          <w:sz w:val="26"/>
          <w:szCs w:val="26"/>
          <w:rtl/>
          <w:lang w:eastAsia="ar-SA" w:bidi="ar-EG"/>
        </w:rPr>
        <w:t xml:space="preserve">اعتماد خيارات دعم مراكز اختبار الكفاءة في استخدام الطاقة في إطار الصندوق المتعدد الأطراف على النحو المبين في الفقرات التالية من الوثيقة </w:t>
      </w:r>
      <w:r>
        <w:rPr>
          <w:sz w:val="26"/>
          <w:szCs w:val="26"/>
          <w:lang w:eastAsia="ar-SA" w:bidi="en-GB"/>
        </w:rPr>
        <w:t>UNEP/OzL.Pro/ExCom/97/86</w:t>
      </w:r>
      <w:r>
        <w:rPr>
          <w:sz w:val="26"/>
          <w:szCs w:val="26"/>
          <w:rtl/>
          <w:lang w:eastAsia="ar-SA" w:bidi="ar-EG"/>
        </w:rPr>
        <w:t xml:space="preserve">، على أن يكون مفهوماً أن طلبات التمويل للمشروعات ينبغي أن تتناول عملية إنشاء مركز جديد أو تحسين مركز قائم في منطقة أو بلد مذكور في الفقرة </w:t>
      </w:r>
      <w:r>
        <w:rPr>
          <w:sz w:val="26"/>
          <w:szCs w:val="26"/>
          <w:lang w:eastAsia="ar-SA" w:bidi="ar-EG"/>
        </w:rPr>
        <w:t>6</w:t>
      </w:r>
      <w:r>
        <w:rPr>
          <w:sz w:val="26"/>
          <w:szCs w:val="26"/>
          <w:rtl/>
          <w:lang w:eastAsia="ar-SA" w:bidi="ar-EG"/>
        </w:rPr>
        <w:t xml:space="preserve"> من الوثيقة المذكورة أعلاه:</w:t>
      </w:r>
    </w:p>
    <w:p w14:paraId="51B050CB" w14:textId="77777777" w:rsidR="00093D41" w:rsidRDefault="00093D41" w:rsidP="00A91C40">
      <w:pPr>
        <w:pStyle w:val="Heading2"/>
        <w:numPr>
          <w:ilvl w:val="0"/>
          <w:numId w:val="63"/>
        </w:numPr>
        <w:bidi/>
        <w:ind w:left="1989" w:hanging="709"/>
        <w:rPr>
          <w:sz w:val="26"/>
          <w:szCs w:val="26"/>
        </w:rPr>
      </w:pPr>
      <w:r>
        <w:rPr>
          <w:sz w:val="26"/>
          <w:szCs w:val="26"/>
          <w:rtl/>
          <w:lang w:val="en-US" w:eastAsia="ar-SA" w:bidi="ar-EG"/>
        </w:rPr>
        <w:t xml:space="preserve">يتم التمويل </w:t>
      </w:r>
      <w:r>
        <w:rPr>
          <w:sz w:val="26"/>
          <w:szCs w:val="26"/>
          <w:rtl/>
          <w:lang w:eastAsia="ar-SA" w:bidi="ar-EG"/>
        </w:rPr>
        <w:t xml:space="preserve">بموجب نافذة التمويل المحددة بموجب المقرر </w:t>
      </w:r>
      <w:r>
        <w:rPr>
          <w:sz w:val="26"/>
          <w:szCs w:val="26"/>
          <w:lang w:eastAsia="ar-SA" w:bidi="ar-EG"/>
        </w:rPr>
        <w:t>94/60</w:t>
      </w:r>
      <w:r>
        <w:rPr>
          <w:sz w:val="26"/>
          <w:szCs w:val="26"/>
          <w:rtl/>
          <w:lang w:eastAsia="ar-SA" w:bidi="ar-EG"/>
        </w:rPr>
        <w:t xml:space="preserve"> في حالة البلدان المُصنِّعة طبقاً للفقرة </w:t>
      </w:r>
      <w:r>
        <w:rPr>
          <w:sz w:val="26"/>
          <w:szCs w:val="26"/>
          <w:lang w:eastAsia="ar-SA" w:bidi="ar-EG"/>
        </w:rPr>
        <w:t>9</w:t>
      </w:r>
      <w:r>
        <w:rPr>
          <w:sz w:val="26"/>
          <w:szCs w:val="26"/>
          <w:rtl/>
          <w:lang w:eastAsia="ar-SA" w:bidi="ar-EG"/>
        </w:rPr>
        <w:t xml:space="preserve">؛ </w:t>
      </w:r>
    </w:p>
    <w:p w14:paraId="74186B29" w14:textId="77777777" w:rsidR="00093D41" w:rsidRDefault="00093D41" w:rsidP="00A91C40">
      <w:pPr>
        <w:pStyle w:val="Heading2"/>
        <w:numPr>
          <w:ilvl w:val="0"/>
          <w:numId w:val="63"/>
        </w:numPr>
        <w:bidi/>
        <w:ind w:left="1989" w:hanging="709"/>
        <w:rPr>
          <w:sz w:val="26"/>
          <w:szCs w:val="26"/>
        </w:rPr>
      </w:pPr>
      <w:r>
        <w:rPr>
          <w:sz w:val="26"/>
          <w:szCs w:val="26"/>
          <w:rtl/>
          <w:lang w:eastAsia="ar-SA" w:bidi="ar-EG"/>
        </w:rPr>
        <w:t xml:space="preserve">يتم التمويل بموجب نافذة التمويل المحددة بموجب المقرر </w:t>
      </w:r>
      <w:r>
        <w:rPr>
          <w:sz w:val="26"/>
          <w:szCs w:val="26"/>
          <w:lang w:eastAsia="ar-SA" w:bidi="ar-EG"/>
        </w:rPr>
        <w:t>91/65</w:t>
      </w:r>
      <w:r>
        <w:rPr>
          <w:sz w:val="26"/>
          <w:szCs w:val="26"/>
          <w:rtl/>
          <w:lang w:eastAsia="ar-SA" w:bidi="ar-EG"/>
        </w:rPr>
        <w:t xml:space="preserve"> في حالة البلدان غير المُصنِّعة طبقاً للفقرات من </w:t>
      </w:r>
      <w:r>
        <w:rPr>
          <w:sz w:val="26"/>
          <w:szCs w:val="26"/>
          <w:lang w:eastAsia="ar-SA" w:bidi="ar-EG"/>
        </w:rPr>
        <w:t>10</w:t>
      </w:r>
      <w:r>
        <w:rPr>
          <w:sz w:val="26"/>
          <w:szCs w:val="26"/>
          <w:rtl/>
          <w:lang w:eastAsia="ar-SA" w:bidi="ar-EG"/>
        </w:rPr>
        <w:t xml:space="preserve"> إلى </w:t>
      </w:r>
      <w:r>
        <w:rPr>
          <w:sz w:val="26"/>
          <w:szCs w:val="26"/>
          <w:lang w:eastAsia="ar-SA" w:bidi="ar-EG"/>
        </w:rPr>
        <w:t>13</w:t>
      </w:r>
      <w:r>
        <w:rPr>
          <w:sz w:val="26"/>
          <w:szCs w:val="26"/>
          <w:rtl/>
          <w:lang w:eastAsia="ar-SA" w:bidi="ar-EG"/>
        </w:rPr>
        <w:t>؛</w:t>
      </w:r>
    </w:p>
    <w:p w14:paraId="67D407EB" w14:textId="2811A640" w:rsidR="00093D41" w:rsidRDefault="00093D41" w:rsidP="004E27D6">
      <w:pPr>
        <w:pStyle w:val="Heading2"/>
        <w:numPr>
          <w:ilvl w:val="0"/>
          <w:numId w:val="56"/>
        </w:numPr>
        <w:bidi/>
        <w:ind w:left="1440" w:hanging="727"/>
        <w:rPr>
          <w:sz w:val="26"/>
          <w:szCs w:val="26"/>
        </w:rPr>
      </w:pPr>
      <w:r>
        <w:rPr>
          <w:sz w:val="26"/>
          <w:szCs w:val="26"/>
          <w:rtl/>
          <w:lang w:eastAsia="ar-SA" w:bidi="ar-EG"/>
        </w:rPr>
        <w:t>توفير التمويل اللازم لإعداد المشروعات التي تقع في الفئة المشار إليها في الفقرة الفرعية (ب)’</w:t>
      </w:r>
      <w:r>
        <w:rPr>
          <w:sz w:val="26"/>
          <w:szCs w:val="26"/>
          <w:lang w:eastAsia="ar-SA" w:bidi="ar-EG"/>
        </w:rPr>
        <w:t>1</w:t>
      </w:r>
      <w:r>
        <w:rPr>
          <w:sz w:val="26"/>
          <w:szCs w:val="26"/>
          <w:rtl/>
          <w:lang w:eastAsia="ar-SA" w:bidi="ar-EG"/>
        </w:rPr>
        <w:t>‘ أعلاه، وعدد [ثلاثة] مشروعات على الأكثر من المشروعات التي تقع في الفئة المشار إليها في الفقرة الفرعية (ب)’</w:t>
      </w:r>
      <w:r>
        <w:rPr>
          <w:sz w:val="26"/>
          <w:szCs w:val="26"/>
          <w:lang w:eastAsia="ar-SA" w:bidi="ar-EG"/>
        </w:rPr>
        <w:t>2</w:t>
      </w:r>
      <w:r>
        <w:rPr>
          <w:sz w:val="26"/>
          <w:szCs w:val="26"/>
          <w:rtl/>
          <w:lang w:eastAsia="ar-SA" w:bidi="ar-EG"/>
        </w:rPr>
        <w:t xml:space="preserve">‘ أعلاه، بما لا يتجاوز </w:t>
      </w:r>
      <w:r>
        <w:rPr>
          <w:sz w:val="26"/>
          <w:szCs w:val="26"/>
          <w:lang w:eastAsia="ar-SA" w:bidi="ar-EG"/>
        </w:rPr>
        <w:t>35,000</w:t>
      </w:r>
      <w:r>
        <w:rPr>
          <w:sz w:val="26"/>
          <w:szCs w:val="26"/>
          <w:rtl/>
          <w:lang w:eastAsia="ar-SA" w:bidi="ar-EG"/>
        </w:rPr>
        <w:t xml:space="preserve"> دولار أمريكي لكل مشروع، على أن تكون طلبات إعداد المشروعات المشار إليها في الفقرة الفرعية (ب)’</w:t>
      </w:r>
      <w:r>
        <w:rPr>
          <w:sz w:val="26"/>
          <w:szCs w:val="26"/>
          <w:lang w:eastAsia="ar-SA" w:bidi="ar-EG"/>
        </w:rPr>
        <w:t>2</w:t>
      </w:r>
      <w:r>
        <w:rPr>
          <w:sz w:val="26"/>
          <w:szCs w:val="26"/>
          <w:rtl/>
          <w:lang w:eastAsia="ar-SA" w:bidi="ar-EG"/>
        </w:rPr>
        <w:t>‘ أعلاه مدعومة بخطابات مصادقة من حكومات ثلاث دول على الأقل من تلك المنطقة لإنشاء مركز الاختبار الإقليمي؛</w:t>
      </w:r>
    </w:p>
    <w:p w14:paraId="4C409E4F" w14:textId="77777777" w:rsidR="00093D41" w:rsidRDefault="00093D41" w:rsidP="004E27D6">
      <w:pPr>
        <w:pStyle w:val="Heading2"/>
        <w:numPr>
          <w:ilvl w:val="0"/>
          <w:numId w:val="56"/>
        </w:numPr>
        <w:bidi/>
        <w:ind w:left="1440" w:hanging="727"/>
        <w:rPr>
          <w:sz w:val="26"/>
          <w:szCs w:val="26"/>
        </w:rPr>
      </w:pPr>
      <w:r>
        <w:rPr>
          <w:sz w:val="26"/>
          <w:szCs w:val="26"/>
          <w:rtl/>
          <w:lang w:eastAsia="ar-SA" w:bidi="ar-EG"/>
        </w:rPr>
        <w:t>وعليه</w:t>
      </w:r>
      <w:r>
        <w:rPr>
          <w:sz w:val="26"/>
          <w:szCs w:val="26"/>
          <w:rtl/>
          <w:lang w:eastAsia="ar-SA"/>
        </w:rPr>
        <w:t xml:space="preserve">، بمجرد الحصول على الموافقة، </w:t>
      </w:r>
      <w:r>
        <w:rPr>
          <w:sz w:val="26"/>
          <w:szCs w:val="26"/>
          <w:rtl/>
          <w:lang w:eastAsia="ar-SA" w:bidi="ar-EG"/>
        </w:rPr>
        <w:t>ستُحدَّد</w:t>
      </w:r>
      <w:r>
        <w:rPr>
          <w:sz w:val="26"/>
          <w:szCs w:val="26"/>
          <w:rtl/>
          <w:lang w:eastAsia="ar-SA"/>
        </w:rPr>
        <w:t xml:space="preserve"> تواريخ الانتهاء</w:t>
      </w:r>
      <w:r>
        <w:rPr>
          <w:sz w:val="26"/>
          <w:szCs w:val="26"/>
          <w:rtl/>
          <w:lang w:eastAsia="ar-SA" w:bidi="ar-EG"/>
        </w:rPr>
        <w:t xml:space="preserve"> </w:t>
      </w:r>
      <w:r>
        <w:rPr>
          <w:sz w:val="26"/>
          <w:szCs w:val="26"/>
          <w:rtl/>
          <w:lang w:eastAsia="ar-SA"/>
        </w:rPr>
        <w:t xml:space="preserve">بحيث لا </w:t>
      </w:r>
      <w:r>
        <w:rPr>
          <w:sz w:val="26"/>
          <w:szCs w:val="26"/>
          <w:rtl/>
          <w:lang w:eastAsia="ar-SA" w:bidi="ar-EG"/>
        </w:rPr>
        <w:t>ت</w:t>
      </w:r>
      <w:r>
        <w:rPr>
          <w:sz w:val="26"/>
          <w:szCs w:val="26"/>
          <w:rtl/>
          <w:lang w:eastAsia="ar-SA"/>
        </w:rPr>
        <w:t xml:space="preserve">تجاوز </w:t>
      </w:r>
      <w:r>
        <w:rPr>
          <w:sz w:val="26"/>
          <w:szCs w:val="26"/>
          <w:lang w:eastAsia="ar-SA"/>
        </w:rPr>
        <w:t>36</w:t>
      </w:r>
      <w:r>
        <w:rPr>
          <w:sz w:val="26"/>
          <w:szCs w:val="26"/>
          <w:rtl/>
          <w:lang w:eastAsia="ar-SA"/>
        </w:rPr>
        <w:t xml:space="preserve"> شهراً من تاريخ موافقة اللجنة التنفيذية عليه، مع رفع تقرير مفصل عنه إلى اللجنة التنفيذية في غضون ستة أشهر من موعد انتهائه.</w:t>
      </w:r>
    </w:p>
    <w:p w14:paraId="719834B5"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85A357D" w14:textId="77777777">
        <w:tc>
          <w:tcPr>
            <w:tcW w:w="1915" w:type="dxa"/>
          </w:tcPr>
          <w:p w14:paraId="772AFE09" w14:textId="77777777" w:rsidR="007E5D09" w:rsidRDefault="007E5D09">
            <w:pPr>
              <w:rPr>
                <w:lang w:val="en-CA"/>
              </w:rPr>
            </w:pPr>
          </w:p>
        </w:tc>
        <w:tc>
          <w:tcPr>
            <w:tcW w:w="1915" w:type="dxa"/>
          </w:tcPr>
          <w:p w14:paraId="476089E4" w14:textId="77777777" w:rsidR="007E5D09" w:rsidRDefault="007E5D09">
            <w:pPr>
              <w:rPr>
                <w:lang w:val="en-CA"/>
              </w:rPr>
            </w:pPr>
          </w:p>
        </w:tc>
        <w:tc>
          <w:tcPr>
            <w:tcW w:w="1915" w:type="dxa"/>
            <w:tcBorders>
              <w:bottom w:val="single" w:sz="4" w:space="0" w:color="auto"/>
            </w:tcBorders>
          </w:tcPr>
          <w:p w14:paraId="5D96DBF3" w14:textId="77777777" w:rsidR="007E5D09" w:rsidRDefault="007E5D09">
            <w:pPr>
              <w:rPr>
                <w:b/>
                <w:bCs/>
                <w:lang w:val="en-CA"/>
              </w:rPr>
            </w:pPr>
          </w:p>
        </w:tc>
        <w:tc>
          <w:tcPr>
            <w:tcW w:w="1915" w:type="dxa"/>
          </w:tcPr>
          <w:p w14:paraId="7F80D73C" w14:textId="77777777" w:rsidR="007E5D09" w:rsidRDefault="007E5D09">
            <w:pPr>
              <w:rPr>
                <w:lang w:val="en-CA"/>
              </w:rPr>
            </w:pPr>
          </w:p>
        </w:tc>
        <w:tc>
          <w:tcPr>
            <w:tcW w:w="1916" w:type="dxa"/>
          </w:tcPr>
          <w:p w14:paraId="0CCE1076" w14:textId="77777777" w:rsidR="007E5D09" w:rsidRDefault="007E5D09">
            <w:pPr>
              <w:rPr>
                <w:lang w:val="en-CA"/>
              </w:rPr>
            </w:pPr>
          </w:p>
        </w:tc>
      </w:tr>
    </w:tbl>
    <w:p w14:paraId="17C2E636"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B362B" w14:textId="77777777" w:rsidR="00E168BE" w:rsidRDefault="00E168BE">
      <w:r>
        <w:separator/>
      </w:r>
    </w:p>
  </w:endnote>
  <w:endnote w:type="continuationSeparator" w:id="0">
    <w:p w14:paraId="6EB4785D" w14:textId="77777777" w:rsidR="00E168BE" w:rsidRDefault="00E16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9375"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A66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4E1D0500" w14:textId="77777777" w:rsidR="004E27D6" w:rsidRDefault="004E27D6" w:rsidP="004E27D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907788E" w14:textId="4B174668" w:rsidR="007E5D09" w:rsidRPr="004E27D6" w:rsidRDefault="004E27D6" w:rsidP="004E27D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0EA8BB2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B4832" w14:textId="77777777" w:rsidR="00E168BE" w:rsidRDefault="00E168BE" w:rsidP="001C0D0E">
      <w:pPr>
        <w:jc w:val="right"/>
      </w:pPr>
      <w:r>
        <w:separator/>
      </w:r>
    </w:p>
  </w:footnote>
  <w:footnote w:type="continuationSeparator" w:id="0">
    <w:p w14:paraId="7E27A486" w14:textId="77777777" w:rsidR="00E168BE" w:rsidRDefault="00E168BE">
      <w:r>
        <w:continuationSeparator/>
      </w:r>
    </w:p>
  </w:footnote>
  <w:footnote w:id="1">
    <w:p w14:paraId="794FFDC0" w14:textId="7A7C0ABC" w:rsidR="00093D41" w:rsidRPr="00564224" w:rsidRDefault="00093D41" w:rsidP="004E27D6">
      <w:pPr>
        <w:pStyle w:val="FootnoteText"/>
        <w:bidi/>
        <w:ind w:right="100"/>
        <w:jc w:val="left"/>
        <w:rPr>
          <w:lang w:val="fr-CH"/>
        </w:rPr>
      </w:pPr>
      <w:r>
        <w:rPr>
          <w:lang w:val="fr-CH"/>
        </w:rPr>
        <w:t xml:space="preserve"> </w:t>
      </w:r>
      <w:r>
        <w:t xml:space="preserve">UNEP/OzL.Pro/ExCom/97/1 </w:t>
      </w:r>
      <w:r w:rsidRPr="001A24C6">
        <w:rPr>
          <w:rStyle w:val="FootnoteReference"/>
        </w:rPr>
        <w:footnoteRef/>
      </w:r>
    </w:p>
  </w:footnote>
  <w:footnote w:id="2">
    <w:p w14:paraId="72553E54" w14:textId="77777777" w:rsidR="00093D41" w:rsidRDefault="00093D41" w:rsidP="00433243">
      <w:pPr>
        <w:pStyle w:val="FootnoteText"/>
        <w:bidi/>
        <w:jc w:val="left"/>
        <w:rPr>
          <w:lang w:val="fr-CH" w:eastAsia="ar-SA" w:bidi="ar-EG"/>
        </w:rPr>
      </w:pPr>
      <w:r>
        <w:rPr>
          <w:rStyle w:val="FootnoteCharacters"/>
        </w:rPr>
        <w:footnoteRef/>
      </w:r>
      <w:r>
        <w:rPr>
          <w:rtl/>
          <w:lang w:eastAsia="ar-SA" w:bidi="ar-EG"/>
        </w:rPr>
        <w:t xml:space="preserve"> </w:t>
      </w:r>
      <w:r w:rsidRPr="00093D41">
        <w:rPr>
          <w:lang w:val="fr-CH" w:eastAsia="ar-SA" w:bidi="en-GB"/>
        </w:rPr>
        <w:t>UNEP/OzL.Pro/ExCom</w:t>
      </w:r>
      <w:r w:rsidRPr="00093D41">
        <w:rPr>
          <w:lang w:val="fr-CH" w:eastAsia="ar-SA" w:bidi="ar-EG"/>
        </w:rPr>
        <w:t>/95/87</w:t>
      </w:r>
    </w:p>
    <w:p w14:paraId="55EFC9EF" w14:textId="77777777" w:rsidR="004E27D6" w:rsidRPr="00093D41" w:rsidRDefault="004E27D6" w:rsidP="004E27D6">
      <w:pPr>
        <w:pStyle w:val="FootnoteText"/>
        <w:bidi/>
        <w:jc w:val="left"/>
        <w:rPr>
          <w:lang w:val="fr-CH"/>
        </w:rPr>
      </w:pPr>
    </w:p>
  </w:footnote>
  <w:footnote w:id="3">
    <w:p w14:paraId="4B451F1E" w14:textId="77777777" w:rsidR="00093D41" w:rsidRPr="004E27D6" w:rsidRDefault="00093D41" w:rsidP="00433243">
      <w:pPr>
        <w:pStyle w:val="FootnoteText"/>
        <w:bidi/>
        <w:jc w:val="left"/>
        <w:rPr>
          <w:lang w:val="fr-CH"/>
        </w:rPr>
      </w:pPr>
      <w:r>
        <w:rPr>
          <w:rStyle w:val="FootnoteCharacters"/>
        </w:rPr>
        <w:footnoteRef/>
      </w:r>
      <w:r>
        <w:rPr>
          <w:rtl/>
          <w:lang w:eastAsia="ar-SA" w:bidi="ar-EG"/>
        </w:rPr>
        <w:t xml:space="preserve"> على سبيل المثال، تختلف ظروف درجات الحرارة التي ستعمل فيها الأجهزة في منطقة غرب آسيا عن درجات الحرارة في الدول الأخرى في منطقة آسيا، لذا قد تختلف المعايير الوطنية و/أو الإقليمية للاختبار، وبالتالي، قد تفرض الحكومة شرطاً محدداً للامتثال لمعاييرها الوطنية.</w:t>
      </w:r>
    </w:p>
  </w:footnote>
  <w:footnote w:id="4">
    <w:p w14:paraId="35C78C74" w14:textId="77777777" w:rsidR="00093D41" w:rsidRPr="004E27D6" w:rsidRDefault="00093D41" w:rsidP="00433243">
      <w:pPr>
        <w:pStyle w:val="FootnoteText"/>
        <w:bidi/>
        <w:jc w:val="left"/>
        <w:rPr>
          <w:lang w:val="fr-CH"/>
        </w:rPr>
      </w:pPr>
      <w:r>
        <w:rPr>
          <w:rStyle w:val="FootnoteCharacters"/>
        </w:rPr>
        <w:footnoteRef/>
      </w:r>
      <w:r>
        <w:rPr>
          <w:rtl/>
          <w:lang w:eastAsia="ar-SA" w:bidi="ar-EG"/>
        </w:rPr>
        <w:t xml:space="preserve"> قد تختلف التكاليف الفعلية باختلاف الترتيبات التجارية المحددة واتجاهات السوق.</w:t>
      </w:r>
    </w:p>
  </w:footnote>
  <w:footnote w:id="5">
    <w:p w14:paraId="43640DB7" w14:textId="77777777" w:rsidR="00093D41" w:rsidRPr="004E27D6" w:rsidRDefault="00093D41" w:rsidP="00433243">
      <w:pPr>
        <w:pStyle w:val="FootnoteText"/>
        <w:bidi/>
        <w:jc w:val="left"/>
        <w:rPr>
          <w:lang w:val="fr-CH"/>
        </w:rPr>
      </w:pPr>
      <w:r>
        <w:rPr>
          <w:rStyle w:val="FootnoteCharacters"/>
        </w:rPr>
        <w:footnoteRef/>
      </w:r>
      <w:r>
        <w:rPr>
          <w:rtl/>
          <w:lang w:eastAsia="ar-SA" w:bidi="ar-EG"/>
        </w:rPr>
        <w:t xml:space="preserve"> طن التبريد: وحدة قياس القدرة المستخدمة لوصف قدرة التبريد لأنظمة تكييف الهواء.</w:t>
      </w:r>
    </w:p>
  </w:footnote>
  <w:footnote w:id="6">
    <w:p w14:paraId="706EFB92" w14:textId="77777777" w:rsidR="00093D41" w:rsidRPr="004E27D6" w:rsidRDefault="00093D41" w:rsidP="00433243">
      <w:pPr>
        <w:pStyle w:val="FootnoteText"/>
        <w:bidi/>
        <w:jc w:val="left"/>
        <w:rPr>
          <w:lang w:val="fr-CH"/>
        </w:rPr>
      </w:pPr>
      <w:r>
        <w:rPr>
          <w:rStyle w:val="FootnoteCharacters"/>
        </w:rPr>
        <w:footnoteRef/>
      </w:r>
      <w:r>
        <w:rPr>
          <w:rtl/>
          <w:lang w:eastAsia="ar-SA" w:bidi="ar-EG"/>
        </w:rPr>
        <w:t xml:space="preserve"> تشمل هذه الفئة أيضاً مشروعات التصنيع بموجب المقرر </w:t>
      </w:r>
      <w:r w:rsidRPr="004E27D6">
        <w:rPr>
          <w:lang w:val="fr-CH" w:eastAsia="ar-SA" w:bidi="ar-EG"/>
        </w:rPr>
        <w:t>91/65</w:t>
      </w:r>
      <w:r>
        <w:rPr>
          <w:rtl/>
          <w:lang w:eastAsia="ar-SA" w:bidi="ar-EG"/>
        </w:rPr>
        <w:t xml:space="preserve"> المعتمدة قبل الإطار التشغيلي. </w:t>
      </w:r>
    </w:p>
  </w:footnote>
  <w:footnote w:id="7">
    <w:p w14:paraId="6CB604ED" w14:textId="77777777" w:rsidR="00093D41" w:rsidRPr="004E27D6" w:rsidRDefault="00093D41" w:rsidP="00433243">
      <w:pPr>
        <w:pStyle w:val="FootnoteText"/>
        <w:bidi/>
        <w:jc w:val="left"/>
        <w:rPr>
          <w:lang w:val="fr-CH"/>
        </w:rPr>
      </w:pPr>
      <w:r>
        <w:rPr>
          <w:rStyle w:val="FootnoteCharacters"/>
        </w:rPr>
        <w:footnoteRef/>
      </w:r>
      <w:r>
        <w:rPr>
          <w:rtl/>
          <w:lang w:eastAsia="ar-SA" w:bidi="ar-EG"/>
        </w:rPr>
        <w:t xml:space="preserve"> اتفاقيات الاعتراف المتبادل بشأن معايير الكفاءة في استخدام الطاقة لمعدات التبريد وتكييف الهواء والمضخات الحرارية يمكن أن تسهل التجارة وتقلل من الحواجز التجارية من خلال اعتراف الدول بإجراءات تقييم الامتثال (مثل الاختبار والاعتماد) الخاصة بالدول الأخرى. أي أن المنتجات التي تفي بمعايير بلد ما، يمكن قبولها باعتبار أنها تلبي معايير بلد آخر، مما يؤدي إلى تبسيط عملية طرح المنتجات في السوق في كلا البلدين.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860A" w14:textId="78441982" w:rsidR="007E5D09" w:rsidRPr="00B37C68" w:rsidRDefault="00392DDC">
    <w:pPr>
      <w:rPr>
        <w:szCs w:val="24"/>
      </w:rPr>
    </w:pPr>
    <w:r w:rsidRPr="00B37C68">
      <w:rPr>
        <w:szCs w:val="24"/>
      </w:rPr>
      <w:fldChar w:fldCharType="begin"/>
    </w:r>
    <w:r w:rsidRPr="00B37C68">
      <w:rPr>
        <w:szCs w:val="24"/>
      </w:rPr>
      <w:instrText xml:space="preserve"> DOCPROPERTY "Document number"  \* MERGEFORMAT </w:instrText>
    </w:r>
    <w:r w:rsidRPr="00B37C68">
      <w:rPr>
        <w:szCs w:val="24"/>
      </w:rPr>
      <w:fldChar w:fldCharType="separate"/>
    </w:r>
    <w:r w:rsidR="00927EA5">
      <w:rPr>
        <w:szCs w:val="24"/>
      </w:rPr>
      <w:t>UNEP/OzL.Pro/ExCom/97/86</w:t>
    </w:r>
    <w:r w:rsidRPr="00B37C68">
      <w:rPr>
        <w:szCs w:val="24"/>
      </w:rPr>
      <w:fldChar w:fldCharType="end"/>
    </w:r>
  </w:p>
  <w:p w14:paraId="7B401AA6" w14:textId="77777777" w:rsidR="007E5D09" w:rsidRDefault="007E5D09"/>
  <w:p w14:paraId="654B5D8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DC9C" w14:textId="23E4B49A" w:rsidR="007E5D09" w:rsidRDefault="00B37C68">
    <w:pPr>
      <w:jc w:val="right"/>
    </w:pPr>
    <w:r w:rsidRPr="00B37C68">
      <w:rPr>
        <w:szCs w:val="24"/>
      </w:rPr>
      <w:fldChar w:fldCharType="begin"/>
    </w:r>
    <w:r w:rsidRPr="00B37C68">
      <w:rPr>
        <w:szCs w:val="24"/>
      </w:rPr>
      <w:instrText xml:space="preserve"> DOCPROPERTY "Document number"  \* MERGEFORMAT </w:instrText>
    </w:r>
    <w:r w:rsidRPr="00B37C68">
      <w:rPr>
        <w:szCs w:val="24"/>
      </w:rPr>
      <w:fldChar w:fldCharType="separate"/>
    </w:r>
    <w:r w:rsidR="00927EA5">
      <w:rPr>
        <w:szCs w:val="24"/>
      </w:rPr>
      <w:t>UNEP/OzL.Pro/ExCom/97/86</w:t>
    </w:r>
    <w:r w:rsidRPr="00B37C68">
      <w:rPr>
        <w:szCs w:val="24"/>
      </w:rPr>
      <w:fldChar w:fldCharType="end"/>
    </w:r>
  </w:p>
  <w:p w14:paraId="03A049BB" w14:textId="77777777" w:rsidR="007E5D09" w:rsidRDefault="007E5D09"/>
  <w:p w14:paraId="3739447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2404F6"/>
    <w:multiLevelType w:val="hybridMultilevel"/>
    <w:tmpl w:val="FC0C098A"/>
    <w:lvl w:ilvl="0" w:tplc="FFFFFFFF">
      <w:start w:val="1"/>
      <w:numFmt w:val="arabicAbjad"/>
      <w:lvlText w:val="(%1)"/>
      <w:lvlJc w:val="left"/>
      <w:pPr>
        <w:ind w:left="720" w:hanging="360"/>
      </w:pPr>
      <w:rPr>
        <w:rFonts w:hint="default"/>
        <w:sz w:val="26"/>
        <w:szCs w:val="2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AD62EA"/>
    <w:multiLevelType w:val="hybridMultilevel"/>
    <w:tmpl w:val="4D447FF4"/>
    <w:lvl w:ilvl="0" w:tplc="FFFFFFFF">
      <w:start w:val="1"/>
      <w:numFmt w:val="decimal"/>
      <w:lvlText w:val="(%1)"/>
      <w:lvlJc w:val="left"/>
      <w:pPr>
        <w:ind w:left="1800" w:hanging="360"/>
      </w:pPr>
      <w:rPr>
        <w:rFonts w:hint="default"/>
        <w:sz w:val="26"/>
        <w:szCs w:val="26"/>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C620806"/>
    <w:multiLevelType w:val="hybridMultilevel"/>
    <w:tmpl w:val="FC0C098A"/>
    <w:lvl w:ilvl="0" w:tplc="FFFFFFFF">
      <w:start w:val="1"/>
      <w:numFmt w:val="arabicAbjad"/>
      <w:lvlText w:val="(%1)"/>
      <w:lvlJc w:val="left"/>
      <w:pPr>
        <w:ind w:left="720" w:hanging="360"/>
      </w:pPr>
      <w:rPr>
        <w:rFonts w:hint="default"/>
        <w:sz w:val="26"/>
        <w:szCs w:val="2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F8A6044"/>
    <w:multiLevelType w:val="hybridMultilevel"/>
    <w:tmpl w:val="FC0C098A"/>
    <w:lvl w:ilvl="0" w:tplc="638C4C1A">
      <w:start w:val="1"/>
      <w:numFmt w:val="arabicAbjad"/>
      <w:lvlText w:val="(%1)"/>
      <w:lvlJc w:val="left"/>
      <w:pPr>
        <w:ind w:left="720" w:hanging="360"/>
      </w:pPr>
      <w:rPr>
        <w:rFonts w:hint="default"/>
        <w:sz w:val="26"/>
        <w:szCs w:val="2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1"/>
  </w:num>
  <w:num w:numId="20" w16cid:durableId="1935045211">
    <w:abstractNumId w:val="16"/>
  </w:num>
  <w:num w:numId="21" w16cid:durableId="1318917148">
    <w:abstractNumId w:val="12"/>
  </w:num>
  <w:num w:numId="22" w16cid:durableId="1824200708">
    <w:abstractNumId w:val="15"/>
  </w:num>
  <w:num w:numId="23" w16cid:durableId="1763145788">
    <w:abstractNumId w:val="20"/>
  </w:num>
  <w:num w:numId="24" w16cid:durableId="1947958950">
    <w:abstractNumId w:val="10"/>
  </w:num>
  <w:num w:numId="25" w16cid:durableId="1920556064">
    <w:abstractNumId w:val="10"/>
  </w:num>
  <w:num w:numId="26" w16cid:durableId="1748845157">
    <w:abstractNumId w:val="10"/>
  </w:num>
  <w:num w:numId="27" w16cid:durableId="1005789608">
    <w:abstractNumId w:val="10"/>
  </w:num>
  <w:num w:numId="28" w16cid:durableId="174930038">
    <w:abstractNumId w:val="10"/>
  </w:num>
  <w:num w:numId="29" w16cid:durableId="484014156">
    <w:abstractNumId w:val="10"/>
  </w:num>
  <w:num w:numId="30" w16cid:durableId="1147626984">
    <w:abstractNumId w:val="10"/>
  </w:num>
  <w:num w:numId="31" w16cid:durableId="1061178160">
    <w:abstractNumId w:val="10"/>
  </w:num>
  <w:num w:numId="32" w16cid:durableId="1165245578">
    <w:abstractNumId w:val="10"/>
  </w:num>
  <w:num w:numId="33" w16cid:durableId="676614283">
    <w:abstractNumId w:val="10"/>
  </w:num>
  <w:num w:numId="34" w16cid:durableId="1544291696">
    <w:abstractNumId w:val="10"/>
  </w:num>
  <w:num w:numId="35" w16cid:durableId="247931440">
    <w:abstractNumId w:val="10"/>
  </w:num>
  <w:num w:numId="36" w16cid:durableId="2007512514">
    <w:abstractNumId w:val="11"/>
  </w:num>
  <w:num w:numId="37" w16cid:durableId="891968403">
    <w:abstractNumId w:val="10"/>
  </w:num>
  <w:num w:numId="38" w16cid:durableId="875965978">
    <w:abstractNumId w:val="10"/>
  </w:num>
  <w:num w:numId="39" w16cid:durableId="466363516">
    <w:abstractNumId w:val="10"/>
  </w:num>
  <w:num w:numId="40" w16cid:durableId="1259292280">
    <w:abstractNumId w:val="10"/>
  </w:num>
  <w:num w:numId="41" w16cid:durableId="1257637139">
    <w:abstractNumId w:val="10"/>
  </w:num>
  <w:num w:numId="42" w16cid:durableId="1159275539">
    <w:abstractNumId w:val="10"/>
  </w:num>
  <w:num w:numId="43" w16cid:durableId="414211732">
    <w:abstractNumId w:val="10"/>
  </w:num>
  <w:num w:numId="44" w16cid:durableId="97718248">
    <w:abstractNumId w:val="10"/>
  </w:num>
  <w:num w:numId="45" w16cid:durableId="1798065018">
    <w:abstractNumId w:val="10"/>
  </w:num>
  <w:num w:numId="46" w16cid:durableId="655644196">
    <w:abstractNumId w:val="10"/>
  </w:num>
  <w:num w:numId="47" w16cid:durableId="649477623">
    <w:abstractNumId w:val="10"/>
  </w:num>
  <w:num w:numId="48" w16cid:durableId="1349218818">
    <w:abstractNumId w:val="10"/>
  </w:num>
  <w:num w:numId="49" w16cid:durableId="1219440384">
    <w:abstractNumId w:val="10"/>
  </w:num>
  <w:num w:numId="50" w16cid:durableId="343632917">
    <w:abstractNumId w:val="10"/>
  </w:num>
  <w:num w:numId="51" w16cid:durableId="1848903517">
    <w:abstractNumId w:val="10"/>
  </w:num>
  <w:num w:numId="52" w16cid:durableId="1749617816">
    <w:abstractNumId w:val="10"/>
  </w:num>
  <w:num w:numId="53" w16cid:durableId="42364090">
    <w:abstractNumId w:val="10"/>
  </w:num>
  <w:num w:numId="54" w16cid:durableId="1007177076">
    <w:abstractNumId w:val="10"/>
  </w:num>
  <w:num w:numId="55" w16cid:durableId="1797022660">
    <w:abstractNumId w:val="10"/>
  </w:num>
  <w:num w:numId="56" w16cid:durableId="286544271">
    <w:abstractNumId w:val="17"/>
  </w:num>
  <w:num w:numId="57" w16cid:durableId="1373847282">
    <w:abstractNumId w:val="10"/>
  </w:num>
  <w:num w:numId="58" w16cid:durableId="737098155">
    <w:abstractNumId w:val="10"/>
  </w:num>
  <w:num w:numId="59" w16cid:durableId="432744597">
    <w:abstractNumId w:val="10"/>
  </w:num>
  <w:num w:numId="60" w16cid:durableId="1433209531">
    <w:abstractNumId w:val="10"/>
  </w:num>
  <w:num w:numId="61" w16cid:durableId="1160193571">
    <w:abstractNumId w:val="10"/>
  </w:num>
  <w:num w:numId="62" w16cid:durableId="389235771">
    <w:abstractNumId w:val="10"/>
  </w:num>
  <w:num w:numId="63" w16cid:durableId="172294740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D41"/>
    <w:rsid w:val="00013372"/>
    <w:rsid w:val="00017133"/>
    <w:rsid w:val="0002642B"/>
    <w:rsid w:val="0003197D"/>
    <w:rsid w:val="0004254A"/>
    <w:rsid w:val="000861FE"/>
    <w:rsid w:val="00093D41"/>
    <w:rsid w:val="00097D58"/>
    <w:rsid w:val="000B364D"/>
    <w:rsid w:val="000C2FE8"/>
    <w:rsid w:val="000E0770"/>
    <w:rsid w:val="000E1354"/>
    <w:rsid w:val="001002E7"/>
    <w:rsid w:val="00144FC0"/>
    <w:rsid w:val="0016706E"/>
    <w:rsid w:val="00170997"/>
    <w:rsid w:val="001B5C91"/>
    <w:rsid w:val="001C0D0E"/>
    <w:rsid w:val="001D2B45"/>
    <w:rsid w:val="001F0283"/>
    <w:rsid w:val="0022104F"/>
    <w:rsid w:val="002B535E"/>
    <w:rsid w:val="002E6A6F"/>
    <w:rsid w:val="002E7EF7"/>
    <w:rsid w:val="002F505F"/>
    <w:rsid w:val="0031119E"/>
    <w:rsid w:val="0032579D"/>
    <w:rsid w:val="003433DF"/>
    <w:rsid w:val="0035441C"/>
    <w:rsid w:val="00377E9D"/>
    <w:rsid w:val="00392DDC"/>
    <w:rsid w:val="00393115"/>
    <w:rsid w:val="003C2491"/>
    <w:rsid w:val="003C2739"/>
    <w:rsid w:val="003F2852"/>
    <w:rsid w:val="00416AD7"/>
    <w:rsid w:val="00433243"/>
    <w:rsid w:val="004C5B74"/>
    <w:rsid w:val="004E27D6"/>
    <w:rsid w:val="005124AA"/>
    <w:rsid w:val="0053096E"/>
    <w:rsid w:val="00546241"/>
    <w:rsid w:val="00583F2A"/>
    <w:rsid w:val="00584ED8"/>
    <w:rsid w:val="005B65DF"/>
    <w:rsid w:val="005C7D4A"/>
    <w:rsid w:val="00624AEF"/>
    <w:rsid w:val="006549B9"/>
    <w:rsid w:val="00662A73"/>
    <w:rsid w:val="006759DA"/>
    <w:rsid w:val="006F2A2C"/>
    <w:rsid w:val="00702662"/>
    <w:rsid w:val="00703225"/>
    <w:rsid w:val="00744A1F"/>
    <w:rsid w:val="00786775"/>
    <w:rsid w:val="00791A1A"/>
    <w:rsid w:val="007B6974"/>
    <w:rsid w:val="007B7442"/>
    <w:rsid w:val="007C3C73"/>
    <w:rsid w:val="007C6EF9"/>
    <w:rsid w:val="007D141D"/>
    <w:rsid w:val="007D567C"/>
    <w:rsid w:val="007E20B0"/>
    <w:rsid w:val="007E5D09"/>
    <w:rsid w:val="00826E32"/>
    <w:rsid w:val="0084173D"/>
    <w:rsid w:val="00872D99"/>
    <w:rsid w:val="00885865"/>
    <w:rsid w:val="008A5677"/>
    <w:rsid w:val="008B7BCA"/>
    <w:rsid w:val="008E2901"/>
    <w:rsid w:val="008E3DF3"/>
    <w:rsid w:val="0090339C"/>
    <w:rsid w:val="00920424"/>
    <w:rsid w:val="00927EA5"/>
    <w:rsid w:val="00934DE9"/>
    <w:rsid w:val="00971762"/>
    <w:rsid w:val="00983FD1"/>
    <w:rsid w:val="00986A7D"/>
    <w:rsid w:val="009A5140"/>
    <w:rsid w:val="009C46B2"/>
    <w:rsid w:val="009E3DBB"/>
    <w:rsid w:val="00A44778"/>
    <w:rsid w:val="00A62048"/>
    <w:rsid w:val="00A755B6"/>
    <w:rsid w:val="00A907AD"/>
    <w:rsid w:val="00A91C40"/>
    <w:rsid w:val="00AB4886"/>
    <w:rsid w:val="00AE7157"/>
    <w:rsid w:val="00B11DB6"/>
    <w:rsid w:val="00B34D29"/>
    <w:rsid w:val="00B37C68"/>
    <w:rsid w:val="00B40E87"/>
    <w:rsid w:val="00B81E83"/>
    <w:rsid w:val="00B9237B"/>
    <w:rsid w:val="00BB1C42"/>
    <w:rsid w:val="00C0337B"/>
    <w:rsid w:val="00C27B58"/>
    <w:rsid w:val="00C3489D"/>
    <w:rsid w:val="00C4331C"/>
    <w:rsid w:val="00C55EF2"/>
    <w:rsid w:val="00C7391D"/>
    <w:rsid w:val="00C83E39"/>
    <w:rsid w:val="00D006A9"/>
    <w:rsid w:val="00D23286"/>
    <w:rsid w:val="00D34512"/>
    <w:rsid w:val="00D35914"/>
    <w:rsid w:val="00D439F3"/>
    <w:rsid w:val="00D45C4D"/>
    <w:rsid w:val="00D46A96"/>
    <w:rsid w:val="00D6339B"/>
    <w:rsid w:val="00DA0A0B"/>
    <w:rsid w:val="00DA5E3D"/>
    <w:rsid w:val="00DD4F9A"/>
    <w:rsid w:val="00E10B30"/>
    <w:rsid w:val="00E1360E"/>
    <w:rsid w:val="00E168BE"/>
    <w:rsid w:val="00E27B62"/>
    <w:rsid w:val="00E5124C"/>
    <w:rsid w:val="00E54B59"/>
    <w:rsid w:val="00E86EBE"/>
    <w:rsid w:val="00EA617F"/>
    <w:rsid w:val="00EC108E"/>
    <w:rsid w:val="00EF566C"/>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88F95"/>
  <w15:docId w15:val="{87CA2846-4A26-41F1-B293-772635E5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393115"/>
    <w:pPr>
      <w:spacing w:after="160" w:line="240" w:lineRule="exact"/>
    </w:pPr>
    <w:rPr>
      <w:sz w:val="20"/>
      <w:vertAlign w:val="superscript"/>
      <w:lang w:val="en-US" w:bidi="ar-SA"/>
    </w:rPr>
  </w:style>
  <w:style w:type="character" w:customStyle="1" w:styleId="FootnoteCharacters">
    <w:name w:val="Footnote Characters"/>
    <w:uiPriority w:val="99"/>
    <w:unhideWhenUsed/>
    <w:qFormat/>
    <w:rsid w:val="00093D41"/>
    <w:rPr>
      <w:vertAlign w:val="superscript"/>
    </w:rPr>
  </w:style>
  <w:style w:type="paragraph" w:styleId="ListParagraph">
    <w:name w:val="List Paragraph"/>
    <w:basedOn w:val="Normal"/>
    <w:qFormat/>
    <w:rsid w:val="00093D41"/>
    <w:pPr>
      <w:suppressAutoHyphens/>
      <w:ind w:left="720"/>
      <w:contextualSpacing/>
    </w:pPr>
  </w:style>
  <w:style w:type="paragraph" w:styleId="NormalWeb">
    <w:name w:val="Normal (Web)"/>
    <w:basedOn w:val="Normal"/>
    <w:qFormat/>
    <w:rsid w:val="00093D41"/>
    <w:pPr>
      <w:suppressAutoHyphens/>
      <w:spacing w:beforeAutospacing="1" w:afterAutospacing="1"/>
      <w:jc w:val="left"/>
    </w:pPr>
    <w:rPr>
      <w:szCs w:val="24"/>
      <w:lang w:eastAsia="en-CA"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October%202025\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035AE4E9-029E-44EC-A4A7-A65D1D9F3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4</TotalTime>
  <Pages>6</Pages>
  <Words>7311</Words>
  <Characters>7896</Characters>
  <Application>Microsoft Office Word</Application>
  <DocSecurity>0</DocSecurity>
  <Lines>358</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Xue He Yan</cp:lastModifiedBy>
  <cp:revision>2</cp:revision>
  <cp:lastPrinted>2025-10-27T19:07:00Z</cp:lastPrinted>
  <dcterms:created xsi:type="dcterms:W3CDTF">2025-10-27T18:36:00Z</dcterms:created>
  <dcterms:modified xsi:type="dcterms:W3CDTF">2025-10-27T21:24:00Z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UNEP/OzL.Pro/ExCom/97/86</vt:lpwstr>
  </property>
  <property fmtid="{D5CDD505-2E9C-101B-9397-08002B2CF9AE}" pid="3" name="Revision date">
    <vt:lpwstr>24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