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23" w:type="dxa"/>
        <w:tblInd w:w="-432" w:type="dxa"/>
        <w:tblLayout w:type="fixed"/>
        <w:tblLook w:val="0000" w:firstRow="0" w:lastRow="0" w:firstColumn="0" w:lastColumn="0" w:noHBand="0" w:noVBand="0"/>
      </w:tblPr>
      <w:tblGrid>
        <w:gridCol w:w="1976"/>
        <w:gridCol w:w="4764"/>
        <w:gridCol w:w="3383"/>
      </w:tblGrid>
      <w:tr w:rsidR="00441083" w14:paraId="4986516A" w14:textId="77777777" w:rsidTr="0024654B">
        <w:trPr>
          <w:trHeight w:val="691"/>
        </w:trPr>
        <w:tc>
          <w:tcPr>
            <w:tcW w:w="6740" w:type="dxa"/>
            <w:gridSpan w:val="2"/>
            <w:tcBorders>
              <w:bottom w:val="single" w:sz="18" w:space="0" w:color="auto"/>
            </w:tcBorders>
          </w:tcPr>
          <w:p w14:paraId="0CE2747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69BEB13"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83" w:type="dxa"/>
            <w:tcBorders>
              <w:bottom w:val="single" w:sz="18" w:space="0" w:color="auto"/>
            </w:tcBorders>
          </w:tcPr>
          <w:p w14:paraId="069627ED"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D978D0" w14:paraId="32B787D9" w14:textId="77777777" w:rsidTr="002465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8"/>
        </w:trPr>
        <w:tc>
          <w:tcPr>
            <w:tcW w:w="1976" w:type="dxa"/>
            <w:tcBorders>
              <w:top w:val="nil"/>
              <w:left w:val="nil"/>
              <w:bottom w:val="single" w:sz="36" w:space="0" w:color="auto"/>
              <w:right w:val="nil"/>
            </w:tcBorders>
          </w:tcPr>
          <w:p w14:paraId="40EE30B1"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44A8217A" wp14:editId="01192755">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3D068B78" wp14:editId="3F215F26">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64" w:type="dxa"/>
            <w:tcBorders>
              <w:top w:val="nil"/>
              <w:left w:val="nil"/>
              <w:bottom w:val="single" w:sz="36" w:space="0" w:color="auto"/>
              <w:right w:val="nil"/>
            </w:tcBorders>
          </w:tcPr>
          <w:p w14:paraId="527E482D" w14:textId="77777777" w:rsidR="00D64DED" w:rsidRDefault="00D64DE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2B54209" w14:textId="55C3C58B"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EB34636" w14:textId="77777777" w:rsidR="00441083" w:rsidRDefault="00E60D9C">
            <w:pPr>
              <w:rPr>
                <w:rFonts w:ascii="Univers" w:hAnsi="Univers"/>
                <w:b/>
                <w:sz w:val="32"/>
                <w:lang w:val="fr-CA"/>
              </w:rPr>
            </w:pPr>
            <w:r>
              <w:rPr>
                <w:rFonts w:ascii="Univers" w:hAnsi="Univers"/>
                <w:b/>
                <w:sz w:val="32"/>
                <w:lang w:val="fr-CA"/>
              </w:rPr>
              <w:t>Nations Unies pour</w:t>
            </w:r>
          </w:p>
          <w:p w14:paraId="2E9951AC"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4ADEF4F9" w14:textId="77777777" w:rsidR="00441083" w:rsidRDefault="00E60D9C">
            <w:pPr>
              <w:spacing w:before="720"/>
              <w:ind w:left="158"/>
              <w:rPr>
                <w:lang w:val="fr-FR"/>
              </w:rPr>
            </w:pPr>
            <w:r>
              <w:rPr>
                <w:lang w:val="fr-FR"/>
              </w:rPr>
              <w:t xml:space="preserve"> </w:t>
            </w:r>
          </w:p>
        </w:tc>
        <w:tc>
          <w:tcPr>
            <w:tcW w:w="3383" w:type="dxa"/>
            <w:tcBorders>
              <w:top w:val="nil"/>
              <w:left w:val="nil"/>
              <w:bottom w:val="single" w:sz="36" w:space="0" w:color="auto"/>
              <w:right w:val="nil"/>
            </w:tcBorders>
          </w:tcPr>
          <w:p w14:paraId="13559480" w14:textId="77777777" w:rsidR="00D64DED" w:rsidRDefault="00D64DED">
            <w:pPr>
              <w:rPr>
                <w:lang w:val="fr-FR"/>
              </w:rPr>
            </w:pPr>
          </w:p>
          <w:p w14:paraId="5C54DB93" w14:textId="51A3C8A7" w:rsidR="00441083" w:rsidRPr="00DD3433" w:rsidRDefault="00E60D9C">
            <w:pPr>
              <w:rPr>
                <w:lang w:val="fr-FR"/>
              </w:rPr>
            </w:pPr>
            <w:proofErr w:type="spellStart"/>
            <w:r w:rsidRPr="00DD3433">
              <w:rPr>
                <w:lang w:val="fr-FR"/>
              </w:rPr>
              <w:t>Distr</w:t>
            </w:r>
            <w:proofErr w:type="spellEnd"/>
            <w:r w:rsidRPr="00DD3433">
              <w:rPr>
                <w:lang w:val="fr-FR"/>
              </w:rPr>
              <w:t>.</w:t>
            </w:r>
          </w:p>
          <w:p w14:paraId="3E788453"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3079298A" w14:textId="77777777" w:rsidR="00441083" w:rsidRPr="00DD3433" w:rsidRDefault="00441083">
            <w:pPr>
              <w:rPr>
                <w:lang w:val="fr-FR"/>
              </w:rPr>
            </w:pPr>
          </w:p>
          <w:p w14:paraId="333B4E41" w14:textId="36B77EAB" w:rsidR="00441083" w:rsidRPr="00C61A92" w:rsidRDefault="00E60D9C">
            <w:pPr>
              <w:rPr>
                <w:lang w:val="fr-FR"/>
              </w:rPr>
            </w:pPr>
            <w:r>
              <w:fldChar w:fldCharType="begin"/>
            </w:r>
            <w:r w:rsidRPr="00C61A92">
              <w:rPr>
                <w:lang w:val="fr-FR"/>
              </w:rPr>
              <w:instrText xml:space="preserve"> DOCPROPERTY "Document number"  \* MERGEFORMAT </w:instrText>
            </w:r>
            <w:r>
              <w:fldChar w:fldCharType="separate"/>
            </w:r>
            <w:r w:rsidR="00E74D0C" w:rsidRPr="00C61A92">
              <w:rPr>
                <w:lang w:val="fr-FR"/>
              </w:rPr>
              <w:t>UNEP/</w:t>
            </w:r>
            <w:proofErr w:type="spellStart"/>
            <w:r w:rsidR="00E74D0C" w:rsidRPr="00C61A92">
              <w:rPr>
                <w:lang w:val="fr-FR"/>
              </w:rPr>
              <w:t>OzL.Pro</w:t>
            </w:r>
            <w:proofErr w:type="spellEnd"/>
            <w:r w:rsidR="00E74D0C" w:rsidRPr="00C61A92">
              <w:rPr>
                <w:lang w:val="fr-FR"/>
              </w:rPr>
              <w:t>/</w:t>
            </w:r>
            <w:proofErr w:type="spellStart"/>
            <w:r w:rsidR="00E74D0C" w:rsidRPr="00C61A92">
              <w:rPr>
                <w:lang w:val="fr-FR"/>
              </w:rPr>
              <w:t>ExCom</w:t>
            </w:r>
            <w:proofErr w:type="spellEnd"/>
            <w:r w:rsidR="00E74D0C" w:rsidRPr="00C61A92">
              <w:rPr>
                <w:lang w:val="fr-FR"/>
              </w:rPr>
              <w:t>/92/</w:t>
            </w:r>
            <w:r w:rsidR="00D978D0" w:rsidRPr="00C61A92">
              <w:rPr>
                <w:lang w:val="fr-FR"/>
              </w:rPr>
              <w:t>38</w:t>
            </w:r>
            <w:r>
              <w:fldChar w:fldCharType="end"/>
            </w:r>
          </w:p>
          <w:p w14:paraId="0535D328" w14:textId="2DA4FF2D" w:rsidR="002F0B57" w:rsidRPr="00C61A92" w:rsidRDefault="002F0B57" w:rsidP="00C9547D">
            <w:pPr>
              <w:rPr>
                <w:lang w:val="fr-FR"/>
              </w:rPr>
            </w:pPr>
            <w:r>
              <w:fldChar w:fldCharType="begin"/>
            </w:r>
            <w:r w:rsidRPr="00C61A92">
              <w:rPr>
                <w:lang w:val="fr-FR"/>
              </w:rPr>
              <w:instrText xml:space="preserve"> DOCPROPERTY "Revision date" \@ "d MMMM YYYY"  \* MERGEFORMAT </w:instrText>
            </w:r>
            <w:r>
              <w:fldChar w:fldCharType="separate"/>
            </w:r>
            <w:r w:rsidR="00D978D0" w:rsidRPr="00C61A92">
              <w:rPr>
                <w:lang w:val="fr-FR"/>
              </w:rPr>
              <w:t>27</w:t>
            </w:r>
            <w:r w:rsidR="00E74D0C" w:rsidRPr="00C61A92">
              <w:rPr>
                <w:lang w:val="fr-FR"/>
              </w:rPr>
              <w:t xml:space="preserve"> </w:t>
            </w:r>
            <w:r w:rsidR="00D978D0" w:rsidRPr="00C61A92">
              <w:rPr>
                <w:lang w:val="fr-FR"/>
              </w:rPr>
              <w:t>av</w:t>
            </w:r>
            <w:r w:rsidR="00E74D0C" w:rsidRPr="00C61A92">
              <w:rPr>
                <w:lang w:val="fr-FR"/>
              </w:rPr>
              <w:t>ril 2023</w:t>
            </w:r>
            <w:r>
              <w:fldChar w:fldCharType="end"/>
            </w:r>
          </w:p>
          <w:p w14:paraId="7CF25A34" w14:textId="77777777" w:rsidR="00441083" w:rsidRDefault="00FC5578">
            <w:pPr>
              <w:rPr>
                <w:caps/>
                <w:lang w:val="fr-FR"/>
              </w:rPr>
            </w:pPr>
            <w:r w:rsidRPr="00C61A92">
              <w:rPr>
                <w:caps/>
                <w:lang w:val="fr-FR"/>
              </w:rPr>
              <w:br/>
            </w:r>
            <w:r w:rsidR="00E60D9C">
              <w:rPr>
                <w:caps/>
                <w:lang w:val="fr-FR"/>
              </w:rPr>
              <w:t>FRANÇAIS</w:t>
            </w:r>
          </w:p>
          <w:p w14:paraId="787B7153" w14:textId="77777777" w:rsidR="00441083" w:rsidRPr="00D978D0" w:rsidRDefault="00E60D9C">
            <w:pPr>
              <w:rPr>
                <w:lang w:val="fr-FR"/>
              </w:rPr>
            </w:pPr>
            <w:proofErr w:type="gramStart"/>
            <w:r w:rsidRPr="00D978D0">
              <w:rPr>
                <w:lang w:val="fr-FR"/>
              </w:rPr>
              <w:t>ORIGINAL:</w:t>
            </w:r>
            <w:proofErr w:type="gramEnd"/>
            <w:r w:rsidRPr="00D978D0">
              <w:rPr>
                <w:lang w:val="fr-FR"/>
              </w:rPr>
              <w:t xml:space="preserve"> </w:t>
            </w:r>
            <w:r w:rsidR="0091161A" w:rsidRPr="00D978D0">
              <w:rPr>
                <w:lang w:val="fr-FR"/>
              </w:rPr>
              <w:t>ANGLAIS</w:t>
            </w:r>
          </w:p>
        </w:tc>
      </w:tr>
    </w:tbl>
    <w:p w14:paraId="3BDBF0E3"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843511">
        <w:rPr>
          <w:lang w:val="fr-CA"/>
        </w:rPr>
        <w:t>d</w:t>
      </w:r>
      <w:r w:rsidR="005A7F28">
        <w:rPr>
          <w:lang w:val="fr-CA"/>
        </w:rPr>
        <w:t>ouz</w:t>
      </w:r>
      <w:r w:rsidR="00843511">
        <w:rPr>
          <w:lang w:val="fr-CA"/>
        </w:rPr>
        <w:t>i</w:t>
      </w:r>
      <w:r>
        <w:rPr>
          <w:lang w:val="fr-CA"/>
        </w:rPr>
        <w:t>ème</w:t>
      </w:r>
      <w:r w:rsidRPr="00FC5578">
        <w:rPr>
          <w:lang w:val="fr-CA"/>
        </w:rPr>
        <w:t xml:space="preserve"> </w:t>
      </w:r>
      <w:r>
        <w:rPr>
          <w:lang w:val="fr-CA"/>
        </w:rPr>
        <w:t>réunion</w:t>
      </w:r>
    </w:p>
    <w:p w14:paraId="7FB50CA7" w14:textId="77777777" w:rsidR="00A97E14" w:rsidRDefault="00A97E14" w:rsidP="00A97E14">
      <w:pPr>
        <w:jc w:val="left"/>
        <w:rPr>
          <w:lang w:val="fr-FR"/>
        </w:rPr>
      </w:pPr>
      <w:r w:rsidRPr="00B07F02">
        <w:rPr>
          <w:lang w:val="fr-FR"/>
        </w:rPr>
        <w:t xml:space="preserve">Montréal, </w:t>
      </w:r>
      <w:r w:rsidR="00843511">
        <w:rPr>
          <w:lang w:val="fr-FR"/>
        </w:rPr>
        <w:t>2</w:t>
      </w:r>
      <w:r w:rsidR="005A7F28">
        <w:rPr>
          <w:lang w:val="fr-FR"/>
        </w:rPr>
        <w:t xml:space="preserve">9 mai – </w:t>
      </w:r>
      <w:r w:rsidR="00843511">
        <w:rPr>
          <w:lang w:val="fr-FR"/>
        </w:rPr>
        <w:t>2</w:t>
      </w:r>
      <w:r w:rsidR="005A7F28">
        <w:rPr>
          <w:lang w:val="fr-FR"/>
        </w:rPr>
        <w:t xml:space="preserve"> </w:t>
      </w:r>
      <w:r w:rsidR="00843511">
        <w:rPr>
          <w:lang w:val="fr-FR"/>
        </w:rPr>
        <w:t>juin</w:t>
      </w:r>
      <w:r w:rsidRPr="00B07F02">
        <w:rPr>
          <w:lang w:val="fr-FR"/>
        </w:rPr>
        <w:t xml:space="preserve"> 202</w:t>
      </w:r>
      <w:r w:rsidR="005A7F28">
        <w:rPr>
          <w:lang w:val="fr-FR"/>
        </w:rPr>
        <w:t>3</w:t>
      </w:r>
    </w:p>
    <w:p w14:paraId="74778DE1" w14:textId="1EAA36D7" w:rsidR="00E74D0C" w:rsidRPr="00DD7BF9" w:rsidRDefault="00C75602" w:rsidP="00E74D0C">
      <w:pPr>
        <w:jc w:val="left"/>
        <w:rPr>
          <w:lang w:val="fr-FR"/>
        </w:rPr>
      </w:pPr>
      <w:r>
        <w:rPr>
          <w:lang w:val="fr"/>
        </w:rPr>
        <w:t>Point</w:t>
      </w:r>
      <w:r w:rsidR="00E74D0C">
        <w:rPr>
          <w:lang w:val="fr"/>
        </w:rPr>
        <w:t xml:space="preserve"> 9(d) de </w:t>
      </w:r>
      <w:r>
        <w:rPr>
          <w:lang w:val="fr"/>
        </w:rPr>
        <w:t>l’ordre du jour</w:t>
      </w:r>
      <w:r w:rsidR="00E74D0C">
        <w:rPr>
          <w:rStyle w:val="FootnoteReference"/>
          <w:lang w:val="fr"/>
        </w:rPr>
        <w:footnoteReference w:id="1"/>
      </w:r>
    </w:p>
    <w:p w14:paraId="298AEEEB" w14:textId="77777777" w:rsidR="00E74D0C" w:rsidRPr="00DD7BF9" w:rsidRDefault="00E74D0C" w:rsidP="00E74D0C">
      <w:pPr>
        <w:pStyle w:val="Heading5"/>
        <w:numPr>
          <w:ilvl w:val="0"/>
          <w:numId w:val="0"/>
        </w:numPr>
        <w:spacing w:after="0"/>
        <w:rPr>
          <w:lang w:val="fr-FR"/>
        </w:rPr>
      </w:pPr>
    </w:p>
    <w:p w14:paraId="5F2F7C0C" w14:textId="77777777" w:rsidR="00E74D0C" w:rsidRPr="00DD7BF9" w:rsidRDefault="00E74D0C" w:rsidP="00E74D0C">
      <w:pPr>
        <w:pStyle w:val="Title1"/>
        <w:jc w:val="left"/>
        <w:rPr>
          <w:b w:val="0"/>
          <w:lang w:val="fr-FR"/>
        </w:rPr>
      </w:pPr>
    </w:p>
    <w:p w14:paraId="3BB6C2D5" w14:textId="77777777" w:rsidR="00E74D0C" w:rsidRPr="00DD7BF9" w:rsidRDefault="00E74D0C" w:rsidP="00E74D0C">
      <w:pPr>
        <w:pStyle w:val="Title1"/>
        <w:jc w:val="left"/>
        <w:rPr>
          <w:b w:val="0"/>
          <w:lang w:val="fr-FR"/>
        </w:rPr>
      </w:pPr>
    </w:p>
    <w:p w14:paraId="6D5D437D" w14:textId="6E25B3FF" w:rsidR="00E74D0C" w:rsidRPr="00DD7BF9" w:rsidRDefault="0024654B" w:rsidP="00E74D0C">
      <w:pPr>
        <w:jc w:val="center"/>
        <w:rPr>
          <w:b/>
          <w:lang w:val="fr-FR"/>
        </w:rPr>
      </w:pPr>
      <w:r>
        <w:rPr>
          <w:b/>
          <w:bCs/>
          <w:lang w:val="fr"/>
        </w:rPr>
        <w:t>PROPOSITION DE PROJET : SURINAME</w:t>
      </w:r>
    </w:p>
    <w:p w14:paraId="2DF2F1A5" w14:textId="77777777" w:rsidR="00E74D0C" w:rsidRDefault="00E74D0C" w:rsidP="00E74D0C">
      <w:pPr>
        <w:rPr>
          <w:lang w:val="fr-FR"/>
        </w:rPr>
      </w:pPr>
    </w:p>
    <w:p w14:paraId="66465CF7" w14:textId="77777777" w:rsidR="00EA3573" w:rsidRPr="00DD7BF9" w:rsidRDefault="00EA3573" w:rsidP="00E74D0C">
      <w:pPr>
        <w:rPr>
          <w:lang w:val="fr-FR"/>
        </w:rPr>
      </w:pPr>
    </w:p>
    <w:p w14:paraId="5C2D1BAF" w14:textId="77777777" w:rsidR="00E74D0C" w:rsidRPr="00DD7BF9" w:rsidRDefault="00E74D0C" w:rsidP="00E74D0C">
      <w:pPr>
        <w:rPr>
          <w:lang w:val="fr-FR"/>
        </w:rPr>
      </w:pPr>
    </w:p>
    <w:p w14:paraId="498BF31F" w14:textId="77777777" w:rsidR="00E74D0C" w:rsidRPr="00DD7BF9" w:rsidRDefault="00E74D0C" w:rsidP="00E74D0C">
      <w:pPr>
        <w:ind w:firstLine="720"/>
        <w:rPr>
          <w:lang w:val="fr-FR"/>
        </w:rPr>
      </w:pPr>
      <w:r>
        <w:rPr>
          <w:lang w:val="fr"/>
        </w:rPr>
        <w:t xml:space="preserve">Le présent document comporte les observations et la recommandation du Secrétariat sur la proposition de projet suivante : </w:t>
      </w:r>
    </w:p>
    <w:p w14:paraId="18FAD158" w14:textId="77777777" w:rsidR="00E74D0C" w:rsidRPr="00DD7BF9" w:rsidRDefault="00E74D0C" w:rsidP="00E74D0C">
      <w:pPr>
        <w:rPr>
          <w:lang w:val="fr-FR"/>
        </w:rPr>
      </w:pPr>
    </w:p>
    <w:p w14:paraId="693DD1B7" w14:textId="77777777" w:rsidR="00E74D0C" w:rsidRPr="000336D7" w:rsidRDefault="00E74D0C" w:rsidP="00E74D0C">
      <w:pPr>
        <w:rPr>
          <w:u w:val="single"/>
        </w:rPr>
      </w:pPr>
      <w:r>
        <w:rPr>
          <w:u w:val="single"/>
          <w:lang w:val="fr"/>
        </w:rPr>
        <w:t>Élimination</w:t>
      </w:r>
    </w:p>
    <w:p w14:paraId="03A354E4" w14:textId="77777777" w:rsidR="00E74D0C" w:rsidRPr="000336D7" w:rsidRDefault="00E74D0C" w:rsidP="00E74D0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74D0C" w:rsidRPr="000336D7" w14:paraId="5297A70A" w14:textId="77777777" w:rsidTr="00E366E5">
        <w:tc>
          <w:tcPr>
            <w:tcW w:w="6941" w:type="dxa"/>
          </w:tcPr>
          <w:p w14:paraId="2BFC6886" w14:textId="77777777" w:rsidR="00E74D0C" w:rsidRPr="00DD7BF9" w:rsidRDefault="00E74D0C" w:rsidP="00E74D0C">
            <w:pPr>
              <w:pStyle w:val="ListParagraph"/>
              <w:numPr>
                <w:ilvl w:val="0"/>
                <w:numId w:val="23"/>
              </w:numPr>
              <w:ind w:hanging="830"/>
              <w:jc w:val="left"/>
              <w:rPr>
                <w:lang w:val="fr-FR"/>
              </w:rPr>
            </w:pPr>
            <w:r>
              <w:rPr>
                <w:lang w:val="fr"/>
              </w:rPr>
              <w:t>Plan de gestion de l’élimination des HCFC (Phase I, quatrième tranche)</w:t>
            </w:r>
          </w:p>
        </w:tc>
        <w:tc>
          <w:tcPr>
            <w:tcW w:w="2409" w:type="dxa"/>
          </w:tcPr>
          <w:p w14:paraId="0D42B147" w14:textId="77777777" w:rsidR="00E74D0C" w:rsidRPr="000336D7" w:rsidRDefault="00E74D0C" w:rsidP="00E366E5">
            <w:pPr>
              <w:jc w:val="right"/>
            </w:pPr>
            <w:r>
              <w:rPr>
                <w:lang w:val="fr"/>
              </w:rPr>
              <w:t>PNUE et ONUDI</w:t>
            </w:r>
          </w:p>
        </w:tc>
      </w:tr>
    </w:tbl>
    <w:p w14:paraId="1EF017F5" w14:textId="77777777" w:rsidR="00E74D0C" w:rsidRPr="000336D7" w:rsidRDefault="00E74D0C" w:rsidP="00E74D0C"/>
    <w:p w14:paraId="7BD3C600" w14:textId="77777777" w:rsidR="00E74D0C" w:rsidRPr="000336D7" w:rsidRDefault="00E74D0C" w:rsidP="00E74D0C"/>
    <w:p w14:paraId="065FF074" w14:textId="77777777" w:rsidR="00E74D0C" w:rsidRPr="000336D7" w:rsidRDefault="00E74D0C" w:rsidP="00E74D0C"/>
    <w:p w14:paraId="29984EC2" w14:textId="77777777" w:rsidR="00E74D0C" w:rsidRPr="000336D7" w:rsidRDefault="00E74D0C" w:rsidP="00E74D0C">
      <w:r>
        <w:rPr>
          <w:lang w:val="fr"/>
        </w:rPr>
        <w:br w:type="page"/>
      </w:r>
    </w:p>
    <w:p w14:paraId="5312404B" w14:textId="77777777" w:rsidR="00E74D0C" w:rsidRPr="00DD7BF9" w:rsidRDefault="00E74D0C" w:rsidP="00E74D0C">
      <w:pPr>
        <w:jc w:val="center"/>
        <w:rPr>
          <w:b/>
          <w:lang w:val="fr-FR"/>
        </w:rPr>
      </w:pPr>
      <w:r>
        <w:rPr>
          <w:b/>
          <w:bCs/>
          <w:lang w:val="fr"/>
        </w:rPr>
        <w:lastRenderedPageBreak/>
        <w:t>FICHE D’ÉVALUATION DE PROJET – PROJETS PLURIANNUELS</w:t>
      </w:r>
    </w:p>
    <w:p w14:paraId="7822406C" w14:textId="77777777" w:rsidR="00E74D0C" w:rsidRPr="000336D7" w:rsidRDefault="00E74D0C" w:rsidP="00E74D0C">
      <w:pPr>
        <w:jc w:val="center"/>
      </w:pPr>
      <w:r>
        <w:rPr>
          <w:b/>
          <w:bCs/>
          <w:lang w:val="fr"/>
        </w:rPr>
        <w:t>Suriname</w:t>
      </w:r>
    </w:p>
    <w:tbl>
      <w:tblPr>
        <w:tblStyle w:val="TableGrid"/>
        <w:tblW w:w="1037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12"/>
        <w:gridCol w:w="1843"/>
        <w:gridCol w:w="2976"/>
        <w:gridCol w:w="2642"/>
      </w:tblGrid>
      <w:tr w:rsidR="00E74D0C" w:rsidRPr="00EA3573" w14:paraId="7744F201" w14:textId="77777777" w:rsidTr="0024654B">
        <w:trPr>
          <w:trHeight w:val="240"/>
          <w:jc w:val="center"/>
        </w:trPr>
        <w:tc>
          <w:tcPr>
            <w:tcW w:w="2912" w:type="dxa"/>
            <w:tcBorders>
              <w:top w:val="single" w:sz="4" w:space="0" w:color="666699"/>
              <w:left w:val="single" w:sz="4" w:space="0" w:color="666699"/>
              <w:bottom w:val="single" w:sz="4" w:space="0" w:color="666699"/>
              <w:right w:val="single" w:sz="4" w:space="0" w:color="666699"/>
            </w:tcBorders>
            <w:hideMark/>
          </w:tcPr>
          <w:p w14:paraId="229A12AF" w14:textId="77777777" w:rsidR="00E74D0C" w:rsidRPr="00EA3573" w:rsidRDefault="00E74D0C" w:rsidP="00E366E5">
            <w:pPr>
              <w:jc w:val="left"/>
              <w:rPr>
                <w:b/>
                <w:sz w:val="20"/>
                <w:szCs w:val="20"/>
              </w:rPr>
            </w:pPr>
            <w:r w:rsidRPr="00EA3573">
              <w:rPr>
                <w:b/>
                <w:bCs/>
                <w:sz w:val="20"/>
                <w:szCs w:val="20"/>
                <w:lang w:val="fr"/>
              </w:rPr>
              <w:t>(I) TITRE DU PROJET</w:t>
            </w:r>
          </w:p>
        </w:tc>
        <w:tc>
          <w:tcPr>
            <w:tcW w:w="1843" w:type="dxa"/>
            <w:tcBorders>
              <w:top w:val="single" w:sz="4" w:space="0" w:color="666699"/>
              <w:left w:val="single" w:sz="4" w:space="0" w:color="666699"/>
              <w:bottom w:val="single" w:sz="4" w:space="0" w:color="666699"/>
              <w:right w:val="single" w:sz="4" w:space="0" w:color="666699"/>
            </w:tcBorders>
            <w:hideMark/>
          </w:tcPr>
          <w:p w14:paraId="0BCB7B2D" w14:textId="77777777" w:rsidR="00E74D0C" w:rsidRPr="00EA3573" w:rsidRDefault="00E74D0C" w:rsidP="00E366E5">
            <w:pPr>
              <w:jc w:val="center"/>
              <w:rPr>
                <w:b/>
                <w:sz w:val="20"/>
                <w:szCs w:val="20"/>
              </w:rPr>
            </w:pPr>
            <w:r w:rsidRPr="00EA3573">
              <w:rPr>
                <w:b/>
                <w:bCs/>
                <w:sz w:val="20"/>
                <w:szCs w:val="20"/>
                <w:lang w:val="fr"/>
              </w:rPr>
              <w:t>AGENCE</w:t>
            </w:r>
          </w:p>
        </w:tc>
        <w:tc>
          <w:tcPr>
            <w:tcW w:w="2976" w:type="dxa"/>
            <w:tcBorders>
              <w:top w:val="single" w:sz="4" w:space="0" w:color="666699"/>
              <w:left w:val="single" w:sz="4" w:space="0" w:color="666699"/>
              <w:bottom w:val="single" w:sz="4" w:space="0" w:color="666699"/>
              <w:right w:val="single" w:sz="4" w:space="0" w:color="666699"/>
            </w:tcBorders>
            <w:hideMark/>
          </w:tcPr>
          <w:p w14:paraId="18411849" w14:textId="77777777" w:rsidR="00E74D0C" w:rsidRPr="00EA3573" w:rsidRDefault="00E74D0C" w:rsidP="00E366E5">
            <w:pPr>
              <w:jc w:val="center"/>
              <w:rPr>
                <w:b/>
                <w:sz w:val="20"/>
                <w:szCs w:val="20"/>
              </w:rPr>
            </w:pPr>
            <w:r w:rsidRPr="00EA3573">
              <w:rPr>
                <w:b/>
                <w:bCs/>
                <w:sz w:val="20"/>
                <w:szCs w:val="20"/>
                <w:lang w:val="fr"/>
              </w:rPr>
              <w:t>RÉUNION D’APPROBATION</w:t>
            </w:r>
          </w:p>
        </w:tc>
        <w:tc>
          <w:tcPr>
            <w:tcW w:w="2642" w:type="dxa"/>
            <w:tcBorders>
              <w:top w:val="single" w:sz="4" w:space="0" w:color="666699"/>
              <w:left w:val="single" w:sz="4" w:space="0" w:color="666699"/>
              <w:bottom w:val="single" w:sz="4" w:space="0" w:color="666699"/>
              <w:right w:val="single" w:sz="4" w:space="0" w:color="666699"/>
            </w:tcBorders>
            <w:hideMark/>
          </w:tcPr>
          <w:p w14:paraId="144D5F12" w14:textId="77777777" w:rsidR="00E74D0C" w:rsidRPr="00EA3573" w:rsidRDefault="00E74D0C" w:rsidP="00E366E5">
            <w:pPr>
              <w:jc w:val="center"/>
              <w:rPr>
                <w:b/>
                <w:sz w:val="20"/>
                <w:szCs w:val="20"/>
              </w:rPr>
            </w:pPr>
            <w:r w:rsidRPr="00EA3573">
              <w:rPr>
                <w:b/>
                <w:bCs/>
                <w:sz w:val="20"/>
                <w:szCs w:val="20"/>
                <w:lang w:val="fr"/>
              </w:rPr>
              <w:t>MESURE DE CONTRÔLE</w:t>
            </w:r>
          </w:p>
        </w:tc>
      </w:tr>
      <w:tr w:rsidR="00E74D0C" w:rsidRPr="00EA3573" w14:paraId="3E8C5AA1" w14:textId="77777777" w:rsidTr="0024654B">
        <w:trPr>
          <w:trHeight w:val="240"/>
          <w:jc w:val="center"/>
        </w:trPr>
        <w:tc>
          <w:tcPr>
            <w:tcW w:w="2912" w:type="dxa"/>
            <w:tcBorders>
              <w:top w:val="single" w:sz="4" w:space="0" w:color="666699"/>
              <w:left w:val="single" w:sz="4" w:space="0" w:color="666699"/>
              <w:bottom w:val="single" w:sz="4" w:space="0" w:color="666699"/>
              <w:right w:val="single" w:sz="4" w:space="0" w:color="666699"/>
            </w:tcBorders>
            <w:vAlign w:val="center"/>
            <w:hideMark/>
          </w:tcPr>
          <w:p w14:paraId="2B05009C" w14:textId="77777777" w:rsidR="00E74D0C" w:rsidRPr="00EA3573" w:rsidRDefault="00E74D0C" w:rsidP="00E366E5">
            <w:pPr>
              <w:jc w:val="center"/>
              <w:rPr>
                <w:sz w:val="20"/>
                <w:szCs w:val="20"/>
              </w:rPr>
            </w:pPr>
            <w:r w:rsidRPr="00EA3573">
              <w:rPr>
                <w:sz w:val="20"/>
                <w:szCs w:val="20"/>
                <w:lang w:val="fr"/>
              </w:rPr>
              <w:t>Plan d’élimination des HCFC (Phase I)</w:t>
            </w:r>
          </w:p>
        </w:tc>
        <w:tc>
          <w:tcPr>
            <w:tcW w:w="1843" w:type="dxa"/>
            <w:tcBorders>
              <w:top w:val="single" w:sz="4" w:space="0" w:color="666699"/>
              <w:left w:val="single" w:sz="4" w:space="0" w:color="666699"/>
              <w:bottom w:val="single" w:sz="4" w:space="0" w:color="666699"/>
              <w:right w:val="single" w:sz="4" w:space="0" w:color="666699"/>
            </w:tcBorders>
            <w:vAlign w:val="center"/>
          </w:tcPr>
          <w:p w14:paraId="79F5180A" w14:textId="77777777" w:rsidR="00E74D0C" w:rsidRPr="00EA3573" w:rsidRDefault="00E74D0C" w:rsidP="00E366E5">
            <w:pPr>
              <w:jc w:val="center"/>
              <w:rPr>
                <w:sz w:val="20"/>
                <w:szCs w:val="20"/>
              </w:rPr>
            </w:pPr>
            <w:r w:rsidRPr="00EA3573">
              <w:rPr>
                <w:color w:val="000000" w:themeColor="text1"/>
                <w:sz w:val="20"/>
                <w:szCs w:val="20"/>
                <w:lang w:val="fr"/>
              </w:rPr>
              <w:t>PNUE (principale), ONUDI</w:t>
            </w:r>
          </w:p>
        </w:tc>
        <w:tc>
          <w:tcPr>
            <w:tcW w:w="2976" w:type="dxa"/>
            <w:tcBorders>
              <w:top w:val="single" w:sz="4" w:space="0" w:color="666699"/>
              <w:left w:val="single" w:sz="4" w:space="0" w:color="666699"/>
              <w:bottom w:val="single" w:sz="4" w:space="0" w:color="666699"/>
              <w:right w:val="single" w:sz="4" w:space="0" w:color="666699"/>
            </w:tcBorders>
            <w:vAlign w:val="center"/>
          </w:tcPr>
          <w:p w14:paraId="4AA840C0" w14:textId="77777777" w:rsidR="00E74D0C" w:rsidRPr="00EA3573" w:rsidRDefault="00E74D0C" w:rsidP="00E366E5">
            <w:pPr>
              <w:jc w:val="center"/>
              <w:rPr>
                <w:sz w:val="20"/>
                <w:szCs w:val="20"/>
              </w:rPr>
            </w:pPr>
            <w:r w:rsidRPr="00EA3573">
              <w:rPr>
                <w:sz w:val="20"/>
                <w:szCs w:val="20"/>
                <w:lang w:val="fr"/>
              </w:rPr>
              <w:t>65</w:t>
            </w:r>
            <w:r w:rsidRPr="00EA3573">
              <w:rPr>
                <w:sz w:val="20"/>
                <w:szCs w:val="20"/>
                <w:vertAlign w:val="superscript"/>
                <w:lang w:val="fr"/>
              </w:rPr>
              <w:t>e</w:t>
            </w:r>
          </w:p>
        </w:tc>
        <w:tc>
          <w:tcPr>
            <w:tcW w:w="2642" w:type="dxa"/>
            <w:tcBorders>
              <w:top w:val="single" w:sz="4" w:space="0" w:color="666699"/>
              <w:left w:val="single" w:sz="4" w:space="0" w:color="666699"/>
              <w:bottom w:val="single" w:sz="4" w:space="0" w:color="666699"/>
              <w:right w:val="single" w:sz="4" w:space="0" w:color="666699"/>
            </w:tcBorders>
            <w:vAlign w:val="center"/>
          </w:tcPr>
          <w:p w14:paraId="33C8EF2D" w14:textId="77777777" w:rsidR="00E74D0C" w:rsidRPr="00EA3573" w:rsidRDefault="00E74D0C" w:rsidP="00E366E5">
            <w:pPr>
              <w:jc w:val="center"/>
              <w:rPr>
                <w:sz w:val="20"/>
                <w:szCs w:val="20"/>
              </w:rPr>
            </w:pPr>
            <w:r w:rsidRPr="00EA3573">
              <w:rPr>
                <w:sz w:val="20"/>
                <w:szCs w:val="20"/>
                <w:lang w:val="fr"/>
              </w:rPr>
              <w:t>35 % d’ici 2020</w:t>
            </w:r>
          </w:p>
        </w:tc>
      </w:tr>
    </w:tbl>
    <w:p w14:paraId="297D9EB1" w14:textId="77777777" w:rsidR="00E74D0C" w:rsidRPr="00EA3573" w:rsidRDefault="00E74D0C" w:rsidP="0015302C">
      <w:pPr>
        <w:spacing w:line="80" w:lineRule="exact"/>
        <w:jc w:val="center"/>
        <w:rPr>
          <w:sz w:val="20"/>
          <w:szCs w:val="20"/>
        </w:rPr>
      </w:pPr>
    </w:p>
    <w:tbl>
      <w:tblPr>
        <w:tblStyle w:val="TableGrid"/>
        <w:tblW w:w="103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799"/>
        <w:gridCol w:w="1843"/>
        <w:gridCol w:w="1723"/>
      </w:tblGrid>
      <w:tr w:rsidR="00E74D0C" w:rsidRPr="00EA3573" w14:paraId="6E6AAE1E" w14:textId="77777777" w:rsidTr="00615EDE">
        <w:trPr>
          <w:trHeight w:val="43"/>
          <w:jc w:val="center"/>
        </w:trPr>
        <w:tc>
          <w:tcPr>
            <w:tcW w:w="6799" w:type="dxa"/>
            <w:tcBorders>
              <w:top w:val="single" w:sz="4" w:space="0" w:color="666699"/>
              <w:left w:val="single" w:sz="4" w:space="0" w:color="666699"/>
              <w:bottom w:val="single" w:sz="4" w:space="0" w:color="666699"/>
              <w:right w:val="single" w:sz="4" w:space="0" w:color="666699"/>
            </w:tcBorders>
            <w:hideMark/>
          </w:tcPr>
          <w:p w14:paraId="533DBBB9" w14:textId="5EC05B0F" w:rsidR="00E74D0C" w:rsidRPr="00EA3573" w:rsidRDefault="00E74D0C" w:rsidP="00E366E5">
            <w:pPr>
              <w:jc w:val="left"/>
              <w:rPr>
                <w:b/>
                <w:sz w:val="20"/>
                <w:szCs w:val="20"/>
                <w:lang w:val="fr-FR"/>
              </w:rPr>
            </w:pPr>
            <w:r w:rsidRPr="00EA3573">
              <w:rPr>
                <w:b/>
                <w:bCs/>
                <w:sz w:val="20"/>
                <w:szCs w:val="20"/>
                <w:lang w:val="fr"/>
              </w:rPr>
              <w:t>(</w:t>
            </w:r>
            <w:r w:rsidRPr="00620131">
              <w:rPr>
                <w:b/>
                <w:bCs/>
                <w:sz w:val="19"/>
                <w:szCs w:val="19"/>
                <w:lang w:val="fr"/>
              </w:rPr>
              <w:t>II) DERNIÈRES DONNÉES VISÉES À L’ARTICLE</w:t>
            </w:r>
            <w:r w:rsidR="00C61A92" w:rsidRPr="00620131">
              <w:rPr>
                <w:b/>
                <w:bCs/>
                <w:sz w:val="19"/>
                <w:szCs w:val="19"/>
                <w:lang w:val="fr"/>
              </w:rPr>
              <w:t> </w:t>
            </w:r>
            <w:r w:rsidRPr="00620131">
              <w:rPr>
                <w:b/>
                <w:bCs/>
                <w:sz w:val="19"/>
                <w:szCs w:val="19"/>
                <w:lang w:val="fr"/>
              </w:rPr>
              <w:t>7 (Annexe C Groupe l)</w:t>
            </w:r>
          </w:p>
        </w:tc>
        <w:tc>
          <w:tcPr>
            <w:tcW w:w="1843" w:type="dxa"/>
            <w:tcBorders>
              <w:top w:val="single" w:sz="4" w:space="0" w:color="666699"/>
              <w:left w:val="single" w:sz="4" w:space="0" w:color="666699"/>
              <w:bottom w:val="single" w:sz="4" w:space="0" w:color="666699"/>
              <w:right w:val="single" w:sz="4" w:space="0" w:color="666699"/>
            </w:tcBorders>
            <w:hideMark/>
          </w:tcPr>
          <w:p w14:paraId="025796BB" w14:textId="77777777" w:rsidR="00E74D0C" w:rsidRPr="00EA3573" w:rsidRDefault="00E74D0C" w:rsidP="00E366E5">
            <w:pPr>
              <w:jc w:val="center"/>
              <w:rPr>
                <w:sz w:val="20"/>
                <w:szCs w:val="20"/>
              </w:rPr>
            </w:pPr>
            <w:r w:rsidRPr="00EA3573">
              <w:rPr>
                <w:sz w:val="20"/>
                <w:szCs w:val="20"/>
                <w:lang w:val="fr"/>
              </w:rPr>
              <w:t>Année : 2021</w:t>
            </w:r>
          </w:p>
        </w:tc>
        <w:tc>
          <w:tcPr>
            <w:tcW w:w="1723" w:type="dxa"/>
            <w:tcBorders>
              <w:top w:val="single" w:sz="4" w:space="0" w:color="666699"/>
              <w:left w:val="single" w:sz="4" w:space="0" w:color="666699"/>
              <w:bottom w:val="single" w:sz="4" w:space="0" w:color="666699"/>
              <w:right w:val="single" w:sz="4" w:space="0" w:color="666699"/>
            </w:tcBorders>
            <w:hideMark/>
          </w:tcPr>
          <w:p w14:paraId="753E3456" w14:textId="1472352E" w:rsidR="00E74D0C" w:rsidRPr="00EA3573" w:rsidRDefault="00E74D0C" w:rsidP="00E366E5">
            <w:pPr>
              <w:jc w:val="right"/>
              <w:rPr>
                <w:sz w:val="20"/>
                <w:szCs w:val="20"/>
              </w:rPr>
            </w:pPr>
            <w:r w:rsidRPr="00EA3573">
              <w:rPr>
                <w:color w:val="000000" w:themeColor="text1"/>
                <w:sz w:val="20"/>
                <w:szCs w:val="20"/>
                <w:lang w:val="fr"/>
              </w:rPr>
              <w:t>0,00</w:t>
            </w:r>
            <w:r w:rsidRPr="00EA3573">
              <w:rPr>
                <w:sz w:val="20"/>
                <w:szCs w:val="20"/>
                <w:lang w:val="fr"/>
              </w:rPr>
              <w:t xml:space="preserve"> (tonne PAO)</w:t>
            </w:r>
          </w:p>
        </w:tc>
      </w:tr>
    </w:tbl>
    <w:p w14:paraId="0DA6B4CE" w14:textId="77777777" w:rsidR="00E74D0C" w:rsidRPr="00EA3573" w:rsidRDefault="00E74D0C" w:rsidP="0015302C">
      <w:pPr>
        <w:spacing w:line="80" w:lineRule="exact"/>
        <w:jc w:val="center"/>
        <w:rPr>
          <w:sz w:val="20"/>
          <w:szCs w:val="20"/>
        </w:rPr>
      </w:pPr>
    </w:p>
    <w:tbl>
      <w:tblPr>
        <w:tblStyle w:val="TableGrid"/>
        <w:tblW w:w="1044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555"/>
        <w:gridCol w:w="88"/>
        <w:gridCol w:w="762"/>
        <w:gridCol w:w="89"/>
        <w:gridCol w:w="990"/>
        <w:gridCol w:w="1134"/>
        <w:gridCol w:w="1134"/>
        <w:gridCol w:w="992"/>
        <w:gridCol w:w="709"/>
        <w:gridCol w:w="850"/>
        <w:gridCol w:w="1147"/>
        <w:gridCol w:w="990"/>
      </w:tblGrid>
      <w:tr w:rsidR="00E74D0C" w:rsidRPr="00EA3573" w14:paraId="356E3E30" w14:textId="77777777" w:rsidTr="0024654B">
        <w:trPr>
          <w:trHeight w:val="249"/>
          <w:jc w:val="center"/>
        </w:trPr>
        <w:tc>
          <w:tcPr>
            <w:tcW w:w="8303" w:type="dxa"/>
            <w:gridSpan w:val="10"/>
            <w:tcBorders>
              <w:top w:val="single" w:sz="4" w:space="0" w:color="666699"/>
              <w:left w:val="single" w:sz="4" w:space="0" w:color="666699"/>
              <w:bottom w:val="single" w:sz="4" w:space="0" w:color="666699"/>
              <w:right w:val="single" w:sz="4" w:space="0" w:color="666699"/>
            </w:tcBorders>
            <w:hideMark/>
          </w:tcPr>
          <w:p w14:paraId="4F72F8B5" w14:textId="77777777" w:rsidR="00E74D0C" w:rsidRPr="00EA3573" w:rsidRDefault="00E74D0C" w:rsidP="00E366E5">
            <w:pPr>
              <w:jc w:val="left"/>
              <w:rPr>
                <w:b/>
                <w:sz w:val="20"/>
                <w:szCs w:val="20"/>
                <w:lang w:val="fr-FR"/>
              </w:rPr>
            </w:pPr>
            <w:r w:rsidRPr="00EA3573">
              <w:rPr>
                <w:b/>
                <w:bCs/>
                <w:sz w:val="20"/>
                <w:szCs w:val="20"/>
                <w:lang w:val="fr"/>
              </w:rPr>
              <w:t>(III) DERNIÈRES DONNÉES SECTORIELLES DU PROGRAMME DU PAYS (tonnes PAO)</w:t>
            </w:r>
          </w:p>
        </w:tc>
        <w:tc>
          <w:tcPr>
            <w:tcW w:w="2137" w:type="dxa"/>
            <w:gridSpan w:val="2"/>
            <w:tcBorders>
              <w:top w:val="single" w:sz="4" w:space="0" w:color="666699"/>
              <w:left w:val="single" w:sz="4" w:space="0" w:color="666699"/>
              <w:bottom w:val="single" w:sz="4" w:space="0" w:color="666699"/>
              <w:right w:val="single" w:sz="4" w:space="0" w:color="666699"/>
            </w:tcBorders>
            <w:hideMark/>
          </w:tcPr>
          <w:p w14:paraId="08BC289A" w14:textId="77777777" w:rsidR="00E74D0C" w:rsidRPr="00EA3573" w:rsidRDefault="00E74D0C" w:rsidP="00E366E5">
            <w:pPr>
              <w:jc w:val="right"/>
              <w:rPr>
                <w:b/>
                <w:sz w:val="20"/>
                <w:szCs w:val="20"/>
              </w:rPr>
            </w:pPr>
            <w:r w:rsidRPr="00EA3573">
              <w:rPr>
                <w:b/>
                <w:bCs/>
                <w:sz w:val="20"/>
                <w:szCs w:val="20"/>
                <w:lang w:val="fr"/>
              </w:rPr>
              <w:t>Année : 2021</w:t>
            </w:r>
          </w:p>
        </w:tc>
      </w:tr>
      <w:tr w:rsidR="00E74D0C" w:rsidRPr="00EA3573" w14:paraId="20436AB9" w14:textId="77777777" w:rsidTr="00540E82">
        <w:trPr>
          <w:trHeight w:val="249"/>
          <w:jc w:val="center"/>
        </w:trPr>
        <w:tc>
          <w:tcPr>
            <w:tcW w:w="1555" w:type="dxa"/>
            <w:tcBorders>
              <w:top w:val="single" w:sz="4" w:space="0" w:color="666699"/>
              <w:left w:val="single" w:sz="4" w:space="0" w:color="666699"/>
              <w:bottom w:val="single" w:sz="4" w:space="0" w:color="666699"/>
              <w:right w:val="single" w:sz="4" w:space="0" w:color="666699"/>
            </w:tcBorders>
            <w:hideMark/>
          </w:tcPr>
          <w:p w14:paraId="615491A6" w14:textId="77777777" w:rsidR="00E74D0C" w:rsidRPr="00540E82" w:rsidRDefault="00E74D0C" w:rsidP="00E366E5">
            <w:pPr>
              <w:jc w:val="center"/>
              <w:rPr>
                <w:sz w:val="18"/>
                <w:szCs w:val="18"/>
              </w:rPr>
            </w:pPr>
            <w:r w:rsidRPr="00540E82">
              <w:rPr>
                <w:sz w:val="18"/>
                <w:szCs w:val="18"/>
                <w:lang w:val="fr"/>
              </w:rPr>
              <w:t>Produits chimiques</w:t>
            </w:r>
          </w:p>
        </w:tc>
        <w:tc>
          <w:tcPr>
            <w:tcW w:w="850" w:type="dxa"/>
            <w:gridSpan w:val="2"/>
            <w:tcBorders>
              <w:top w:val="single" w:sz="4" w:space="0" w:color="666699"/>
              <w:left w:val="single" w:sz="4" w:space="0" w:color="666699"/>
              <w:bottom w:val="single" w:sz="4" w:space="0" w:color="666699"/>
              <w:right w:val="single" w:sz="4" w:space="0" w:color="666699"/>
            </w:tcBorders>
            <w:hideMark/>
          </w:tcPr>
          <w:p w14:paraId="046481D2" w14:textId="77777777" w:rsidR="00E74D0C" w:rsidRPr="00540E82" w:rsidRDefault="00E74D0C" w:rsidP="00E366E5">
            <w:pPr>
              <w:jc w:val="center"/>
              <w:rPr>
                <w:sz w:val="18"/>
                <w:szCs w:val="18"/>
              </w:rPr>
            </w:pPr>
            <w:r w:rsidRPr="00540E82">
              <w:rPr>
                <w:sz w:val="18"/>
                <w:szCs w:val="18"/>
                <w:lang w:val="fr"/>
              </w:rPr>
              <w:t>Aérosol</w:t>
            </w:r>
          </w:p>
        </w:tc>
        <w:tc>
          <w:tcPr>
            <w:tcW w:w="1079" w:type="dxa"/>
            <w:gridSpan w:val="2"/>
            <w:tcBorders>
              <w:top w:val="single" w:sz="4" w:space="0" w:color="666699"/>
              <w:left w:val="single" w:sz="4" w:space="0" w:color="666699"/>
              <w:bottom w:val="single" w:sz="4" w:space="0" w:color="666699"/>
              <w:right w:val="single" w:sz="4" w:space="0" w:color="666699"/>
            </w:tcBorders>
            <w:hideMark/>
          </w:tcPr>
          <w:p w14:paraId="1ED51A13" w14:textId="77777777" w:rsidR="00E74D0C" w:rsidRPr="00540E82" w:rsidRDefault="00E74D0C" w:rsidP="00E366E5">
            <w:pPr>
              <w:jc w:val="center"/>
              <w:rPr>
                <w:sz w:val="18"/>
                <w:szCs w:val="18"/>
              </w:rPr>
            </w:pPr>
            <w:r w:rsidRPr="00540E82">
              <w:rPr>
                <w:sz w:val="18"/>
                <w:szCs w:val="18"/>
                <w:lang w:val="fr"/>
              </w:rPr>
              <w:t>Mousses</w:t>
            </w:r>
          </w:p>
        </w:tc>
        <w:tc>
          <w:tcPr>
            <w:tcW w:w="1134" w:type="dxa"/>
            <w:tcBorders>
              <w:top w:val="single" w:sz="4" w:space="0" w:color="666699"/>
              <w:left w:val="single" w:sz="4" w:space="0" w:color="666699"/>
              <w:bottom w:val="single" w:sz="4" w:space="0" w:color="666699"/>
              <w:right w:val="single" w:sz="4" w:space="0" w:color="666699"/>
            </w:tcBorders>
            <w:hideMark/>
          </w:tcPr>
          <w:p w14:paraId="70561B00" w14:textId="77777777" w:rsidR="00E74D0C" w:rsidRPr="00540E82" w:rsidRDefault="00E74D0C" w:rsidP="00E366E5">
            <w:pPr>
              <w:jc w:val="center"/>
              <w:rPr>
                <w:sz w:val="18"/>
                <w:szCs w:val="18"/>
              </w:rPr>
            </w:pPr>
            <w:r w:rsidRPr="00540E82">
              <w:rPr>
                <w:sz w:val="18"/>
                <w:szCs w:val="18"/>
                <w:lang w:val="fr"/>
              </w:rPr>
              <w:t>Lutte contre l’incendie</w:t>
            </w:r>
          </w:p>
        </w:tc>
        <w:tc>
          <w:tcPr>
            <w:tcW w:w="2126" w:type="dxa"/>
            <w:gridSpan w:val="2"/>
            <w:tcBorders>
              <w:top w:val="single" w:sz="4" w:space="0" w:color="666699"/>
              <w:left w:val="single" w:sz="4" w:space="0" w:color="666699"/>
              <w:bottom w:val="single" w:sz="4" w:space="0" w:color="666699"/>
              <w:right w:val="single" w:sz="4" w:space="0" w:color="666699"/>
            </w:tcBorders>
            <w:hideMark/>
          </w:tcPr>
          <w:p w14:paraId="3256AF82" w14:textId="77777777" w:rsidR="00E74D0C" w:rsidRPr="00540E82" w:rsidRDefault="00E74D0C" w:rsidP="00E366E5">
            <w:pPr>
              <w:jc w:val="center"/>
              <w:rPr>
                <w:sz w:val="18"/>
                <w:szCs w:val="18"/>
              </w:rPr>
            </w:pPr>
            <w:r w:rsidRPr="00540E82">
              <w:rPr>
                <w:sz w:val="18"/>
                <w:szCs w:val="18"/>
                <w:lang w:val="fr"/>
              </w:rPr>
              <w:t>Réfrigération</w:t>
            </w:r>
          </w:p>
        </w:tc>
        <w:tc>
          <w:tcPr>
            <w:tcW w:w="709" w:type="dxa"/>
            <w:tcBorders>
              <w:top w:val="single" w:sz="4" w:space="0" w:color="666699"/>
              <w:left w:val="single" w:sz="4" w:space="0" w:color="666699"/>
              <w:bottom w:val="single" w:sz="4" w:space="0" w:color="666699"/>
              <w:right w:val="single" w:sz="4" w:space="0" w:color="666699"/>
            </w:tcBorders>
            <w:hideMark/>
          </w:tcPr>
          <w:p w14:paraId="4297E644" w14:textId="77777777" w:rsidR="00E74D0C" w:rsidRPr="00540E82" w:rsidRDefault="00E74D0C" w:rsidP="00E366E5">
            <w:pPr>
              <w:jc w:val="center"/>
              <w:rPr>
                <w:sz w:val="18"/>
                <w:szCs w:val="18"/>
              </w:rPr>
            </w:pPr>
            <w:r w:rsidRPr="00540E82">
              <w:rPr>
                <w:sz w:val="18"/>
                <w:szCs w:val="18"/>
                <w:lang w:val="fr"/>
              </w:rPr>
              <w:t>Solvants</w:t>
            </w:r>
          </w:p>
        </w:tc>
        <w:tc>
          <w:tcPr>
            <w:tcW w:w="850" w:type="dxa"/>
            <w:tcBorders>
              <w:top w:val="single" w:sz="4" w:space="0" w:color="666699"/>
              <w:left w:val="single" w:sz="4" w:space="0" w:color="666699"/>
              <w:bottom w:val="single" w:sz="4" w:space="0" w:color="666699"/>
              <w:right w:val="single" w:sz="4" w:space="0" w:color="666699"/>
            </w:tcBorders>
            <w:hideMark/>
          </w:tcPr>
          <w:p w14:paraId="5869A8F3" w14:textId="77777777" w:rsidR="00E74D0C" w:rsidRPr="00540E82" w:rsidRDefault="00E74D0C" w:rsidP="00E366E5">
            <w:pPr>
              <w:jc w:val="center"/>
              <w:rPr>
                <w:sz w:val="18"/>
                <w:szCs w:val="18"/>
              </w:rPr>
            </w:pPr>
            <w:r w:rsidRPr="00540E82">
              <w:rPr>
                <w:sz w:val="18"/>
                <w:szCs w:val="18"/>
                <w:lang w:val="fr"/>
              </w:rPr>
              <w:t>Agents de transformation</w:t>
            </w:r>
          </w:p>
        </w:tc>
        <w:tc>
          <w:tcPr>
            <w:tcW w:w="1147" w:type="dxa"/>
            <w:tcBorders>
              <w:top w:val="single" w:sz="4" w:space="0" w:color="666699"/>
              <w:left w:val="single" w:sz="4" w:space="0" w:color="666699"/>
              <w:bottom w:val="single" w:sz="4" w:space="0" w:color="666699"/>
              <w:right w:val="single" w:sz="4" w:space="0" w:color="666699"/>
            </w:tcBorders>
            <w:hideMark/>
          </w:tcPr>
          <w:p w14:paraId="688361D8" w14:textId="77777777" w:rsidR="00E74D0C" w:rsidRPr="00540E82" w:rsidRDefault="00E74D0C" w:rsidP="00E366E5">
            <w:pPr>
              <w:jc w:val="center"/>
              <w:rPr>
                <w:sz w:val="18"/>
                <w:szCs w:val="18"/>
              </w:rPr>
            </w:pPr>
            <w:r w:rsidRPr="00540E82">
              <w:rPr>
                <w:sz w:val="18"/>
                <w:szCs w:val="18"/>
                <w:lang w:val="fr"/>
              </w:rPr>
              <w:t>Utilisation en laboratoire</w:t>
            </w:r>
          </w:p>
        </w:tc>
        <w:tc>
          <w:tcPr>
            <w:tcW w:w="990" w:type="dxa"/>
            <w:tcBorders>
              <w:top w:val="single" w:sz="4" w:space="0" w:color="666699"/>
              <w:left w:val="single" w:sz="4" w:space="0" w:color="666699"/>
              <w:bottom w:val="single" w:sz="4" w:space="0" w:color="666699"/>
              <w:right w:val="single" w:sz="4" w:space="0" w:color="666699"/>
            </w:tcBorders>
            <w:hideMark/>
          </w:tcPr>
          <w:p w14:paraId="134D8712" w14:textId="77777777" w:rsidR="00E74D0C" w:rsidRPr="00540E82" w:rsidRDefault="00E74D0C" w:rsidP="00E366E5">
            <w:pPr>
              <w:jc w:val="center"/>
              <w:rPr>
                <w:sz w:val="18"/>
                <w:szCs w:val="18"/>
              </w:rPr>
            </w:pPr>
            <w:r w:rsidRPr="00540E82">
              <w:rPr>
                <w:sz w:val="18"/>
                <w:szCs w:val="18"/>
                <w:lang w:val="fr"/>
              </w:rPr>
              <w:t>Consommation totale par secteur</w:t>
            </w:r>
          </w:p>
        </w:tc>
      </w:tr>
      <w:tr w:rsidR="00E74D0C" w:rsidRPr="00EA3573" w14:paraId="55F49191" w14:textId="77777777" w:rsidTr="0024654B">
        <w:trPr>
          <w:trHeight w:val="249"/>
          <w:jc w:val="center"/>
        </w:trPr>
        <w:tc>
          <w:tcPr>
            <w:tcW w:w="4618" w:type="dxa"/>
            <w:gridSpan w:val="6"/>
            <w:tcBorders>
              <w:top w:val="single" w:sz="4" w:space="0" w:color="666699"/>
              <w:left w:val="single" w:sz="4" w:space="0" w:color="666699"/>
              <w:bottom w:val="single" w:sz="4" w:space="0" w:color="666699"/>
              <w:right w:val="single" w:sz="4" w:space="0" w:color="666699"/>
            </w:tcBorders>
            <w:hideMark/>
          </w:tcPr>
          <w:p w14:paraId="556202FD" w14:textId="77777777" w:rsidR="00E74D0C" w:rsidRPr="00EA3573" w:rsidRDefault="00E74D0C" w:rsidP="00E366E5">
            <w:pPr>
              <w:jc w:val="center"/>
              <w:rPr>
                <w:sz w:val="20"/>
                <w:szCs w:val="20"/>
              </w:rPr>
            </w:pPr>
            <w:r w:rsidRPr="00EA3573">
              <w:rPr>
                <w:sz w:val="20"/>
                <w:szCs w:val="20"/>
                <w:lang w:val="fr"/>
              </w:rPr>
              <w:t xml:space="preserve"> </w:t>
            </w:r>
          </w:p>
        </w:tc>
        <w:tc>
          <w:tcPr>
            <w:tcW w:w="1134" w:type="dxa"/>
            <w:tcBorders>
              <w:top w:val="single" w:sz="4" w:space="0" w:color="666699"/>
              <w:left w:val="single" w:sz="4" w:space="0" w:color="666699"/>
              <w:bottom w:val="single" w:sz="4" w:space="0" w:color="666699"/>
              <w:right w:val="single" w:sz="4" w:space="0" w:color="666699"/>
            </w:tcBorders>
            <w:hideMark/>
          </w:tcPr>
          <w:p w14:paraId="2C197E33" w14:textId="77777777" w:rsidR="00E74D0C" w:rsidRPr="00EA3573" w:rsidRDefault="00E74D0C" w:rsidP="00E366E5">
            <w:pPr>
              <w:jc w:val="center"/>
              <w:rPr>
                <w:sz w:val="20"/>
                <w:szCs w:val="20"/>
              </w:rPr>
            </w:pPr>
            <w:r w:rsidRPr="00EA3573">
              <w:rPr>
                <w:sz w:val="20"/>
                <w:szCs w:val="20"/>
                <w:lang w:val="fr"/>
              </w:rPr>
              <w:t>Fabrication</w:t>
            </w:r>
          </w:p>
        </w:tc>
        <w:tc>
          <w:tcPr>
            <w:tcW w:w="992" w:type="dxa"/>
            <w:tcBorders>
              <w:top w:val="single" w:sz="4" w:space="0" w:color="666699"/>
              <w:left w:val="single" w:sz="4" w:space="0" w:color="666699"/>
              <w:bottom w:val="single" w:sz="4" w:space="0" w:color="666699"/>
              <w:right w:val="single" w:sz="4" w:space="0" w:color="666699"/>
            </w:tcBorders>
            <w:hideMark/>
          </w:tcPr>
          <w:p w14:paraId="690B3FA5" w14:textId="77777777" w:rsidR="00E74D0C" w:rsidRPr="00EA3573" w:rsidRDefault="00E74D0C" w:rsidP="00E366E5">
            <w:pPr>
              <w:jc w:val="center"/>
              <w:rPr>
                <w:sz w:val="20"/>
                <w:szCs w:val="20"/>
              </w:rPr>
            </w:pPr>
            <w:r w:rsidRPr="00EA3573">
              <w:rPr>
                <w:sz w:val="20"/>
                <w:szCs w:val="20"/>
                <w:lang w:val="fr"/>
              </w:rPr>
              <w:t>Entretien</w:t>
            </w:r>
          </w:p>
        </w:tc>
        <w:tc>
          <w:tcPr>
            <w:tcW w:w="3696" w:type="dxa"/>
            <w:gridSpan w:val="4"/>
            <w:tcBorders>
              <w:top w:val="single" w:sz="4" w:space="0" w:color="666699"/>
              <w:left w:val="single" w:sz="4" w:space="0" w:color="666699"/>
              <w:bottom w:val="single" w:sz="4" w:space="0" w:color="666699"/>
              <w:right w:val="single" w:sz="4" w:space="0" w:color="666699"/>
            </w:tcBorders>
          </w:tcPr>
          <w:p w14:paraId="6F9583F7" w14:textId="77777777" w:rsidR="00E74D0C" w:rsidRPr="00EA3573" w:rsidRDefault="00E74D0C" w:rsidP="00E366E5">
            <w:pPr>
              <w:jc w:val="center"/>
              <w:rPr>
                <w:sz w:val="20"/>
                <w:szCs w:val="20"/>
              </w:rPr>
            </w:pPr>
          </w:p>
        </w:tc>
      </w:tr>
      <w:tr w:rsidR="00E74D0C" w:rsidRPr="00EA3573" w14:paraId="340AC240" w14:textId="77777777" w:rsidTr="0024654B">
        <w:trPr>
          <w:trHeight w:val="249"/>
          <w:jc w:val="center"/>
        </w:trPr>
        <w:tc>
          <w:tcPr>
            <w:tcW w:w="1643" w:type="dxa"/>
            <w:gridSpan w:val="2"/>
            <w:tcBorders>
              <w:top w:val="single" w:sz="4" w:space="0" w:color="666699"/>
              <w:left w:val="single" w:sz="4" w:space="0" w:color="666699"/>
              <w:bottom w:val="single" w:sz="4" w:space="0" w:color="666699"/>
              <w:right w:val="single" w:sz="4" w:space="0" w:color="666699"/>
            </w:tcBorders>
            <w:hideMark/>
          </w:tcPr>
          <w:p w14:paraId="228144D0" w14:textId="77777777" w:rsidR="00E74D0C" w:rsidRPr="00EA3573" w:rsidRDefault="00E74D0C" w:rsidP="00E366E5">
            <w:pPr>
              <w:jc w:val="left"/>
              <w:rPr>
                <w:sz w:val="20"/>
                <w:szCs w:val="20"/>
              </w:rPr>
            </w:pPr>
            <w:r w:rsidRPr="00EA3573">
              <w:rPr>
                <w:sz w:val="20"/>
                <w:szCs w:val="20"/>
                <w:lang w:val="fr"/>
              </w:rPr>
              <w:t>HCFC-22</w:t>
            </w:r>
          </w:p>
        </w:tc>
        <w:tc>
          <w:tcPr>
            <w:tcW w:w="851" w:type="dxa"/>
            <w:gridSpan w:val="2"/>
            <w:tcBorders>
              <w:top w:val="single" w:sz="4" w:space="0" w:color="666699"/>
              <w:left w:val="single" w:sz="4" w:space="0" w:color="666699"/>
              <w:bottom w:val="single" w:sz="4" w:space="0" w:color="666699"/>
              <w:right w:val="single" w:sz="4" w:space="0" w:color="666699"/>
            </w:tcBorders>
          </w:tcPr>
          <w:p w14:paraId="5439B0EF" w14:textId="77777777" w:rsidR="00E74D0C" w:rsidRPr="00EA3573" w:rsidRDefault="00E74D0C" w:rsidP="00E366E5">
            <w:pPr>
              <w:jc w:val="right"/>
              <w:rPr>
                <w:sz w:val="20"/>
                <w:szCs w:val="20"/>
              </w:rPr>
            </w:pPr>
          </w:p>
        </w:tc>
        <w:tc>
          <w:tcPr>
            <w:tcW w:w="990" w:type="dxa"/>
            <w:tcBorders>
              <w:top w:val="single" w:sz="4" w:space="0" w:color="666699"/>
              <w:left w:val="single" w:sz="4" w:space="0" w:color="666699"/>
              <w:bottom w:val="single" w:sz="4" w:space="0" w:color="666699"/>
              <w:right w:val="single" w:sz="4" w:space="0" w:color="666699"/>
            </w:tcBorders>
          </w:tcPr>
          <w:p w14:paraId="4445A4B4" w14:textId="77777777" w:rsidR="00E74D0C" w:rsidRPr="00EA3573" w:rsidRDefault="00E74D0C" w:rsidP="00E366E5">
            <w:pPr>
              <w:jc w:val="right"/>
              <w:rPr>
                <w:sz w:val="20"/>
                <w:szCs w:val="20"/>
              </w:rPr>
            </w:pPr>
          </w:p>
        </w:tc>
        <w:tc>
          <w:tcPr>
            <w:tcW w:w="1134" w:type="dxa"/>
            <w:tcBorders>
              <w:top w:val="single" w:sz="4" w:space="0" w:color="666699"/>
              <w:left w:val="single" w:sz="4" w:space="0" w:color="666699"/>
              <w:bottom w:val="single" w:sz="4" w:space="0" w:color="666699"/>
              <w:right w:val="single" w:sz="4" w:space="0" w:color="666699"/>
            </w:tcBorders>
          </w:tcPr>
          <w:p w14:paraId="3ECC6C1A" w14:textId="77777777" w:rsidR="00E74D0C" w:rsidRPr="00EA3573" w:rsidRDefault="00E74D0C" w:rsidP="00E366E5">
            <w:pPr>
              <w:jc w:val="right"/>
              <w:rPr>
                <w:sz w:val="20"/>
                <w:szCs w:val="20"/>
              </w:rPr>
            </w:pPr>
          </w:p>
        </w:tc>
        <w:tc>
          <w:tcPr>
            <w:tcW w:w="1134" w:type="dxa"/>
            <w:tcBorders>
              <w:top w:val="single" w:sz="4" w:space="0" w:color="666699"/>
              <w:left w:val="single" w:sz="4" w:space="0" w:color="666699"/>
              <w:bottom w:val="single" w:sz="4" w:space="0" w:color="666699"/>
              <w:right w:val="single" w:sz="4" w:space="0" w:color="666699"/>
            </w:tcBorders>
          </w:tcPr>
          <w:p w14:paraId="435BEBB3" w14:textId="77777777" w:rsidR="00E74D0C" w:rsidRPr="00EA3573" w:rsidRDefault="00E74D0C" w:rsidP="00E366E5">
            <w:pPr>
              <w:jc w:val="right"/>
              <w:rPr>
                <w:sz w:val="20"/>
                <w:szCs w:val="20"/>
              </w:rPr>
            </w:pPr>
          </w:p>
        </w:tc>
        <w:tc>
          <w:tcPr>
            <w:tcW w:w="992" w:type="dxa"/>
            <w:tcBorders>
              <w:top w:val="single" w:sz="4" w:space="0" w:color="666699"/>
              <w:left w:val="single" w:sz="4" w:space="0" w:color="666699"/>
              <w:bottom w:val="single" w:sz="4" w:space="0" w:color="666699"/>
              <w:right w:val="single" w:sz="4" w:space="0" w:color="666699"/>
            </w:tcBorders>
          </w:tcPr>
          <w:p w14:paraId="386E0C18" w14:textId="77777777" w:rsidR="00E74D0C" w:rsidRPr="00EA3573" w:rsidRDefault="00E74D0C" w:rsidP="00E366E5">
            <w:pPr>
              <w:jc w:val="right"/>
              <w:rPr>
                <w:sz w:val="20"/>
                <w:szCs w:val="20"/>
              </w:rPr>
            </w:pPr>
          </w:p>
        </w:tc>
        <w:tc>
          <w:tcPr>
            <w:tcW w:w="709" w:type="dxa"/>
            <w:tcBorders>
              <w:top w:val="single" w:sz="4" w:space="0" w:color="666699"/>
              <w:left w:val="single" w:sz="4" w:space="0" w:color="666699"/>
              <w:bottom w:val="single" w:sz="4" w:space="0" w:color="666699"/>
              <w:right w:val="single" w:sz="4" w:space="0" w:color="666699"/>
            </w:tcBorders>
          </w:tcPr>
          <w:p w14:paraId="70D2B4EE" w14:textId="77777777" w:rsidR="00E74D0C" w:rsidRPr="00EA3573" w:rsidRDefault="00E74D0C" w:rsidP="00E366E5">
            <w:pPr>
              <w:jc w:val="right"/>
              <w:rPr>
                <w:sz w:val="20"/>
                <w:szCs w:val="20"/>
              </w:rPr>
            </w:pPr>
          </w:p>
        </w:tc>
        <w:tc>
          <w:tcPr>
            <w:tcW w:w="850" w:type="dxa"/>
            <w:tcBorders>
              <w:top w:val="single" w:sz="4" w:space="0" w:color="666699"/>
              <w:left w:val="single" w:sz="4" w:space="0" w:color="666699"/>
              <w:bottom w:val="single" w:sz="4" w:space="0" w:color="666699"/>
              <w:right w:val="single" w:sz="4" w:space="0" w:color="666699"/>
            </w:tcBorders>
          </w:tcPr>
          <w:p w14:paraId="5E7401D9" w14:textId="77777777" w:rsidR="00E74D0C" w:rsidRPr="00EA3573" w:rsidRDefault="00E74D0C" w:rsidP="00E366E5">
            <w:pPr>
              <w:jc w:val="right"/>
              <w:rPr>
                <w:sz w:val="20"/>
                <w:szCs w:val="20"/>
              </w:rPr>
            </w:pPr>
          </w:p>
        </w:tc>
        <w:tc>
          <w:tcPr>
            <w:tcW w:w="1147" w:type="dxa"/>
            <w:tcBorders>
              <w:top w:val="single" w:sz="4" w:space="0" w:color="666699"/>
              <w:left w:val="single" w:sz="4" w:space="0" w:color="666699"/>
              <w:bottom w:val="single" w:sz="4" w:space="0" w:color="666699"/>
              <w:right w:val="single" w:sz="4" w:space="0" w:color="666699"/>
            </w:tcBorders>
          </w:tcPr>
          <w:p w14:paraId="2377D78C" w14:textId="77777777" w:rsidR="00E74D0C" w:rsidRPr="00EA3573" w:rsidRDefault="00E74D0C" w:rsidP="00E366E5">
            <w:pPr>
              <w:jc w:val="right"/>
              <w:rPr>
                <w:sz w:val="20"/>
                <w:szCs w:val="20"/>
              </w:rPr>
            </w:pPr>
          </w:p>
        </w:tc>
        <w:tc>
          <w:tcPr>
            <w:tcW w:w="990" w:type="dxa"/>
            <w:tcBorders>
              <w:top w:val="single" w:sz="4" w:space="0" w:color="666699"/>
              <w:left w:val="single" w:sz="4" w:space="0" w:color="666699"/>
              <w:bottom w:val="single" w:sz="4" w:space="0" w:color="666699"/>
              <w:right w:val="single" w:sz="4" w:space="0" w:color="666699"/>
            </w:tcBorders>
          </w:tcPr>
          <w:p w14:paraId="4794D70C" w14:textId="77777777" w:rsidR="00E74D0C" w:rsidRPr="00EA3573" w:rsidRDefault="00E74D0C" w:rsidP="00E366E5">
            <w:pPr>
              <w:jc w:val="right"/>
              <w:rPr>
                <w:sz w:val="20"/>
                <w:szCs w:val="20"/>
              </w:rPr>
            </w:pPr>
            <w:r w:rsidRPr="00EA3573">
              <w:rPr>
                <w:color w:val="000000" w:themeColor="text1"/>
                <w:sz w:val="20"/>
                <w:szCs w:val="20"/>
                <w:lang w:val="fr"/>
              </w:rPr>
              <w:t>0,00</w:t>
            </w:r>
          </w:p>
        </w:tc>
      </w:tr>
      <w:tr w:rsidR="00E74D0C" w:rsidRPr="00EA3573" w14:paraId="60E04B3D" w14:textId="77777777" w:rsidTr="0024654B">
        <w:trPr>
          <w:trHeight w:val="249"/>
          <w:jc w:val="center"/>
        </w:trPr>
        <w:tc>
          <w:tcPr>
            <w:tcW w:w="1643" w:type="dxa"/>
            <w:gridSpan w:val="2"/>
            <w:tcBorders>
              <w:top w:val="single" w:sz="4" w:space="0" w:color="666699"/>
              <w:left w:val="single" w:sz="4" w:space="0" w:color="666699"/>
              <w:bottom w:val="single" w:sz="4" w:space="0" w:color="666699"/>
              <w:right w:val="single" w:sz="4" w:space="0" w:color="666699"/>
            </w:tcBorders>
            <w:hideMark/>
          </w:tcPr>
          <w:p w14:paraId="1BCAD164" w14:textId="77777777" w:rsidR="00E74D0C" w:rsidRPr="00EA3573" w:rsidRDefault="00E74D0C" w:rsidP="00E366E5">
            <w:pPr>
              <w:jc w:val="left"/>
              <w:rPr>
                <w:sz w:val="20"/>
                <w:szCs w:val="20"/>
              </w:rPr>
            </w:pPr>
            <w:r w:rsidRPr="00EA3573">
              <w:rPr>
                <w:sz w:val="20"/>
                <w:szCs w:val="20"/>
                <w:lang w:val="fr"/>
              </w:rPr>
              <w:t>HCFC-142b</w:t>
            </w:r>
          </w:p>
        </w:tc>
        <w:tc>
          <w:tcPr>
            <w:tcW w:w="851" w:type="dxa"/>
            <w:gridSpan w:val="2"/>
            <w:tcBorders>
              <w:top w:val="single" w:sz="4" w:space="0" w:color="666699"/>
              <w:left w:val="single" w:sz="4" w:space="0" w:color="666699"/>
              <w:bottom w:val="single" w:sz="4" w:space="0" w:color="666699"/>
              <w:right w:val="single" w:sz="4" w:space="0" w:color="666699"/>
            </w:tcBorders>
          </w:tcPr>
          <w:p w14:paraId="4ECFAF63" w14:textId="77777777" w:rsidR="00E74D0C" w:rsidRPr="00EA3573" w:rsidRDefault="00E74D0C" w:rsidP="00E366E5">
            <w:pPr>
              <w:jc w:val="right"/>
              <w:rPr>
                <w:sz w:val="20"/>
                <w:szCs w:val="20"/>
              </w:rPr>
            </w:pPr>
          </w:p>
        </w:tc>
        <w:tc>
          <w:tcPr>
            <w:tcW w:w="990" w:type="dxa"/>
            <w:tcBorders>
              <w:top w:val="single" w:sz="4" w:space="0" w:color="666699"/>
              <w:left w:val="single" w:sz="4" w:space="0" w:color="666699"/>
              <w:bottom w:val="single" w:sz="4" w:space="0" w:color="666699"/>
              <w:right w:val="single" w:sz="4" w:space="0" w:color="666699"/>
            </w:tcBorders>
          </w:tcPr>
          <w:p w14:paraId="10883C70" w14:textId="77777777" w:rsidR="00E74D0C" w:rsidRPr="00EA3573" w:rsidRDefault="00E74D0C" w:rsidP="00E366E5">
            <w:pPr>
              <w:jc w:val="right"/>
              <w:rPr>
                <w:sz w:val="20"/>
                <w:szCs w:val="20"/>
              </w:rPr>
            </w:pPr>
          </w:p>
        </w:tc>
        <w:tc>
          <w:tcPr>
            <w:tcW w:w="1134" w:type="dxa"/>
            <w:tcBorders>
              <w:top w:val="single" w:sz="4" w:space="0" w:color="666699"/>
              <w:left w:val="single" w:sz="4" w:space="0" w:color="666699"/>
              <w:bottom w:val="single" w:sz="4" w:space="0" w:color="666699"/>
              <w:right w:val="single" w:sz="4" w:space="0" w:color="666699"/>
            </w:tcBorders>
          </w:tcPr>
          <w:p w14:paraId="55835580" w14:textId="77777777" w:rsidR="00E74D0C" w:rsidRPr="00EA3573" w:rsidRDefault="00E74D0C" w:rsidP="00E366E5">
            <w:pPr>
              <w:jc w:val="right"/>
              <w:rPr>
                <w:sz w:val="20"/>
                <w:szCs w:val="20"/>
              </w:rPr>
            </w:pPr>
          </w:p>
        </w:tc>
        <w:tc>
          <w:tcPr>
            <w:tcW w:w="1134" w:type="dxa"/>
            <w:tcBorders>
              <w:top w:val="single" w:sz="4" w:space="0" w:color="666699"/>
              <w:left w:val="single" w:sz="4" w:space="0" w:color="666699"/>
              <w:bottom w:val="single" w:sz="4" w:space="0" w:color="666699"/>
              <w:right w:val="single" w:sz="4" w:space="0" w:color="666699"/>
            </w:tcBorders>
          </w:tcPr>
          <w:p w14:paraId="2A73EDE9" w14:textId="77777777" w:rsidR="00E74D0C" w:rsidRPr="00EA3573" w:rsidRDefault="00E74D0C" w:rsidP="00E366E5">
            <w:pPr>
              <w:jc w:val="right"/>
              <w:rPr>
                <w:sz w:val="20"/>
                <w:szCs w:val="20"/>
              </w:rPr>
            </w:pPr>
          </w:p>
        </w:tc>
        <w:tc>
          <w:tcPr>
            <w:tcW w:w="992" w:type="dxa"/>
            <w:tcBorders>
              <w:top w:val="single" w:sz="4" w:space="0" w:color="666699"/>
              <w:left w:val="single" w:sz="4" w:space="0" w:color="666699"/>
              <w:bottom w:val="single" w:sz="4" w:space="0" w:color="666699"/>
              <w:right w:val="single" w:sz="4" w:space="0" w:color="666699"/>
            </w:tcBorders>
          </w:tcPr>
          <w:p w14:paraId="3C7AD864" w14:textId="77777777" w:rsidR="00E74D0C" w:rsidRPr="00EA3573" w:rsidRDefault="00E74D0C" w:rsidP="00E366E5">
            <w:pPr>
              <w:jc w:val="right"/>
              <w:rPr>
                <w:sz w:val="20"/>
                <w:szCs w:val="20"/>
              </w:rPr>
            </w:pPr>
          </w:p>
        </w:tc>
        <w:tc>
          <w:tcPr>
            <w:tcW w:w="709" w:type="dxa"/>
            <w:tcBorders>
              <w:top w:val="single" w:sz="4" w:space="0" w:color="666699"/>
              <w:left w:val="single" w:sz="4" w:space="0" w:color="666699"/>
              <w:bottom w:val="single" w:sz="4" w:space="0" w:color="666699"/>
              <w:right w:val="single" w:sz="4" w:space="0" w:color="666699"/>
            </w:tcBorders>
          </w:tcPr>
          <w:p w14:paraId="4FCC3883" w14:textId="77777777" w:rsidR="00E74D0C" w:rsidRPr="00EA3573" w:rsidRDefault="00E74D0C" w:rsidP="00E366E5">
            <w:pPr>
              <w:jc w:val="right"/>
              <w:rPr>
                <w:sz w:val="20"/>
                <w:szCs w:val="20"/>
              </w:rPr>
            </w:pPr>
          </w:p>
        </w:tc>
        <w:tc>
          <w:tcPr>
            <w:tcW w:w="850" w:type="dxa"/>
            <w:tcBorders>
              <w:top w:val="single" w:sz="4" w:space="0" w:color="666699"/>
              <w:left w:val="single" w:sz="4" w:space="0" w:color="666699"/>
              <w:bottom w:val="single" w:sz="4" w:space="0" w:color="666699"/>
              <w:right w:val="single" w:sz="4" w:space="0" w:color="666699"/>
            </w:tcBorders>
          </w:tcPr>
          <w:p w14:paraId="68A0DEAA" w14:textId="77777777" w:rsidR="00E74D0C" w:rsidRPr="00EA3573" w:rsidRDefault="00E74D0C" w:rsidP="00E366E5">
            <w:pPr>
              <w:jc w:val="right"/>
              <w:rPr>
                <w:sz w:val="20"/>
                <w:szCs w:val="20"/>
              </w:rPr>
            </w:pPr>
          </w:p>
        </w:tc>
        <w:tc>
          <w:tcPr>
            <w:tcW w:w="1147" w:type="dxa"/>
            <w:tcBorders>
              <w:top w:val="single" w:sz="4" w:space="0" w:color="666699"/>
              <w:left w:val="single" w:sz="4" w:space="0" w:color="666699"/>
              <w:bottom w:val="single" w:sz="4" w:space="0" w:color="666699"/>
              <w:right w:val="single" w:sz="4" w:space="0" w:color="666699"/>
            </w:tcBorders>
          </w:tcPr>
          <w:p w14:paraId="7E8B213B" w14:textId="77777777" w:rsidR="00E74D0C" w:rsidRPr="00EA3573" w:rsidRDefault="00E74D0C" w:rsidP="00E366E5">
            <w:pPr>
              <w:jc w:val="right"/>
              <w:rPr>
                <w:sz w:val="20"/>
                <w:szCs w:val="20"/>
              </w:rPr>
            </w:pPr>
          </w:p>
        </w:tc>
        <w:tc>
          <w:tcPr>
            <w:tcW w:w="990" w:type="dxa"/>
            <w:tcBorders>
              <w:top w:val="single" w:sz="4" w:space="0" w:color="666699"/>
              <w:left w:val="single" w:sz="4" w:space="0" w:color="666699"/>
              <w:bottom w:val="single" w:sz="4" w:space="0" w:color="666699"/>
              <w:right w:val="single" w:sz="4" w:space="0" w:color="666699"/>
            </w:tcBorders>
          </w:tcPr>
          <w:p w14:paraId="3A86CFD7" w14:textId="77777777" w:rsidR="00E74D0C" w:rsidRPr="00EA3573" w:rsidRDefault="00E74D0C" w:rsidP="00E366E5">
            <w:pPr>
              <w:jc w:val="right"/>
              <w:rPr>
                <w:sz w:val="20"/>
                <w:szCs w:val="20"/>
              </w:rPr>
            </w:pPr>
            <w:r w:rsidRPr="00EA3573">
              <w:rPr>
                <w:color w:val="000000" w:themeColor="text1"/>
                <w:sz w:val="20"/>
                <w:szCs w:val="20"/>
                <w:lang w:val="fr"/>
              </w:rPr>
              <w:t>0,00</w:t>
            </w:r>
          </w:p>
        </w:tc>
      </w:tr>
    </w:tbl>
    <w:p w14:paraId="17B33EBA" w14:textId="77777777" w:rsidR="00E74D0C" w:rsidRPr="00EA3573" w:rsidRDefault="00E74D0C" w:rsidP="0015302C">
      <w:pPr>
        <w:spacing w:line="80" w:lineRule="exact"/>
        <w:jc w:val="center"/>
        <w:rPr>
          <w:sz w:val="20"/>
          <w:szCs w:val="20"/>
        </w:rPr>
      </w:pPr>
    </w:p>
    <w:tbl>
      <w:tblPr>
        <w:tblStyle w:val="TableGrid"/>
        <w:tblW w:w="1052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50"/>
        <w:gridCol w:w="1701"/>
        <w:gridCol w:w="4394"/>
        <w:gridCol w:w="1483"/>
      </w:tblGrid>
      <w:tr w:rsidR="00E74D0C" w:rsidRPr="00D577CE" w14:paraId="30EBF55C" w14:textId="77777777" w:rsidTr="0024654B">
        <w:trPr>
          <w:trHeight w:val="276"/>
          <w:jc w:val="center"/>
        </w:trPr>
        <w:tc>
          <w:tcPr>
            <w:tcW w:w="10528" w:type="dxa"/>
            <w:gridSpan w:val="4"/>
            <w:tcBorders>
              <w:top w:val="single" w:sz="4" w:space="0" w:color="666699"/>
              <w:left w:val="single" w:sz="4" w:space="0" w:color="666699"/>
              <w:bottom w:val="single" w:sz="4" w:space="0" w:color="666699"/>
              <w:right w:val="single" w:sz="4" w:space="0" w:color="666699"/>
            </w:tcBorders>
            <w:hideMark/>
          </w:tcPr>
          <w:p w14:paraId="527A17B2" w14:textId="77777777" w:rsidR="00E74D0C" w:rsidRPr="00EA3573" w:rsidRDefault="00E74D0C" w:rsidP="00E366E5">
            <w:pPr>
              <w:jc w:val="left"/>
              <w:rPr>
                <w:b/>
                <w:sz w:val="20"/>
                <w:szCs w:val="20"/>
                <w:lang w:val="fr-FR"/>
              </w:rPr>
            </w:pPr>
            <w:r w:rsidRPr="00EA3573">
              <w:rPr>
                <w:b/>
                <w:bCs/>
                <w:sz w:val="20"/>
                <w:szCs w:val="20"/>
                <w:lang w:val="fr"/>
              </w:rPr>
              <w:t>(IV) DONNÉES DE CONSOMMATION (tonnes PAO)</w:t>
            </w:r>
          </w:p>
        </w:tc>
      </w:tr>
      <w:tr w:rsidR="00E74D0C" w:rsidRPr="00EA3573" w14:paraId="59DFB7A3" w14:textId="77777777" w:rsidTr="0024654B">
        <w:trPr>
          <w:trHeight w:val="276"/>
          <w:jc w:val="center"/>
        </w:trPr>
        <w:tc>
          <w:tcPr>
            <w:tcW w:w="2950" w:type="dxa"/>
            <w:tcBorders>
              <w:top w:val="single" w:sz="4" w:space="0" w:color="666699"/>
              <w:left w:val="single" w:sz="4" w:space="0" w:color="666699"/>
              <w:bottom w:val="single" w:sz="4" w:space="0" w:color="666699"/>
              <w:right w:val="single" w:sz="4" w:space="0" w:color="666699"/>
            </w:tcBorders>
            <w:hideMark/>
          </w:tcPr>
          <w:p w14:paraId="6730A143" w14:textId="77777777" w:rsidR="00E74D0C" w:rsidRPr="00EA3573" w:rsidRDefault="00E74D0C" w:rsidP="00E366E5">
            <w:pPr>
              <w:jc w:val="center"/>
              <w:rPr>
                <w:sz w:val="20"/>
                <w:szCs w:val="20"/>
              </w:rPr>
            </w:pPr>
            <w:r w:rsidRPr="00EA3573">
              <w:rPr>
                <w:sz w:val="20"/>
                <w:szCs w:val="20"/>
                <w:lang w:val="fr"/>
              </w:rPr>
              <w:t>Référence 2009-2010 :</w:t>
            </w:r>
          </w:p>
        </w:tc>
        <w:tc>
          <w:tcPr>
            <w:tcW w:w="1701" w:type="dxa"/>
            <w:tcBorders>
              <w:top w:val="single" w:sz="4" w:space="0" w:color="666699"/>
              <w:left w:val="single" w:sz="4" w:space="0" w:color="666699"/>
              <w:bottom w:val="single" w:sz="4" w:space="0" w:color="666699"/>
              <w:right w:val="single" w:sz="4" w:space="0" w:color="666699"/>
            </w:tcBorders>
            <w:hideMark/>
          </w:tcPr>
          <w:p w14:paraId="4FA7752F" w14:textId="77777777" w:rsidR="00E74D0C" w:rsidRPr="00EA3573" w:rsidRDefault="00E74D0C" w:rsidP="00E366E5">
            <w:pPr>
              <w:jc w:val="right"/>
              <w:rPr>
                <w:sz w:val="20"/>
                <w:szCs w:val="20"/>
              </w:rPr>
            </w:pPr>
            <w:r w:rsidRPr="00EA3573">
              <w:rPr>
                <w:color w:val="000000" w:themeColor="text1"/>
                <w:sz w:val="20"/>
                <w:szCs w:val="20"/>
                <w:lang w:val="fr"/>
              </w:rPr>
              <w:t>2,0</w:t>
            </w:r>
          </w:p>
        </w:tc>
        <w:tc>
          <w:tcPr>
            <w:tcW w:w="4394" w:type="dxa"/>
            <w:tcBorders>
              <w:top w:val="single" w:sz="4" w:space="0" w:color="666699"/>
              <w:left w:val="single" w:sz="4" w:space="0" w:color="666699"/>
              <w:bottom w:val="single" w:sz="4" w:space="0" w:color="666699"/>
              <w:right w:val="single" w:sz="4" w:space="0" w:color="666699"/>
            </w:tcBorders>
            <w:hideMark/>
          </w:tcPr>
          <w:p w14:paraId="664770DA" w14:textId="77777777" w:rsidR="00E74D0C" w:rsidRPr="00EA3573" w:rsidRDefault="00E74D0C" w:rsidP="00E366E5">
            <w:pPr>
              <w:jc w:val="center"/>
              <w:rPr>
                <w:sz w:val="20"/>
                <w:szCs w:val="20"/>
                <w:lang w:val="fr-FR"/>
              </w:rPr>
            </w:pPr>
            <w:r w:rsidRPr="00EA3573">
              <w:rPr>
                <w:sz w:val="20"/>
                <w:szCs w:val="20"/>
                <w:lang w:val="fr"/>
              </w:rPr>
              <w:t>Point de départ des réductions globales durables :</w:t>
            </w:r>
          </w:p>
        </w:tc>
        <w:tc>
          <w:tcPr>
            <w:tcW w:w="1483" w:type="dxa"/>
            <w:tcBorders>
              <w:top w:val="single" w:sz="4" w:space="0" w:color="666699"/>
              <w:left w:val="single" w:sz="4" w:space="0" w:color="666699"/>
              <w:bottom w:val="single" w:sz="4" w:space="0" w:color="666699"/>
              <w:right w:val="single" w:sz="4" w:space="0" w:color="666699"/>
            </w:tcBorders>
            <w:hideMark/>
          </w:tcPr>
          <w:p w14:paraId="5DC140CC" w14:textId="77777777" w:rsidR="00E74D0C" w:rsidRPr="00EA3573" w:rsidRDefault="00E74D0C" w:rsidP="00E366E5">
            <w:pPr>
              <w:jc w:val="right"/>
              <w:rPr>
                <w:sz w:val="20"/>
                <w:szCs w:val="20"/>
              </w:rPr>
            </w:pPr>
            <w:r w:rsidRPr="00EA3573">
              <w:rPr>
                <w:color w:val="000000" w:themeColor="text1"/>
                <w:sz w:val="20"/>
                <w:szCs w:val="20"/>
                <w:lang w:val="fr"/>
              </w:rPr>
              <w:t>1,98</w:t>
            </w:r>
          </w:p>
        </w:tc>
      </w:tr>
      <w:tr w:rsidR="00E74D0C" w:rsidRPr="00EA3573" w14:paraId="449A7C9C" w14:textId="77777777" w:rsidTr="0024654B">
        <w:trPr>
          <w:trHeight w:val="276"/>
          <w:jc w:val="center"/>
        </w:trPr>
        <w:tc>
          <w:tcPr>
            <w:tcW w:w="10528" w:type="dxa"/>
            <w:gridSpan w:val="4"/>
            <w:tcBorders>
              <w:top w:val="single" w:sz="4" w:space="0" w:color="666699"/>
              <w:left w:val="single" w:sz="4" w:space="0" w:color="666699"/>
              <w:bottom w:val="single" w:sz="4" w:space="0" w:color="666699"/>
              <w:right w:val="single" w:sz="4" w:space="0" w:color="666699"/>
            </w:tcBorders>
            <w:hideMark/>
          </w:tcPr>
          <w:p w14:paraId="7694C6C5" w14:textId="77777777" w:rsidR="00E74D0C" w:rsidRPr="00EA3573" w:rsidRDefault="00E74D0C" w:rsidP="00E366E5">
            <w:pPr>
              <w:ind w:left="316"/>
              <w:rPr>
                <w:b/>
                <w:sz w:val="20"/>
                <w:szCs w:val="20"/>
              </w:rPr>
            </w:pPr>
            <w:r w:rsidRPr="00EA3573">
              <w:rPr>
                <w:b/>
                <w:bCs/>
                <w:sz w:val="20"/>
                <w:szCs w:val="20"/>
                <w:lang w:val="fr"/>
              </w:rPr>
              <w:t>CONSOMMATION ADMISSIBLE AU FINANCEMENT</w:t>
            </w:r>
          </w:p>
        </w:tc>
      </w:tr>
      <w:tr w:rsidR="00E74D0C" w:rsidRPr="00EA3573" w14:paraId="68077CDC" w14:textId="77777777" w:rsidTr="0024654B">
        <w:trPr>
          <w:trHeight w:val="276"/>
          <w:jc w:val="center"/>
        </w:trPr>
        <w:tc>
          <w:tcPr>
            <w:tcW w:w="2950" w:type="dxa"/>
            <w:tcBorders>
              <w:top w:val="single" w:sz="4" w:space="0" w:color="666699"/>
              <w:left w:val="single" w:sz="4" w:space="0" w:color="666699"/>
              <w:bottom w:val="single" w:sz="4" w:space="0" w:color="666699"/>
              <w:right w:val="single" w:sz="4" w:space="0" w:color="666699"/>
            </w:tcBorders>
            <w:hideMark/>
          </w:tcPr>
          <w:p w14:paraId="75AB4F0D" w14:textId="77777777" w:rsidR="00E74D0C" w:rsidRPr="00EA3573" w:rsidRDefault="00E74D0C" w:rsidP="00E366E5">
            <w:pPr>
              <w:jc w:val="center"/>
              <w:rPr>
                <w:sz w:val="20"/>
                <w:szCs w:val="20"/>
              </w:rPr>
            </w:pPr>
            <w:r w:rsidRPr="00EA3573">
              <w:rPr>
                <w:sz w:val="20"/>
                <w:szCs w:val="20"/>
                <w:lang w:val="fr"/>
              </w:rPr>
              <w:t>Déjà approuvée :</w:t>
            </w:r>
          </w:p>
        </w:tc>
        <w:tc>
          <w:tcPr>
            <w:tcW w:w="1701" w:type="dxa"/>
            <w:tcBorders>
              <w:top w:val="single" w:sz="4" w:space="0" w:color="666699"/>
              <w:left w:val="single" w:sz="4" w:space="0" w:color="666699"/>
              <w:bottom w:val="single" w:sz="4" w:space="0" w:color="666699"/>
              <w:right w:val="single" w:sz="4" w:space="0" w:color="666699"/>
            </w:tcBorders>
            <w:hideMark/>
          </w:tcPr>
          <w:p w14:paraId="48049285" w14:textId="77777777" w:rsidR="00E74D0C" w:rsidRPr="00EA3573" w:rsidRDefault="00E74D0C" w:rsidP="00E366E5">
            <w:pPr>
              <w:jc w:val="right"/>
              <w:rPr>
                <w:sz w:val="20"/>
                <w:szCs w:val="20"/>
              </w:rPr>
            </w:pPr>
            <w:r w:rsidRPr="00EA3573">
              <w:rPr>
                <w:color w:val="000000" w:themeColor="text1"/>
                <w:sz w:val="20"/>
                <w:szCs w:val="20"/>
                <w:lang w:val="fr"/>
              </w:rPr>
              <w:t>0,69</w:t>
            </w:r>
          </w:p>
        </w:tc>
        <w:tc>
          <w:tcPr>
            <w:tcW w:w="4394" w:type="dxa"/>
            <w:tcBorders>
              <w:top w:val="single" w:sz="4" w:space="0" w:color="666699"/>
              <w:left w:val="single" w:sz="4" w:space="0" w:color="666699"/>
              <w:bottom w:val="single" w:sz="4" w:space="0" w:color="666699"/>
              <w:right w:val="single" w:sz="4" w:space="0" w:color="666699"/>
            </w:tcBorders>
            <w:hideMark/>
          </w:tcPr>
          <w:p w14:paraId="7275C843" w14:textId="77777777" w:rsidR="00E74D0C" w:rsidRPr="00EA3573" w:rsidRDefault="00E74D0C" w:rsidP="00E366E5">
            <w:pPr>
              <w:jc w:val="center"/>
              <w:rPr>
                <w:i/>
                <w:sz w:val="20"/>
                <w:szCs w:val="20"/>
              </w:rPr>
            </w:pPr>
            <w:r w:rsidRPr="00EA3573">
              <w:rPr>
                <w:sz w:val="20"/>
                <w:szCs w:val="20"/>
                <w:lang w:val="fr"/>
              </w:rPr>
              <w:t>Restante :</w:t>
            </w:r>
          </w:p>
        </w:tc>
        <w:tc>
          <w:tcPr>
            <w:tcW w:w="1483" w:type="dxa"/>
            <w:tcBorders>
              <w:top w:val="single" w:sz="4" w:space="0" w:color="666699"/>
              <w:left w:val="single" w:sz="4" w:space="0" w:color="666699"/>
              <w:bottom w:val="single" w:sz="4" w:space="0" w:color="666699"/>
              <w:right w:val="single" w:sz="4" w:space="0" w:color="666699"/>
            </w:tcBorders>
            <w:hideMark/>
          </w:tcPr>
          <w:p w14:paraId="2B90AB47" w14:textId="77777777" w:rsidR="00E74D0C" w:rsidRPr="00EA3573" w:rsidRDefault="00E74D0C" w:rsidP="00E366E5">
            <w:pPr>
              <w:jc w:val="right"/>
              <w:rPr>
                <w:sz w:val="20"/>
                <w:szCs w:val="20"/>
              </w:rPr>
            </w:pPr>
            <w:r w:rsidRPr="00EA3573">
              <w:rPr>
                <w:color w:val="000000" w:themeColor="text1"/>
                <w:sz w:val="20"/>
                <w:szCs w:val="20"/>
                <w:lang w:val="fr"/>
              </w:rPr>
              <w:t>1,29</w:t>
            </w:r>
          </w:p>
        </w:tc>
      </w:tr>
    </w:tbl>
    <w:p w14:paraId="024DFB5D" w14:textId="77777777" w:rsidR="00E74D0C" w:rsidRPr="00EA3573" w:rsidRDefault="00E74D0C" w:rsidP="0015302C">
      <w:pPr>
        <w:spacing w:line="80" w:lineRule="exact"/>
        <w:jc w:val="center"/>
        <w:rPr>
          <w:sz w:val="20"/>
          <w:szCs w:val="20"/>
        </w:rPr>
      </w:pPr>
    </w:p>
    <w:tbl>
      <w:tblPr>
        <w:tblStyle w:val="TableGrid"/>
        <w:tblW w:w="566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85"/>
        <w:gridCol w:w="4776"/>
        <w:gridCol w:w="2623"/>
      </w:tblGrid>
      <w:tr w:rsidR="00E74D0C" w:rsidRPr="00EA3573" w14:paraId="396BBF7F" w14:textId="77777777" w:rsidTr="0024654B">
        <w:trPr>
          <w:trHeight w:val="250"/>
          <w:jc w:val="center"/>
        </w:trPr>
        <w:tc>
          <w:tcPr>
            <w:tcW w:w="3761" w:type="pct"/>
            <w:gridSpan w:val="2"/>
            <w:tcBorders>
              <w:top w:val="single" w:sz="4" w:space="0" w:color="666699"/>
              <w:left w:val="single" w:sz="4" w:space="0" w:color="666699"/>
              <w:bottom w:val="single" w:sz="4" w:space="0" w:color="666699"/>
              <w:right w:val="single" w:sz="4" w:space="0" w:color="666699"/>
            </w:tcBorders>
            <w:hideMark/>
          </w:tcPr>
          <w:p w14:paraId="04B0C06F" w14:textId="77777777" w:rsidR="00E74D0C" w:rsidRPr="00EA3573" w:rsidRDefault="00E74D0C" w:rsidP="00E366E5">
            <w:pPr>
              <w:jc w:val="left"/>
              <w:rPr>
                <w:b/>
                <w:sz w:val="20"/>
                <w:szCs w:val="20"/>
              </w:rPr>
            </w:pPr>
            <w:r w:rsidRPr="00EA3573">
              <w:rPr>
                <w:b/>
                <w:bCs/>
                <w:sz w:val="20"/>
                <w:szCs w:val="20"/>
                <w:lang w:val="fr"/>
              </w:rPr>
              <w:t>(V) PLAN D’ACTIVITÉS ENTÉRINÉ</w:t>
            </w:r>
          </w:p>
        </w:tc>
        <w:tc>
          <w:tcPr>
            <w:tcW w:w="1239" w:type="pct"/>
            <w:tcBorders>
              <w:top w:val="single" w:sz="4" w:space="0" w:color="666699"/>
              <w:left w:val="single" w:sz="4" w:space="0" w:color="666699"/>
              <w:bottom w:val="single" w:sz="4" w:space="0" w:color="666699"/>
              <w:right w:val="single" w:sz="4" w:space="0" w:color="666699"/>
            </w:tcBorders>
            <w:hideMark/>
          </w:tcPr>
          <w:p w14:paraId="0BD304CC" w14:textId="77777777" w:rsidR="00E74D0C" w:rsidRPr="00EA3573" w:rsidRDefault="00E74D0C" w:rsidP="00E366E5">
            <w:pPr>
              <w:jc w:val="center"/>
              <w:rPr>
                <w:b/>
                <w:sz w:val="20"/>
                <w:szCs w:val="20"/>
              </w:rPr>
            </w:pPr>
            <w:r w:rsidRPr="00EA3573">
              <w:rPr>
                <w:b/>
                <w:bCs/>
                <w:sz w:val="20"/>
                <w:szCs w:val="20"/>
                <w:lang w:val="fr"/>
              </w:rPr>
              <w:t>2023</w:t>
            </w:r>
          </w:p>
        </w:tc>
      </w:tr>
      <w:tr w:rsidR="00E74D0C" w:rsidRPr="00EA3573" w14:paraId="1F4C347F" w14:textId="77777777" w:rsidTr="0024654B">
        <w:trPr>
          <w:trHeight w:val="176"/>
          <w:jc w:val="center"/>
        </w:trPr>
        <w:tc>
          <w:tcPr>
            <w:tcW w:w="1505" w:type="pct"/>
            <w:vMerge w:val="restart"/>
            <w:tcBorders>
              <w:top w:val="single" w:sz="4" w:space="0" w:color="666699"/>
              <w:left w:val="single" w:sz="4" w:space="0" w:color="666699"/>
              <w:bottom w:val="single" w:sz="4" w:space="0" w:color="666699"/>
              <w:right w:val="single" w:sz="4" w:space="0" w:color="666699"/>
            </w:tcBorders>
            <w:vAlign w:val="center"/>
            <w:hideMark/>
          </w:tcPr>
          <w:p w14:paraId="759E3AF6" w14:textId="77777777" w:rsidR="00E74D0C" w:rsidRPr="00EA3573" w:rsidRDefault="00E74D0C" w:rsidP="00E366E5">
            <w:pPr>
              <w:jc w:val="center"/>
              <w:rPr>
                <w:sz w:val="20"/>
                <w:szCs w:val="20"/>
              </w:rPr>
            </w:pPr>
            <w:r w:rsidRPr="00EA3573">
              <w:rPr>
                <w:color w:val="000000" w:themeColor="text1"/>
                <w:sz w:val="20"/>
                <w:szCs w:val="20"/>
                <w:lang w:val="fr"/>
              </w:rPr>
              <w:t>PNUE</w:t>
            </w:r>
          </w:p>
        </w:tc>
        <w:tc>
          <w:tcPr>
            <w:tcW w:w="2256" w:type="pct"/>
            <w:tcBorders>
              <w:top w:val="single" w:sz="4" w:space="0" w:color="666699"/>
              <w:left w:val="single" w:sz="4" w:space="0" w:color="666699"/>
              <w:bottom w:val="single" w:sz="4" w:space="0" w:color="666699"/>
              <w:right w:val="single" w:sz="4" w:space="0" w:color="666699"/>
            </w:tcBorders>
            <w:hideMark/>
          </w:tcPr>
          <w:p w14:paraId="5248E1C8" w14:textId="77777777" w:rsidR="00E74D0C" w:rsidRPr="00EA3573" w:rsidRDefault="00E74D0C" w:rsidP="00E366E5">
            <w:pPr>
              <w:jc w:val="left"/>
              <w:rPr>
                <w:sz w:val="20"/>
                <w:szCs w:val="20"/>
                <w:lang w:val="fr-FR"/>
              </w:rPr>
            </w:pPr>
            <w:r w:rsidRPr="00EA3573">
              <w:rPr>
                <w:sz w:val="20"/>
                <w:szCs w:val="20"/>
                <w:lang w:val="fr"/>
              </w:rPr>
              <w:t>Élimination des SAO (tonnes PAO)</w:t>
            </w:r>
          </w:p>
        </w:tc>
        <w:tc>
          <w:tcPr>
            <w:tcW w:w="1239" w:type="pct"/>
            <w:tcBorders>
              <w:top w:val="single" w:sz="4" w:space="0" w:color="666699"/>
              <w:left w:val="single" w:sz="4" w:space="0" w:color="666699"/>
              <w:bottom w:val="single" w:sz="4" w:space="0" w:color="666699"/>
              <w:right w:val="single" w:sz="4" w:space="0" w:color="666699"/>
            </w:tcBorders>
          </w:tcPr>
          <w:p w14:paraId="510A9D95" w14:textId="77777777" w:rsidR="00E74D0C" w:rsidRPr="00EA3573" w:rsidRDefault="00E74D0C" w:rsidP="00E366E5">
            <w:pPr>
              <w:jc w:val="right"/>
              <w:rPr>
                <w:sz w:val="20"/>
                <w:szCs w:val="20"/>
              </w:rPr>
            </w:pPr>
            <w:r w:rsidRPr="00EA3573">
              <w:rPr>
                <w:sz w:val="20"/>
                <w:szCs w:val="20"/>
                <w:lang w:val="fr"/>
              </w:rPr>
              <w:t>0,0</w:t>
            </w:r>
          </w:p>
        </w:tc>
      </w:tr>
      <w:tr w:rsidR="00E74D0C" w:rsidRPr="00EA3573" w14:paraId="17EF33FE" w14:textId="77777777" w:rsidTr="0024654B">
        <w:trPr>
          <w:trHeight w:val="51"/>
          <w:jc w:val="center"/>
        </w:trPr>
        <w:tc>
          <w:tcPr>
            <w:tcW w:w="1505" w:type="pct"/>
            <w:vMerge/>
            <w:tcBorders>
              <w:top w:val="single" w:sz="4" w:space="0" w:color="666699"/>
              <w:left w:val="single" w:sz="4" w:space="0" w:color="666699"/>
              <w:bottom w:val="single" w:sz="4" w:space="0" w:color="666699"/>
              <w:right w:val="single" w:sz="4" w:space="0" w:color="666699"/>
            </w:tcBorders>
            <w:vAlign w:val="center"/>
            <w:hideMark/>
          </w:tcPr>
          <w:p w14:paraId="4986BE08" w14:textId="77777777" w:rsidR="00E74D0C" w:rsidRPr="00EA3573" w:rsidRDefault="00E74D0C" w:rsidP="00E366E5">
            <w:pPr>
              <w:rPr>
                <w:sz w:val="20"/>
                <w:szCs w:val="20"/>
              </w:rPr>
            </w:pPr>
          </w:p>
        </w:tc>
        <w:tc>
          <w:tcPr>
            <w:tcW w:w="2256" w:type="pct"/>
            <w:tcBorders>
              <w:top w:val="single" w:sz="4" w:space="0" w:color="666699"/>
              <w:left w:val="single" w:sz="4" w:space="0" w:color="666699"/>
              <w:bottom w:val="single" w:sz="4" w:space="0" w:color="666699"/>
              <w:right w:val="single" w:sz="4" w:space="0" w:color="666699"/>
            </w:tcBorders>
            <w:hideMark/>
          </w:tcPr>
          <w:p w14:paraId="51352733" w14:textId="77777777" w:rsidR="00E74D0C" w:rsidRPr="00EA3573" w:rsidRDefault="00E74D0C" w:rsidP="00E366E5">
            <w:pPr>
              <w:jc w:val="left"/>
              <w:rPr>
                <w:sz w:val="20"/>
                <w:szCs w:val="20"/>
              </w:rPr>
            </w:pPr>
            <w:r w:rsidRPr="00EA3573">
              <w:rPr>
                <w:sz w:val="20"/>
                <w:szCs w:val="20"/>
                <w:lang w:val="fr"/>
              </w:rPr>
              <w:t>Financement ($ US)</w:t>
            </w:r>
          </w:p>
        </w:tc>
        <w:tc>
          <w:tcPr>
            <w:tcW w:w="1239" w:type="pct"/>
            <w:tcBorders>
              <w:top w:val="single" w:sz="4" w:space="0" w:color="666699"/>
              <w:left w:val="single" w:sz="4" w:space="0" w:color="666699"/>
              <w:bottom w:val="single" w:sz="4" w:space="0" w:color="666699"/>
              <w:right w:val="single" w:sz="4" w:space="0" w:color="666699"/>
            </w:tcBorders>
          </w:tcPr>
          <w:p w14:paraId="7F2DB7C0" w14:textId="0F244A81" w:rsidR="00E74D0C" w:rsidRPr="00EA3573" w:rsidRDefault="00E74D0C" w:rsidP="00E366E5">
            <w:pPr>
              <w:jc w:val="right"/>
              <w:rPr>
                <w:sz w:val="20"/>
                <w:szCs w:val="20"/>
              </w:rPr>
            </w:pPr>
            <w:r w:rsidRPr="00EA3573">
              <w:rPr>
                <w:sz w:val="20"/>
                <w:szCs w:val="20"/>
                <w:lang w:val="fr"/>
              </w:rPr>
              <w:t>15</w:t>
            </w:r>
            <w:r w:rsidR="00DB333A" w:rsidRPr="00EA3573">
              <w:rPr>
                <w:sz w:val="20"/>
                <w:szCs w:val="20"/>
                <w:lang w:val="fr"/>
              </w:rPr>
              <w:t> </w:t>
            </w:r>
            <w:r w:rsidRPr="00EA3573">
              <w:rPr>
                <w:sz w:val="20"/>
                <w:szCs w:val="20"/>
                <w:lang w:val="fr"/>
              </w:rPr>
              <w:t>255</w:t>
            </w:r>
          </w:p>
        </w:tc>
      </w:tr>
      <w:tr w:rsidR="00E74D0C" w:rsidRPr="00EA3573" w14:paraId="7231978B" w14:textId="77777777" w:rsidTr="0024654B">
        <w:trPr>
          <w:trHeight w:val="250"/>
          <w:jc w:val="center"/>
        </w:trPr>
        <w:tc>
          <w:tcPr>
            <w:tcW w:w="1505" w:type="pct"/>
            <w:vMerge w:val="restart"/>
            <w:tcBorders>
              <w:top w:val="single" w:sz="4" w:space="0" w:color="666699"/>
              <w:left w:val="single" w:sz="4" w:space="0" w:color="666699"/>
              <w:bottom w:val="single" w:sz="4" w:space="0" w:color="666699"/>
              <w:right w:val="single" w:sz="4" w:space="0" w:color="666699"/>
            </w:tcBorders>
            <w:vAlign w:val="center"/>
            <w:hideMark/>
          </w:tcPr>
          <w:p w14:paraId="4EAA58D6" w14:textId="77777777" w:rsidR="00E74D0C" w:rsidRPr="00EA3573" w:rsidRDefault="00E74D0C" w:rsidP="00E366E5">
            <w:pPr>
              <w:jc w:val="center"/>
              <w:rPr>
                <w:sz w:val="20"/>
                <w:szCs w:val="20"/>
              </w:rPr>
            </w:pPr>
            <w:r w:rsidRPr="00EA3573">
              <w:rPr>
                <w:color w:val="000000" w:themeColor="text1"/>
                <w:sz w:val="20"/>
                <w:szCs w:val="20"/>
                <w:lang w:val="fr"/>
              </w:rPr>
              <w:t>ONUDI</w:t>
            </w:r>
          </w:p>
        </w:tc>
        <w:tc>
          <w:tcPr>
            <w:tcW w:w="2256" w:type="pct"/>
            <w:tcBorders>
              <w:top w:val="single" w:sz="4" w:space="0" w:color="666699"/>
              <w:left w:val="single" w:sz="4" w:space="0" w:color="666699"/>
              <w:bottom w:val="single" w:sz="4" w:space="0" w:color="666699"/>
              <w:right w:val="single" w:sz="4" w:space="0" w:color="666699"/>
            </w:tcBorders>
            <w:hideMark/>
          </w:tcPr>
          <w:p w14:paraId="781EE11B" w14:textId="77777777" w:rsidR="00E74D0C" w:rsidRPr="00EA3573" w:rsidRDefault="00E74D0C" w:rsidP="00E366E5">
            <w:pPr>
              <w:jc w:val="left"/>
              <w:rPr>
                <w:sz w:val="20"/>
                <w:szCs w:val="20"/>
                <w:lang w:val="fr-FR"/>
              </w:rPr>
            </w:pPr>
            <w:r w:rsidRPr="00EA3573">
              <w:rPr>
                <w:sz w:val="20"/>
                <w:szCs w:val="20"/>
                <w:lang w:val="fr"/>
              </w:rPr>
              <w:t>Élimination des SAO (tonnes PAO)</w:t>
            </w:r>
          </w:p>
        </w:tc>
        <w:tc>
          <w:tcPr>
            <w:tcW w:w="1239" w:type="pct"/>
            <w:tcBorders>
              <w:top w:val="single" w:sz="4" w:space="0" w:color="666699"/>
              <w:left w:val="single" w:sz="4" w:space="0" w:color="666699"/>
              <w:bottom w:val="single" w:sz="4" w:space="0" w:color="666699"/>
              <w:right w:val="single" w:sz="4" w:space="0" w:color="666699"/>
            </w:tcBorders>
          </w:tcPr>
          <w:p w14:paraId="53AEC111" w14:textId="77777777" w:rsidR="00E74D0C" w:rsidRPr="00EA3573" w:rsidRDefault="00E74D0C" w:rsidP="00E366E5">
            <w:pPr>
              <w:jc w:val="right"/>
              <w:rPr>
                <w:sz w:val="20"/>
                <w:szCs w:val="20"/>
              </w:rPr>
            </w:pPr>
            <w:r w:rsidRPr="00EA3573">
              <w:rPr>
                <w:sz w:val="20"/>
                <w:szCs w:val="20"/>
                <w:lang w:val="fr"/>
              </w:rPr>
              <w:t>0,0</w:t>
            </w:r>
          </w:p>
        </w:tc>
      </w:tr>
      <w:tr w:rsidR="00E74D0C" w:rsidRPr="00EA3573" w14:paraId="212043F1" w14:textId="77777777" w:rsidTr="0024654B">
        <w:trPr>
          <w:trHeight w:val="250"/>
          <w:jc w:val="center"/>
        </w:trPr>
        <w:tc>
          <w:tcPr>
            <w:tcW w:w="1505" w:type="pct"/>
            <w:vMerge/>
            <w:tcBorders>
              <w:top w:val="single" w:sz="4" w:space="0" w:color="666699"/>
              <w:left w:val="single" w:sz="4" w:space="0" w:color="666699"/>
              <w:bottom w:val="single" w:sz="4" w:space="0" w:color="666699"/>
              <w:right w:val="single" w:sz="4" w:space="0" w:color="666699"/>
            </w:tcBorders>
            <w:vAlign w:val="center"/>
            <w:hideMark/>
          </w:tcPr>
          <w:p w14:paraId="738F9EB0" w14:textId="77777777" w:rsidR="00E74D0C" w:rsidRPr="00EA3573" w:rsidRDefault="00E74D0C" w:rsidP="00E366E5">
            <w:pPr>
              <w:rPr>
                <w:sz w:val="20"/>
                <w:szCs w:val="20"/>
              </w:rPr>
            </w:pPr>
          </w:p>
        </w:tc>
        <w:tc>
          <w:tcPr>
            <w:tcW w:w="2256" w:type="pct"/>
            <w:tcBorders>
              <w:top w:val="single" w:sz="4" w:space="0" w:color="666699"/>
              <w:left w:val="single" w:sz="4" w:space="0" w:color="666699"/>
              <w:bottom w:val="single" w:sz="4" w:space="0" w:color="666699"/>
              <w:right w:val="single" w:sz="4" w:space="0" w:color="666699"/>
            </w:tcBorders>
            <w:hideMark/>
          </w:tcPr>
          <w:p w14:paraId="67C7B50E" w14:textId="77777777" w:rsidR="00E74D0C" w:rsidRPr="00EA3573" w:rsidRDefault="00E74D0C" w:rsidP="00E366E5">
            <w:pPr>
              <w:jc w:val="left"/>
              <w:rPr>
                <w:sz w:val="20"/>
                <w:szCs w:val="20"/>
              </w:rPr>
            </w:pPr>
            <w:r w:rsidRPr="00EA3573">
              <w:rPr>
                <w:sz w:val="20"/>
                <w:szCs w:val="20"/>
                <w:lang w:val="fr"/>
              </w:rPr>
              <w:t>Financement ($ US)</w:t>
            </w:r>
          </w:p>
        </w:tc>
        <w:tc>
          <w:tcPr>
            <w:tcW w:w="1239" w:type="pct"/>
            <w:tcBorders>
              <w:top w:val="single" w:sz="4" w:space="0" w:color="666699"/>
              <w:left w:val="single" w:sz="4" w:space="0" w:color="666699"/>
              <w:bottom w:val="single" w:sz="4" w:space="0" w:color="666699"/>
              <w:right w:val="single" w:sz="4" w:space="0" w:color="666699"/>
            </w:tcBorders>
          </w:tcPr>
          <w:p w14:paraId="7379C24F" w14:textId="1C998B6F" w:rsidR="00E74D0C" w:rsidRPr="00EA3573" w:rsidRDefault="00E74D0C" w:rsidP="00E366E5">
            <w:pPr>
              <w:jc w:val="right"/>
              <w:rPr>
                <w:sz w:val="20"/>
                <w:szCs w:val="20"/>
              </w:rPr>
            </w:pPr>
            <w:r w:rsidRPr="00EA3573">
              <w:rPr>
                <w:sz w:val="20"/>
                <w:szCs w:val="20"/>
                <w:lang w:val="fr"/>
              </w:rPr>
              <w:t>9</w:t>
            </w:r>
            <w:r w:rsidR="00DB333A" w:rsidRPr="00EA3573">
              <w:rPr>
                <w:sz w:val="20"/>
                <w:szCs w:val="20"/>
                <w:lang w:val="fr"/>
              </w:rPr>
              <w:t> </w:t>
            </w:r>
            <w:r w:rsidRPr="00EA3573">
              <w:rPr>
                <w:sz w:val="20"/>
                <w:szCs w:val="20"/>
                <w:lang w:val="fr"/>
              </w:rPr>
              <w:t>810</w:t>
            </w:r>
          </w:p>
        </w:tc>
      </w:tr>
    </w:tbl>
    <w:p w14:paraId="6DDB361C" w14:textId="77777777" w:rsidR="00E74D0C" w:rsidRPr="00EA3573" w:rsidRDefault="00E74D0C" w:rsidP="00E74D0C">
      <w:pPr>
        <w:jc w:val="center"/>
        <w:rPr>
          <w:sz w:val="20"/>
          <w:szCs w:val="20"/>
        </w:rPr>
      </w:pPr>
    </w:p>
    <w:tbl>
      <w:tblPr>
        <w:tblStyle w:val="TableGrid"/>
        <w:tblW w:w="5661"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50"/>
        <w:gridCol w:w="767"/>
        <w:gridCol w:w="1218"/>
        <w:gridCol w:w="677"/>
        <w:gridCol w:w="516"/>
        <w:gridCol w:w="661"/>
        <w:gridCol w:w="535"/>
        <w:gridCol w:w="723"/>
        <w:gridCol w:w="625"/>
        <w:gridCol w:w="516"/>
        <w:gridCol w:w="693"/>
        <w:gridCol w:w="516"/>
        <w:gridCol w:w="603"/>
        <w:gridCol w:w="693"/>
        <w:gridCol w:w="693"/>
      </w:tblGrid>
      <w:tr w:rsidR="00E74D0C" w:rsidRPr="00EA3573" w14:paraId="18881801" w14:textId="77777777" w:rsidTr="00E366E5">
        <w:trPr>
          <w:trHeight w:val="264"/>
          <w:jc w:val="center"/>
        </w:trPr>
        <w:tc>
          <w:tcPr>
            <w:tcW w:w="1276" w:type="pct"/>
            <w:gridSpan w:val="3"/>
            <w:shd w:val="clear" w:color="auto" w:fill="auto"/>
            <w:tcMar>
              <w:left w:w="58" w:type="dxa"/>
              <w:right w:w="58" w:type="dxa"/>
            </w:tcMar>
          </w:tcPr>
          <w:p w14:paraId="0DB7CDE8" w14:textId="77777777" w:rsidR="00E74D0C" w:rsidRPr="00EA3573" w:rsidRDefault="00E74D0C" w:rsidP="00E366E5">
            <w:pPr>
              <w:spacing w:after="60"/>
              <w:jc w:val="left"/>
              <w:rPr>
                <w:rFonts w:asciiTheme="majorBidi" w:hAnsiTheme="majorBidi" w:cstheme="majorBidi"/>
                <w:b/>
                <w:sz w:val="20"/>
                <w:szCs w:val="20"/>
              </w:rPr>
            </w:pPr>
            <w:r w:rsidRPr="00EA3573">
              <w:rPr>
                <w:rFonts w:asciiTheme="majorBidi" w:hAnsiTheme="majorBidi" w:cstheme="majorBidi"/>
                <w:b/>
                <w:bCs/>
                <w:sz w:val="20"/>
                <w:szCs w:val="20"/>
                <w:lang w:val="fr"/>
              </w:rPr>
              <w:t>(VI) DONNÉES DU PROJET</w:t>
            </w:r>
          </w:p>
        </w:tc>
        <w:tc>
          <w:tcPr>
            <w:tcW w:w="340" w:type="pct"/>
            <w:shd w:val="clear" w:color="auto" w:fill="auto"/>
            <w:tcMar>
              <w:left w:w="58" w:type="dxa"/>
              <w:right w:w="58" w:type="dxa"/>
            </w:tcMar>
          </w:tcPr>
          <w:p w14:paraId="5F62E8F6" w14:textId="77777777" w:rsidR="00E74D0C" w:rsidRPr="00EA3573" w:rsidRDefault="00E74D0C" w:rsidP="00E366E5">
            <w:pPr>
              <w:spacing w:after="60"/>
              <w:jc w:val="center"/>
              <w:rPr>
                <w:rFonts w:asciiTheme="majorBidi" w:hAnsiTheme="majorBidi" w:cstheme="majorBidi"/>
                <w:b/>
                <w:sz w:val="20"/>
                <w:szCs w:val="20"/>
              </w:rPr>
            </w:pPr>
            <w:r w:rsidRPr="00EA3573">
              <w:rPr>
                <w:rFonts w:asciiTheme="majorBidi" w:hAnsiTheme="majorBidi" w:cstheme="majorBidi"/>
                <w:b/>
                <w:bCs/>
                <w:sz w:val="20"/>
                <w:szCs w:val="20"/>
                <w:lang w:val="fr"/>
              </w:rPr>
              <w:t>2011</w:t>
            </w:r>
          </w:p>
        </w:tc>
        <w:tc>
          <w:tcPr>
            <w:tcW w:w="256" w:type="pct"/>
            <w:shd w:val="clear" w:color="auto" w:fill="auto"/>
            <w:tcMar>
              <w:left w:w="58" w:type="dxa"/>
              <w:right w:w="58" w:type="dxa"/>
            </w:tcMar>
          </w:tcPr>
          <w:p w14:paraId="70902198" w14:textId="77777777" w:rsidR="00E74D0C" w:rsidRPr="00EA3573" w:rsidRDefault="00E74D0C" w:rsidP="00E366E5">
            <w:pPr>
              <w:spacing w:after="60"/>
              <w:jc w:val="center"/>
              <w:rPr>
                <w:rFonts w:asciiTheme="majorBidi" w:hAnsiTheme="majorBidi" w:cstheme="majorBidi"/>
                <w:b/>
                <w:sz w:val="20"/>
                <w:szCs w:val="20"/>
              </w:rPr>
            </w:pPr>
            <w:r w:rsidRPr="00EA3573">
              <w:rPr>
                <w:rFonts w:asciiTheme="majorBidi" w:hAnsiTheme="majorBidi" w:cstheme="majorBidi"/>
                <w:b/>
                <w:bCs/>
                <w:sz w:val="20"/>
                <w:szCs w:val="20"/>
                <w:lang w:val="fr"/>
              </w:rPr>
              <w:t>2012</w:t>
            </w:r>
          </w:p>
        </w:tc>
        <w:tc>
          <w:tcPr>
            <w:tcW w:w="340" w:type="pct"/>
            <w:shd w:val="clear" w:color="auto" w:fill="auto"/>
            <w:tcMar>
              <w:left w:w="58" w:type="dxa"/>
              <w:right w:w="58" w:type="dxa"/>
            </w:tcMar>
          </w:tcPr>
          <w:p w14:paraId="6465CA90" w14:textId="77777777" w:rsidR="00E74D0C" w:rsidRPr="00EA3573" w:rsidRDefault="00E74D0C" w:rsidP="00E366E5">
            <w:pPr>
              <w:spacing w:after="60"/>
              <w:jc w:val="center"/>
              <w:rPr>
                <w:rFonts w:asciiTheme="majorBidi" w:hAnsiTheme="majorBidi" w:cstheme="majorBidi"/>
                <w:b/>
                <w:sz w:val="20"/>
                <w:szCs w:val="20"/>
              </w:rPr>
            </w:pPr>
            <w:r w:rsidRPr="00EA3573">
              <w:rPr>
                <w:rFonts w:asciiTheme="majorBidi" w:hAnsiTheme="majorBidi" w:cstheme="majorBidi"/>
                <w:b/>
                <w:bCs/>
                <w:sz w:val="20"/>
                <w:szCs w:val="20"/>
                <w:lang w:val="fr"/>
              </w:rPr>
              <w:t>2013</w:t>
            </w:r>
          </w:p>
        </w:tc>
        <w:tc>
          <w:tcPr>
            <w:tcW w:w="273" w:type="pct"/>
            <w:shd w:val="clear" w:color="auto" w:fill="auto"/>
            <w:tcMar>
              <w:left w:w="58" w:type="dxa"/>
              <w:right w:w="58" w:type="dxa"/>
            </w:tcMar>
          </w:tcPr>
          <w:p w14:paraId="3018EA61" w14:textId="77777777" w:rsidR="00E74D0C" w:rsidRPr="00EA3573" w:rsidRDefault="00E74D0C" w:rsidP="00E366E5">
            <w:pPr>
              <w:spacing w:after="60"/>
              <w:jc w:val="center"/>
              <w:rPr>
                <w:rFonts w:asciiTheme="majorBidi" w:hAnsiTheme="majorBidi" w:cstheme="majorBidi"/>
                <w:b/>
                <w:sz w:val="20"/>
                <w:szCs w:val="20"/>
              </w:rPr>
            </w:pPr>
            <w:r w:rsidRPr="00EA3573">
              <w:rPr>
                <w:rFonts w:asciiTheme="majorBidi" w:hAnsiTheme="majorBidi" w:cstheme="majorBidi"/>
                <w:b/>
                <w:bCs/>
                <w:sz w:val="20"/>
                <w:szCs w:val="20"/>
                <w:lang w:val="fr"/>
              </w:rPr>
              <w:t>2014</w:t>
            </w:r>
          </w:p>
        </w:tc>
        <w:tc>
          <w:tcPr>
            <w:tcW w:w="362" w:type="pct"/>
            <w:shd w:val="clear" w:color="auto" w:fill="auto"/>
            <w:tcMar>
              <w:left w:w="58" w:type="dxa"/>
              <w:right w:w="58" w:type="dxa"/>
            </w:tcMar>
          </w:tcPr>
          <w:p w14:paraId="46E44C93" w14:textId="77777777" w:rsidR="00E74D0C" w:rsidRPr="00EA3573" w:rsidRDefault="00E74D0C" w:rsidP="00E366E5">
            <w:pPr>
              <w:spacing w:after="60"/>
              <w:jc w:val="center"/>
              <w:rPr>
                <w:rFonts w:asciiTheme="majorBidi" w:hAnsiTheme="majorBidi" w:cstheme="majorBidi"/>
                <w:b/>
                <w:sz w:val="20"/>
                <w:szCs w:val="20"/>
              </w:rPr>
            </w:pPr>
            <w:r w:rsidRPr="00EA3573">
              <w:rPr>
                <w:rFonts w:asciiTheme="majorBidi" w:hAnsiTheme="majorBidi" w:cstheme="majorBidi"/>
                <w:b/>
                <w:bCs/>
                <w:sz w:val="20"/>
                <w:szCs w:val="20"/>
                <w:lang w:val="fr"/>
              </w:rPr>
              <w:t>2015</w:t>
            </w:r>
          </w:p>
        </w:tc>
        <w:tc>
          <w:tcPr>
            <w:tcW w:w="315" w:type="pct"/>
            <w:shd w:val="clear" w:color="auto" w:fill="auto"/>
            <w:tcMar>
              <w:left w:w="58" w:type="dxa"/>
              <w:right w:w="58" w:type="dxa"/>
            </w:tcMar>
          </w:tcPr>
          <w:p w14:paraId="3F5A8C3A" w14:textId="77777777" w:rsidR="00E74D0C" w:rsidRPr="00EA3573" w:rsidRDefault="00E74D0C" w:rsidP="00E366E5">
            <w:pPr>
              <w:spacing w:after="60"/>
              <w:jc w:val="center"/>
              <w:rPr>
                <w:rFonts w:asciiTheme="majorBidi" w:hAnsiTheme="majorBidi" w:cstheme="majorBidi"/>
                <w:b/>
                <w:sz w:val="20"/>
                <w:szCs w:val="20"/>
              </w:rPr>
            </w:pPr>
            <w:r w:rsidRPr="00EA3573">
              <w:rPr>
                <w:rFonts w:asciiTheme="majorBidi" w:hAnsiTheme="majorBidi" w:cstheme="majorBidi"/>
                <w:b/>
                <w:bCs/>
                <w:sz w:val="20"/>
                <w:szCs w:val="20"/>
                <w:lang w:val="fr"/>
              </w:rPr>
              <w:t>2016</w:t>
            </w:r>
          </w:p>
        </w:tc>
        <w:tc>
          <w:tcPr>
            <w:tcW w:w="244" w:type="pct"/>
            <w:shd w:val="clear" w:color="auto" w:fill="auto"/>
            <w:tcMar>
              <w:left w:w="58" w:type="dxa"/>
              <w:right w:w="58" w:type="dxa"/>
            </w:tcMar>
          </w:tcPr>
          <w:p w14:paraId="0FC26B55" w14:textId="77777777" w:rsidR="00E74D0C" w:rsidRPr="00EA3573" w:rsidRDefault="00E74D0C" w:rsidP="00E366E5">
            <w:pPr>
              <w:spacing w:after="60"/>
              <w:jc w:val="center"/>
              <w:rPr>
                <w:rFonts w:asciiTheme="majorBidi" w:hAnsiTheme="majorBidi" w:cstheme="majorBidi"/>
                <w:b/>
                <w:sz w:val="20"/>
                <w:szCs w:val="20"/>
              </w:rPr>
            </w:pPr>
            <w:r w:rsidRPr="00EA3573">
              <w:rPr>
                <w:rFonts w:asciiTheme="majorBidi" w:hAnsiTheme="majorBidi" w:cstheme="majorBidi"/>
                <w:b/>
                <w:bCs/>
                <w:sz w:val="20"/>
                <w:szCs w:val="20"/>
                <w:lang w:val="fr"/>
              </w:rPr>
              <w:t>2017</w:t>
            </w:r>
          </w:p>
        </w:tc>
        <w:tc>
          <w:tcPr>
            <w:tcW w:w="362" w:type="pct"/>
            <w:shd w:val="clear" w:color="auto" w:fill="auto"/>
            <w:tcMar>
              <w:left w:w="58" w:type="dxa"/>
              <w:right w:w="58" w:type="dxa"/>
            </w:tcMar>
          </w:tcPr>
          <w:p w14:paraId="309C62B0" w14:textId="77777777" w:rsidR="00E74D0C" w:rsidRPr="00EA3573" w:rsidRDefault="00E74D0C" w:rsidP="00E366E5">
            <w:pPr>
              <w:spacing w:after="60"/>
              <w:jc w:val="center"/>
              <w:rPr>
                <w:rFonts w:asciiTheme="majorBidi" w:hAnsiTheme="majorBidi" w:cstheme="majorBidi"/>
                <w:b/>
                <w:sz w:val="20"/>
                <w:szCs w:val="20"/>
              </w:rPr>
            </w:pPr>
            <w:r w:rsidRPr="00EA3573">
              <w:rPr>
                <w:rFonts w:asciiTheme="majorBidi" w:hAnsiTheme="majorBidi" w:cstheme="majorBidi"/>
                <w:b/>
                <w:bCs/>
                <w:sz w:val="20"/>
                <w:szCs w:val="20"/>
                <w:lang w:val="fr"/>
              </w:rPr>
              <w:t>2018</w:t>
            </w:r>
          </w:p>
        </w:tc>
        <w:tc>
          <w:tcPr>
            <w:tcW w:w="244" w:type="pct"/>
            <w:shd w:val="clear" w:color="auto" w:fill="auto"/>
            <w:tcMar>
              <w:left w:w="58" w:type="dxa"/>
              <w:right w:w="58" w:type="dxa"/>
            </w:tcMar>
          </w:tcPr>
          <w:p w14:paraId="7A82C65C" w14:textId="77777777" w:rsidR="00E74D0C" w:rsidRPr="00EA3573" w:rsidRDefault="00E74D0C" w:rsidP="00E366E5">
            <w:pPr>
              <w:spacing w:after="60"/>
              <w:jc w:val="center"/>
              <w:rPr>
                <w:rFonts w:asciiTheme="majorBidi" w:hAnsiTheme="majorBidi" w:cstheme="majorBidi"/>
                <w:b/>
                <w:sz w:val="20"/>
                <w:szCs w:val="20"/>
              </w:rPr>
            </w:pPr>
            <w:r w:rsidRPr="00EA3573">
              <w:rPr>
                <w:rFonts w:asciiTheme="majorBidi" w:hAnsiTheme="majorBidi" w:cstheme="majorBidi"/>
                <w:b/>
                <w:bCs/>
                <w:sz w:val="20"/>
                <w:szCs w:val="20"/>
                <w:lang w:val="fr"/>
              </w:rPr>
              <w:t>2019</w:t>
            </w:r>
          </w:p>
        </w:tc>
        <w:tc>
          <w:tcPr>
            <w:tcW w:w="315" w:type="pct"/>
            <w:shd w:val="clear" w:color="auto" w:fill="auto"/>
            <w:tcMar>
              <w:left w:w="58" w:type="dxa"/>
              <w:right w:w="58" w:type="dxa"/>
            </w:tcMar>
          </w:tcPr>
          <w:p w14:paraId="0600C21E" w14:textId="77777777" w:rsidR="00E74D0C" w:rsidRPr="00EA3573" w:rsidRDefault="00E74D0C" w:rsidP="00E366E5">
            <w:pPr>
              <w:spacing w:after="60"/>
              <w:jc w:val="center"/>
              <w:rPr>
                <w:rFonts w:asciiTheme="majorBidi" w:hAnsiTheme="majorBidi" w:cstheme="majorBidi"/>
                <w:b/>
                <w:sz w:val="20"/>
                <w:szCs w:val="20"/>
              </w:rPr>
            </w:pPr>
            <w:r w:rsidRPr="00EA3573">
              <w:rPr>
                <w:rFonts w:asciiTheme="majorBidi" w:hAnsiTheme="majorBidi" w:cstheme="majorBidi"/>
                <w:b/>
                <w:bCs/>
                <w:sz w:val="20"/>
                <w:szCs w:val="20"/>
                <w:lang w:val="fr"/>
              </w:rPr>
              <w:t>2020</w:t>
            </w:r>
          </w:p>
        </w:tc>
        <w:tc>
          <w:tcPr>
            <w:tcW w:w="315" w:type="pct"/>
            <w:tcMar>
              <w:left w:w="58" w:type="dxa"/>
              <w:right w:w="58" w:type="dxa"/>
            </w:tcMar>
          </w:tcPr>
          <w:p w14:paraId="6623B4C4" w14:textId="77777777" w:rsidR="00E74D0C" w:rsidRPr="00EA3573" w:rsidRDefault="00E74D0C" w:rsidP="00E366E5">
            <w:pPr>
              <w:spacing w:after="60"/>
              <w:jc w:val="center"/>
              <w:rPr>
                <w:rFonts w:asciiTheme="majorBidi" w:hAnsiTheme="majorBidi" w:cstheme="majorBidi"/>
                <w:b/>
                <w:sz w:val="20"/>
                <w:szCs w:val="20"/>
              </w:rPr>
            </w:pPr>
            <w:r w:rsidRPr="00EA3573">
              <w:rPr>
                <w:rFonts w:asciiTheme="majorBidi" w:hAnsiTheme="majorBidi" w:cstheme="majorBidi"/>
                <w:b/>
                <w:bCs/>
                <w:sz w:val="20"/>
                <w:szCs w:val="20"/>
                <w:lang w:val="fr"/>
              </w:rPr>
              <w:t>2023</w:t>
            </w:r>
          </w:p>
        </w:tc>
        <w:tc>
          <w:tcPr>
            <w:tcW w:w="362" w:type="pct"/>
            <w:shd w:val="clear" w:color="auto" w:fill="auto"/>
            <w:tcMar>
              <w:left w:w="58" w:type="dxa"/>
              <w:right w:w="58" w:type="dxa"/>
            </w:tcMar>
          </w:tcPr>
          <w:p w14:paraId="02DAA211" w14:textId="77777777" w:rsidR="00E74D0C" w:rsidRPr="00EA3573" w:rsidRDefault="00E74D0C" w:rsidP="00E366E5">
            <w:pPr>
              <w:spacing w:after="60"/>
              <w:jc w:val="center"/>
              <w:rPr>
                <w:rFonts w:asciiTheme="majorBidi" w:hAnsiTheme="majorBidi" w:cstheme="majorBidi"/>
                <w:b/>
                <w:sz w:val="20"/>
                <w:szCs w:val="20"/>
              </w:rPr>
            </w:pPr>
            <w:r w:rsidRPr="00EA3573">
              <w:rPr>
                <w:rFonts w:asciiTheme="majorBidi" w:hAnsiTheme="majorBidi" w:cstheme="majorBidi"/>
                <w:b/>
                <w:bCs/>
                <w:sz w:val="20"/>
                <w:szCs w:val="20"/>
                <w:lang w:val="fr"/>
              </w:rPr>
              <w:t>Total</w:t>
            </w:r>
          </w:p>
        </w:tc>
      </w:tr>
      <w:tr w:rsidR="00E74D0C" w:rsidRPr="00EA3573" w14:paraId="2BB8BA4D" w14:textId="77777777" w:rsidTr="00E366E5">
        <w:trPr>
          <w:trHeight w:val="459"/>
          <w:jc w:val="center"/>
        </w:trPr>
        <w:tc>
          <w:tcPr>
            <w:tcW w:w="1276" w:type="pct"/>
            <w:gridSpan w:val="3"/>
            <w:shd w:val="clear" w:color="auto" w:fill="auto"/>
            <w:tcMar>
              <w:left w:w="58" w:type="dxa"/>
              <w:right w:w="58" w:type="dxa"/>
            </w:tcMar>
          </w:tcPr>
          <w:p w14:paraId="380DB030" w14:textId="77777777" w:rsidR="00E74D0C" w:rsidRPr="00EA3573" w:rsidRDefault="00E74D0C" w:rsidP="00E366E5">
            <w:pPr>
              <w:spacing w:after="60"/>
              <w:jc w:val="left"/>
              <w:rPr>
                <w:rFonts w:asciiTheme="majorBidi" w:hAnsiTheme="majorBidi" w:cstheme="majorBidi"/>
                <w:sz w:val="20"/>
                <w:szCs w:val="20"/>
                <w:lang w:val="fr-FR"/>
              </w:rPr>
            </w:pPr>
            <w:r w:rsidRPr="00EA3573">
              <w:rPr>
                <w:rFonts w:asciiTheme="majorBidi" w:hAnsiTheme="majorBidi" w:cstheme="majorBidi"/>
                <w:sz w:val="20"/>
                <w:szCs w:val="20"/>
                <w:lang w:val="fr"/>
              </w:rPr>
              <w:t>Limites de consommation du Protocole de Montréal (tonnes PAO)</w:t>
            </w:r>
          </w:p>
        </w:tc>
        <w:tc>
          <w:tcPr>
            <w:tcW w:w="340" w:type="pct"/>
            <w:shd w:val="clear" w:color="auto" w:fill="auto"/>
            <w:tcMar>
              <w:left w:w="58" w:type="dxa"/>
              <w:right w:w="58" w:type="dxa"/>
            </w:tcMar>
          </w:tcPr>
          <w:p w14:paraId="002CF968" w14:textId="77777777" w:rsidR="00E74D0C" w:rsidRPr="00615EDE" w:rsidRDefault="00E74D0C" w:rsidP="00E366E5">
            <w:pPr>
              <w:spacing w:after="60"/>
              <w:jc w:val="center"/>
              <w:rPr>
                <w:rFonts w:asciiTheme="majorBidi" w:hAnsiTheme="majorBidi" w:cstheme="majorBidi"/>
                <w:sz w:val="18"/>
                <w:szCs w:val="18"/>
              </w:rPr>
            </w:pPr>
            <w:proofErr w:type="spellStart"/>
            <w:r w:rsidRPr="00615EDE">
              <w:rPr>
                <w:rFonts w:asciiTheme="majorBidi" w:hAnsiTheme="majorBidi" w:cstheme="majorBidi"/>
                <w:sz w:val="18"/>
                <w:szCs w:val="18"/>
                <w:lang w:val="fr"/>
              </w:rPr>
              <w:t>s.o</w:t>
            </w:r>
            <w:proofErr w:type="spellEnd"/>
            <w:r w:rsidRPr="00615EDE">
              <w:rPr>
                <w:rFonts w:asciiTheme="majorBidi" w:hAnsiTheme="majorBidi" w:cstheme="majorBidi"/>
                <w:sz w:val="18"/>
                <w:szCs w:val="18"/>
                <w:lang w:val="fr"/>
              </w:rPr>
              <w:t>.</w:t>
            </w:r>
          </w:p>
        </w:tc>
        <w:tc>
          <w:tcPr>
            <w:tcW w:w="256" w:type="pct"/>
            <w:shd w:val="clear" w:color="auto" w:fill="auto"/>
            <w:tcMar>
              <w:left w:w="58" w:type="dxa"/>
              <w:right w:w="58" w:type="dxa"/>
            </w:tcMar>
          </w:tcPr>
          <w:p w14:paraId="5868C7B2" w14:textId="77777777" w:rsidR="00E74D0C" w:rsidRPr="00615EDE" w:rsidRDefault="00E74D0C" w:rsidP="00E366E5">
            <w:pPr>
              <w:spacing w:after="60"/>
              <w:jc w:val="center"/>
              <w:rPr>
                <w:rFonts w:asciiTheme="majorBidi" w:hAnsiTheme="majorBidi" w:cstheme="majorBidi"/>
                <w:sz w:val="18"/>
                <w:szCs w:val="18"/>
              </w:rPr>
            </w:pPr>
            <w:proofErr w:type="spellStart"/>
            <w:r w:rsidRPr="00615EDE">
              <w:rPr>
                <w:rFonts w:asciiTheme="majorBidi" w:hAnsiTheme="majorBidi" w:cstheme="majorBidi"/>
                <w:sz w:val="18"/>
                <w:szCs w:val="18"/>
                <w:lang w:val="fr"/>
              </w:rPr>
              <w:t>s.o</w:t>
            </w:r>
            <w:proofErr w:type="spellEnd"/>
            <w:r w:rsidRPr="00615EDE">
              <w:rPr>
                <w:rFonts w:asciiTheme="majorBidi" w:hAnsiTheme="majorBidi" w:cstheme="majorBidi"/>
                <w:sz w:val="18"/>
                <w:szCs w:val="18"/>
                <w:lang w:val="fr"/>
              </w:rPr>
              <w:t>.</w:t>
            </w:r>
          </w:p>
        </w:tc>
        <w:tc>
          <w:tcPr>
            <w:tcW w:w="340" w:type="pct"/>
            <w:shd w:val="clear" w:color="auto" w:fill="auto"/>
            <w:tcMar>
              <w:left w:w="58" w:type="dxa"/>
              <w:right w:w="58" w:type="dxa"/>
            </w:tcMar>
          </w:tcPr>
          <w:p w14:paraId="46C1EB5B"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1,98</w:t>
            </w:r>
          </w:p>
        </w:tc>
        <w:tc>
          <w:tcPr>
            <w:tcW w:w="273" w:type="pct"/>
            <w:shd w:val="clear" w:color="auto" w:fill="auto"/>
            <w:tcMar>
              <w:left w:w="58" w:type="dxa"/>
              <w:right w:w="58" w:type="dxa"/>
            </w:tcMar>
          </w:tcPr>
          <w:p w14:paraId="186ED54F"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1,98</w:t>
            </w:r>
          </w:p>
        </w:tc>
        <w:tc>
          <w:tcPr>
            <w:tcW w:w="362" w:type="pct"/>
            <w:shd w:val="clear" w:color="auto" w:fill="auto"/>
            <w:tcMar>
              <w:left w:w="58" w:type="dxa"/>
              <w:right w:w="58" w:type="dxa"/>
            </w:tcMar>
          </w:tcPr>
          <w:p w14:paraId="6EF9E39B"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1,78</w:t>
            </w:r>
          </w:p>
        </w:tc>
        <w:tc>
          <w:tcPr>
            <w:tcW w:w="315" w:type="pct"/>
            <w:shd w:val="clear" w:color="auto" w:fill="auto"/>
            <w:tcMar>
              <w:left w:w="58" w:type="dxa"/>
              <w:right w:w="58" w:type="dxa"/>
            </w:tcMar>
          </w:tcPr>
          <w:p w14:paraId="039D9C16"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1,78</w:t>
            </w:r>
          </w:p>
        </w:tc>
        <w:tc>
          <w:tcPr>
            <w:tcW w:w="244" w:type="pct"/>
            <w:shd w:val="clear" w:color="auto" w:fill="auto"/>
            <w:tcMar>
              <w:left w:w="58" w:type="dxa"/>
              <w:right w:w="58" w:type="dxa"/>
            </w:tcMar>
          </w:tcPr>
          <w:p w14:paraId="5079A553"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1,78</w:t>
            </w:r>
          </w:p>
        </w:tc>
        <w:tc>
          <w:tcPr>
            <w:tcW w:w="362" w:type="pct"/>
            <w:shd w:val="clear" w:color="auto" w:fill="auto"/>
            <w:tcMar>
              <w:left w:w="58" w:type="dxa"/>
              <w:right w:w="58" w:type="dxa"/>
            </w:tcMar>
          </w:tcPr>
          <w:p w14:paraId="65C836DE"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1,78</w:t>
            </w:r>
          </w:p>
        </w:tc>
        <w:tc>
          <w:tcPr>
            <w:tcW w:w="244" w:type="pct"/>
            <w:shd w:val="clear" w:color="auto" w:fill="auto"/>
            <w:tcMar>
              <w:left w:w="58" w:type="dxa"/>
              <w:right w:w="58" w:type="dxa"/>
            </w:tcMar>
          </w:tcPr>
          <w:p w14:paraId="4CEDDB0F"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1,78</w:t>
            </w:r>
          </w:p>
        </w:tc>
        <w:tc>
          <w:tcPr>
            <w:tcW w:w="315" w:type="pct"/>
            <w:shd w:val="clear" w:color="auto" w:fill="auto"/>
            <w:tcMar>
              <w:left w:w="58" w:type="dxa"/>
              <w:right w:w="58" w:type="dxa"/>
            </w:tcMar>
          </w:tcPr>
          <w:p w14:paraId="5BF9A451"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1,29</w:t>
            </w:r>
          </w:p>
        </w:tc>
        <w:tc>
          <w:tcPr>
            <w:tcW w:w="315" w:type="pct"/>
            <w:tcMar>
              <w:left w:w="58" w:type="dxa"/>
              <w:right w:w="58" w:type="dxa"/>
            </w:tcMar>
          </w:tcPr>
          <w:p w14:paraId="13219769"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1,29</w:t>
            </w:r>
          </w:p>
        </w:tc>
        <w:tc>
          <w:tcPr>
            <w:tcW w:w="362" w:type="pct"/>
            <w:shd w:val="clear" w:color="auto" w:fill="auto"/>
            <w:tcMar>
              <w:left w:w="58" w:type="dxa"/>
              <w:right w:w="58" w:type="dxa"/>
            </w:tcMar>
          </w:tcPr>
          <w:p w14:paraId="0ABA64C6" w14:textId="77777777" w:rsidR="00E74D0C" w:rsidRPr="00615EDE" w:rsidRDefault="00E74D0C" w:rsidP="00E366E5">
            <w:pPr>
              <w:spacing w:after="60"/>
              <w:jc w:val="center"/>
              <w:rPr>
                <w:rFonts w:asciiTheme="majorBidi" w:hAnsiTheme="majorBidi" w:cstheme="majorBidi"/>
                <w:sz w:val="18"/>
                <w:szCs w:val="18"/>
              </w:rPr>
            </w:pPr>
            <w:proofErr w:type="spellStart"/>
            <w:r w:rsidRPr="00615EDE">
              <w:rPr>
                <w:rFonts w:asciiTheme="majorBidi" w:hAnsiTheme="majorBidi" w:cstheme="majorBidi"/>
                <w:sz w:val="18"/>
                <w:szCs w:val="18"/>
                <w:lang w:val="fr"/>
              </w:rPr>
              <w:t>s.o</w:t>
            </w:r>
            <w:proofErr w:type="spellEnd"/>
            <w:r w:rsidRPr="00615EDE">
              <w:rPr>
                <w:rFonts w:asciiTheme="majorBidi" w:hAnsiTheme="majorBidi" w:cstheme="majorBidi"/>
                <w:sz w:val="18"/>
                <w:szCs w:val="18"/>
                <w:lang w:val="fr"/>
              </w:rPr>
              <w:t>.</w:t>
            </w:r>
          </w:p>
        </w:tc>
      </w:tr>
      <w:tr w:rsidR="00E74D0C" w:rsidRPr="00EA3573" w14:paraId="6E5602C7" w14:textId="77777777" w:rsidTr="00E366E5">
        <w:trPr>
          <w:trHeight w:val="459"/>
          <w:jc w:val="center"/>
        </w:trPr>
        <w:tc>
          <w:tcPr>
            <w:tcW w:w="1276" w:type="pct"/>
            <w:gridSpan w:val="3"/>
            <w:shd w:val="clear" w:color="auto" w:fill="auto"/>
            <w:tcMar>
              <w:left w:w="58" w:type="dxa"/>
              <w:right w:w="58" w:type="dxa"/>
            </w:tcMar>
          </w:tcPr>
          <w:p w14:paraId="68CFE28E" w14:textId="77777777" w:rsidR="00E74D0C" w:rsidRPr="00EA3573" w:rsidRDefault="00E74D0C" w:rsidP="00E366E5">
            <w:pPr>
              <w:spacing w:after="60"/>
              <w:jc w:val="left"/>
              <w:rPr>
                <w:rFonts w:asciiTheme="majorBidi" w:hAnsiTheme="majorBidi" w:cstheme="majorBidi"/>
                <w:sz w:val="20"/>
                <w:szCs w:val="20"/>
                <w:lang w:val="fr-FR"/>
              </w:rPr>
            </w:pPr>
            <w:r w:rsidRPr="00EA3573">
              <w:rPr>
                <w:rFonts w:asciiTheme="majorBidi" w:hAnsiTheme="majorBidi" w:cstheme="majorBidi"/>
                <w:sz w:val="20"/>
                <w:szCs w:val="20"/>
                <w:lang w:val="fr"/>
              </w:rPr>
              <w:t>Consommation maximale admissible (tonnes PAO)</w:t>
            </w:r>
          </w:p>
        </w:tc>
        <w:tc>
          <w:tcPr>
            <w:tcW w:w="340" w:type="pct"/>
            <w:shd w:val="clear" w:color="auto" w:fill="auto"/>
            <w:tcMar>
              <w:left w:w="58" w:type="dxa"/>
              <w:right w:w="58" w:type="dxa"/>
            </w:tcMar>
          </w:tcPr>
          <w:p w14:paraId="0A333F7A" w14:textId="77777777" w:rsidR="00E74D0C" w:rsidRPr="00615EDE" w:rsidRDefault="00E74D0C" w:rsidP="00E366E5">
            <w:pPr>
              <w:spacing w:after="60"/>
              <w:jc w:val="center"/>
              <w:rPr>
                <w:rFonts w:asciiTheme="majorBidi" w:hAnsiTheme="majorBidi" w:cstheme="majorBidi"/>
                <w:sz w:val="18"/>
                <w:szCs w:val="18"/>
              </w:rPr>
            </w:pPr>
            <w:proofErr w:type="spellStart"/>
            <w:r w:rsidRPr="00615EDE">
              <w:rPr>
                <w:rFonts w:asciiTheme="majorBidi" w:hAnsiTheme="majorBidi" w:cstheme="majorBidi"/>
                <w:sz w:val="18"/>
                <w:szCs w:val="18"/>
                <w:lang w:val="fr"/>
              </w:rPr>
              <w:t>s.o</w:t>
            </w:r>
            <w:proofErr w:type="spellEnd"/>
            <w:r w:rsidRPr="00615EDE">
              <w:rPr>
                <w:rFonts w:asciiTheme="majorBidi" w:hAnsiTheme="majorBidi" w:cstheme="majorBidi"/>
                <w:sz w:val="18"/>
                <w:szCs w:val="18"/>
                <w:lang w:val="fr"/>
              </w:rPr>
              <w:t>.</w:t>
            </w:r>
          </w:p>
        </w:tc>
        <w:tc>
          <w:tcPr>
            <w:tcW w:w="256" w:type="pct"/>
            <w:shd w:val="clear" w:color="auto" w:fill="auto"/>
            <w:tcMar>
              <w:left w:w="58" w:type="dxa"/>
              <w:right w:w="58" w:type="dxa"/>
            </w:tcMar>
          </w:tcPr>
          <w:p w14:paraId="6B16CF49" w14:textId="77777777" w:rsidR="00E74D0C" w:rsidRPr="00615EDE" w:rsidRDefault="00E74D0C" w:rsidP="00E366E5">
            <w:pPr>
              <w:spacing w:after="60"/>
              <w:jc w:val="center"/>
              <w:rPr>
                <w:rFonts w:asciiTheme="majorBidi" w:hAnsiTheme="majorBidi" w:cstheme="majorBidi"/>
                <w:sz w:val="18"/>
                <w:szCs w:val="18"/>
              </w:rPr>
            </w:pPr>
            <w:proofErr w:type="spellStart"/>
            <w:r w:rsidRPr="00615EDE">
              <w:rPr>
                <w:rFonts w:asciiTheme="majorBidi" w:hAnsiTheme="majorBidi" w:cstheme="majorBidi"/>
                <w:sz w:val="18"/>
                <w:szCs w:val="18"/>
                <w:lang w:val="fr"/>
              </w:rPr>
              <w:t>s.o</w:t>
            </w:r>
            <w:proofErr w:type="spellEnd"/>
            <w:r w:rsidRPr="00615EDE">
              <w:rPr>
                <w:rFonts w:asciiTheme="majorBidi" w:hAnsiTheme="majorBidi" w:cstheme="majorBidi"/>
                <w:sz w:val="18"/>
                <w:szCs w:val="18"/>
                <w:lang w:val="fr"/>
              </w:rPr>
              <w:t>.</w:t>
            </w:r>
          </w:p>
        </w:tc>
        <w:tc>
          <w:tcPr>
            <w:tcW w:w="340" w:type="pct"/>
            <w:shd w:val="clear" w:color="auto" w:fill="auto"/>
            <w:tcMar>
              <w:left w:w="58" w:type="dxa"/>
              <w:right w:w="58" w:type="dxa"/>
            </w:tcMar>
          </w:tcPr>
          <w:p w14:paraId="651B048D"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1,98</w:t>
            </w:r>
          </w:p>
        </w:tc>
        <w:tc>
          <w:tcPr>
            <w:tcW w:w="273" w:type="pct"/>
            <w:shd w:val="clear" w:color="auto" w:fill="auto"/>
            <w:tcMar>
              <w:left w:w="58" w:type="dxa"/>
              <w:right w:w="58" w:type="dxa"/>
            </w:tcMar>
          </w:tcPr>
          <w:p w14:paraId="588A77C1"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1,98</w:t>
            </w:r>
          </w:p>
        </w:tc>
        <w:tc>
          <w:tcPr>
            <w:tcW w:w="362" w:type="pct"/>
            <w:shd w:val="clear" w:color="auto" w:fill="auto"/>
            <w:tcMar>
              <w:left w:w="58" w:type="dxa"/>
              <w:right w:w="58" w:type="dxa"/>
            </w:tcMar>
          </w:tcPr>
          <w:p w14:paraId="5320FB7B"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1,78</w:t>
            </w:r>
          </w:p>
        </w:tc>
        <w:tc>
          <w:tcPr>
            <w:tcW w:w="315" w:type="pct"/>
            <w:shd w:val="clear" w:color="auto" w:fill="auto"/>
            <w:tcMar>
              <w:left w:w="58" w:type="dxa"/>
              <w:right w:w="58" w:type="dxa"/>
            </w:tcMar>
          </w:tcPr>
          <w:p w14:paraId="335C8BC1"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1,78</w:t>
            </w:r>
          </w:p>
        </w:tc>
        <w:tc>
          <w:tcPr>
            <w:tcW w:w="244" w:type="pct"/>
            <w:shd w:val="clear" w:color="auto" w:fill="auto"/>
            <w:tcMar>
              <w:left w:w="58" w:type="dxa"/>
              <w:right w:w="58" w:type="dxa"/>
            </w:tcMar>
          </w:tcPr>
          <w:p w14:paraId="006A3E70"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1,78</w:t>
            </w:r>
          </w:p>
        </w:tc>
        <w:tc>
          <w:tcPr>
            <w:tcW w:w="362" w:type="pct"/>
            <w:shd w:val="clear" w:color="auto" w:fill="auto"/>
            <w:tcMar>
              <w:left w:w="58" w:type="dxa"/>
              <w:right w:w="58" w:type="dxa"/>
            </w:tcMar>
          </w:tcPr>
          <w:p w14:paraId="06EA0191"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1,78</w:t>
            </w:r>
          </w:p>
        </w:tc>
        <w:tc>
          <w:tcPr>
            <w:tcW w:w="244" w:type="pct"/>
            <w:shd w:val="clear" w:color="auto" w:fill="auto"/>
            <w:tcMar>
              <w:left w:w="58" w:type="dxa"/>
              <w:right w:w="58" w:type="dxa"/>
            </w:tcMar>
          </w:tcPr>
          <w:p w14:paraId="5A4AD7F7"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1,78</w:t>
            </w:r>
          </w:p>
        </w:tc>
        <w:tc>
          <w:tcPr>
            <w:tcW w:w="315" w:type="pct"/>
            <w:shd w:val="clear" w:color="auto" w:fill="auto"/>
            <w:tcMar>
              <w:left w:w="58" w:type="dxa"/>
              <w:right w:w="58" w:type="dxa"/>
            </w:tcMar>
          </w:tcPr>
          <w:p w14:paraId="044BFE3B"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1,29</w:t>
            </w:r>
          </w:p>
        </w:tc>
        <w:tc>
          <w:tcPr>
            <w:tcW w:w="315" w:type="pct"/>
            <w:tcMar>
              <w:left w:w="58" w:type="dxa"/>
              <w:right w:w="58" w:type="dxa"/>
            </w:tcMar>
          </w:tcPr>
          <w:p w14:paraId="7264D0FB"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1,29</w:t>
            </w:r>
          </w:p>
        </w:tc>
        <w:tc>
          <w:tcPr>
            <w:tcW w:w="362" w:type="pct"/>
            <w:shd w:val="clear" w:color="auto" w:fill="auto"/>
            <w:tcMar>
              <w:left w:w="58" w:type="dxa"/>
              <w:right w:w="58" w:type="dxa"/>
            </w:tcMar>
          </w:tcPr>
          <w:p w14:paraId="20B22C30" w14:textId="77777777" w:rsidR="00E74D0C" w:rsidRPr="00615EDE" w:rsidRDefault="00E74D0C" w:rsidP="00E366E5">
            <w:pPr>
              <w:spacing w:after="60"/>
              <w:jc w:val="center"/>
              <w:rPr>
                <w:rFonts w:asciiTheme="majorBidi" w:hAnsiTheme="majorBidi" w:cstheme="majorBidi"/>
                <w:sz w:val="18"/>
                <w:szCs w:val="18"/>
              </w:rPr>
            </w:pPr>
            <w:proofErr w:type="spellStart"/>
            <w:r w:rsidRPr="00615EDE">
              <w:rPr>
                <w:rFonts w:asciiTheme="majorBidi" w:hAnsiTheme="majorBidi" w:cstheme="majorBidi"/>
                <w:sz w:val="18"/>
                <w:szCs w:val="18"/>
                <w:lang w:val="fr"/>
              </w:rPr>
              <w:t>s.o</w:t>
            </w:r>
            <w:proofErr w:type="spellEnd"/>
            <w:r w:rsidRPr="00615EDE">
              <w:rPr>
                <w:rFonts w:asciiTheme="majorBidi" w:hAnsiTheme="majorBidi" w:cstheme="majorBidi"/>
                <w:sz w:val="18"/>
                <w:szCs w:val="18"/>
                <w:lang w:val="fr"/>
              </w:rPr>
              <w:t>.</w:t>
            </w:r>
          </w:p>
        </w:tc>
      </w:tr>
      <w:tr w:rsidR="00E74D0C" w:rsidRPr="00EA3573" w14:paraId="3CD09BF0" w14:textId="77777777" w:rsidTr="00E366E5">
        <w:trPr>
          <w:trHeight w:val="224"/>
          <w:jc w:val="center"/>
        </w:trPr>
        <w:tc>
          <w:tcPr>
            <w:tcW w:w="297" w:type="pct"/>
            <w:vMerge w:val="restart"/>
            <w:shd w:val="clear" w:color="auto" w:fill="auto"/>
            <w:tcMar>
              <w:left w:w="58" w:type="dxa"/>
              <w:right w:w="58" w:type="dxa"/>
            </w:tcMar>
          </w:tcPr>
          <w:p w14:paraId="74B58839" w14:textId="77777777" w:rsidR="00E74D0C" w:rsidRPr="00EA3573" w:rsidRDefault="00E74D0C" w:rsidP="00E366E5">
            <w:pPr>
              <w:spacing w:after="60"/>
              <w:jc w:val="left"/>
              <w:rPr>
                <w:rFonts w:asciiTheme="majorBidi" w:hAnsiTheme="majorBidi" w:cstheme="majorBidi"/>
                <w:sz w:val="20"/>
                <w:szCs w:val="20"/>
              </w:rPr>
            </w:pPr>
            <w:r w:rsidRPr="00EA3573">
              <w:rPr>
                <w:rFonts w:asciiTheme="majorBidi" w:hAnsiTheme="majorBidi" w:cstheme="majorBidi"/>
                <w:sz w:val="20"/>
                <w:szCs w:val="20"/>
                <w:lang w:val="fr"/>
              </w:rPr>
              <w:t>Financement convenu ($ US)</w:t>
            </w:r>
          </w:p>
        </w:tc>
        <w:tc>
          <w:tcPr>
            <w:tcW w:w="383" w:type="pct"/>
            <w:vMerge w:val="restart"/>
            <w:shd w:val="clear" w:color="auto" w:fill="auto"/>
            <w:tcMar>
              <w:left w:w="58" w:type="dxa"/>
              <w:right w:w="58" w:type="dxa"/>
            </w:tcMar>
          </w:tcPr>
          <w:p w14:paraId="7337DD54" w14:textId="77777777" w:rsidR="00E74D0C" w:rsidRPr="00EA3573" w:rsidRDefault="00E74D0C" w:rsidP="00E366E5">
            <w:pPr>
              <w:spacing w:after="60"/>
              <w:jc w:val="center"/>
              <w:rPr>
                <w:rFonts w:asciiTheme="majorBidi" w:hAnsiTheme="majorBidi" w:cstheme="majorBidi"/>
                <w:sz w:val="20"/>
                <w:szCs w:val="20"/>
              </w:rPr>
            </w:pPr>
            <w:r w:rsidRPr="00EA3573">
              <w:rPr>
                <w:rFonts w:asciiTheme="majorBidi" w:hAnsiTheme="majorBidi" w:cstheme="majorBidi"/>
                <w:sz w:val="20"/>
                <w:szCs w:val="20"/>
                <w:lang w:val="fr"/>
              </w:rPr>
              <w:t>PNUE</w:t>
            </w:r>
          </w:p>
        </w:tc>
        <w:tc>
          <w:tcPr>
            <w:tcW w:w="596" w:type="pct"/>
            <w:shd w:val="clear" w:color="auto" w:fill="auto"/>
            <w:tcMar>
              <w:left w:w="58" w:type="dxa"/>
              <w:right w:w="58" w:type="dxa"/>
            </w:tcMar>
          </w:tcPr>
          <w:p w14:paraId="4132CBA3" w14:textId="77777777" w:rsidR="00E74D0C" w:rsidRPr="00EA3573" w:rsidRDefault="00E74D0C" w:rsidP="00E366E5">
            <w:pPr>
              <w:spacing w:after="60"/>
              <w:jc w:val="left"/>
              <w:rPr>
                <w:rFonts w:asciiTheme="majorBidi" w:hAnsiTheme="majorBidi" w:cstheme="majorBidi"/>
                <w:sz w:val="20"/>
                <w:szCs w:val="20"/>
              </w:rPr>
            </w:pPr>
            <w:r w:rsidRPr="00EA3573">
              <w:rPr>
                <w:rFonts w:asciiTheme="majorBidi" w:hAnsiTheme="majorBidi" w:cstheme="majorBidi"/>
                <w:sz w:val="20"/>
                <w:szCs w:val="20"/>
                <w:lang w:val="fr"/>
              </w:rPr>
              <w:t>Coûts de projet</w:t>
            </w:r>
          </w:p>
        </w:tc>
        <w:tc>
          <w:tcPr>
            <w:tcW w:w="340" w:type="pct"/>
            <w:shd w:val="clear" w:color="auto" w:fill="auto"/>
            <w:tcMar>
              <w:left w:w="58" w:type="dxa"/>
              <w:right w:w="58" w:type="dxa"/>
            </w:tcMar>
          </w:tcPr>
          <w:p w14:paraId="54BB0A40" w14:textId="55900348"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27</w:t>
            </w:r>
            <w:r w:rsidR="00DB333A" w:rsidRPr="00615EDE">
              <w:rPr>
                <w:rFonts w:asciiTheme="majorBidi" w:hAnsiTheme="majorBidi" w:cstheme="majorBidi"/>
                <w:sz w:val="18"/>
                <w:szCs w:val="18"/>
                <w:lang w:val="fr"/>
              </w:rPr>
              <w:t> </w:t>
            </w:r>
            <w:r w:rsidRPr="00615EDE">
              <w:rPr>
                <w:rFonts w:asciiTheme="majorBidi" w:hAnsiTheme="majorBidi" w:cstheme="majorBidi"/>
                <w:sz w:val="18"/>
                <w:szCs w:val="18"/>
                <w:lang w:val="fr"/>
              </w:rPr>
              <w:t>000</w:t>
            </w:r>
          </w:p>
        </w:tc>
        <w:tc>
          <w:tcPr>
            <w:tcW w:w="256" w:type="pct"/>
            <w:shd w:val="clear" w:color="auto" w:fill="auto"/>
            <w:tcMar>
              <w:left w:w="58" w:type="dxa"/>
              <w:right w:w="58" w:type="dxa"/>
            </w:tcMar>
          </w:tcPr>
          <w:p w14:paraId="26851184"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40" w:type="pct"/>
            <w:shd w:val="clear" w:color="auto" w:fill="auto"/>
            <w:tcMar>
              <w:left w:w="58" w:type="dxa"/>
              <w:right w:w="58" w:type="dxa"/>
            </w:tcMar>
          </w:tcPr>
          <w:p w14:paraId="59FDCDBE" w14:textId="3210DCA3"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28</w:t>
            </w:r>
            <w:r w:rsidR="00DB333A" w:rsidRPr="00615EDE">
              <w:rPr>
                <w:rFonts w:asciiTheme="majorBidi" w:hAnsiTheme="majorBidi" w:cstheme="majorBidi"/>
                <w:sz w:val="18"/>
                <w:szCs w:val="18"/>
                <w:lang w:val="fr"/>
              </w:rPr>
              <w:t> </w:t>
            </w:r>
            <w:r w:rsidRPr="00615EDE">
              <w:rPr>
                <w:rFonts w:asciiTheme="majorBidi" w:hAnsiTheme="majorBidi" w:cstheme="majorBidi"/>
                <w:sz w:val="18"/>
                <w:szCs w:val="18"/>
                <w:lang w:val="fr"/>
              </w:rPr>
              <w:t>500</w:t>
            </w:r>
          </w:p>
        </w:tc>
        <w:tc>
          <w:tcPr>
            <w:tcW w:w="273" w:type="pct"/>
            <w:shd w:val="clear" w:color="auto" w:fill="auto"/>
            <w:tcMar>
              <w:left w:w="58" w:type="dxa"/>
              <w:right w:w="58" w:type="dxa"/>
            </w:tcMar>
          </w:tcPr>
          <w:p w14:paraId="78CAD53A"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62" w:type="pct"/>
            <w:shd w:val="clear" w:color="auto" w:fill="auto"/>
            <w:tcMar>
              <w:left w:w="58" w:type="dxa"/>
              <w:right w:w="58" w:type="dxa"/>
            </w:tcMar>
          </w:tcPr>
          <w:p w14:paraId="1862FECB"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15" w:type="pct"/>
            <w:shd w:val="clear" w:color="auto" w:fill="auto"/>
            <w:tcMar>
              <w:left w:w="58" w:type="dxa"/>
              <w:right w:w="58" w:type="dxa"/>
            </w:tcMar>
          </w:tcPr>
          <w:p w14:paraId="28D57ACE"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35 000</w:t>
            </w:r>
          </w:p>
        </w:tc>
        <w:tc>
          <w:tcPr>
            <w:tcW w:w="244" w:type="pct"/>
            <w:shd w:val="clear" w:color="auto" w:fill="auto"/>
            <w:tcMar>
              <w:left w:w="58" w:type="dxa"/>
              <w:right w:w="58" w:type="dxa"/>
            </w:tcMar>
          </w:tcPr>
          <w:p w14:paraId="20D4E823"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62" w:type="pct"/>
            <w:shd w:val="clear" w:color="auto" w:fill="auto"/>
            <w:tcMar>
              <w:left w:w="58" w:type="dxa"/>
              <w:right w:w="58" w:type="dxa"/>
            </w:tcMar>
          </w:tcPr>
          <w:p w14:paraId="22DA3C24"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244" w:type="pct"/>
            <w:shd w:val="clear" w:color="auto" w:fill="auto"/>
            <w:tcMar>
              <w:left w:w="58" w:type="dxa"/>
              <w:right w:w="58" w:type="dxa"/>
            </w:tcMar>
          </w:tcPr>
          <w:p w14:paraId="2941F81D"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15" w:type="pct"/>
            <w:shd w:val="clear" w:color="auto" w:fill="auto"/>
            <w:tcMar>
              <w:left w:w="58" w:type="dxa"/>
              <w:right w:w="58" w:type="dxa"/>
            </w:tcMar>
          </w:tcPr>
          <w:p w14:paraId="62D82B80" w14:textId="655976EE"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13</w:t>
            </w:r>
            <w:r w:rsidR="00DB333A" w:rsidRPr="00615EDE">
              <w:rPr>
                <w:rFonts w:asciiTheme="majorBidi" w:hAnsiTheme="majorBidi" w:cstheme="majorBidi"/>
                <w:sz w:val="18"/>
                <w:szCs w:val="18"/>
                <w:lang w:val="fr"/>
              </w:rPr>
              <w:t> </w:t>
            </w:r>
            <w:r w:rsidRPr="00615EDE">
              <w:rPr>
                <w:rFonts w:asciiTheme="majorBidi" w:hAnsiTheme="majorBidi" w:cstheme="majorBidi"/>
                <w:sz w:val="18"/>
                <w:szCs w:val="18"/>
                <w:lang w:val="fr"/>
              </w:rPr>
              <w:t>500</w:t>
            </w:r>
          </w:p>
        </w:tc>
        <w:tc>
          <w:tcPr>
            <w:tcW w:w="315" w:type="pct"/>
            <w:tcMar>
              <w:left w:w="58" w:type="dxa"/>
              <w:right w:w="58" w:type="dxa"/>
            </w:tcMar>
          </w:tcPr>
          <w:p w14:paraId="1A09CBD5"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62" w:type="pct"/>
            <w:shd w:val="clear" w:color="auto" w:fill="auto"/>
            <w:tcMar>
              <w:left w:w="58" w:type="dxa"/>
              <w:right w:w="58" w:type="dxa"/>
            </w:tcMar>
          </w:tcPr>
          <w:p w14:paraId="04DD674D" w14:textId="5A4FA2C3"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104</w:t>
            </w:r>
            <w:r w:rsidR="00DB333A" w:rsidRPr="00615EDE">
              <w:rPr>
                <w:rFonts w:asciiTheme="majorBidi" w:hAnsiTheme="majorBidi" w:cstheme="majorBidi"/>
                <w:sz w:val="18"/>
                <w:szCs w:val="18"/>
                <w:lang w:val="fr"/>
              </w:rPr>
              <w:t> </w:t>
            </w:r>
            <w:r w:rsidRPr="00615EDE">
              <w:rPr>
                <w:rFonts w:asciiTheme="majorBidi" w:hAnsiTheme="majorBidi" w:cstheme="majorBidi"/>
                <w:sz w:val="18"/>
                <w:szCs w:val="18"/>
                <w:lang w:val="fr"/>
              </w:rPr>
              <w:t>000</w:t>
            </w:r>
          </w:p>
        </w:tc>
      </w:tr>
      <w:tr w:rsidR="00E74D0C" w:rsidRPr="00EA3573" w14:paraId="39FCABDF" w14:textId="77777777" w:rsidTr="00E366E5">
        <w:trPr>
          <w:trHeight w:val="140"/>
          <w:jc w:val="center"/>
        </w:trPr>
        <w:tc>
          <w:tcPr>
            <w:tcW w:w="297" w:type="pct"/>
            <w:vMerge/>
            <w:shd w:val="clear" w:color="auto" w:fill="auto"/>
            <w:tcMar>
              <w:left w:w="58" w:type="dxa"/>
              <w:right w:w="58" w:type="dxa"/>
            </w:tcMar>
          </w:tcPr>
          <w:p w14:paraId="29FB0B0C" w14:textId="77777777" w:rsidR="00E74D0C" w:rsidRPr="00EA3573" w:rsidRDefault="00E74D0C" w:rsidP="00E366E5">
            <w:pPr>
              <w:spacing w:after="60"/>
              <w:jc w:val="center"/>
              <w:rPr>
                <w:rFonts w:asciiTheme="majorBidi" w:hAnsiTheme="majorBidi" w:cstheme="majorBidi"/>
                <w:sz w:val="20"/>
                <w:szCs w:val="20"/>
              </w:rPr>
            </w:pPr>
          </w:p>
        </w:tc>
        <w:tc>
          <w:tcPr>
            <w:tcW w:w="383" w:type="pct"/>
            <w:vMerge/>
            <w:shd w:val="clear" w:color="auto" w:fill="auto"/>
            <w:tcMar>
              <w:left w:w="58" w:type="dxa"/>
              <w:right w:w="58" w:type="dxa"/>
            </w:tcMar>
          </w:tcPr>
          <w:p w14:paraId="1EE3A26E" w14:textId="77777777" w:rsidR="00E74D0C" w:rsidRPr="00EA3573" w:rsidRDefault="00E74D0C" w:rsidP="00E366E5">
            <w:pPr>
              <w:spacing w:after="60"/>
              <w:jc w:val="center"/>
              <w:rPr>
                <w:rFonts w:asciiTheme="majorBidi" w:hAnsiTheme="majorBidi" w:cstheme="majorBidi"/>
                <w:sz w:val="20"/>
                <w:szCs w:val="20"/>
              </w:rPr>
            </w:pPr>
          </w:p>
        </w:tc>
        <w:tc>
          <w:tcPr>
            <w:tcW w:w="596" w:type="pct"/>
            <w:shd w:val="clear" w:color="auto" w:fill="auto"/>
            <w:tcMar>
              <w:left w:w="58" w:type="dxa"/>
              <w:right w:w="58" w:type="dxa"/>
            </w:tcMar>
          </w:tcPr>
          <w:p w14:paraId="1DDB0BFD" w14:textId="77777777" w:rsidR="00E74D0C" w:rsidRPr="00EA3573" w:rsidRDefault="00E74D0C" w:rsidP="00E366E5">
            <w:pPr>
              <w:spacing w:after="60"/>
              <w:jc w:val="left"/>
              <w:rPr>
                <w:rFonts w:asciiTheme="majorBidi" w:hAnsiTheme="majorBidi" w:cstheme="majorBidi"/>
                <w:sz w:val="20"/>
                <w:szCs w:val="20"/>
              </w:rPr>
            </w:pPr>
            <w:r w:rsidRPr="00EA3573">
              <w:rPr>
                <w:rFonts w:asciiTheme="majorBidi" w:hAnsiTheme="majorBidi" w:cstheme="majorBidi"/>
                <w:sz w:val="20"/>
                <w:szCs w:val="20"/>
                <w:lang w:val="fr"/>
              </w:rPr>
              <w:t>Coûts d’appui</w:t>
            </w:r>
          </w:p>
        </w:tc>
        <w:tc>
          <w:tcPr>
            <w:tcW w:w="340" w:type="pct"/>
            <w:shd w:val="clear" w:color="auto" w:fill="auto"/>
            <w:tcMar>
              <w:left w:w="58" w:type="dxa"/>
              <w:right w:w="58" w:type="dxa"/>
            </w:tcMar>
          </w:tcPr>
          <w:p w14:paraId="77679AF6" w14:textId="4AFC0CB5"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3</w:t>
            </w:r>
            <w:r w:rsidR="00DB333A" w:rsidRPr="00615EDE">
              <w:rPr>
                <w:rFonts w:asciiTheme="majorBidi" w:hAnsiTheme="majorBidi" w:cstheme="majorBidi"/>
                <w:sz w:val="18"/>
                <w:szCs w:val="18"/>
                <w:lang w:val="fr"/>
              </w:rPr>
              <w:t> </w:t>
            </w:r>
            <w:r w:rsidRPr="00615EDE">
              <w:rPr>
                <w:rFonts w:asciiTheme="majorBidi" w:hAnsiTheme="majorBidi" w:cstheme="majorBidi"/>
                <w:sz w:val="18"/>
                <w:szCs w:val="18"/>
                <w:lang w:val="fr"/>
              </w:rPr>
              <w:t>510</w:t>
            </w:r>
          </w:p>
        </w:tc>
        <w:tc>
          <w:tcPr>
            <w:tcW w:w="256" w:type="pct"/>
            <w:shd w:val="clear" w:color="auto" w:fill="auto"/>
            <w:tcMar>
              <w:left w:w="58" w:type="dxa"/>
              <w:right w:w="58" w:type="dxa"/>
            </w:tcMar>
          </w:tcPr>
          <w:p w14:paraId="5CB0B618"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40" w:type="pct"/>
            <w:shd w:val="clear" w:color="auto" w:fill="auto"/>
            <w:tcMar>
              <w:left w:w="58" w:type="dxa"/>
              <w:right w:w="58" w:type="dxa"/>
            </w:tcMar>
          </w:tcPr>
          <w:p w14:paraId="024691C3" w14:textId="51B3AAA1"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3</w:t>
            </w:r>
            <w:r w:rsidR="00DB333A" w:rsidRPr="00615EDE">
              <w:rPr>
                <w:rFonts w:asciiTheme="majorBidi" w:hAnsiTheme="majorBidi" w:cstheme="majorBidi"/>
                <w:sz w:val="18"/>
                <w:szCs w:val="18"/>
                <w:lang w:val="fr"/>
              </w:rPr>
              <w:t> </w:t>
            </w:r>
            <w:r w:rsidRPr="00615EDE">
              <w:rPr>
                <w:rFonts w:asciiTheme="majorBidi" w:hAnsiTheme="majorBidi" w:cstheme="majorBidi"/>
                <w:sz w:val="18"/>
                <w:szCs w:val="18"/>
                <w:lang w:val="fr"/>
              </w:rPr>
              <w:t>705</w:t>
            </w:r>
          </w:p>
        </w:tc>
        <w:tc>
          <w:tcPr>
            <w:tcW w:w="273" w:type="pct"/>
            <w:shd w:val="clear" w:color="auto" w:fill="auto"/>
            <w:tcMar>
              <w:left w:w="58" w:type="dxa"/>
              <w:right w:w="58" w:type="dxa"/>
            </w:tcMar>
          </w:tcPr>
          <w:p w14:paraId="68528D8D"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62" w:type="pct"/>
            <w:shd w:val="clear" w:color="auto" w:fill="auto"/>
            <w:tcMar>
              <w:left w:w="58" w:type="dxa"/>
              <w:right w:w="58" w:type="dxa"/>
            </w:tcMar>
          </w:tcPr>
          <w:p w14:paraId="420D3E68"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15" w:type="pct"/>
            <w:shd w:val="clear" w:color="auto" w:fill="auto"/>
            <w:tcMar>
              <w:left w:w="58" w:type="dxa"/>
              <w:right w:w="58" w:type="dxa"/>
            </w:tcMar>
          </w:tcPr>
          <w:p w14:paraId="111FE0A5"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4 550</w:t>
            </w:r>
          </w:p>
        </w:tc>
        <w:tc>
          <w:tcPr>
            <w:tcW w:w="244" w:type="pct"/>
            <w:shd w:val="clear" w:color="auto" w:fill="auto"/>
            <w:tcMar>
              <w:left w:w="58" w:type="dxa"/>
              <w:right w:w="58" w:type="dxa"/>
            </w:tcMar>
          </w:tcPr>
          <w:p w14:paraId="0EF9CAA6"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62" w:type="pct"/>
            <w:shd w:val="clear" w:color="auto" w:fill="auto"/>
            <w:tcMar>
              <w:left w:w="58" w:type="dxa"/>
              <w:right w:w="58" w:type="dxa"/>
            </w:tcMar>
          </w:tcPr>
          <w:p w14:paraId="1FDFF855"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244" w:type="pct"/>
            <w:shd w:val="clear" w:color="auto" w:fill="auto"/>
            <w:tcMar>
              <w:left w:w="58" w:type="dxa"/>
              <w:right w:w="58" w:type="dxa"/>
            </w:tcMar>
          </w:tcPr>
          <w:p w14:paraId="6E4686EE"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15" w:type="pct"/>
            <w:shd w:val="clear" w:color="auto" w:fill="auto"/>
            <w:tcMar>
              <w:left w:w="58" w:type="dxa"/>
              <w:right w:w="58" w:type="dxa"/>
            </w:tcMar>
          </w:tcPr>
          <w:p w14:paraId="22B33F31" w14:textId="17029F80"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1</w:t>
            </w:r>
            <w:r w:rsidR="00DB333A" w:rsidRPr="00615EDE">
              <w:rPr>
                <w:rFonts w:asciiTheme="majorBidi" w:hAnsiTheme="majorBidi" w:cstheme="majorBidi"/>
                <w:sz w:val="18"/>
                <w:szCs w:val="18"/>
                <w:lang w:val="fr"/>
              </w:rPr>
              <w:t> </w:t>
            </w:r>
            <w:r w:rsidRPr="00615EDE">
              <w:rPr>
                <w:rFonts w:asciiTheme="majorBidi" w:hAnsiTheme="majorBidi" w:cstheme="majorBidi"/>
                <w:sz w:val="18"/>
                <w:szCs w:val="18"/>
                <w:lang w:val="fr"/>
              </w:rPr>
              <w:t>755</w:t>
            </w:r>
          </w:p>
        </w:tc>
        <w:tc>
          <w:tcPr>
            <w:tcW w:w="315" w:type="pct"/>
            <w:tcMar>
              <w:left w:w="58" w:type="dxa"/>
              <w:right w:w="58" w:type="dxa"/>
            </w:tcMar>
          </w:tcPr>
          <w:p w14:paraId="518BEF7A"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62" w:type="pct"/>
            <w:shd w:val="clear" w:color="auto" w:fill="auto"/>
            <w:tcMar>
              <w:left w:w="58" w:type="dxa"/>
              <w:right w:w="58" w:type="dxa"/>
            </w:tcMar>
          </w:tcPr>
          <w:p w14:paraId="006EE966" w14:textId="517F696D"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13</w:t>
            </w:r>
            <w:r w:rsidR="00DB333A" w:rsidRPr="00615EDE">
              <w:rPr>
                <w:rFonts w:asciiTheme="majorBidi" w:hAnsiTheme="majorBidi" w:cstheme="majorBidi"/>
                <w:sz w:val="18"/>
                <w:szCs w:val="18"/>
                <w:lang w:val="fr"/>
              </w:rPr>
              <w:t> </w:t>
            </w:r>
            <w:r w:rsidRPr="00615EDE">
              <w:rPr>
                <w:rFonts w:asciiTheme="majorBidi" w:hAnsiTheme="majorBidi" w:cstheme="majorBidi"/>
                <w:sz w:val="18"/>
                <w:szCs w:val="18"/>
                <w:lang w:val="fr"/>
              </w:rPr>
              <w:t>520</w:t>
            </w:r>
          </w:p>
        </w:tc>
      </w:tr>
      <w:tr w:rsidR="00E74D0C" w:rsidRPr="00EA3573" w14:paraId="096B9D66" w14:textId="77777777" w:rsidTr="00E366E5">
        <w:trPr>
          <w:trHeight w:val="140"/>
          <w:jc w:val="center"/>
        </w:trPr>
        <w:tc>
          <w:tcPr>
            <w:tcW w:w="297" w:type="pct"/>
            <w:vMerge/>
            <w:shd w:val="clear" w:color="auto" w:fill="auto"/>
            <w:tcMar>
              <w:left w:w="58" w:type="dxa"/>
              <w:right w:w="58" w:type="dxa"/>
            </w:tcMar>
          </w:tcPr>
          <w:p w14:paraId="2D5A5E3C" w14:textId="77777777" w:rsidR="00E74D0C" w:rsidRPr="00EA3573" w:rsidRDefault="00E74D0C" w:rsidP="00E366E5">
            <w:pPr>
              <w:spacing w:after="60"/>
              <w:jc w:val="center"/>
              <w:rPr>
                <w:rFonts w:asciiTheme="majorBidi" w:hAnsiTheme="majorBidi" w:cstheme="majorBidi"/>
                <w:sz w:val="20"/>
                <w:szCs w:val="20"/>
              </w:rPr>
            </w:pPr>
          </w:p>
        </w:tc>
        <w:tc>
          <w:tcPr>
            <w:tcW w:w="383" w:type="pct"/>
            <w:vMerge w:val="restart"/>
            <w:shd w:val="clear" w:color="auto" w:fill="auto"/>
            <w:tcMar>
              <w:left w:w="58" w:type="dxa"/>
              <w:right w:w="58" w:type="dxa"/>
            </w:tcMar>
          </w:tcPr>
          <w:p w14:paraId="7EDDE907" w14:textId="77777777" w:rsidR="00E74D0C" w:rsidRPr="00EA3573" w:rsidRDefault="00E74D0C" w:rsidP="00E366E5">
            <w:pPr>
              <w:spacing w:after="60"/>
              <w:jc w:val="center"/>
              <w:rPr>
                <w:rFonts w:asciiTheme="majorBidi" w:hAnsiTheme="majorBidi" w:cstheme="majorBidi"/>
                <w:sz w:val="20"/>
                <w:szCs w:val="20"/>
              </w:rPr>
            </w:pPr>
            <w:r w:rsidRPr="00EA3573">
              <w:rPr>
                <w:rFonts w:asciiTheme="majorBidi" w:hAnsiTheme="majorBidi" w:cstheme="majorBidi"/>
                <w:sz w:val="20"/>
                <w:szCs w:val="20"/>
                <w:lang w:val="fr"/>
              </w:rPr>
              <w:t>ONUDI</w:t>
            </w:r>
          </w:p>
        </w:tc>
        <w:tc>
          <w:tcPr>
            <w:tcW w:w="596" w:type="pct"/>
            <w:shd w:val="clear" w:color="auto" w:fill="auto"/>
            <w:tcMar>
              <w:left w:w="58" w:type="dxa"/>
              <w:right w:w="58" w:type="dxa"/>
            </w:tcMar>
          </w:tcPr>
          <w:p w14:paraId="2241AB74" w14:textId="77777777" w:rsidR="00E74D0C" w:rsidRPr="00EA3573" w:rsidRDefault="00E74D0C" w:rsidP="00E366E5">
            <w:pPr>
              <w:spacing w:after="60"/>
              <w:jc w:val="left"/>
              <w:rPr>
                <w:rFonts w:asciiTheme="majorBidi" w:hAnsiTheme="majorBidi" w:cstheme="majorBidi"/>
                <w:sz w:val="20"/>
                <w:szCs w:val="20"/>
              </w:rPr>
            </w:pPr>
            <w:r w:rsidRPr="00EA3573">
              <w:rPr>
                <w:rFonts w:asciiTheme="majorBidi" w:hAnsiTheme="majorBidi" w:cstheme="majorBidi"/>
                <w:sz w:val="20"/>
                <w:szCs w:val="20"/>
                <w:lang w:val="fr"/>
              </w:rPr>
              <w:t>Coûts de projet</w:t>
            </w:r>
          </w:p>
        </w:tc>
        <w:tc>
          <w:tcPr>
            <w:tcW w:w="340" w:type="pct"/>
            <w:shd w:val="clear" w:color="auto" w:fill="auto"/>
            <w:tcMar>
              <w:left w:w="58" w:type="dxa"/>
              <w:right w:w="58" w:type="dxa"/>
            </w:tcMar>
          </w:tcPr>
          <w:p w14:paraId="4C5B48FF" w14:textId="2CB37035"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68</w:t>
            </w:r>
            <w:r w:rsidR="00DB333A" w:rsidRPr="00615EDE">
              <w:rPr>
                <w:rFonts w:asciiTheme="majorBidi" w:hAnsiTheme="majorBidi" w:cstheme="majorBidi"/>
                <w:sz w:val="18"/>
                <w:szCs w:val="18"/>
                <w:lang w:val="fr"/>
              </w:rPr>
              <w:t> </w:t>
            </w:r>
            <w:r w:rsidRPr="00615EDE">
              <w:rPr>
                <w:rFonts w:asciiTheme="majorBidi" w:hAnsiTheme="majorBidi" w:cstheme="majorBidi"/>
                <w:sz w:val="18"/>
                <w:szCs w:val="18"/>
                <w:lang w:val="fr"/>
              </w:rPr>
              <w:t>000</w:t>
            </w:r>
          </w:p>
        </w:tc>
        <w:tc>
          <w:tcPr>
            <w:tcW w:w="256" w:type="pct"/>
            <w:shd w:val="clear" w:color="auto" w:fill="auto"/>
            <w:tcMar>
              <w:left w:w="58" w:type="dxa"/>
              <w:right w:w="58" w:type="dxa"/>
            </w:tcMar>
          </w:tcPr>
          <w:p w14:paraId="650C3FE4"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40" w:type="pct"/>
            <w:shd w:val="clear" w:color="auto" w:fill="auto"/>
            <w:tcMar>
              <w:left w:w="58" w:type="dxa"/>
              <w:right w:w="58" w:type="dxa"/>
            </w:tcMar>
          </w:tcPr>
          <w:p w14:paraId="21FC0531"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273" w:type="pct"/>
            <w:shd w:val="clear" w:color="auto" w:fill="auto"/>
            <w:tcMar>
              <w:left w:w="58" w:type="dxa"/>
              <w:right w:w="58" w:type="dxa"/>
            </w:tcMar>
          </w:tcPr>
          <w:p w14:paraId="5C5FE9D6"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62" w:type="pct"/>
            <w:shd w:val="clear" w:color="auto" w:fill="auto"/>
            <w:tcMar>
              <w:left w:w="58" w:type="dxa"/>
              <w:right w:w="58" w:type="dxa"/>
            </w:tcMar>
          </w:tcPr>
          <w:p w14:paraId="669AAA0E"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15" w:type="pct"/>
            <w:shd w:val="clear" w:color="auto" w:fill="auto"/>
            <w:tcMar>
              <w:left w:w="58" w:type="dxa"/>
              <w:right w:w="58" w:type="dxa"/>
            </w:tcMar>
          </w:tcPr>
          <w:p w14:paraId="567AC9D4"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29 000</w:t>
            </w:r>
          </w:p>
        </w:tc>
        <w:tc>
          <w:tcPr>
            <w:tcW w:w="244" w:type="pct"/>
            <w:shd w:val="clear" w:color="auto" w:fill="auto"/>
            <w:tcMar>
              <w:left w:w="58" w:type="dxa"/>
              <w:right w:w="58" w:type="dxa"/>
            </w:tcMar>
          </w:tcPr>
          <w:p w14:paraId="3F9DB5B0"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62" w:type="pct"/>
            <w:shd w:val="clear" w:color="auto" w:fill="auto"/>
            <w:tcMar>
              <w:left w:w="58" w:type="dxa"/>
              <w:right w:w="58" w:type="dxa"/>
            </w:tcMar>
          </w:tcPr>
          <w:p w14:paraId="204FFB74"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244" w:type="pct"/>
            <w:shd w:val="clear" w:color="auto" w:fill="auto"/>
            <w:tcMar>
              <w:left w:w="58" w:type="dxa"/>
              <w:right w:w="58" w:type="dxa"/>
            </w:tcMar>
          </w:tcPr>
          <w:p w14:paraId="376E54CD"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15" w:type="pct"/>
            <w:shd w:val="clear" w:color="auto" w:fill="auto"/>
            <w:tcMar>
              <w:left w:w="58" w:type="dxa"/>
              <w:right w:w="58" w:type="dxa"/>
            </w:tcMar>
          </w:tcPr>
          <w:p w14:paraId="1EB81723" w14:textId="293F25CF"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9</w:t>
            </w:r>
            <w:r w:rsidR="00DB333A" w:rsidRPr="00615EDE">
              <w:rPr>
                <w:rFonts w:asciiTheme="majorBidi" w:hAnsiTheme="majorBidi" w:cstheme="majorBidi"/>
                <w:sz w:val="18"/>
                <w:szCs w:val="18"/>
                <w:lang w:val="fr"/>
              </w:rPr>
              <w:t> </w:t>
            </w:r>
            <w:r w:rsidRPr="00615EDE">
              <w:rPr>
                <w:rFonts w:asciiTheme="majorBidi" w:hAnsiTheme="majorBidi" w:cstheme="majorBidi"/>
                <w:sz w:val="18"/>
                <w:szCs w:val="18"/>
                <w:lang w:val="fr"/>
              </w:rPr>
              <w:t>000</w:t>
            </w:r>
          </w:p>
        </w:tc>
        <w:tc>
          <w:tcPr>
            <w:tcW w:w="315" w:type="pct"/>
            <w:tcMar>
              <w:left w:w="58" w:type="dxa"/>
              <w:right w:w="58" w:type="dxa"/>
            </w:tcMar>
          </w:tcPr>
          <w:p w14:paraId="175C6B51"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62" w:type="pct"/>
            <w:shd w:val="clear" w:color="auto" w:fill="auto"/>
            <w:tcMar>
              <w:left w:w="58" w:type="dxa"/>
              <w:right w:w="58" w:type="dxa"/>
            </w:tcMar>
          </w:tcPr>
          <w:p w14:paraId="4F8DAE7C"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106 000</w:t>
            </w:r>
          </w:p>
        </w:tc>
      </w:tr>
      <w:tr w:rsidR="00E74D0C" w:rsidRPr="00EA3573" w14:paraId="4C92E1C9" w14:textId="77777777" w:rsidTr="00E366E5">
        <w:trPr>
          <w:trHeight w:val="140"/>
          <w:jc w:val="center"/>
        </w:trPr>
        <w:tc>
          <w:tcPr>
            <w:tcW w:w="297" w:type="pct"/>
            <w:vMerge/>
            <w:shd w:val="clear" w:color="auto" w:fill="auto"/>
            <w:tcMar>
              <w:left w:w="58" w:type="dxa"/>
              <w:right w:w="58" w:type="dxa"/>
            </w:tcMar>
          </w:tcPr>
          <w:p w14:paraId="0081F713" w14:textId="77777777" w:rsidR="00E74D0C" w:rsidRPr="00EA3573" w:rsidRDefault="00E74D0C" w:rsidP="00E366E5">
            <w:pPr>
              <w:spacing w:after="60"/>
              <w:jc w:val="center"/>
              <w:rPr>
                <w:rFonts w:asciiTheme="majorBidi" w:hAnsiTheme="majorBidi" w:cstheme="majorBidi"/>
                <w:sz w:val="20"/>
                <w:szCs w:val="20"/>
              </w:rPr>
            </w:pPr>
          </w:p>
        </w:tc>
        <w:tc>
          <w:tcPr>
            <w:tcW w:w="383" w:type="pct"/>
            <w:vMerge/>
            <w:shd w:val="clear" w:color="auto" w:fill="auto"/>
            <w:tcMar>
              <w:left w:w="58" w:type="dxa"/>
              <w:right w:w="58" w:type="dxa"/>
            </w:tcMar>
          </w:tcPr>
          <w:p w14:paraId="14F03D0A" w14:textId="77777777" w:rsidR="00E74D0C" w:rsidRPr="00EA3573" w:rsidRDefault="00E74D0C" w:rsidP="00E366E5">
            <w:pPr>
              <w:spacing w:after="60"/>
              <w:jc w:val="center"/>
              <w:rPr>
                <w:rFonts w:asciiTheme="majorBidi" w:hAnsiTheme="majorBidi" w:cstheme="majorBidi"/>
                <w:sz w:val="20"/>
                <w:szCs w:val="20"/>
              </w:rPr>
            </w:pPr>
          </w:p>
        </w:tc>
        <w:tc>
          <w:tcPr>
            <w:tcW w:w="596" w:type="pct"/>
            <w:shd w:val="clear" w:color="auto" w:fill="auto"/>
            <w:tcMar>
              <w:left w:w="58" w:type="dxa"/>
              <w:right w:w="58" w:type="dxa"/>
            </w:tcMar>
          </w:tcPr>
          <w:p w14:paraId="5F6277C2" w14:textId="77777777" w:rsidR="00E74D0C" w:rsidRPr="00EA3573" w:rsidRDefault="00E74D0C" w:rsidP="00E366E5">
            <w:pPr>
              <w:spacing w:after="60"/>
              <w:jc w:val="left"/>
              <w:rPr>
                <w:rFonts w:asciiTheme="majorBidi" w:hAnsiTheme="majorBidi" w:cstheme="majorBidi"/>
                <w:sz w:val="20"/>
                <w:szCs w:val="20"/>
              </w:rPr>
            </w:pPr>
            <w:r w:rsidRPr="00EA3573">
              <w:rPr>
                <w:rFonts w:asciiTheme="majorBidi" w:hAnsiTheme="majorBidi" w:cstheme="majorBidi"/>
                <w:sz w:val="20"/>
                <w:szCs w:val="20"/>
                <w:lang w:val="fr"/>
              </w:rPr>
              <w:t>Coûts d’appui</w:t>
            </w:r>
          </w:p>
        </w:tc>
        <w:tc>
          <w:tcPr>
            <w:tcW w:w="340" w:type="pct"/>
            <w:shd w:val="clear" w:color="auto" w:fill="auto"/>
            <w:tcMar>
              <w:left w:w="58" w:type="dxa"/>
              <w:right w:w="58" w:type="dxa"/>
            </w:tcMar>
          </w:tcPr>
          <w:p w14:paraId="5F992B9F"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6 120</w:t>
            </w:r>
          </w:p>
        </w:tc>
        <w:tc>
          <w:tcPr>
            <w:tcW w:w="256" w:type="pct"/>
            <w:shd w:val="clear" w:color="auto" w:fill="auto"/>
            <w:tcMar>
              <w:left w:w="58" w:type="dxa"/>
              <w:right w:w="58" w:type="dxa"/>
            </w:tcMar>
          </w:tcPr>
          <w:p w14:paraId="122B68B4"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40" w:type="pct"/>
            <w:shd w:val="clear" w:color="auto" w:fill="auto"/>
            <w:tcMar>
              <w:left w:w="58" w:type="dxa"/>
              <w:right w:w="58" w:type="dxa"/>
            </w:tcMar>
          </w:tcPr>
          <w:p w14:paraId="265C711F"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273" w:type="pct"/>
            <w:shd w:val="clear" w:color="auto" w:fill="auto"/>
            <w:tcMar>
              <w:left w:w="58" w:type="dxa"/>
              <w:right w:w="58" w:type="dxa"/>
            </w:tcMar>
          </w:tcPr>
          <w:p w14:paraId="436C80C9"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62" w:type="pct"/>
            <w:shd w:val="clear" w:color="auto" w:fill="auto"/>
            <w:tcMar>
              <w:left w:w="58" w:type="dxa"/>
              <w:right w:w="58" w:type="dxa"/>
            </w:tcMar>
          </w:tcPr>
          <w:p w14:paraId="349586A5"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15" w:type="pct"/>
            <w:shd w:val="clear" w:color="auto" w:fill="auto"/>
            <w:tcMar>
              <w:left w:w="58" w:type="dxa"/>
              <w:right w:w="58" w:type="dxa"/>
            </w:tcMar>
          </w:tcPr>
          <w:p w14:paraId="675B49CC"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2 610</w:t>
            </w:r>
          </w:p>
        </w:tc>
        <w:tc>
          <w:tcPr>
            <w:tcW w:w="244" w:type="pct"/>
            <w:shd w:val="clear" w:color="auto" w:fill="auto"/>
            <w:tcMar>
              <w:left w:w="58" w:type="dxa"/>
              <w:right w:w="58" w:type="dxa"/>
            </w:tcMar>
          </w:tcPr>
          <w:p w14:paraId="342AF97E"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62" w:type="pct"/>
            <w:shd w:val="clear" w:color="auto" w:fill="auto"/>
            <w:tcMar>
              <w:left w:w="58" w:type="dxa"/>
              <w:right w:w="58" w:type="dxa"/>
            </w:tcMar>
          </w:tcPr>
          <w:p w14:paraId="6FB21D34"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244" w:type="pct"/>
            <w:shd w:val="clear" w:color="auto" w:fill="auto"/>
            <w:tcMar>
              <w:left w:w="58" w:type="dxa"/>
              <w:right w:w="58" w:type="dxa"/>
            </w:tcMar>
          </w:tcPr>
          <w:p w14:paraId="1F174A34"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15" w:type="pct"/>
            <w:shd w:val="clear" w:color="auto" w:fill="auto"/>
            <w:tcMar>
              <w:left w:w="58" w:type="dxa"/>
              <w:right w:w="58" w:type="dxa"/>
            </w:tcMar>
          </w:tcPr>
          <w:p w14:paraId="5B867F89"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810</w:t>
            </w:r>
          </w:p>
        </w:tc>
        <w:tc>
          <w:tcPr>
            <w:tcW w:w="315" w:type="pct"/>
            <w:tcMar>
              <w:left w:w="58" w:type="dxa"/>
              <w:right w:w="58" w:type="dxa"/>
            </w:tcMar>
          </w:tcPr>
          <w:p w14:paraId="51D79205"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62" w:type="pct"/>
            <w:shd w:val="clear" w:color="auto" w:fill="auto"/>
            <w:tcMar>
              <w:left w:w="58" w:type="dxa"/>
              <w:right w:w="58" w:type="dxa"/>
            </w:tcMar>
          </w:tcPr>
          <w:p w14:paraId="5609AF32"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9 540</w:t>
            </w:r>
          </w:p>
        </w:tc>
      </w:tr>
      <w:tr w:rsidR="00E74D0C" w:rsidRPr="00EA3573" w14:paraId="21747ACE" w14:textId="77777777" w:rsidTr="00E366E5">
        <w:trPr>
          <w:trHeight w:val="370"/>
          <w:jc w:val="center"/>
        </w:trPr>
        <w:tc>
          <w:tcPr>
            <w:tcW w:w="680" w:type="pct"/>
            <w:gridSpan w:val="2"/>
            <w:vMerge w:val="restart"/>
            <w:shd w:val="clear" w:color="auto" w:fill="auto"/>
            <w:tcMar>
              <w:left w:w="58" w:type="dxa"/>
              <w:right w:w="58" w:type="dxa"/>
            </w:tcMar>
          </w:tcPr>
          <w:p w14:paraId="39ECC6F1" w14:textId="77777777" w:rsidR="00E74D0C" w:rsidRPr="00EA3573" w:rsidRDefault="00E74D0C" w:rsidP="00E366E5">
            <w:pPr>
              <w:spacing w:after="60"/>
              <w:jc w:val="left"/>
              <w:rPr>
                <w:rFonts w:asciiTheme="majorBidi" w:hAnsiTheme="majorBidi" w:cstheme="majorBidi"/>
                <w:sz w:val="20"/>
                <w:szCs w:val="20"/>
                <w:lang w:val="fr-FR"/>
              </w:rPr>
            </w:pPr>
            <w:r w:rsidRPr="00EA3573">
              <w:rPr>
                <w:rFonts w:asciiTheme="majorBidi" w:hAnsiTheme="majorBidi" w:cstheme="majorBidi"/>
                <w:sz w:val="20"/>
                <w:szCs w:val="20"/>
                <w:lang w:val="fr"/>
              </w:rPr>
              <w:t xml:space="preserve">Financements approuvés par </w:t>
            </w:r>
            <w:proofErr w:type="spellStart"/>
            <w:r w:rsidRPr="00EA3573">
              <w:rPr>
                <w:rFonts w:asciiTheme="majorBidi" w:hAnsiTheme="majorBidi" w:cstheme="majorBidi"/>
                <w:sz w:val="20"/>
                <w:szCs w:val="20"/>
                <w:lang w:val="fr"/>
              </w:rPr>
              <w:t>ExCom</w:t>
            </w:r>
            <w:proofErr w:type="spellEnd"/>
            <w:r w:rsidRPr="00EA3573">
              <w:rPr>
                <w:rFonts w:asciiTheme="majorBidi" w:hAnsiTheme="majorBidi" w:cstheme="majorBidi"/>
                <w:sz w:val="20"/>
                <w:szCs w:val="20"/>
                <w:lang w:val="fr"/>
              </w:rPr>
              <w:t xml:space="preserve"> ($ US)</w:t>
            </w:r>
          </w:p>
        </w:tc>
        <w:tc>
          <w:tcPr>
            <w:tcW w:w="596" w:type="pct"/>
            <w:shd w:val="clear" w:color="auto" w:fill="auto"/>
            <w:tcMar>
              <w:left w:w="58" w:type="dxa"/>
              <w:right w:w="58" w:type="dxa"/>
            </w:tcMar>
          </w:tcPr>
          <w:p w14:paraId="4B98ED1B" w14:textId="77777777" w:rsidR="00E74D0C" w:rsidRPr="00EA3573" w:rsidRDefault="00E74D0C" w:rsidP="00E366E5">
            <w:pPr>
              <w:spacing w:after="60"/>
              <w:jc w:val="left"/>
              <w:rPr>
                <w:rFonts w:asciiTheme="majorBidi" w:hAnsiTheme="majorBidi" w:cstheme="majorBidi"/>
                <w:sz w:val="20"/>
                <w:szCs w:val="20"/>
              </w:rPr>
            </w:pPr>
            <w:r w:rsidRPr="00EA3573">
              <w:rPr>
                <w:rFonts w:asciiTheme="majorBidi" w:hAnsiTheme="majorBidi" w:cstheme="majorBidi"/>
                <w:sz w:val="20"/>
                <w:szCs w:val="20"/>
                <w:lang w:val="fr"/>
              </w:rPr>
              <w:t>Coûts de projet</w:t>
            </w:r>
          </w:p>
        </w:tc>
        <w:tc>
          <w:tcPr>
            <w:tcW w:w="340" w:type="pct"/>
            <w:shd w:val="clear" w:color="auto" w:fill="auto"/>
            <w:tcMar>
              <w:left w:w="58" w:type="dxa"/>
              <w:right w:w="58" w:type="dxa"/>
            </w:tcMar>
          </w:tcPr>
          <w:p w14:paraId="44CD11AE" w14:textId="14FE0F59"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95</w:t>
            </w:r>
            <w:r w:rsidR="00DB333A" w:rsidRPr="00615EDE">
              <w:rPr>
                <w:rFonts w:asciiTheme="majorBidi" w:hAnsiTheme="majorBidi" w:cstheme="majorBidi"/>
                <w:sz w:val="18"/>
                <w:szCs w:val="18"/>
                <w:lang w:val="fr"/>
              </w:rPr>
              <w:t> </w:t>
            </w:r>
            <w:r w:rsidRPr="00615EDE">
              <w:rPr>
                <w:rFonts w:asciiTheme="majorBidi" w:hAnsiTheme="majorBidi" w:cstheme="majorBidi"/>
                <w:sz w:val="18"/>
                <w:szCs w:val="18"/>
                <w:lang w:val="fr"/>
              </w:rPr>
              <w:t>000</w:t>
            </w:r>
          </w:p>
        </w:tc>
        <w:tc>
          <w:tcPr>
            <w:tcW w:w="256" w:type="pct"/>
            <w:shd w:val="clear" w:color="auto" w:fill="auto"/>
            <w:tcMar>
              <w:left w:w="58" w:type="dxa"/>
              <w:right w:w="58" w:type="dxa"/>
            </w:tcMar>
          </w:tcPr>
          <w:p w14:paraId="0A2C1722"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40" w:type="pct"/>
            <w:shd w:val="clear" w:color="auto" w:fill="auto"/>
            <w:tcMar>
              <w:left w:w="58" w:type="dxa"/>
              <w:right w:w="58" w:type="dxa"/>
            </w:tcMar>
          </w:tcPr>
          <w:p w14:paraId="58801B70"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273" w:type="pct"/>
            <w:shd w:val="clear" w:color="auto" w:fill="auto"/>
            <w:tcMar>
              <w:left w:w="58" w:type="dxa"/>
              <w:right w:w="58" w:type="dxa"/>
            </w:tcMar>
          </w:tcPr>
          <w:p w14:paraId="45A97858"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62" w:type="pct"/>
            <w:shd w:val="clear" w:color="auto" w:fill="auto"/>
            <w:tcMar>
              <w:left w:w="58" w:type="dxa"/>
              <w:right w:w="58" w:type="dxa"/>
            </w:tcMar>
          </w:tcPr>
          <w:p w14:paraId="117AADF3" w14:textId="0FDCD35B"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28</w:t>
            </w:r>
            <w:r w:rsidR="00DB333A" w:rsidRPr="00615EDE">
              <w:rPr>
                <w:rFonts w:asciiTheme="majorBidi" w:hAnsiTheme="majorBidi" w:cstheme="majorBidi"/>
                <w:sz w:val="18"/>
                <w:szCs w:val="18"/>
                <w:lang w:val="fr"/>
              </w:rPr>
              <w:t> </w:t>
            </w:r>
            <w:r w:rsidRPr="00615EDE">
              <w:rPr>
                <w:rFonts w:asciiTheme="majorBidi" w:hAnsiTheme="majorBidi" w:cstheme="majorBidi"/>
                <w:sz w:val="18"/>
                <w:szCs w:val="18"/>
                <w:lang w:val="fr"/>
              </w:rPr>
              <w:t>500*</w:t>
            </w:r>
          </w:p>
        </w:tc>
        <w:tc>
          <w:tcPr>
            <w:tcW w:w="315" w:type="pct"/>
            <w:shd w:val="clear" w:color="auto" w:fill="auto"/>
            <w:tcMar>
              <w:left w:w="58" w:type="dxa"/>
              <w:right w:w="58" w:type="dxa"/>
            </w:tcMar>
          </w:tcPr>
          <w:p w14:paraId="2A6FFEEC"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244" w:type="pct"/>
            <w:shd w:val="clear" w:color="auto" w:fill="auto"/>
            <w:tcMar>
              <w:left w:w="58" w:type="dxa"/>
              <w:right w:w="58" w:type="dxa"/>
            </w:tcMar>
          </w:tcPr>
          <w:p w14:paraId="25936DB1"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62" w:type="pct"/>
            <w:shd w:val="clear" w:color="auto" w:fill="auto"/>
            <w:tcMar>
              <w:left w:w="58" w:type="dxa"/>
              <w:right w:w="58" w:type="dxa"/>
            </w:tcMar>
          </w:tcPr>
          <w:p w14:paraId="23E3DD7E" w14:textId="4634BBB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64</w:t>
            </w:r>
            <w:r w:rsidR="00DB333A" w:rsidRPr="00615EDE">
              <w:rPr>
                <w:rFonts w:asciiTheme="majorBidi" w:hAnsiTheme="majorBidi" w:cstheme="majorBidi"/>
                <w:sz w:val="18"/>
                <w:szCs w:val="18"/>
                <w:lang w:val="fr"/>
              </w:rPr>
              <w:t> </w:t>
            </w:r>
            <w:r w:rsidRPr="00615EDE">
              <w:rPr>
                <w:rFonts w:asciiTheme="majorBidi" w:hAnsiTheme="majorBidi" w:cstheme="majorBidi"/>
                <w:sz w:val="18"/>
                <w:szCs w:val="18"/>
                <w:lang w:val="fr"/>
              </w:rPr>
              <w:t>000*</w:t>
            </w:r>
          </w:p>
        </w:tc>
        <w:tc>
          <w:tcPr>
            <w:tcW w:w="244" w:type="pct"/>
            <w:shd w:val="clear" w:color="auto" w:fill="auto"/>
            <w:tcMar>
              <w:left w:w="58" w:type="dxa"/>
              <w:right w:w="58" w:type="dxa"/>
            </w:tcMar>
          </w:tcPr>
          <w:p w14:paraId="77B4FB78"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15" w:type="pct"/>
            <w:shd w:val="clear" w:color="auto" w:fill="auto"/>
            <w:tcMar>
              <w:left w:w="58" w:type="dxa"/>
              <w:right w:w="58" w:type="dxa"/>
            </w:tcMar>
          </w:tcPr>
          <w:p w14:paraId="75201C7B"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15" w:type="pct"/>
            <w:tcMar>
              <w:left w:w="58" w:type="dxa"/>
              <w:right w:w="58" w:type="dxa"/>
            </w:tcMar>
          </w:tcPr>
          <w:p w14:paraId="6BF19E7B"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62" w:type="pct"/>
            <w:shd w:val="clear" w:color="auto" w:fill="auto"/>
            <w:tcMar>
              <w:left w:w="58" w:type="dxa"/>
              <w:right w:w="58" w:type="dxa"/>
            </w:tcMar>
          </w:tcPr>
          <w:p w14:paraId="2F59C201"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187 500</w:t>
            </w:r>
          </w:p>
        </w:tc>
      </w:tr>
      <w:tr w:rsidR="00E74D0C" w:rsidRPr="00EA3573" w14:paraId="4AFFC4ED" w14:textId="77777777" w:rsidTr="00E366E5">
        <w:trPr>
          <w:trHeight w:val="370"/>
          <w:jc w:val="center"/>
        </w:trPr>
        <w:tc>
          <w:tcPr>
            <w:tcW w:w="680" w:type="pct"/>
            <w:gridSpan w:val="2"/>
            <w:vMerge/>
            <w:shd w:val="clear" w:color="auto" w:fill="auto"/>
            <w:tcMar>
              <w:left w:w="58" w:type="dxa"/>
              <w:right w:w="58" w:type="dxa"/>
            </w:tcMar>
          </w:tcPr>
          <w:p w14:paraId="0C97ED88" w14:textId="77777777" w:rsidR="00E74D0C" w:rsidRPr="00EA3573" w:rsidRDefault="00E74D0C" w:rsidP="00E366E5">
            <w:pPr>
              <w:spacing w:after="60"/>
              <w:jc w:val="center"/>
              <w:rPr>
                <w:rFonts w:asciiTheme="majorBidi" w:hAnsiTheme="majorBidi" w:cstheme="majorBidi"/>
                <w:sz w:val="20"/>
                <w:szCs w:val="20"/>
              </w:rPr>
            </w:pPr>
          </w:p>
        </w:tc>
        <w:tc>
          <w:tcPr>
            <w:tcW w:w="596" w:type="pct"/>
            <w:shd w:val="clear" w:color="auto" w:fill="auto"/>
            <w:tcMar>
              <w:left w:w="58" w:type="dxa"/>
              <w:right w:w="58" w:type="dxa"/>
            </w:tcMar>
          </w:tcPr>
          <w:p w14:paraId="3B8032D4" w14:textId="77777777" w:rsidR="00E74D0C" w:rsidRPr="00EA3573" w:rsidRDefault="00E74D0C" w:rsidP="00E366E5">
            <w:pPr>
              <w:spacing w:after="60"/>
              <w:jc w:val="left"/>
              <w:rPr>
                <w:rFonts w:asciiTheme="majorBidi" w:hAnsiTheme="majorBidi" w:cstheme="majorBidi"/>
                <w:sz w:val="20"/>
                <w:szCs w:val="20"/>
              </w:rPr>
            </w:pPr>
            <w:r w:rsidRPr="00EA3573">
              <w:rPr>
                <w:rFonts w:asciiTheme="majorBidi" w:hAnsiTheme="majorBidi" w:cstheme="majorBidi"/>
                <w:sz w:val="20"/>
                <w:szCs w:val="20"/>
                <w:lang w:val="fr"/>
              </w:rPr>
              <w:t>Coûts d’appui</w:t>
            </w:r>
          </w:p>
        </w:tc>
        <w:tc>
          <w:tcPr>
            <w:tcW w:w="340" w:type="pct"/>
            <w:shd w:val="clear" w:color="auto" w:fill="auto"/>
            <w:tcMar>
              <w:left w:w="58" w:type="dxa"/>
              <w:right w:w="58" w:type="dxa"/>
            </w:tcMar>
          </w:tcPr>
          <w:p w14:paraId="402AC03D"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9 630</w:t>
            </w:r>
          </w:p>
        </w:tc>
        <w:tc>
          <w:tcPr>
            <w:tcW w:w="256" w:type="pct"/>
            <w:shd w:val="clear" w:color="auto" w:fill="auto"/>
            <w:tcMar>
              <w:left w:w="58" w:type="dxa"/>
              <w:right w:w="58" w:type="dxa"/>
            </w:tcMar>
          </w:tcPr>
          <w:p w14:paraId="431DBA1A"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40" w:type="pct"/>
            <w:shd w:val="clear" w:color="auto" w:fill="auto"/>
            <w:tcMar>
              <w:left w:w="58" w:type="dxa"/>
              <w:right w:w="58" w:type="dxa"/>
            </w:tcMar>
          </w:tcPr>
          <w:p w14:paraId="66795E65"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273" w:type="pct"/>
            <w:shd w:val="clear" w:color="auto" w:fill="auto"/>
            <w:tcMar>
              <w:left w:w="58" w:type="dxa"/>
              <w:right w:w="58" w:type="dxa"/>
            </w:tcMar>
          </w:tcPr>
          <w:p w14:paraId="5927388F"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62" w:type="pct"/>
            <w:shd w:val="clear" w:color="auto" w:fill="auto"/>
            <w:tcMar>
              <w:left w:w="58" w:type="dxa"/>
              <w:right w:w="58" w:type="dxa"/>
            </w:tcMar>
          </w:tcPr>
          <w:p w14:paraId="50B1A70E" w14:textId="07E481D3"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3</w:t>
            </w:r>
            <w:r w:rsidR="00DB333A" w:rsidRPr="00615EDE">
              <w:rPr>
                <w:rFonts w:asciiTheme="majorBidi" w:hAnsiTheme="majorBidi" w:cstheme="majorBidi"/>
                <w:sz w:val="18"/>
                <w:szCs w:val="18"/>
                <w:lang w:val="fr"/>
              </w:rPr>
              <w:t> </w:t>
            </w:r>
            <w:r w:rsidRPr="00615EDE">
              <w:rPr>
                <w:rFonts w:asciiTheme="majorBidi" w:hAnsiTheme="majorBidi" w:cstheme="majorBidi"/>
                <w:sz w:val="18"/>
                <w:szCs w:val="18"/>
                <w:lang w:val="fr"/>
              </w:rPr>
              <w:t>705*</w:t>
            </w:r>
          </w:p>
        </w:tc>
        <w:tc>
          <w:tcPr>
            <w:tcW w:w="315" w:type="pct"/>
            <w:shd w:val="clear" w:color="auto" w:fill="auto"/>
            <w:tcMar>
              <w:left w:w="58" w:type="dxa"/>
              <w:right w:w="58" w:type="dxa"/>
            </w:tcMar>
          </w:tcPr>
          <w:p w14:paraId="4A62AD82"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244" w:type="pct"/>
            <w:shd w:val="clear" w:color="auto" w:fill="auto"/>
            <w:tcMar>
              <w:left w:w="58" w:type="dxa"/>
              <w:right w:w="58" w:type="dxa"/>
            </w:tcMar>
          </w:tcPr>
          <w:p w14:paraId="46A743DF"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62" w:type="pct"/>
            <w:shd w:val="clear" w:color="auto" w:fill="auto"/>
            <w:tcMar>
              <w:left w:w="58" w:type="dxa"/>
              <w:right w:w="58" w:type="dxa"/>
            </w:tcMar>
          </w:tcPr>
          <w:p w14:paraId="19E38E37" w14:textId="322EDFF9"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7</w:t>
            </w:r>
            <w:r w:rsidR="00DB333A" w:rsidRPr="00615EDE">
              <w:rPr>
                <w:rFonts w:asciiTheme="majorBidi" w:hAnsiTheme="majorBidi" w:cstheme="majorBidi"/>
                <w:sz w:val="18"/>
                <w:szCs w:val="18"/>
                <w:lang w:val="fr"/>
              </w:rPr>
              <w:t> </w:t>
            </w:r>
            <w:r w:rsidRPr="00615EDE">
              <w:rPr>
                <w:rFonts w:asciiTheme="majorBidi" w:hAnsiTheme="majorBidi" w:cstheme="majorBidi"/>
                <w:sz w:val="18"/>
                <w:szCs w:val="18"/>
                <w:lang w:val="fr"/>
              </w:rPr>
              <w:t>160*</w:t>
            </w:r>
          </w:p>
        </w:tc>
        <w:tc>
          <w:tcPr>
            <w:tcW w:w="244" w:type="pct"/>
            <w:shd w:val="clear" w:color="auto" w:fill="auto"/>
            <w:tcMar>
              <w:left w:w="58" w:type="dxa"/>
              <w:right w:w="58" w:type="dxa"/>
            </w:tcMar>
          </w:tcPr>
          <w:p w14:paraId="49D3A367"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15" w:type="pct"/>
            <w:shd w:val="clear" w:color="auto" w:fill="auto"/>
            <w:tcMar>
              <w:left w:w="58" w:type="dxa"/>
              <w:right w:w="58" w:type="dxa"/>
            </w:tcMar>
          </w:tcPr>
          <w:p w14:paraId="573094F0"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15" w:type="pct"/>
            <w:tcMar>
              <w:left w:w="58" w:type="dxa"/>
              <w:right w:w="58" w:type="dxa"/>
            </w:tcMar>
          </w:tcPr>
          <w:p w14:paraId="7DCE91F3"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62" w:type="pct"/>
            <w:shd w:val="clear" w:color="auto" w:fill="auto"/>
            <w:tcMar>
              <w:left w:w="58" w:type="dxa"/>
              <w:right w:w="58" w:type="dxa"/>
            </w:tcMar>
          </w:tcPr>
          <w:p w14:paraId="78C22484"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20 495</w:t>
            </w:r>
          </w:p>
        </w:tc>
      </w:tr>
      <w:tr w:rsidR="00E74D0C" w:rsidRPr="00EA3573" w14:paraId="56774671" w14:textId="77777777" w:rsidTr="00E366E5">
        <w:trPr>
          <w:trHeight w:val="485"/>
          <w:jc w:val="center"/>
        </w:trPr>
        <w:tc>
          <w:tcPr>
            <w:tcW w:w="680" w:type="pct"/>
            <w:gridSpan w:val="2"/>
            <w:vMerge w:val="restart"/>
            <w:shd w:val="clear" w:color="auto" w:fill="auto"/>
            <w:tcMar>
              <w:left w:w="58" w:type="dxa"/>
              <w:right w:w="58" w:type="dxa"/>
            </w:tcMar>
          </w:tcPr>
          <w:p w14:paraId="5132A45E" w14:textId="77777777" w:rsidR="00E74D0C" w:rsidRPr="00EA3573" w:rsidRDefault="00E74D0C" w:rsidP="00E366E5">
            <w:pPr>
              <w:spacing w:after="60"/>
              <w:jc w:val="left"/>
              <w:rPr>
                <w:rFonts w:asciiTheme="majorBidi" w:hAnsiTheme="majorBidi" w:cstheme="majorBidi"/>
                <w:sz w:val="20"/>
                <w:szCs w:val="20"/>
                <w:lang w:val="fr-FR"/>
              </w:rPr>
            </w:pPr>
            <w:r w:rsidRPr="00EA3573">
              <w:rPr>
                <w:rFonts w:asciiTheme="majorBidi" w:hAnsiTheme="majorBidi" w:cstheme="majorBidi"/>
                <w:sz w:val="20"/>
                <w:szCs w:val="20"/>
                <w:lang w:val="fr"/>
              </w:rPr>
              <w:t>Total des fonds demandés aux fins d’approbation lors de la présente réunion ($ US)</w:t>
            </w:r>
          </w:p>
        </w:tc>
        <w:tc>
          <w:tcPr>
            <w:tcW w:w="596" w:type="pct"/>
            <w:shd w:val="clear" w:color="auto" w:fill="auto"/>
            <w:tcMar>
              <w:left w:w="58" w:type="dxa"/>
              <w:right w:w="58" w:type="dxa"/>
            </w:tcMar>
          </w:tcPr>
          <w:p w14:paraId="1ED8960C" w14:textId="77777777" w:rsidR="00E74D0C" w:rsidRPr="00EA3573" w:rsidRDefault="00E74D0C" w:rsidP="00E366E5">
            <w:pPr>
              <w:spacing w:after="60"/>
              <w:jc w:val="left"/>
              <w:rPr>
                <w:rFonts w:asciiTheme="majorBidi" w:hAnsiTheme="majorBidi" w:cstheme="majorBidi"/>
                <w:sz w:val="20"/>
                <w:szCs w:val="20"/>
              </w:rPr>
            </w:pPr>
            <w:r w:rsidRPr="00EA3573">
              <w:rPr>
                <w:rFonts w:asciiTheme="majorBidi" w:hAnsiTheme="majorBidi" w:cstheme="majorBidi"/>
                <w:sz w:val="20"/>
                <w:szCs w:val="20"/>
                <w:lang w:val="fr"/>
              </w:rPr>
              <w:t>Coûts de projet</w:t>
            </w:r>
          </w:p>
        </w:tc>
        <w:tc>
          <w:tcPr>
            <w:tcW w:w="340" w:type="pct"/>
            <w:shd w:val="clear" w:color="auto" w:fill="auto"/>
            <w:tcMar>
              <w:left w:w="58" w:type="dxa"/>
              <w:right w:w="58" w:type="dxa"/>
            </w:tcMar>
          </w:tcPr>
          <w:p w14:paraId="76011369"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256" w:type="pct"/>
            <w:shd w:val="clear" w:color="auto" w:fill="auto"/>
            <w:tcMar>
              <w:left w:w="58" w:type="dxa"/>
              <w:right w:w="58" w:type="dxa"/>
            </w:tcMar>
          </w:tcPr>
          <w:p w14:paraId="2252A72C"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40" w:type="pct"/>
            <w:shd w:val="clear" w:color="auto" w:fill="auto"/>
            <w:tcMar>
              <w:left w:w="58" w:type="dxa"/>
              <w:right w:w="58" w:type="dxa"/>
            </w:tcMar>
          </w:tcPr>
          <w:p w14:paraId="57E3F88F"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273" w:type="pct"/>
            <w:shd w:val="clear" w:color="auto" w:fill="auto"/>
            <w:tcMar>
              <w:left w:w="58" w:type="dxa"/>
              <w:right w:w="58" w:type="dxa"/>
            </w:tcMar>
          </w:tcPr>
          <w:p w14:paraId="5FC35AEB"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62" w:type="pct"/>
            <w:shd w:val="clear" w:color="auto" w:fill="auto"/>
            <w:tcMar>
              <w:left w:w="58" w:type="dxa"/>
              <w:right w:w="58" w:type="dxa"/>
            </w:tcMar>
          </w:tcPr>
          <w:p w14:paraId="6483C275"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15" w:type="pct"/>
            <w:shd w:val="clear" w:color="auto" w:fill="auto"/>
            <w:tcMar>
              <w:left w:w="58" w:type="dxa"/>
              <w:right w:w="58" w:type="dxa"/>
            </w:tcMar>
          </w:tcPr>
          <w:p w14:paraId="2DC80195"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244" w:type="pct"/>
            <w:shd w:val="clear" w:color="auto" w:fill="auto"/>
            <w:tcMar>
              <w:left w:w="58" w:type="dxa"/>
              <w:right w:w="58" w:type="dxa"/>
            </w:tcMar>
          </w:tcPr>
          <w:p w14:paraId="6CF18D5D"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62" w:type="pct"/>
            <w:shd w:val="clear" w:color="auto" w:fill="auto"/>
            <w:tcMar>
              <w:left w:w="58" w:type="dxa"/>
              <w:right w:w="58" w:type="dxa"/>
            </w:tcMar>
          </w:tcPr>
          <w:p w14:paraId="09C919A1"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244" w:type="pct"/>
            <w:shd w:val="clear" w:color="auto" w:fill="auto"/>
            <w:tcMar>
              <w:left w:w="58" w:type="dxa"/>
              <w:right w:w="58" w:type="dxa"/>
            </w:tcMar>
          </w:tcPr>
          <w:p w14:paraId="02E8FE3F"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15" w:type="pct"/>
            <w:shd w:val="clear" w:color="auto" w:fill="auto"/>
            <w:tcMar>
              <w:left w:w="58" w:type="dxa"/>
              <w:right w:w="58" w:type="dxa"/>
            </w:tcMar>
          </w:tcPr>
          <w:p w14:paraId="3F6E78AD"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15" w:type="pct"/>
            <w:tcMar>
              <w:left w:w="58" w:type="dxa"/>
              <w:right w:w="58" w:type="dxa"/>
            </w:tcMar>
          </w:tcPr>
          <w:p w14:paraId="0C184AC3" w14:textId="4F6560A5"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22</w:t>
            </w:r>
            <w:r w:rsidR="00DB333A" w:rsidRPr="00615EDE">
              <w:rPr>
                <w:rFonts w:asciiTheme="majorBidi" w:hAnsiTheme="majorBidi" w:cstheme="majorBidi"/>
                <w:sz w:val="18"/>
                <w:szCs w:val="18"/>
                <w:lang w:val="fr"/>
              </w:rPr>
              <w:t> </w:t>
            </w:r>
            <w:r w:rsidRPr="00615EDE">
              <w:rPr>
                <w:rFonts w:asciiTheme="majorBidi" w:hAnsiTheme="majorBidi" w:cstheme="majorBidi"/>
                <w:sz w:val="18"/>
                <w:szCs w:val="18"/>
                <w:lang w:val="fr"/>
              </w:rPr>
              <w:t>500*</w:t>
            </w:r>
          </w:p>
        </w:tc>
        <w:tc>
          <w:tcPr>
            <w:tcW w:w="362" w:type="pct"/>
            <w:shd w:val="clear" w:color="auto" w:fill="auto"/>
            <w:tcMar>
              <w:left w:w="58" w:type="dxa"/>
              <w:right w:w="58" w:type="dxa"/>
            </w:tcMar>
          </w:tcPr>
          <w:p w14:paraId="1AF8D104" w14:textId="5B80014A"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22</w:t>
            </w:r>
            <w:r w:rsidR="00DB333A" w:rsidRPr="00615EDE">
              <w:rPr>
                <w:rFonts w:asciiTheme="majorBidi" w:hAnsiTheme="majorBidi" w:cstheme="majorBidi"/>
                <w:sz w:val="18"/>
                <w:szCs w:val="18"/>
                <w:lang w:val="fr"/>
              </w:rPr>
              <w:t> </w:t>
            </w:r>
            <w:r w:rsidRPr="00615EDE">
              <w:rPr>
                <w:rFonts w:asciiTheme="majorBidi" w:hAnsiTheme="majorBidi" w:cstheme="majorBidi"/>
                <w:sz w:val="18"/>
                <w:szCs w:val="18"/>
                <w:lang w:val="fr"/>
              </w:rPr>
              <w:t>500</w:t>
            </w:r>
          </w:p>
        </w:tc>
      </w:tr>
      <w:tr w:rsidR="00E74D0C" w:rsidRPr="00EA3573" w14:paraId="6C779394" w14:textId="77777777" w:rsidTr="00E366E5">
        <w:trPr>
          <w:trHeight w:val="485"/>
          <w:jc w:val="center"/>
        </w:trPr>
        <w:tc>
          <w:tcPr>
            <w:tcW w:w="680" w:type="pct"/>
            <w:gridSpan w:val="2"/>
            <w:vMerge/>
            <w:shd w:val="clear" w:color="auto" w:fill="auto"/>
            <w:tcMar>
              <w:left w:w="58" w:type="dxa"/>
              <w:right w:w="58" w:type="dxa"/>
            </w:tcMar>
          </w:tcPr>
          <w:p w14:paraId="38D63B89" w14:textId="77777777" w:rsidR="00E74D0C" w:rsidRPr="00EA3573" w:rsidRDefault="00E74D0C" w:rsidP="00E366E5">
            <w:pPr>
              <w:spacing w:after="60"/>
              <w:jc w:val="center"/>
              <w:rPr>
                <w:rFonts w:asciiTheme="majorBidi" w:hAnsiTheme="majorBidi" w:cstheme="majorBidi"/>
                <w:sz w:val="20"/>
                <w:szCs w:val="20"/>
              </w:rPr>
            </w:pPr>
          </w:p>
        </w:tc>
        <w:tc>
          <w:tcPr>
            <w:tcW w:w="596" w:type="pct"/>
            <w:shd w:val="clear" w:color="auto" w:fill="auto"/>
            <w:tcMar>
              <w:left w:w="58" w:type="dxa"/>
              <w:right w:w="58" w:type="dxa"/>
            </w:tcMar>
          </w:tcPr>
          <w:p w14:paraId="0DB6D27C" w14:textId="77777777" w:rsidR="00E74D0C" w:rsidRPr="00EA3573" w:rsidRDefault="00E74D0C" w:rsidP="00E366E5">
            <w:pPr>
              <w:spacing w:after="60"/>
              <w:jc w:val="left"/>
              <w:rPr>
                <w:rFonts w:asciiTheme="majorBidi" w:hAnsiTheme="majorBidi" w:cstheme="majorBidi"/>
                <w:sz w:val="20"/>
                <w:szCs w:val="20"/>
              </w:rPr>
            </w:pPr>
            <w:r w:rsidRPr="00EA3573">
              <w:rPr>
                <w:rFonts w:asciiTheme="majorBidi" w:hAnsiTheme="majorBidi" w:cstheme="majorBidi"/>
                <w:sz w:val="20"/>
                <w:szCs w:val="20"/>
                <w:lang w:val="fr"/>
              </w:rPr>
              <w:t>Coûts d’appui</w:t>
            </w:r>
          </w:p>
        </w:tc>
        <w:tc>
          <w:tcPr>
            <w:tcW w:w="340" w:type="pct"/>
            <w:shd w:val="clear" w:color="auto" w:fill="auto"/>
            <w:tcMar>
              <w:left w:w="58" w:type="dxa"/>
              <w:right w:w="58" w:type="dxa"/>
            </w:tcMar>
          </w:tcPr>
          <w:p w14:paraId="39B59F1C"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256" w:type="pct"/>
            <w:shd w:val="clear" w:color="auto" w:fill="auto"/>
            <w:tcMar>
              <w:left w:w="58" w:type="dxa"/>
              <w:right w:w="58" w:type="dxa"/>
            </w:tcMar>
          </w:tcPr>
          <w:p w14:paraId="07A5DAA1"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40" w:type="pct"/>
            <w:shd w:val="clear" w:color="auto" w:fill="auto"/>
            <w:tcMar>
              <w:left w:w="58" w:type="dxa"/>
              <w:right w:w="58" w:type="dxa"/>
            </w:tcMar>
          </w:tcPr>
          <w:p w14:paraId="00C103B8"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273" w:type="pct"/>
            <w:shd w:val="clear" w:color="auto" w:fill="auto"/>
            <w:tcMar>
              <w:left w:w="58" w:type="dxa"/>
              <w:right w:w="58" w:type="dxa"/>
            </w:tcMar>
          </w:tcPr>
          <w:p w14:paraId="07B86A49"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62" w:type="pct"/>
            <w:shd w:val="clear" w:color="auto" w:fill="auto"/>
            <w:tcMar>
              <w:left w:w="58" w:type="dxa"/>
              <w:right w:w="58" w:type="dxa"/>
            </w:tcMar>
          </w:tcPr>
          <w:p w14:paraId="48D22E17"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15" w:type="pct"/>
            <w:shd w:val="clear" w:color="auto" w:fill="auto"/>
            <w:tcMar>
              <w:left w:w="58" w:type="dxa"/>
              <w:right w:w="58" w:type="dxa"/>
            </w:tcMar>
          </w:tcPr>
          <w:p w14:paraId="423EF6D8"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244" w:type="pct"/>
            <w:shd w:val="clear" w:color="auto" w:fill="auto"/>
            <w:tcMar>
              <w:left w:w="58" w:type="dxa"/>
              <w:right w:w="58" w:type="dxa"/>
            </w:tcMar>
          </w:tcPr>
          <w:p w14:paraId="04908D65"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62" w:type="pct"/>
            <w:shd w:val="clear" w:color="auto" w:fill="auto"/>
            <w:tcMar>
              <w:left w:w="58" w:type="dxa"/>
              <w:right w:w="58" w:type="dxa"/>
            </w:tcMar>
          </w:tcPr>
          <w:p w14:paraId="388D15C3"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244" w:type="pct"/>
            <w:shd w:val="clear" w:color="auto" w:fill="auto"/>
            <w:tcMar>
              <w:left w:w="58" w:type="dxa"/>
              <w:right w:w="58" w:type="dxa"/>
            </w:tcMar>
          </w:tcPr>
          <w:p w14:paraId="1788AAEA"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15" w:type="pct"/>
            <w:shd w:val="clear" w:color="auto" w:fill="auto"/>
            <w:tcMar>
              <w:left w:w="58" w:type="dxa"/>
              <w:right w:w="58" w:type="dxa"/>
            </w:tcMar>
          </w:tcPr>
          <w:p w14:paraId="71119B03" w14:textId="7777777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0</w:t>
            </w:r>
          </w:p>
        </w:tc>
        <w:tc>
          <w:tcPr>
            <w:tcW w:w="315" w:type="pct"/>
            <w:tcMar>
              <w:left w:w="58" w:type="dxa"/>
              <w:right w:w="58" w:type="dxa"/>
            </w:tcMar>
          </w:tcPr>
          <w:p w14:paraId="4B74B148" w14:textId="1B955765"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2</w:t>
            </w:r>
            <w:r w:rsidR="00DB333A" w:rsidRPr="00615EDE">
              <w:rPr>
                <w:rFonts w:asciiTheme="majorBidi" w:hAnsiTheme="majorBidi" w:cstheme="majorBidi"/>
                <w:sz w:val="18"/>
                <w:szCs w:val="18"/>
                <w:lang w:val="fr"/>
              </w:rPr>
              <w:t> </w:t>
            </w:r>
            <w:r w:rsidRPr="00615EDE">
              <w:rPr>
                <w:rFonts w:asciiTheme="majorBidi" w:hAnsiTheme="majorBidi" w:cstheme="majorBidi"/>
                <w:sz w:val="18"/>
                <w:szCs w:val="18"/>
                <w:lang w:val="fr"/>
              </w:rPr>
              <w:t>565*</w:t>
            </w:r>
          </w:p>
        </w:tc>
        <w:tc>
          <w:tcPr>
            <w:tcW w:w="362" w:type="pct"/>
            <w:shd w:val="clear" w:color="auto" w:fill="auto"/>
            <w:tcMar>
              <w:left w:w="58" w:type="dxa"/>
              <w:right w:w="58" w:type="dxa"/>
            </w:tcMar>
          </w:tcPr>
          <w:p w14:paraId="56C20646" w14:textId="68A40DF7" w:rsidR="00E74D0C" w:rsidRPr="00615EDE" w:rsidRDefault="00E74D0C" w:rsidP="00E366E5">
            <w:pPr>
              <w:spacing w:after="60"/>
              <w:jc w:val="right"/>
              <w:rPr>
                <w:rFonts w:asciiTheme="majorBidi" w:hAnsiTheme="majorBidi" w:cstheme="majorBidi"/>
                <w:sz w:val="18"/>
                <w:szCs w:val="18"/>
              </w:rPr>
            </w:pPr>
            <w:r w:rsidRPr="00615EDE">
              <w:rPr>
                <w:rFonts w:asciiTheme="majorBidi" w:hAnsiTheme="majorBidi" w:cstheme="majorBidi"/>
                <w:sz w:val="18"/>
                <w:szCs w:val="18"/>
                <w:lang w:val="fr"/>
              </w:rPr>
              <w:t>2</w:t>
            </w:r>
            <w:r w:rsidR="00DB333A" w:rsidRPr="00615EDE">
              <w:rPr>
                <w:rFonts w:asciiTheme="majorBidi" w:hAnsiTheme="majorBidi" w:cstheme="majorBidi"/>
                <w:sz w:val="18"/>
                <w:szCs w:val="18"/>
                <w:lang w:val="fr"/>
              </w:rPr>
              <w:t> </w:t>
            </w:r>
            <w:r w:rsidRPr="00615EDE">
              <w:rPr>
                <w:rFonts w:asciiTheme="majorBidi" w:hAnsiTheme="majorBidi" w:cstheme="majorBidi"/>
                <w:sz w:val="18"/>
                <w:szCs w:val="18"/>
                <w:lang w:val="fr"/>
              </w:rPr>
              <w:t>565</w:t>
            </w:r>
          </w:p>
        </w:tc>
      </w:tr>
    </w:tbl>
    <w:p w14:paraId="4B14223E" w14:textId="619F4538" w:rsidR="00E74D0C" w:rsidRPr="00EA3573" w:rsidRDefault="00E74D0C" w:rsidP="0015302C">
      <w:pPr>
        <w:jc w:val="left"/>
        <w:rPr>
          <w:sz w:val="20"/>
          <w:szCs w:val="20"/>
          <w:lang w:val="fr-FR"/>
        </w:rPr>
      </w:pPr>
      <w:r w:rsidRPr="00EA3573">
        <w:rPr>
          <w:sz w:val="20"/>
          <w:szCs w:val="20"/>
          <w:lang w:val="fr"/>
        </w:rPr>
        <w:t>* Les deuxième, troisième et quatrième</w:t>
      </w:r>
      <w:r w:rsidR="00C61A92" w:rsidRPr="00EA3573">
        <w:rPr>
          <w:sz w:val="20"/>
          <w:szCs w:val="20"/>
          <w:lang w:val="fr"/>
        </w:rPr>
        <w:t xml:space="preserve"> (dernière)</w:t>
      </w:r>
      <w:r w:rsidRPr="00EA3573">
        <w:rPr>
          <w:sz w:val="20"/>
          <w:szCs w:val="20"/>
          <w:lang w:val="fr"/>
        </w:rPr>
        <w:t xml:space="preserve"> tranches auraient dû être soumises en 2013, 2016 et en 2020 respectivement.</w:t>
      </w:r>
    </w:p>
    <w:tbl>
      <w:tblPr>
        <w:tblStyle w:val="TableGrid"/>
        <w:tblW w:w="1061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490"/>
        <w:gridCol w:w="5125"/>
      </w:tblGrid>
      <w:tr w:rsidR="00E74D0C" w:rsidRPr="00EA3573" w14:paraId="2F5F3D38" w14:textId="77777777" w:rsidTr="0024654B">
        <w:trPr>
          <w:trHeight w:val="42"/>
          <w:jc w:val="center"/>
        </w:trPr>
        <w:tc>
          <w:tcPr>
            <w:tcW w:w="5490" w:type="dxa"/>
            <w:tcBorders>
              <w:top w:val="single" w:sz="4" w:space="0" w:color="666699"/>
              <w:left w:val="single" w:sz="4" w:space="0" w:color="666699"/>
              <w:bottom w:val="single" w:sz="4" w:space="0" w:color="666699"/>
              <w:right w:val="single" w:sz="4" w:space="0" w:color="666699"/>
            </w:tcBorders>
            <w:hideMark/>
          </w:tcPr>
          <w:p w14:paraId="5E72748C" w14:textId="77777777" w:rsidR="00E74D0C" w:rsidRPr="00EA3573" w:rsidRDefault="00E74D0C" w:rsidP="00E366E5">
            <w:pPr>
              <w:spacing w:after="60"/>
              <w:jc w:val="left"/>
              <w:rPr>
                <w:b/>
                <w:sz w:val="20"/>
                <w:szCs w:val="20"/>
              </w:rPr>
            </w:pPr>
            <w:r w:rsidRPr="00EA3573">
              <w:rPr>
                <w:b/>
                <w:bCs/>
                <w:sz w:val="20"/>
                <w:szCs w:val="20"/>
                <w:lang w:val="fr"/>
              </w:rPr>
              <w:t>Recommandation du Secrétariat :</w:t>
            </w:r>
          </w:p>
        </w:tc>
        <w:tc>
          <w:tcPr>
            <w:tcW w:w="5125" w:type="dxa"/>
            <w:tcBorders>
              <w:top w:val="single" w:sz="4" w:space="0" w:color="666699"/>
              <w:left w:val="single" w:sz="4" w:space="0" w:color="666699"/>
              <w:bottom w:val="single" w:sz="4" w:space="0" w:color="666699"/>
              <w:right w:val="single" w:sz="4" w:space="0" w:color="666699"/>
            </w:tcBorders>
            <w:hideMark/>
          </w:tcPr>
          <w:p w14:paraId="67EDF866" w14:textId="77777777" w:rsidR="00E74D0C" w:rsidRPr="00EA3573" w:rsidRDefault="00E74D0C" w:rsidP="00E366E5">
            <w:pPr>
              <w:spacing w:after="60"/>
              <w:jc w:val="center"/>
              <w:rPr>
                <w:sz w:val="20"/>
                <w:szCs w:val="20"/>
              </w:rPr>
            </w:pPr>
            <w:r w:rsidRPr="00EA3573">
              <w:rPr>
                <w:sz w:val="20"/>
                <w:szCs w:val="20"/>
                <w:lang w:val="fr"/>
              </w:rPr>
              <w:t>Pour examen individuel</w:t>
            </w:r>
          </w:p>
        </w:tc>
      </w:tr>
    </w:tbl>
    <w:p w14:paraId="73BC50DA" w14:textId="77777777" w:rsidR="00E74D0C" w:rsidRPr="00EA3573" w:rsidRDefault="00E74D0C" w:rsidP="00E74D0C">
      <w:pPr>
        <w:rPr>
          <w:sz w:val="24"/>
          <w:szCs w:val="24"/>
        </w:rPr>
      </w:pPr>
      <w:r w:rsidRPr="00EA3573">
        <w:rPr>
          <w:sz w:val="24"/>
          <w:szCs w:val="24"/>
          <w:lang w:val="fr"/>
        </w:rPr>
        <w:br w:type="page"/>
      </w:r>
    </w:p>
    <w:p w14:paraId="1A76AE4A" w14:textId="77777777" w:rsidR="00E74D0C" w:rsidRPr="000336D7" w:rsidRDefault="00E74D0C" w:rsidP="00E74D0C">
      <w:pPr>
        <w:jc w:val="center"/>
        <w:rPr>
          <w:b/>
        </w:rPr>
      </w:pPr>
      <w:r>
        <w:rPr>
          <w:b/>
          <w:bCs/>
          <w:lang w:val="fr"/>
        </w:rPr>
        <w:lastRenderedPageBreak/>
        <w:t>DESCRIPTION DU PROJET</w:t>
      </w:r>
    </w:p>
    <w:p w14:paraId="5609005C" w14:textId="77777777" w:rsidR="00E74D0C" w:rsidRPr="000336D7" w:rsidRDefault="00E74D0C" w:rsidP="00E74D0C"/>
    <w:p w14:paraId="325F9B18" w14:textId="71527886" w:rsidR="00E74D0C" w:rsidRPr="00E74D0C" w:rsidRDefault="00E74D0C" w:rsidP="00E74D0C">
      <w:pPr>
        <w:pStyle w:val="Heading1"/>
        <w:rPr>
          <w:lang w:val="fr-FR"/>
        </w:rPr>
      </w:pPr>
      <w:r>
        <w:rPr>
          <w:lang w:val="fr"/>
        </w:rPr>
        <w:t>Au nom du gouvernement du Suriname, le PNUE, en qualité d’agence d’exécution principale, a présenté une demande de financement de la quatrième et dernière tranche de la phase I du plan de gestion de l’élimination des HCFC (PGEH) pour un montant total de 25 065 $ US, constitué de 13 500 $ US plus les coûts d’appui d’agence à hauteur de 1 755 $ US pour le PNUE et de 9 000 $ US plus les coûts d’appui d’agence à hauteur de 810</w:t>
      </w:r>
      <w:r w:rsidR="00DB333A">
        <w:rPr>
          <w:lang w:val="fr"/>
        </w:rPr>
        <w:t> </w:t>
      </w:r>
      <w:r>
        <w:rPr>
          <w:lang w:val="fr"/>
        </w:rPr>
        <w:t>$ US pour l’ONUDI.</w:t>
      </w:r>
      <w:r>
        <w:rPr>
          <w:rStyle w:val="FootnoteReference"/>
          <w:lang w:val="fr"/>
        </w:rPr>
        <w:footnoteReference w:id="2"/>
      </w:r>
      <w:r>
        <w:rPr>
          <w:lang w:val="fr"/>
        </w:rPr>
        <w:t>La proposition comprend un rapport périodique sur la mise en œuvre de la troisième tranche, le rapport de vérification de la consommation de HCFC pour la période 2018-2022 et le plan de mise en œuvre de la tranche pour 2023-2025.</w:t>
      </w:r>
    </w:p>
    <w:p w14:paraId="18CDC11C" w14:textId="77777777" w:rsidR="00E74D0C" w:rsidRPr="00DD7BF9" w:rsidRDefault="00E74D0C" w:rsidP="00E74D0C">
      <w:pPr>
        <w:rPr>
          <w:u w:val="single"/>
          <w:lang w:val="fr-FR"/>
        </w:rPr>
      </w:pPr>
      <w:r>
        <w:rPr>
          <w:u w:val="single"/>
          <w:lang w:val="fr"/>
        </w:rPr>
        <w:t>Rapport sur la consommation de HCFC</w:t>
      </w:r>
    </w:p>
    <w:p w14:paraId="28761D66" w14:textId="77777777" w:rsidR="00E74D0C" w:rsidRPr="00DD7BF9" w:rsidRDefault="00E74D0C" w:rsidP="00E74D0C">
      <w:pPr>
        <w:rPr>
          <w:lang w:val="fr-FR"/>
        </w:rPr>
      </w:pPr>
    </w:p>
    <w:p w14:paraId="56529DCE" w14:textId="34093667" w:rsidR="00E74D0C" w:rsidRPr="00DD7BF9" w:rsidRDefault="00E74D0C" w:rsidP="00E74D0C">
      <w:pPr>
        <w:pStyle w:val="Heading1"/>
        <w:rPr>
          <w:lang w:val="fr-FR"/>
        </w:rPr>
      </w:pPr>
      <w:r>
        <w:rPr>
          <w:lang w:val="fr"/>
        </w:rPr>
        <w:t xml:space="preserve">Le </w:t>
      </w:r>
      <w:r w:rsidR="00C61A92">
        <w:rPr>
          <w:lang w:val="fr"/>
        </w:rPr>
        <w:t>g</w:t>
      </w:r>
      <w:r>
        <w:rPr>
          <w:lang w:val="fr"/>
        </w:rPr>
        <w:t xml:space="preserve">ouvernement du Suriname a indiqué, dans le rapport de mise en œuvre du programme de pays (PP), une consommation de 0,10 tonne PAO de HCFC en 2022, ce qui est inférieur de 95 % à la valeur de référence pour les HCFC aux fins de conformité. Les données communiquées en vertu de l’article 7 pour l’année 2022 n’ont pas encore été transmises. La consommation de HCFC pour la période 2018-2022 est indiquée au tableau 1. </w:t>
      </w:r>
    </w:p>
    <w:p w14:paraId="3A7CDA2D" w14:textId="77777777" w:rsidR="00E74D0C" w:rsidRPr="00DD7BF9" w:rsidRDefault="00E74D0C" w:rsidP="00E74D0C">
      <w:pPr>
        <w:rPr>
          <w:b/>
          <w:lang w:val="fr-FR"/>
        </w:rPr>
      </w:pPr>
      <w:r>
        <w:rPr>
          <w:b/>
          <w:bCs/>
          <w:lang w:val="fr"/>
        </w:rPr>
        <w:t>Tableau 1. Consommation de HCFC au Suriname (données de l’Article 7 pour 2018-2021)</w:t>
      </w:r>
    </w:p>
    <w:tbl>
      <w:tblPr>
        <w:tblW w:w="5000" w:type="pct"/>
        <w:tblLayout w:type="fixed"/>
        <w:tblLook w:val="04A0" w:firstRow="1" w:lastRow="0" w:firstColumn="1" w:lastColumn="0" w:noHBand="0" w:noVBand="1"/>
      </w:tblPr>
      <w:tblGrid>
        <w:gridCol w:w="2265"/>
        <w:gridCol w:w="995"/>
        <w:gridCol w:w="1133"/>
        <w:gridCol w:w="993"/>
        <w:gridCol w:w="991"/>
        <w:gridCol w:w="991"/>
        <w:gridCol w:w="1982"/>
      </w:tblGrid>
      <w:tr w:rsidR="00E74D0C" w:rsidRPr="000336D7" w14:paraId="60B91230" w14:textId="77777777" w:rsidTr="00C61A92">
        <w:trPr>
          <w:tblHeader/>
        </w:trPr>
        <w:tc>
          <w:tcPr>
            <w:tcW w:w="121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CAD13A" w14:textId="77777777" w:rsidR="00E74D0C" w:rsidRPr="000336D7" w:rsidRDefault="00E74D0C" w:rsidP="00E366E5">
            <w:pPr>
              <w:widowControl w:val="0"/>
              <w:jc w:val="left"/>
              <w:rPr>
                <w:b/>
                <w:bCs/>
                <w:color w:val="000000"/>
                <w:sz w:val="20"/>
                <w:szCs w:val="20"/>
              </w:rPr>
            </w:pPr>
            <w:r>
              <w:rPr>
                <w:b/>
                <w:bCs/>
                <w:color w:val="000000"/>
                <w:sz w:val="20"/>
                <w:szCs w:val="20"/>
                <w:lang w:val="fr"/>
              </w:rPr>
              <w:t>HCFC</w:t>
            </w:r>
          </w:p>
        </w:tc>
        <w:tc>
          <w:tcPr>
            <w:tcW w:w="532" w:type="pct"/>
            <w:tcBorders>
              <w:top w:val="single" w:sz="4" w:space="0" w:color="auto"/>
              <w:left w:val="nil"/>
              <w:bottom w:val="single" w:sz="4" w:space="0" w:color="auto"/>
              <w:right w:val="single" w:sz="4" w:space="0" w:color="auto"/>
            </w:tcBorders>
            <w:shd w:val="clear" w:color="auto" w:fill="auto"/>
            <w:noWrap/>
            <w:vAlign w:val="center"/>
            <w:hideMark/>
          </w:tcPr>
          <w:p w14:paraId="19C998F5" w14:textId="77777777" w:rsidR="00E74D0C" w:rsidRPr="000336D7" w:rsidRDefault="00E74D0C" w:rsidP="00E366E5">
            <w:pPr>
              <w:widowControl w:val="0"/>
              <w:jc w:val="center"/>
              <w:rPr>
                <w:b/>
                <w:bCs/>
                <w:color w:val="000000"/>
                <w:sz w:val="20"/>
                <w:szCs w:val="20"/>
              </w:rPr>
            </w:pPr>
            <w:r>
              <w:rPr>
                <w:b/>
                <w:bCs/>
                <w:color w:val="000000"/>
                <w:sz w:val="20"/>
                <w:szCs w:val="20"/>
                <w:lang w:val="fr"/>
              </w:rPr>
              <w:t>2018</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65FD9E48" w14:textId="77777777" w:rsidR="00E74D0C" w:rsidRPr="000336D7" w:rsidRDefault="00E74D0C" w:rsidP="00E366E5">
            <w:pPr>
              <w:widowControl w:val="0"/>
              <w:jc w:val="center"/>
              <w:rPr>
                <w:b/>
                <w:bCs/>
                <w:color w:val="000000"/>
                <w:sz w:val="20"/>
                <w:szCs w:val="20"/>
              </w:rPr>
            </w:pPr>
            <w:r>
              <w:rPr>
                <w:b/>
                <w:bCs/>
                <w:color w:val="000000"/>
                <w:sz w:val="20"/>
                <w:szCs w:val="20"/>
                <w:lang w:val="fr"/>
              </w:rPr>
              <w:t>2019</w:t>
            </w:r>
          </w:p>
        </w:tc>
        <w:tc>
          <w:tcPr>
            <w:tcW w:w="531" w:type="pct"/>
            <w:tcBorders>
              <w:top w:val="single" w:sz="4" w:space="0" w:color="auto"/>
              <w:left w:val="nil"/>
              <w:bottom w:val="single" w:sz="4" w:space="0" w:color="auto"/>
              <w:right w:val="single" w:sz="4" w:space="0" w:color="auto"/>
            </w:tcBorders>
            <w:shd w:val="clear" w:color="auto" w:fill="auto"/>
            <w:noWrap/>
            <w:vAlign w:val="center"/>
            <w:hideMark/>
          </w:tcPr>
          <w:p w14:paraId="4DAE2199" w14:textId="77777777" w:rsidR="00E74D0C" w:rsidRPr="000336D7" w:rsidRDefault="00E74D0C" w:rsidP="00E366E5">
            <w:pPr>
              <w:widowControl w:val="0"/>
              <w:jc w:val="center"/>
              <w:rPr>
                <w:b/>
                <w:bCs/>
                <w:color w:val="000000"/>
                <w:sz w:val="20"/>
                <w:szCs w:val="20"/>
              </w:rPr>
            </w:pPr>
            <w:r>
              <w:rPr>
                <w:b/>
                <w:bCs/>
                <w:color w:val="000000"/>
                <w:sz w:val="20"/>
                <w:szCs w:val="20"/>
                <w:lang w:val="fr"/>
              </w:rPr>
              <w:t>2020</w:t>
            </w:r>
          </w:p>
        </w:tc>
        <w:tc>
          <w:tcPr>
            <w:tcW w:w="530" w:type="pct"/>
            <w:tcBorders>
              <w:top w:val="single" w:sz="4" w:space="0" w:color="auto"/>
              <w:left w:val="nil"/>
              <w:bottom w:val="single" w:sz="4" w:space="0" w:color="auto"/>
              <w:right w:val="single" w:sz="4" w:space="0" w:color="auto"/>
            </w:tcBorders>
          </w:tcPr>
          <w:p w14:paraId="2C4BC493" w14:textId="77777777" w:rsidR="00E74D0C" w:rsidRPr="000336D7" w:rsidRDefault="00E74D0C" w:rsidP="00E366E5">
            <w:pPr>
              <w:widowControl w:val="0"/>
              <w:jc w:val="center"/>
              <w:rPr>
                <w:b/>
                <w:bCs/>
                <w:color w:val="000000"/>
                <w:sz w:val="20"/>
                <w:szCs w:val="20"/>
              </w:rPr>
            </w:pPr>
            <w:r>
              <w:rPr>
                <w:b/>
                <w:bCs/>
                <w:color w:val="000000"/>
                <w:sz w:val="20"/>
                <w:szCs w:val="20"/>
                <w:lang w:val="fr"/>
              </w:rPr>
              <w:t>2021</w:t>
            </w:r>
          </w:p>
        </w:tc>
        <w:tc>
          <w:tcPr>
            <w:tcW w:w="530" w:type="pct"/>
            <w:tcBorders>
              <w:top w:val="single" w:sz="4" w:space="0" w:color="auto"/>
              <w:left w:val="single" w:sz="4" w:space="0" w:color="auto"/>
              <w:bottom w:val="single" w:sz="4" w:space="0" w:color="auto"/>
              <w:right w:val="single" w:sz="4" w:space="0" w:color="auto"/>
            </w:tcBorders>
          </w:tcPr>
          <w:p w14:paraId="71C0F4A5" w14:textId="77777777" w:rsidR="00E74D0C" w:rsidRPr="000336D7" w:rsidRDefault="00E74D0C" w:rsidP="00E366E5">
            <w:pPr>
              <w:widowControl w:val="0"/>
              <w:jc w:val="center"/>
              <w:rPr>
                <w:b/>
                <w:bCs/>
                <w:color w:val="000000"/>
                <w:sz w:val="20"/>
                <w:szCs w:val="20"/>
              </w:rPr>
            </w:pPr>
            <w:r>
              <w:rPr>
                <w:b/>
                <w:bCs/>
                <w:color w:val="000000"/>
                <w:sz w:val="20"/>
                <w:szCs w:val="20"/>
                <w:lang w:val="fr"/>
              </w:rPr>
              <w:t>2022*</w:t>
            </w:r>
          </w:p>
        </w:tc>
        <w:tc>
          <w:tcPr>
            <w:tcW w:w="10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65575" w14:textId="77777777" w:rsidR="00E74D0C" w:rsidRPr="000336D7" w:rsidRDefault="00E74D0C" w:rsidP="00E366E5">
            <w:pPr>
              <w:widowControl w:val="0"/>
              <w:jc w:val="center"/>
              <w:rPr>
                <w:b/>
                <w:bCs/>
                <w:color w:val="000000"/>
                <w:sz w:val="20"/>
                <w:szCs w:val="20"/>
              </w:rPr>
            </w:pPr>
            <w:r>
              <w:rPr>
                <w:b/>
                <w:bCs/>
                <w:color w:val="000000"/>
                <w:sz w:val="20"/>
                <w:szCs w:val="20"/>
                <w:lang w:val="fr"/>
              </w:rPr>
              <w:t>Valeur de référence</w:t>
            </w:r>
          </w:p>
        </w:tc>
      </w:tr>
      <w:tr w:rsidR="00E74D0C" w:rsidRPr="000336D7" w14:paraId="1378572D" w14:textId="77777777" w:rsidTr="00C61A92">
        <w:tc>
          <w:tcPr>
            <w:tcW w:w="121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FBAD7B" w14:textId="77777777" w:rsidR="00E74D0C" w:rsidRPr="000336D7" w:rsidRDefault="00E74D0C" w:rsidP="00E366E5">
            <w:pPr>
              <w:widowControl w:val="0"/>
              <w:jc w:val="left"/>
              <w:rPr>
                <w:b/>
                <w:bCs/>
                <w:color w:val="000000"/>
                <w:sz w:val="20"/>
                <w:szCs w:val="20"/>
              </w:rPr>
            </w:pPr>
            <w:r>
              <w:rPr>
                <w:b/>
                <w:bCs/>
                <w:color w:val="000000"/>
                <w:sz w:val="20"/>
                <w:szCs w:val="20"/>
                <w:lang w:val="fr"/>
              </w:rPr>
              <w:t>Tonnes métriques (</w:t>
            </w:r>
            <w:proofErr w:type="spellStart"/>
            <w:r>
              <w:rPr>
                <w:b/>
                <w:bCs/>
                <w:color w:val="000000"/>
                <w:sz w:val="20"/>
                <w:szCs w:val="20"/>
                <w:lang w:val="fr"/>
              </w:rPr>
              <w:t>tm</w:t>
            </w:r>
            <w:proofErr w:type="spellEnd"/>
            <w:r>
              <w:rPr>
                <w:b/>
                <w:bCs/>
                <w:color w:val="000000"/>
                <w:sz w:val="20"/>
                <w:szCs w:val="20"/>
                <w:lang w:val="fr"/>
              </w:rPr>
              <w:t>)</w:t>
            </w:r>
          </w:p>
        </w:tc>
        <w:tc>
          <w:tcPr>
            <w:tcW w:w="532" w:type="pct"/>
            <w:tcBorders>
              <w:top w:val="nil"/>
              <w:left w:val="nil"/>
              <w:bottom w:val="single" w:sz="4" w:space="0" w:color="auto"/>
              <w:right w:val="single" w:sz="4" w:space="0" w:color="auto"/>
            </w:tcBorders>
            <w:shd w:val="clear" w:color="auto" w:fill="auto"/>
            <w:noWrap/>
            <w:vAlign w:val="center"/>
            <w:hideMark/>
          </w:tcPr>
          <w:p w14:paraId="703B0CB1" w14:textId="77777777" w:rsidR="00E74D0C" w:rsidRPr="000336D7" w:rsidRDefault="00E74D0C" w:rsidP="00E366E5">
            <w:pPr>
              <w:widowControl w:val="0"/>
              <w:jc w:val="center"/>
              <w:rPr>
                <w:b/>
                <w:bCs/>
                <w:color w:val="000000"/>
                <w:sz w:val="20"/>
                <w:szCs w:val="20"/>
              </w:rPr>
            </w:pPr>
          </w:p>
        </w:tc>
        <w:tc>
          <w:tcPr>
            <w:tcW w:w="606" w:type="pct"/>
            <w:tcBorders>
              <w:top w:val="nil"/>
              <w:left w:val="nil"/>
              <w:bottom w:val="single" w:sz="4" w:space="0" w:color="auto"/>
              <w:right w:val="single" w:sz="4" w:space="0" w:color="auto"/>
            </w:tcBorders>
            <w:shd w:val="clear" w:color="auto" w:fill="auto"/>
            <w:noWrap/>
            <w:vAlign w:val="center"/>
            <w:hideMark/>
          </w:tcPr>
          <w:p w14:paraId="2462C74E" w14:textId="77777777" w:rsidR="00E74D0C" w:rsidRPr="000336D7" w:rsidRDefault="00E74D0C" w:rsidP="00E366E5">
            <w:pPr>
              <w:widowControl w:val="0"/>
              <w:jc w:val="center"/>
              <w:rPr>
                <w:b/>
                <w:bCs/>
                <w:color w:val="000000"/>
                <w:sz w:val="20"/>
                <w:szCs w:val="20"/>
              </w:rPr>
            </w:pPr>
          </w:p>
        </w:tc>
        <w:tc>
          <w:tcPr>
            <w:tcW w:w="531" w:type="pct"/>
            <w:tcBorders>
              <w:top w:val="nil"/>
              <w:left w:val="nil"/>
              <w:bottom w:val="single" w:sz="4" w:space="0" w:color="auto"/>
              <w:right w:val="single" w:sz="4" w:space="0" w:color="auto"/>
            </w:tcBorders>
            <w:shd w:val="clear" w:color="auto" w:fill="auto"/>
            <w:noWrap/>
            <w:vAlign w:val="center"/>
            <w:hideMark/>
          </w:tcPr>
          <w:p w14:paraId="7C84CF7A" w14:textId="77777777" w:rsidR="00E74D0C" w:rsidRPr="000336D7" w:rsidRDefault="00E74D0C" w:rsidP="00E366E5">
            <w:pPr>
              <w:widowControl w:val="0"/>
              <w:jc w:val="center"/>
              <w:rPr>
                <w:b/>
                <w:bCs/>
                <w:color w:val="000000"/>
                <w:sz w:val="20"/>
                <w:szCs w:val="20"/>
              </w:rPr>
            </w:pPr>
          </w:p>
        </w:tc>
        <w:tc>
          <w:tcPr>
            <w:tcW w:w="530" w:type="pct"/>
            <w:tcBorders>
              <w:top w:val="single" w:sz="4" w:space="0" w:color="auto"/>
              <w:left w:val="nil"/>
              <w:bottom w:val="single" w:sz="4" w:space="0" w:color="auto"/>
              <w:right w:val="single" w:sz="4" w:space="0" w:color="auto"/>
            </w:tcBorders>
          </w:tcPr>
          <w:p w14:paraId="0E187ADA" w14:textId="77777777" w:rsidR="00E74D0C" w:rsidRPr="000336D7" w:rsidRDefault="00E74D0C" w:rsidP="00E366E5">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tcPr>
          <w:p w14:paraId="5C2DB6AA" w14:textId="77777777" w:rsidR="00E74D0C" w:rsidRPr="000336D7" w:rsidRDefault="00E74D0C" w:rsidP="00E366E5">
            <w:pPr>
              <w:widowControl w:val="0"/>
              <w:jc w:val="center"/>
              <w:rPr>
                <w:b/>
                <w:bCs/>
                <w:color w:val="000000"/>
                <w:sz w:val="20"/>
                <w:szCs w:val="20"/>
              </w:rPr>
            </w:pPr>
          </w:p>
        </w:tc>
        <w:tc>
          <w:tcPr>
            <w:tcW w:w="1061" w:type="pct"/>
            <w:tcBorders>
              <w:top w:val="nil"/>
              <w:left w:val="single" w:sz="4" w:space="0" w:color="auto"/>
              <w:bottom w:val="single" w:sz="4" w:space="0" w:color="auto"/>
              <w:right w:val="single" w:sz="4" w:space="0" w:color="auto"/>
            </w:tcBorders>
            <w:shd w:val="clear" w:color="auto" w:fill="auto"/>
            <w:noWrap/>
            <w:vAlign w:val="center"/>
            <w:hideMark/>
          </w:tcPr>
          <w:p w14:paraId="60C57DCF" w14:textId="77777777" w:rsidR="00E74D0C" w:rsidRPr="000336D7" w:rsidRDefault="00E74D0C" w:rsidP="00E366E5">
            <w:pPr>
              <w:widowControl w:val="0"/>
              <w:jc w:val="center"/>
              <w:rPr>
                <w:b/>
                <w:bCs/>
                <w:color w:val="000000"/>
                <w:sz w:val="20"/>
                <w:szCs w:val="20"/>
              </w:rPr>
            </w:pPr>
          </w:p>
        </w:tc>
      </w:tr>
      <w:tr w:rsidR="00E74D0C" w:rsidRPr="000336D7" w14:paraId="243FD5E0" w14:textId="77777777" w:rsidTr="00C61A92">
        <w:tc>
          <w:tcPr>
            <w:tcW w:w="121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B51F2F" w14:textId="77777777" w:rsidR="00E74D0C" w:rsidRPr="000336D7" w:rsidRDefault="00E74D0C" w:rsidP="00E366E5">
            <w:pPr>
              <w:widowControl w:val="0"/>
              <w:jc w:val="left"/>
              <w:rPr>
                <w:color w:val="000000"/>
                <w:sz w:val="20"/>
                <w:szCs w:val="20"/>
              </w:rPr>
            </w:pPr>
            <w:r>
              <w:rPr>
                <w:color w:val="000000"/>
                <w:sz w:val="20"/>
                <w:szCs w:val="20"/>
                <w:lang w:val="fr"/>
              </w:rPr>
              <w:t>HCFC-22</w:t>
            </w:r>
          </w:p>
        </w:tc>
        <w:tc>
          <w:tcPr>
            <w:tcW w:w="532" w:type="pct"/>
            <w:tcBorders>
              <w:top w:val="nil"/>
              <w:left w:val="nil"/>
              <w:bottom w:val="single" w:sz="4" w:space="0" w:color="auto"/>
              <w:right w:val="single" w:sz="4" w:space="0" w:color="auto"/>
            </w:tcBorders>
            <w:shd w:val="clear" w:color="auto" w:fill="auto"/>
            <w:noWrap/>
          </w:tcPr>
          <w:p w14:paraId="617A0CA3" w14:textId="77777777" w:rsidR="00E74D0C" w:rsidRPr="000336D7" w:rsidRDefault="00E74D0C" w:rsidP="00E366E5">
            <w:pPr>
              <w:widowControl w:val="0"/>
              <w:jc w:val="right"/>
              <w:rPr>
                <w:sz w:val="20"/>
                <w:szCs w:val="20"/>
              </w:rPr>
            </w:pPr>
            <w:r>
              <w:rPr>
                <w:sz w:val="20"/>
                <w:szCs w:val="20"/>
                <w:lang w:val="fr"/>
              </w:rPr>
              <w:t>13,60</w:t>
            </w:r>
          </w:p>
        </w:tc>
        <w:tc>
          <w:tcPr>
            <w:tcW w:w="606" w:type="pct"/>
            <w:tcBorders>
              <w:top w:val="nil"/>
              <w:left w:val="nil"/>
              <w:bottom w:val="single" w:sz="4" w:space="0" w:color="auto"/>
              <w:right w:val="single" w:sz="4" w:space="0" w:color="auto"/>
            </w:tcBorders>
            <w:shd w:val="clear" w:color="auto" w:fill="auto"/>
            <w:noWrap/>
          </w:tcPr>
          <w:p w14:paraId="2243BCC2" w14:textId="77777777" w:rsidR="00E74D0C" w:rsidRPr="000336D7" w:rsidRDefault="00E74D0C" w:rsidP="00E366E5">
            <w:pPr>
              <w:widowControl w:val="0"/>
              <w:jc w:val="right"/>
              <w:rPr>
                <w:sz w:val="20"/>
                <w:szCs w:val="20"/>
              </w:rPr>
            </w:pPr>
            <w:r>
              <w:rPr>
                <w:sz w:val="20"/>
                <w:szCs w:val="20"/>
                <w:lang w:val="fr"/>
              </w:rPr>
              <w:t>10,50</w:t>
            </w:r>
          </w:p>
        </w:tc>
        <w:tc>
          <w:tcPr>
            <w:tcW w:w="531" w:type="pct"/>
            <w:tcBorders>
              <w:top w:val="nil"/>
              <w:left w:val="nil"/>
              <w:bottom w:val="single" w:sz="4" w:space="0" w:color="auto"/>
              <w:right w:val="single" w:sz="4" w:space="0" w:color="auto"/>
            </w:tcBorders>
            <w:shd w:val="clear" w:color="auto" w:fill="auto"/>
            <w:noWrap/>
          </w:tcPr>
          <w:p w14:paraId="1BAD1567" w14:textId="77777777" w:rsidR="00E74D0C" w:rsidRPr="000336D7" w:rsidRDefault="00E74D0C" w:rsidP="00E366E5">
            <w:pPr>
              <w:widowControl w:val="0"/>
              <w:jc w:val="right"/>
              <w:rPr>
                <w:color w:val="000000"/>
                <w:sz w:val="20"/>
                <w:szCs w:val="20"/>
              </w:rPr>
            </w:pPr>
            <w:r>
              <w:rPr>
                <w:sz w:val="20"/>
                <w:szCs w:val="20"/>
                <w:lang w:val="fr"/>
              </w:rPr>
              <w:t>5,00</w:t>
            </w:r>
          </w:p>
        </w:tc>
        <w:tc>
          <w:tcPr>
            <w:tcW w:w="530" w:type="pct"/>
            <w:tcBorders>
              <w:top w:val="single" w:sz="4" w:space="0" w:color="auto"/>
              <w:left w:val="nil"/>
              <w:bottom w:val="single" w:sz="4" w:space="0" w:color="auto"/>
              <w:right w:val="single" w:sz="4" w:space="0" w:color="auto"/>
            </w:tcBorders>
          </w:tcPr>
          <w:p w14:paraId="5A1AC95D" w14:textId="77777777" w:rsidR="00E74D0C" w:rsidRPr="000336D7" w:rsidRDefault="00E74D0C" w:rsidP="00E366E5">
            <w:pPr>
              <w:widowControl w:val="0"/>
              <w:jc w:val="right"/>
              <w:rPr>
                <w:color w:val="000000"/>
                <w:sz w:val="20"/>
                <w:szCs w:val="20"/>
              </w:rPr>
            </w:pPr>
            <w:r>
              <w:rPr>
                <w:sz w:val="20"/>
                <w:szCs w:val="20"/>
                <w:lang w:val="fr"/>
              </w:rPr>
              <w:t>0,00</w:t>
            </w:r>
          </w:p>
        </w:tc>
        <w:tc>
          <w:tcPr>
            <w:tcW w:w="530" w:type="pct"/>
            <w:tcBorders>
              <w:top w:val="nil"/>
              <w:left w:val="single" w:sz="4" w:space="0" w:color="auto"/>
              <w:bottom w:val="single" w:sz="4" w:space="0" w:color="auto"/>
              <w:right w:val="single" w:sz="4" w:space="0" w:color="auto"/>
            </w:tcBorders>
          </w:tcPr>
          <w:p w14:paraId="50ABD06C" w14:textId="77777777" w:rsidR="00E74D0C" w:rsidRPr="000336D7" w:rsidRDefault="00E74D0C" w:rsidP="00E366E5">
            <w:pPr>
              <w:widowControl w:val="0"/>
              <w:jc w:val="right"/>
              <w:rPr>
                <w:color w:val="000000"/>
                <w:sz w:val="20"/>
                <w:szCs w:val="20"/>
              </w:rPr>
            </w:pPr>
            <w:r>
              <w:rPr>
                <w:color w:val="000000"/>
                <w:sz w:val="20"/>
                <w:szCs w:val="20"/>
                <w:lang w:val="fr"/>
              </w:rPr>
              <w:t>1,77</w:t>
            </w:r>
          </w:p>
        </w:tc>
        <w:tc>
          <w:tcPr>
            <w:tcW w:w="1061" w:type="pct"/>
            <w:tcBorders>
              <w:top w:val="nil"/>
              <w:left w:val="single" w:sz="4" w:space="0" w:color="auto"/>
              <w:bottom w:val="single" w:sz="4" w:space="0" w:color="auto"/>
              <w:right w:val="single" w:sz="4" w:space="0" w:color="auto"/>
            </w:tcBorders>
            <w:shd w:val="clear" w:color="auto" w:fill="auto"/>
            <w:noWrap/>
            <w:vAlign w:val="center"/>
          </w:tcPr>
          <w:p w14:paraId="6A679EB1" w14:textId="77777777" w:rsidR="00E74D0C" w:rsidRPr="000336D7" w:rsidRDefault="00E74D0C" w:rsidP="00E366E5">
            <w:pPr>
              <w:widowControl w:val="0"/>
              <w:jc w:val="right"/>
              <w:rPr>
                <w:color w:val="000000"/>
                <w:sz w:val="20"/>
                <w:szCs w:val="20"/>
              </w:rPr>
            </w:pPr>
            <w:r>
              <w:rPr>
                <w:color w:val="000000"/>
                <w:sz w:val="20"/>
                <w:szCs w:val="20"/>
                <w:lang w:val="fr"/>
              </w:rPr>
              <w:t>35,30</w:t>
            </w:r>
          </w:p>
        </w:tc>
      </w:tr>
      <w:tr w:rsidR="00E74D0C" w:rsidRPr="000336D7" w14:paraId="4410227B" w14:textId="77777777" w:rsidTr="00C61A92">
        <w:tc>
          <w:tcPr>
            <w:tcW w:w="121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FCC998" w14:textId="77777777" w:rsidR="00E74D0C" w:rsidRPr="000336D7" w:rsidRDefault="00E74D0C" w:rsidP="00E366E5">
            <w:pPr>
              <w:widowControl w:val="0"/>
              <w:jc w:val="left"/>
              <w:rPr>
                <w:color w:val="000000"/>
                <w:sz w:val="20"/>
                <w:szCs w:val="20"/>
              </w:rPr>
            </w:pPr>
            <w:r>
              <w:rPr>
                <w:color w:val="000000"/>
                <w:sz w:val="20"/>
                <w:szCs w:val="20"/>
                <w:lang w:val="fr"/>
              </w:rPr>
              <w:t>HCFC-142b</w:t>
            </w:r>
          </w:p>
        </w:tc>
        <w:tc>
          <w:tcPr>
            <w:tcW w:w="532" w:type="pct"/>
            <w:tcBorders>
              <w:top w:val="nil"/>
              <w:left w:val="nil"/>
              <w:bottom w:val="single" w:sz="4" w:space="0" w:color="auto"/>
              <w:right w:val="single" w:sz="4" w:space="0" w:color="auto"/>
            </w:tcBorders>
            <w:shd w:val="clear" w:color="auto" w:fill="auto"/>
            <w:noWrap/>
          </w:tcPr>
          <w:p w14:paraId="5FCE902D" w14:textId="77777777" w:rsidR="00E74D0C" w:rsidRPr="000336D7" w:rsidRDefault="00E74D0C" w:rsidP="00E366E5">
            <w:pPr>
              <w:widowControl w:val="0"/>
              <w:jc w:val="right"/>
              <w:rPr>
                <w:sz w:val="20"/>
                <w:szCs w:val="20"/>
              </w:rPr>
            </w:pPr>
            <w:r>
              <w:rPr>
                <w:sz w:val="20"/>
                <w:szCs w:val="20"/>
                <w:lang w:val="fr"/>
              </w:rPr>
              <w:t>0,00</w:t>
            </w:r>
          </w:p>
        </w:tc>
        <w:tc>
          <w:tcPr>
            <w:tcW w:w="606" w:type="pct"/>
            <w:tcBorders>
              <w:top w:val="nil"/>
              <w:left w:val="nil"/>
              <w:bottom w:val="single" w:sz="4" w:space="0" w:color="auto"/>
              <w:right w:val="single" w:sz="4" w:space="0" w:color="auto"/>
            </w:tcBorders>
            <w:shd w:val="clear" w:color="auto" w:fill="auto"/>
            <w:noWrap/>
          </w:tcPr>
          <w:p w14:paraId="127E04E3" w14:textId="77777777" w:rsidR="00E74D0C" w:rsidRPr="000336D7" w:rsidRDefault="00E74D0C" w:rsidP="00E366E5">
            <w:pPr>
              <w:widowControl w:val="0"/>
              <w:jc w:val="right"/>
              <w:rPr>
                <w:sz w:val="20"/>
                <w:szCs w:val="20"/>
              </w:rPr>
            </w:pPr>
            <w:r>
              <w:rPr>
                <w:sz w:val="20"/>
                <w:szCs w:val="20"/>
                <w:lang w:val="fr"/>
              </w:rPr>
              <w:t>0,00</w:t>
            </w:r>
          </w:p>
        </w:tc>
        <w:tc>
          <w:tcPr>
            <w:tcW w:w="531" w:type="pct"/>
            <w:tcBorders>
              <w:top w:val="nil"/>
              <w:left w:val="nil"/>
              <w:bottom w:val="single" w:sz="4" w:space="0" w:color="auto"/>
              <w:right w:val="single" w:sz="4" w:space="0" w:color="auto"/>
            </w:tcBorders>
            <w:shd w:val="clear" w:color="auto" w:fill="auto"/>
            <w:noWrap/>
          </w:tcPr>
          <w:p w14:paraId="078E3995" w14:textId="77777777" w:rsidR="00E74D0C" w:rsidRPr="000336D7" w:rsidRDefault="00E74D0C" w:rsidP="00E366E5">
            <w:pPr>
              <w:widowControl w:val="0"/>
              <w:jc w:val="right"/>
              <w:rPr>
                <w:color w:val="000000"/>
                <w:sz w:val="20"/>
                <w:szCs w:val="20"/>
              </w:rPr>
            </w:pPr>
            <w:r>
              <w:rPr>
                <w:sz w:val="20"/>
                <w:szCs w:val="20"/>
                <w:lang w:val="fr"/>
              </w:rPr>
              <w:t>0,00</w:t>
            </w:r>
          </w:p>
        </w:tc>
        <w:tc>
          <w:tcPr>
            <w:tcW w:w="530" w:type="pct"/>
            <w:tcBorders>
              <w:top w:val="single" w:sz="4" w:space="0" w:color="auto"/>
              <w:left w:val="nil"/>
              <w:bottom w:val="single" w:sz="4" w:space="0" w:color="auto"/>
              <w:right w:val="single" w:sz="4" w:space="0" w:color="auto"/>
            </w:tcBorders>
          </w:tcPr>
          <w:p w14:paraId="7643B6AF" w14:textId="77777777" w:rsidR="00E74D0C" w:rsidRPr="000336D7" w:rsidRDefault="00E74D0C" w:rsidP="00E366E5">
            <w:pPr>
              <w:widowControl w:val="0"/>
              <w:jc w:val="right"/>
              <w:rPr>
                <w:color w:val="000000"/>
                <w:sz w:val="20"/>
                <w:szCs w:val="20"/>
              </w:rPr>
            </w:pPr>
            <w:r>
              <w:rPr>
                <w:sz w:val="20"/>
                <w:szCs w:val="20"/>
                <w:lang w:val="fr"/>
              </w:rPr>
              <w:t>0,00</w:t>
            </w:r>
          </w:p>
        </w:tc>
        <w:tc>
          <w:tcPr>
            <w:tcW w:w="530" w:type="pct"/>
            <w:tcBorders>
              <w:top w:val="nil"/>
              <w:left w:val="single" w:sz="4" w:space="0" w:color="auto"/>
              <w:bottom w:val="single" w:sz="4" w:space="0" w:color="auto"/>
              <w:right w:val="single" w:sz="4" w:space="0" w:color="auto"/>
            </w:tcBorders>
          </w:tcPr>
          <w:p w14:paraId="1EC44233" w14:textId="77777777" w:rsidR="00E74D0C" w:rsidRPr="000336D7" w:rsidRDefault="00E74D0C" w:rsidP="00E366E5">
            <w:pPr>
              <w:widowControl w:val="0"/>
              <w:jc w:val="right"/>
              <w:rPr>
                <w:color w:val="000000"/>
                <w:sz w:val="20"/>
                <w:szCs w:val="20"/>
              </w:rPr>
            </w:pPr>
            <w:r>
              <w:rPr>
                <w:color w:val="000000"/>
                <w:sz w:val="20"/>
                <w:szCs w:val="20"/>
                <w:lang w:val="fr"/>
              </w:rPr>
              <w:t>0,00</w:t>
            </w:r>
          </w:p>
        </w:tc>
        <w:tc>
          <w:tcPr>
            <w:tcW w:w="1061" w:type="pct"/>
            <w:tcBorders>
              <w:top w:val="nil"/>
              <w:left w:val="single" w:sz="4" w:space="0" w:color="auto"/>
              <w:bottom w:val="single" w:sz="4" w:space="0" w:color="auto"/>
              <w:right w:val="single" w:sz="4" w:space="0" w:color="auto"/>
            </w:tcBorders>
            <w:shd w:val="clear" w:color="auto" w:fill="auto"/>
            <w:noWrap/>
            <w:vAlign w:val="center"/>
          </w:tcPr>
          <w:p w14:paraId="6A2C6449" w14:textId="77777777" w:rsidR="00E74D0C" w:rsidRPr="000336D7" w:rsidRDefault="00E74D0C" w:rsidP="00E366E5">
            <w:pPr>
              <w:widowControl w:val="0"/>
              <w:jc w:val="right"/>
              <w:rPr>
                <w:color w:val="000000"/>
                <w:sz w:val="20"/>
                <w:szCs w:val="20"/>
              </w:rPr>
            </w:pPr>
            <w:r>
              <w:rPr>
                <w:color w:val="000000"/>
                <w:sz w:val="20"/>
                <w:szCs w:val="20"/>
                <w:lang w:val="fr"/>
              </w:rPr>
              <w:t>0,60</w:t>
            </w:r>
          </w:p>
        </w:tc>
      </w:tr>
      <w:tr w:rsidR="00E74D0C" w:rsidRPr="000336D7" w14:paraId="43BCDB3D" w14:textId="77777777" w:rsidTr="00C61A92">
        <w:tc>
          <w:tcPr>
            <w:tcW w:w="121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A0799FB" w14:textId="77777777" w:rsidR="00E74D0C" w:rsidRPr="000336D7" w:rsidRDefault="00E74D0C" w:rsidP="00E366E5">
            <w:pPr>
              <w:jc w:val="left"/>
              <w:rPr>
                <w:rFonts w:eastAsiaTheme="minorHAnsi"/>
                <w:b/>
                <w:color w:val="000000"/>
                <w:sz w:val="20"/>
                <w:szCs w:val="20"/>
              </w:rPr>
            </w:pPr>
            <w:r>
              <w:rPr>
                <w:b/>
                <w:bCs/>
                <w:color w:val="000000"/>
                <w:sz w:val="20"/>
                <w:szCs w:val="20"/>
                <w:lang w:val="fr"/>
              </w:rPr>
              <w:t>Total (</w:t>
            </w:r>
            <w:proofErr w:type="spellStart"/>
            <w:r>
              <w:rPr>
                <w:b/>
                <w:bCs/>
                <w:color w:val="000000"/>
                <w:sz w:val="20"/>
                <w:szCs w:val="20"/>
                <w:lang w:val="fr"/>
              </w:rPr>
              <w:t>tm</w:t>
            </w:r>
            <w:proofErr w:type="spellEnd"/>
            <w:r>
              <w:rPr>
                <w:b/>
                <w:bCs/>
                <w:color w:val="000000"/>
                <w:sz w:val="20"/>
                <w:szCs w:val="20"/>
                <w:lang w:val="fr"/>
              </w:rPr>
              <w:t>)</w:t>
            </w:r>
          </w:p>
        </w:tc>
        <w:tc>
          <w:tcPr>
            <w:tcW w:w="532" w:type="pct"/>
            <w:tcBorders>
              <w:top w:val="nil"/>
              <w:left w:val="nil"/>
              <w:bottom w:val="single" w:sz="4" w:space="0" w:color="auto"/>
              <w:right w:val="single" w:sz="4" w:space="0" w:color="auto"/>
            </w:tcBorders>
            <w:shd w:val="clear" w:color="auto" w:fill="auto"/>
            <w:noWrap/>
          </w:tcPr>
          <w:p w14:paraId="50AB0F18" w14:textId="77777777" w:rsidR="00E74D0C" w:rsidRPr="000336D7" w:rsidRDefault="00E74D0C" w:rsidP="00E366E5">
            <w:pPr>
              <w:widowControl w:val="0"/>
              <w:jc w:val="right"/>
              <w:rPr>
                <w:b/>
                <w:color w:val="000000"/>
                <w:sz w:val="20"/>
                <w:szCs w:val="20"/>
              </w:rPr>
            </w:pPr>
            <w:r>
              <w:rPr>
                <w:b/>
                <w:bCs/>
                <w:sz w:val="20"/>
                <w:szCs w:val="20"/>
                <w:lang w:val="fr"/>
              </w:rPr>
              <w:t>13,60</w:t>
            </w:r>
          </w:p>
        </w:tc>
        <w:tc>
          <w:tcPr>
            <w:tcW w:w="606" w:type="pct"/>
            <w:tcBorders>
              <w:top w:val="nil"/>
              <w:left w:val="nil"/>
              <w:bottom w:val="single" w:sz="4" w:space="0" w:color="auto"/>
              <w:right w:val="single" w:sz="4" w:space="0" w:color="auto"/>
            </w:tcBorders>
            <w:shd w:val="clear" w:color="auto" w:fill="auto"/>
            <w:noWrap/>
          </w:tcPr>
          <w:p w14:paraId="4D6EEE8C" w14:textId="77777777" w:rsidR="00E74D0C" w:rsidRPr="000336D7" w:rsidRDefault="00E74D0C" w:rsidP="00E366E5">
            <w:pPr>
              <w:widowControl w:val="0"/>
              <w:jc w:val="right"/>
              <w:rPr>
                <w:b/>
                <w:color w:val="000000"/>
                <w:sz w:val="20"/>
                <w:szCs w:val="20"/>
              </w:rPr>
            </w:pPr>
            <w:r>
              <w:rPr>
                <w:b/>
                <w:bCs/>
                <w:sz w:val="20"/>
                <w:szCs w:val="20"/>
                <w:lang w:val="fr"/>
              </w:rPr>
              <w:t>10,50</w:t>
            </w:r>
          </w:p>
        </w:tc>
        <w:tc>
          <w:tcPr>
            <w:tcW w:w="531" w:type="pct"/>
            <w:tcBorders>
              <w:top w:val="nil"/>
              <w:left w:val="nil"/>
              <w:bottom w:val="single" w:sz="4" w:space="0" w:color="auto"/>
              <w:right w:val="single" w:sz="4" w:space="0" w:color="auto"/>
            </w:tcBorders>
            <w:shd w:val="clear" w:color="auto" w:fill="auto"/>
            <w:noWrap/>
          </w:tcPr>
          <w:p w14:paraId="33C2611A" w14:textId="77777777" w:rsidR="00E74D0C" w:rsidRPr="000336D7" w:rsidRDefault="00E74D0C" w:rsidP="00E366E5">
            <w:pPr>
              <w:widowControl w:val="0"/>
              <w:jc w:val="right"/>
              <w:rPr>
                <w:b/>
                <w:color w:val="000000"/>
                <w:sz w:val="20"/>
                <w:szCs w:val="20"/>
              </w:rPr>
            </w:pPr>
            <w:r>
              <w:rPr>
                <w:b/>
                <w:bCs/>
                <w:sz w:val="20"/>
                <w:szCs w:val="20"/>
                <w:lang w:val="fr"/>
              </w:rPr>
              <w:t>5,00</w:t>
            </w:r>
          </w:p>
        </w:tc>
        <w:tc>
          <w:tcPr>
            <w:tcW w:w="530" w:type="pct"/>
            <w:tcBorders>
              <w:top w:val="single" w:sz="4" w:space="0" w:color="auto"/>
              <w:left w:val="nil"/>
              <w:bottom w:val="single" w:sz="4" w:space="0" w:color="auto"/>
              <w:right w:val="single" w:sz="4" w:space="0" w:color="auto"/>
            </w:tcBorders>
          </w:tcPr>
          <w:p w14:paraId="43140008" w14:textId="77777777" w:rsidR="00E74D0C" w:rsidRPr="000336D7" w:rsidRDefault="00E74D0C" w:rsidP="00E366E5">
            <w:pPr>
              <w:widowControl w:val="0"/>
              <w:jc w:val="right"/>
              <w:rPr>
                <w:b/>
                <w:color w:val="000000"/>
                <w:sz w:val="20"/>
                <w:szCs w:val="20"/>
              </w:rPr>
            </w:pPr>
            <w:r>
              <w:rPr>
                <w:b/>
                <w:bCs/>
                <w:sz w:val="20"/>
                <w:szCs w:val="20"/>
                <w:lang w:val="fr"/>
              </w:rPr>
              <w:t>0,00</w:t>
            </w:r>
          </w:p>
        </w:tc>
        <w:tc>
          <w:tcPr>
            <w:tcW w:w="530" w:type="pct"/>
            <w:tcBorders>
              <w:top w:val="nil"/>
              <w:left w:val="single" w:sz="4" w:space="0" w:color="auto"/>
              <w:bottom w:val="single" w:sz="4" w:space="0" w:color="auto"/>
              <w:right w:val="single" w:sz="4" w:space="0" w:color="auto"/>
            </w:tcBorders>
          </w:tcPr>
          <w:p w14:paraId="715207B9" w14:textId="77777777" w:rsidR="00E74D0C" w:rsidRPr="000336D7" w:rsidRDefault="00E74D0C" w:rsidP="00E366E5">
            <w:pPr>
              <w:widowControl w:val="0"/>
              <w:jc w:val="right"/>
              <w:rPr>
                <w:b/>
                <w:color w:val="000000"/>
                <w:sz w:val="20"/>
                <w:szCs w:val="20"/>
              </w:rPr>
            </w:pPr>
            <w:r>
              <w:rPr>
                <w:b/>
                <w:bCs/>
                <w:color w:val="000000"/>
                <w:sz w:val="20"/>
                <w:szCs w:val="20"/>
                <w:lang w:val="fr"/>
              </w:rPr>
              <w:t>1,77</w:t>
            </w:r>
          </w:p>
        </w:tc>
        <w:tc>
          <w:tcPr>
            <w:tcW w:w="1061" w:type="pct"/>
            <w:tcBorders>
              <w:top w:val="nil"/>
              <w:left w:val="single" w:sz="4" w:space="0" w:color="auto"/>
              <w:bottom w:val="single" w:sz="4" w:space="0" w:color="auto"/>
              <w:right w:val="single" w:sz="4" w:space="0" w:color="auto"/>
            </w:tcBorders>
            <w:shd w:val="clear" w:color="auto" w:fill="auto"/>
            <w:noWrap/>
            <w:vAlign w:val="center"/>
          </w:tcPr>
          <w:p w14:paraId="72FF35B8" w14:textId="77777777" w:rsidR="00E74D0C" w:rsidRPr="000336D7" w:rsidRDefault="00E74D0C" w:rsidP="00E366E5">
            <w:pPr>
              <w:widowControl w:val="0"/>
              <w:jc w:val="right"/>
              <w:rPr>
                <w:b/>
                <w:color w:val="000000"/>
                <w:sz w:val="20"/>
                <w:szCs w:val="20"/>
              </w:rPr>
            </w:pPr>
            <w:r>
              <w:rPr>
                <w:b/>
                <w:bCs/>
                <w:color w:val="000000"/>
                <w:sz w:val="20"/>
                <w:szCs w:val="20"/>
                <w:lang w:val="fr"/>
              </w:rPr>
              <w:t>35,90</w:t>
            </w:r>
          </w:p>
        </w:tc>
      </w:tr>
      <w:tr w:rsidR="00E74D0C" w:rsidRPr="000336D7" w14:paraId="74C8197C" w14:textId="77777777" w:rsidTr="00C61A92">
        <w:tc>
          <w:tcPr>
            <w:tcW w:w="121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3395B1" w14:textId="77777777" w:rsidR="00E74D0C" w:rsidRPr="000336D7" w:rsidRDefault="00E74D0C" w:rsidP="00E366E5">
            <w:pPr>
              <w:widowControl w:val="0"/>
              <w:jc w:val="left"/>
              <w:rPr>
                <w:b/>
                <w:bCs/>
                <w:color w:val="000000"/>
                <w:sz w:val="20"/>
                <w:szCs w:val="20"/>
              </w:rPr>
            </w:pPr>
            <w:r>
              <w:rPr>
                <w:b/>
                <w:bCs/>
                <w:color w:val="000000"/>
                <w:sz w:val="20"/>
                <w:szCs w:val="20"/>
                <w:lang w:val="fr"/>
              </w:rPr>
              <w:t>Tonnes PAO</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027BAC" w14:textId="77777777" w:rsidR="00E74D0C" w:rsidRPr="000336D7" w:rsidRDefault="00E74D0C" w:rsidP="00E366E5">
            <w:pPr>
              <w:widowControl w:val="0"/>
              <w:jc w:val="right"/>
              <w:rPr>
                <w:color w:val="000000"/>
                <w:sz w:val="20"/>
                <w:szCs w:val="20"/>
              </w:rPr>
            </w:pP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4F3D31" w14:textId="77777777" w:rsidR="00E74D0C" w:rsidRPr="000336D7" w:rsidRDefault="00E74D0C" w:rsidP="00E366E5">
            <w:pPr>
              <w:widowControl w:val="0"/>
              <w:jc w:val="right"/>
              <w:rPr>
                <w:color w:val="000000"/>
                <w:sz w:val="20"/>
                <w:szCs w:val="20"/>
              </w:rPr>
            </w:pPr>
          </w:p>
        </w:tc>
        <w:tc>
          <w:tcPr>
            <w:tcW w:w="5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EB5420" w14:textId="77777777" w:rsidR="00E74D0C" w:rsidRPr="000336D7" w:rsidRDefault="00E74D0C" w:rsidP="00E366E5">
            <w:pPr>
              <w:widowControl w:val="0"/>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18070281" w14:textId="77777777" w:rsidR="00E74D0C" w:rsidRPr="000336D7" w:rsidRDefault="00E74D0C" w:rsidP="00E366E5">
            <w:pPr>
              <w:widowControl w:val="0"/>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5FF7CF26" w14:textId="77777777" w:rsidR="00E74D0C" w:rsidRPr="000336D7" w:rsidRDefault="00E74D0C" w:rsidP="00E366E5">
            <w:pPr>
              <w:widowControl w:val="0"/>
              <w:jc w:val="right"/>
              <w:rPr>
                <w:color w:val="000000"/>
                <w:sz w:val="20"/>
                <w:szCs w:val="20"/>
              </w:rPr>
            </w:pPr>
          </w:p>
        </w:tc>
        <w:tc>
          <w:tcPr>
            <w:tcW w:w="10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D2DF2A" w14:textId="77777777" w:rsidR="00E74D0C" w:rsidRPr="000336D7" w:rsidRDefault="00E74D0C" w:rsidP="00E366E5">
            <w:pPr>
              <w:widowControl w:val="0"/>
              <w:jc w:val="right"/>
              <w:rPr>
                <w:color w:val="000000"/>
                <w:sz w:val="20"/>
                <w:szCs w:val="20"/>
              </w:rPr>
            </w:pPr>
          </w:p>
        </w:tc>
      </w:tr>
      <w:tr w:rsidR="00E74D0C" w:rsidRPr="000336D7" w14:paraId="25C6A999" w14:textId="77777777" w:rsidTr="00C61A92">
        <w:tc>
          <w:tcPr>
            <w:tcW w:w="121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8691F9" w14:textId="77777777" w:rsidR="00E74D0C" w:rsidRPr="000336D7" w:rsidRDefault="00E74D0C" w:rsidP="00E366E5">
            <w:pPr>
              <w:widowControl w:val="0"/>
              <w:jc w:val="left"/>
              <w:rPr>
                <w:color w:val="000000"/>
                <w:sz w:val="20"/>
                <w:szCs w:val="20"/>
              </w:rPr>
            </w:pPr>
            <w:r>
              <w:rPr>
                <w:color w:val="000000"/>
                <w:sz w:val="20"/>
                <w:szCs w:val="20"/>
                <w:lang w:val="fr"/>
              </w:rPr>
              <w:t>HCFC-22</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349AD4E6" w14:textId="77777777" w:rsidR="00E74D0C" w:rsidRPr="000336D7" w:rsidRDefault="00E74D0C" w:rsidP="00E366E5">
            <w:pPr>
              <w:widowControl w:val="0"/>
              <w:jc w:val="right"/>
              <w:rPr>
                <w:color w:val="000000"/>
                <w:sz w:val="20"/>
                <w:szCs w:val="20"/>
              </w:rPr>
            </w:pPr>
            <w:r>
              <w:rPr>
                <w:sz w:val="20"/>
                <w:szCs w:val="20"/>
                <w:lang w:val="fr"/>
              </w:rPr>
              <w:t>0,75</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32E6546C" w14:textId="77777777" w:rsidR="00E74D0C" w:rsidRPr="000336D7" w:rsidRDefault="00E74D0C" w:rsidP="00E366E5">
            <w:pPr>
              <w:widowControl w:val="0"/>
              <w:jc w:val="right"/>
              <w:rPr>
                <w:color w:val="000000"/>
                <w:sz w:val="20"/>
                <w:szCs w:val="20"/>
              </w:rPr>
            </w:pPr>
            <w:r>
              <w:rPr>
                <w:sz w:val="20"/>
                <w:szCs w:val="20"/>
                <w:lang w:val="fr"/>
              </w:rPr>
              <w:t>0,58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4941770B" w14:textId="77777777" w:rsidR="00E74D0C" w:rsidRPr="000336D7" w:rsidRDefault="00E74D0C" w:rsidP="00E366E5">
            <w:pPr>
              <w:widowControl w:val="0"/>
              <w:jc w:val="right"/>
              <w:rPr>
                <w:color w:val="000000"/>
                <w:sz w:val="20"/>
                <w:szCs w:val="20"/>
              </w:rPr>
            </w:pPr>
            <w:r>
              <w:rPr>
                <w:sz w:val="20"/>
                <w:szCs w:val="20"/>
                <w:lang w:val="fr"/>
              </w:rPr>
              <w:t>0,28</w:t>
            </w:r>
          </w:p>
        </w:tc>
        <w:tc>
          <w:tcPr>
            <w:tcW w:w="530" w:type="pct"/>
            <w:tcBorders>
              <w:top w:val="single" w:sz="4" w:space="0" w:color="auto"/>
              <w:left w:val="single" w:sz="4" w:space="0" w:color="auto"/>
              <w:bottom w:val="single" w:sz="4" w:space="0" w:color="auto"/>
              <w:right w:val="single" w:sz="4" w:space="0" w:color="auto"/>
            </w:tcBorders>
          </w:tcPr>
          <w:p w14:paraId="6F80C998" w14:textId="77777777" w:rsidR="00E74D0C" w:rsidRPr="000336D7" w:rsidRDefault="00E74D0C" w:rsidP="00E366E5">
            <w:pPr>
              <w:widowControl w:val="0"/>
              <w:jc w:val="right"/>
              <w:rPr>
                <w:color w:val="000000"/>
                <w:sz w:val="20"/>
                <w:szCs w:val="20"/>
              </w:rPr>
            </w:pPr>
            <w:r>
              <w:rPr>
                <w:sz w:val="20"/>
                <w:szCs w:val="20"/>
                <w:lang w:val="fr"/>
              </w:rPr>
              <w:t>0,00</w:t>
            </w:r>
          </w:p>
        </w:tc>
        <w:tc>
          <w:tcPr>
            <w:tcW w:w="530" w:type="pct"/>
            <w:tcBorders>
              <w:top w:val="single" w:sz="4" w:space="0" w:color="auto"/>
              <w:left w:val="single" w:sz="4" w:space="0" w:color="auto"/>
              <w:bottom w:val="single" w:sz="4" w:space="0" w:color="auto"/>
              <w:right w:val="single" w:sz="4" w:space="0" w:color="auto"/>
            </w:tcBorders>
          </w:tcPr>
          <w:p w14:paraId="3AC2BBF0" w14:textId="77777777" w:rsidR="00E74D0C" w:rsidRPr="000336D7" w:rsidRDefault="00E74D0C" w:rsidP="00E366E5">
            <w:pPr>
              <w:widowControl w:val="0"/>
              <w:jc w:val="right"/>
              <w:rPr>
                <w:color w:val="000000"/>
                <w:sz w:val="20"/>
                <w:szCs w:val="20"/>
              </w:rPr>
            </w:pPr>
            <w:r>
              <w:rPr>
                <w:color w:val="000000"/>
                <w:sz w:val="20"/>
                <w:szCs w:val="20"/>
                <w:lang w:val="fr"/>
              </w:rPr>
              <w:t>0,10</w:t>
            </w:r>
          </w:p>
        </w:tc>
        <w:tc>
          <w:tcPr>
            <w:tcW w:w="10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B0B96E" w14:textId="77777777" w:rsidR="00E74D0C" w:rsidRPr="000336D7" w:rsidRDefault="00E74D0C" w:rsidP="00E366E5">
            <w:pPr>
              <w:widowControl w:val="0"/>
              <w:jc w:val="right"/>
              <w:rPr>
                <w:color w:val="000000"/>
                <w:sz w:val="20"/>
                <w:szCs w:val="20"/>
              </w:rPr>
            </w:pPr>
            <w:r>
              <w:rPr>
                <w:color w:val="000000"/>
                <w:sz w:val="20"/>
                <w:szCs w:val="20"/>
                <w:lang w:val="fr"/>
              </w:rPr>
              <w:t>2,00</w:t>
            </w:r>
          </w:p>
        </w:tc>
      </w:tr>
      <w:tr w:rsidR="00E74D0C" w:rsidRPr="000336D7" w14:paraId="5B4E008D" w14:textId="77777777" w:rsidTr="00C61A92">
        <w:tc>
          <w:tcPr>
            <w:tcW w:w="121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6516FE" w14:textId="77777777" w:rsidR="00E74D0C" w:rsidRPr="000336D7" w:rsidRDefault="00E74D0C" w:rsidP="00E366E5">
            <w:pPr>
              <w:widowControl w:val="0"/>
              <w:jc w:val="left"/>
              <w:rPr>
                <w:color w:val="000000"/>
                <w:sz w:val="20"/>
                <w:szCs w:val="20"/>
              </w:rPr>
            </w:pPr>
            <w:r>
              <w:rPr>
                <w:color w:val="000000"/>
                <w:sz w:val="20"/>
                <w:szCs w:val="20"/>
                <w:lang w:val="fr"/>
              </w:rPr>
              <w:t>HCFC-142b</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2E2FE1E5" w14:textId="77777777" w:rsidR="00E74D0C" w:rsidRPr="000336D7" w:rsidRDefault="00E74D0C" w:rsidP="00E366E5">
            <w:pPr>
              <w:widowControl w:val="0"/>
              <w:jc w:val="right"/>
              <w:rPr>
                <w:color w:val="000000"/>
                <w:sz w:val="20"/>
                <w:szCs w:val="20"/>
              </w:rPr>
            </w:pPr>
            <w:r>
              <w:rPr>
                <w:sz w:val="20"/>
                <w:szCs w:val="20"/>
                <w:lang w:val="fr"/>
              </w:rPr>
              <w:t>0,00</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7DF9DCF0" w14:textId="77777777" w:rsidR="00E74D0C" w:rsidRPr="000336D7" w:rsidRDefault="00E74D0C" w:rsidP="00E366E5">
            <w:pPr>
              <w:widowControl w:val="0"/>
              <w:jc w:val="right"/>
              <w:rPr>
                <w:color w:val="000000"/>
                <w:sz w:val="20"/>
                <w:szCs w:val="20"/>
              </w:rPr>
            </w:pPr>
            <w:r>
              <w:rPr>
                <w:sz w:val="20"/>
                <w:szCs w:val="20"/>
                <w:lang w:val="fr"/>
              </w:rPr>
              <w:t>0,00</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759DDFB7" w14:textId="77777777" w:rsidR="00E74D0C" w:rsidRPr="000336D7" w:rsidRDefault="00E74D0C" w:rsidP="00E366E5">
            <w:pPr>
              <w:widowControl w:val="0"/>
              <w:jc w:val="right"/>
              <w:rPr>
                <w:color w:val="000000"/>
                <w:sz w:val="20"/>
                <w:szCs w:val="20"/>
              </w:rPr>
            </w:pPr>
            <w:r>
              <w:rPr>
                <w:sz w:val="20"/>
                <w:szCs w:val="20"/>
                <w:lang w:val="fr"/>
              </w:rPr>
              <w:t>0,00</w:t>
            </w:r>
          </w:p>
        </w:tc>
        <w:tc>
          <w:tcPr>
            <w:tcW w:w="530" w:type="pct"/>
            <w:tcBorders>
              <w:top w:val="single" w:sz="4" w:space="0" w:color="auto"/>
              <w:left w:val="single" w:sz="4" w:space="0" w:color="auto"/>
              <w:bottom w:val="single" w:sz="4" w:space="0" w:color="auto"/>
              <w:right w:val="single" w:sz="4" w:space="0" w:color="auto"/>
            </w:tcBorders>
          </w:tcPr>
          <w:p w14:paraId="449C6B7D" w14:textId="77777777" w:rsidR="00E74D0C" w:rsidRPr="000336D7" w:rsidRDefault="00E74D0C" w:rsidP="00E366E5">
            <w:pPr>
              <w:widowControl w:val="0"/>
              <w:jc w:val="right"/>
              <w:rPr>
                <w:color w:val="000000"/>
                <w:sz w:val="20"/>
                <w:szCs w:val="20"/>
              </w:rPr>
            </w:pPr>
            <w:r>
              <w:rPr>
                <w:sz w:val="20"/>
                <w:szCs w:val="20"/>
                <w:lang w:val="fr"/>
              </w:rPr>
              <w:t>0,00</w:t>
            </w:r>
          </w:p>
        </w:tc>
        <w:tc>
          <w:tcPr>
            <w:tcW w:w="530" w:type="pct"/>
            <w:tcBorders>
              <w:top w:val="single" w:sz="4" w:space="0" w:color="auto"/>
              <w:left w:val="single" w:sz="4" w:space="0" w:color="auto"/>
              <w:bottom w:val="single" w:sz="4" w:space="0" w:color="auto"/>
              <w:right w:val="single" w:sz="4" w:space="0" w:color="auto"/>
            </w:tcBorders>
          </w:tcPr>
          <w:p w14:paraId="3FD46590" w14:textId="77777777" w:rsidR="00E74D0C" w:rsidRPr="000336D7" w:rsidRDefault="00E74D0C" w:rsidP="00E366E5">
            <w:pPr>
              <w:widowControl w:val="0"/>
              <w:jc w:val="right"/>
              <w:rPr>
                <w:color w:val="000000"/>
                <w:sz w:val="20"/>
                <w:szCs w:val="20"/>
              </w:rPr>
            </w:pPr>
            <w:r>
              <w:rPr>
                <w:color w:val="000000"/>
                <w:sz w:val="20"/>
                <w:szCs w:val="20"/>
                <w:lang w:val="fr"/>
              </w:rPr>
              <w:t>0,00</w:t>
            </w:r>
          </w:p>
        </w:tc>
        <w:tc>
          <w:tcPr>
            <w:tcW w:w="10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492645" w14:textId="77777777" w:rsidR="00E74D0C" w:rsidRPr="000336D7" w:rsidRDefault="00E74D0C" w:rsidP="00E366E5">
            <w:pPr>
              <w:widowControl w:val="0"/>
              <w:jc w:val="right"/>
              <w:rPr>
                <w:color w:val="000000"/>
                <w:sz w:val="20"/>
                <w:szCs w:val="20"/>
              </w:rPr>
            </w:pPr>
            <w:r>
              <w:rPr>
                <w:color w:val="000000"/>
                <w:sz w:val="20"/>
                <w:szCs w:val="20"/>
                <w:lang w:val="fr"/>
              </w:rPr>
              <w:t>0,00</w:t>
            </w:r>
          </w:p>
        </w:tc>
      </w:tr>
      <w:tr w:rsidR="00E74D0C" w:rsidRPr="000336D7" w14:paraId="77CF93E1" w14:textId="77777777" w:rsidTr="00C61A92">
        <w:tc>
          <w:tcPr>
            <w:tcW w:w="121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A78191B" w14:textId="77777777" w:rsidR="00E74D0C" w:rsidRPr="000336D7" w:rsidRDefault="00E74D0C" w:rsidP="00E366E5">
            <w:pPr>
              <w:jc w:val="left"/>
              <w:rPr>
                <w:rFonts w:eastAsiaTheme="minorHAnsi"/>
                <w:b/>
                <w:sz w:val="20"/>
                <w:szCs w:val="20"/>
              </w:rPr>
            </w:pPr>
            <w:r>
              <w:rPr>
                <w:b/>
                <w:bCs/>
                <w:sz w:val="20"/>
                <w:szCs w:val="20"/>
                <w:lang w:val="fr"/>
              </w:rPr>
              <w:t>Total (tonnes PAO)</w:t>
            </w:r>
          </w:p>
        </w:tc>
        <w:tc>
          <w:tcPr>
            <w:tcW w:w="532" w:type="pct"/>
            <w:tcBorders>
              <w:top w:val="single" w:sz="4" w:space="0" w:color="auto"/>
              <w:left w:val="single" w:sz="4" w:space="0" w:color="auto"/>
              <w:bottom w:val="single" w:sz="4" w:space="0" w:color="auto"/>
              <w:right w:val="single" w:sz="4" w:space="0" w:color="auto"/>
            </w:tcBorders>
            <w:shd w:val="clear" w:color="auto" w:fill="auto"/>
            <w:noWrap/>
          </w:tcPr>
          <w:p w14:paraId="4C6812A0" w14:textId="77777777" w:rsidR="00E74D0C" w:rsidRPr="000336D7" w:rsidRDefault="00E74D0C" w:rsidP="00E366E5">
            <w:pPr>
              <w:widowControl w:val="0"/>
              <w:jc w:val="right"/>
              <w:rPr>
                <w:b/>
                <w:color w:val="000000"/>
                <w:sz w:val="20"/>
                <w:szCs w:val="20"/>
              </w:rPr>
            </w:pPr>
            <w:r>
              <w:rPr>
                <w:b/>
                <w:bCs/>
                <w:sz w:val="20"/>
                <w:szCs w:val="20"/>
                <w:lang w:val="fr"/>
              </w:rPr>
              <w:t>0,75</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4F9F5A97" w14:textId="77777777" w:rsidR="00E74D0C" w:rsidRPr="000336D7" w:rsidRDefault="00E74D0C" w:rsidP="00E366E5">
            <w:pPr>
              <w:widowControl w:val="0"/>
              <w:jc w:val="right"/>
              <w:rPr>
                <w:b/>
                <w:color w:val="000000"/>
                <w:sz w:val="20"/>
                <w:szCs w:val="20"/>
              </w:rPr>
            </w:pPr>
            <w:r>
              <w:rPr>
                <w:b/>
                <w:bCs/>
                <w:sz w:val="20"/>
                <w:szCs w:val="20"/>
                <w:lang w:val="fr"/>
              </w:rPr>
              <w:t>0,58</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2F634439" w14:textId="77777777" w:rsidR="00E74D0C" w:rsidRPr="000336D7" w:rsidRDefault="00E74D0C" w:rsidP="00E366E5">
            <w:pPr>
              <w:widowControl w:val="0"/>
              <w:jc w:val="right"/>
              <w:rPr>
                <w:b/>
                <w:color w:val="000000"/>
                <w:sz w:val="20"/>
                <w:szCs w:val="20"/>
              </w:rPr>
            </w:pPr>
            <w:r>
              <w:rPr>
                <w:b/>
                <w:bCs/>
                <w:sz w:val="20"/>
                <w:szCs w:val="20"/>
                <w:lang w:val="fr"/>
              </w:rPr>
              <w:t>0,28</w:t>
            </w:r>
          </w:p>
        </w:tc>
        <w:tc>
          <w:tcPr>
            <w:tcW w:w="530" w:type="pct"/>
            <w:tcBorders>
              <w:top w:val="single" w:sz="4" w:space="0" w:color="auto"/>
              <w:left w:val="single" w:sz="4" w:space="0" w:color="auto"/>
              <w:bottom w:val="single" w:sz="4" w:space="0" w:color="auto"/>
              <w:right w:val="single" w:sz="4" w:space="0" w:color="auto"/>
            </w:tcBorders>
          </w:tcPr>
          <w:p w14:paraId="0E3D11BB" w14:textId="77777777" w:rsidR="00E74D0C" w:rsidRPr="000336D7" w:rsidRDefault="00E74D0C" w:rsidP="00E366E5">
            <w:pPr>
              <w:jc w:val="right"/>
              <w:rPr>
                <w:b/>
                <w:color w:val="000000"/>
                <w:sz w:val="20"/>
                <w:szCs w:val="20"/>
              </w:rPr>
            </w:pPr>
            <w:r>
              <w:rPr>
                <w:b/>
                <w:bCs/>
                <w:sz w:val="20"/>
                <w:szCs w:val="20"/>
                <w:lang w:val="fr"/>
              </w:rPr>
              <w:t>0,00</w:t>
            </w:r>
          </w:p>
        </w:tc>
        <w:tc>
          <w:tcPr>
            <w:tcW w:w="530" w:type="pct"/>
            <w:tcBorders>
              <w:top w:val="single" w:sz="4" w:space="0" w:color="auto"/>
              <w:left w:val="single" w:sz="4" w:space="0" w:color="auto"/>
              <w:bottom w:val="single" w:sz="4" w:space="0" w:color="auto"/>
              <w:right w:val="single" w:sz="4" w:space="0" w:color="auto"/>
            </w:tcBorders>
          </w:tcPr>
          <w:p w14:paraId="57DDF04C" w14:textId="77777777" w:rsidR="00E74D0C" w:rsidRPr="000336D7" w:rsidRDefault="00E74D0C" w:rsidP="00E366E5">
            <w:pPr>
              <w:jc w:val="right"/>
              <w:rPr>
                <w:b/>
                <w:color w:val="000000"/>
                <w:sz w:val="20"/>
                <w:szCs w:val="20"/>
              </w:rPr>
            </w:pPr>
            <w:r>
              <w:rPr>
                <w:b/>
                <w:bCs/>
                <w:color w:val="000000"/>
                <w:sz w:val="20"/>
                <w:szCs w:val="20"/>
                <w:lang w:val="fr"/>
              </w:rPr>
              <w:t>0,10</w:t>
            </w:r>
          </w:p>
        </w:tc>
        <w:tc>
          <w:tcPr>
            <w:tcW w:w="1061" w:type="pct"/>
            <w:tcBorders>
              <w:top w:val="single" w:sz="4" w:space="0" w:color="auto"/>
              <w:left w:val="single" w:sz="4" w:space="0" w:color="auto"/>
              <w:bottom w:val="single" w:sz="4" w:space="0" w:color="auto"/>
              <w:right w:val="single" w:sz="4" w:space="0" w:color="auto"/>
            </w:tcBorders>
            <w:shd w:val="clear" w:color="auto" w:fill="auto"/>
            <w:noWrap/>
          </w:tcPr>
          <w:p w14:paraId="78588ABE" w14:textId="77777777" w:rsidR="00E74D0C" w:rsidRPr="000336D7" w:rsidRDefault="00E74D0C" w:rsidP="00E366E5">
            <w:pPr>
              <w:jc w:val="right"/>
              <w:rPr>
                <w:rFonts w:eastAsiaTheme="minorHAnsi"/>
                <w:b/>
                <w:color w:val="000000"/>
                <w:sz w:val="20"/>
                <w:szCs w:val="20"/>
              </w:rPr>
            </w:pPr>
            <w:r>
              <w:rPr>
                <w:rFonts w:eastAsiaTheme="minorHAnsi"/>
                <w:b/>
                <w:bCs/>
                <w:color w:val="000000"/>
                <w:sz w:val="20"/>
                <w:szCs w:val="20"/>
                <w:lang w:val="fr"/>
              </w:rPr>
              <w:t>2,00</w:t>
            </w:r>
          </w:p>
        </w:tc>
      </w:tr>
    </w:tbl>
    <w:p w14:paraId="71691E7D" w14:textId="5F9E8D81" w:rsidR="00E74D0C" w:rsidRPr="00DD7BF9" w:rsidRDefault="00E74D0C" w:rsidP="00E74D0C">
      <w:pPr>
        <w:rPr>
          <w:sz w:val="18"/>
          <w:szCs w:val="18"/>
          <w:lang w:val="fr-FR"/>
        </w:rPr>
      </w:pPr>
      <w:r>
        <w:rPr>
          <w:sz w:val="18"/>
          <w:szCs w:val="18"/>
          <w:lang w:val="fr"/>
        </w:rPr>
        <w:t xml:space="preserve">* </w:t>
      </w:r>
      <w:r w:rsidR="00C61A92">
        <w:rPr>
          <w:sz w:val="18"/>
          <w:szCs w:val="18"/>
          <w:lang w:val="fr"/>
        </w:rPr>
        <w:t>D</w:t>
      </w:r>
      <w:r>
        <w:rPr>
          <w:sz w:val="18"/>
          <w:szCs w:val="18"/>
          <w:lang w:val="fr"/>
        </w:rPr>
        <w:t xml:space="preserve">onnées </w:t>
      </w:r>
      <w:r w:rsidR="00C61A92">
        <w:rPr>
          <w:sz w:val="18"/>
          <w:szCs w:val="18"/>
          <w:lang w:val="fr"/>
        </w:rPr>
        <w:t>rapportées dans le</w:t>
      </w:r>
      <w:r>
        <w:rPr>
          <w:sz w:val="18"/>
          <w:szCs w:val="18"/>
          <w:lang w:val="fr"/>
        </w:rPr>
        <w:t xml:space="preserve"> PP et données provenant du rapport de vérification de la consommation de HCFC.</w:t>
      </w:r>
    </w:p>
    <w:p w14:paraId="68C39612" w14:textId="77777777" w:rsidR="00E74D0C" w:rsidRPr="00DD7BF9" w:rsidRDefault="00E74D0C" w:rsidP="00E74D0C">
      <w:pPr>
        <w:rPr>
          <w:lang w:val="fr-FR"/>
        </w:rPr>
      </w:pPr>
    </w:p>
    <w:p w14:paraId="326129B3" w14:textId="77777777" w:rsidR="00E74D0C" w:rsidRPr="00DD7BF9" w:rsidRDefault="00E74D0C" w:rsidP="00E74D0C">
      <w:pPr>
        <w:pStyle w:val="Heading1"/>
        <w:rPr>
          <w:lang w:val="fr-FR"/>
        </w:rPr>
      </w:pPr>
      <w:r>
        <w:rPr>
          <w:lang w:val="fr"/>
        </w:rPr>
        <w:t>La consommation de HCFC diminue depuis la mise en œuvre des activités du PGEH comprenant le contrôle des importations de HCFC par le biais d’un système d’octroi de licence et par la formation aux bonnes pratiques d’entretien. La diminution significative entre 2019 et 2022 était principalement due aux restrictions imposées par la pandémie de COVID-19 résultant en une réduction de la demande de HCFC pour l’entretien et l’utilisation des HCFC accumulés les années précédentes.</w:t>
      </w:r>
    </w:p>
    <w:p w14:paraId="548986DA" w14:textId="77777777" w:rsidR="00E74D0C" w:rsidRPr="00DD7BF9" w:rsidRDefault="00E74D0C" w:rsidP="00E74D0C">
      <w:pPr>
        <w:rPr>
          <w:i/>
          <w:lang w:val="fr-FR"/>
        </w:rPr>
      </w:pPr>
      <w:r>
        <w:rPr>
          <w:i/>
          <w:iCs/>
          <w:lang w:val="fr"/>
        </w:rPr>
        <w:t>Rapport de mise en œuvre du programme de pays</w:t>
      </w:r>
    </w:p>
    <w:p w14:paraId="3B073655" w14:textId="77777777" w:rsidR="00E74D0C" w:rsidRPr="00DD7BF9" w:rsidRDefault="00E74D0C" w:rsidP="00E74D0C">
      <w:pPr>
        <w:rPr>
          <w:lang w:val="fr-FR"/>
        </w:rPr>
      </w:pPr>
    </w:p>
    <w:p w14:paraId="1EBC2C41" w14:textId="0D0CB539" w:rsidR="00E74D0C" w:rsidRPr="00DD7BF9" w:rsidRDefault="00E74D0C" w:rsidP="00E74D0C">
      <w:pPr>
        <w:pStyle w:val="Heading1"/>
        <w:rPr>
          <w:i/>
          <w:lang w:val="fr-FR"/>
        </w:rPr>
      </w:pPr>
      <w:r>
        <w:rPr>
          <w:lang w:val="fr"/>
        </w:rPr>
        <w:t>Le gouvernement du Suriname a déclaré une consommation du secteur des HCFC dans le rapport de mise en œuvre du programme de pays</w:t>
      </w:r>
      <w:r w:rsidR="00C61A92">
        <w:rPr>
          <w:lang w:val="fr"/>
        </w:rPr>
        <w:t xml:space="preserve"> (PP) pour </w:t>
      </w:r>
      <w:r>
        <w:rPr>
          <w:lang w:val="fr"/>
        </w:rPr>
        <w:t>2021 qui correspond aux données communiquées en vertu de l’article 7 du Protocole de Montréal.</w:t>
      </w:r>
    </w:p>
    <w:p w14:paraId="33FA7721" w14:textId="77777777" w:rsidR="00E74D0C" w:rsidRPr="000336D7" w:rsidRDefault="00E74D0C" w:rsidP="00E74D0C">
      <w:pPr>
        <w:pStyle w:val="Heading1"/>
        <w:numPr>
          <w:ilvl w:val="0"/>
          <w:numId w:val="0"/>
        </w:numPr>
        <w:rPr>
          <w:i/>
        </w:rPr>
      </w:pPr>
      <w:r>
        <w:rPr>
          <w:i/>
          <w:iCs/>
          <w:lang w:val="fr"/>
        </w:rPr>
        <w:t>Rapport de vérification</w:t>
      </w:r>
      <w:r>
        <w:rPr>
          <w:lang w:val="fr"/>
        </w:rPr>
        <w:t xml:space="preserve"> </w:t>
      </w:r>
    </w:p>
    <w:p w14:paraId="2AB90BB3" w14:textId="4A2C60EC" w:rsidR="00E74D0C" w:rsidRPr="00DD7BF9" w:rsidRDefault="00E74D0C" w:rsidP="00E74D0C">
      <w:pPr>
        <w:pStyle w:val="Heading1"/>
        <w:rPr>
          <w:lang w:val="fr-FR"/>
        </w:rPr>
      </w:pPr>
      <w:r>
        <w:rPr>
          <w:lang w:val="fr"/>
        </w:rPr>
        <w:t xml:space="preserve">Le rapport de vérification a confirmé que le </w:t>
      </w:r>
      <w:r w:rsidR="00C61A92">
        <w:rPr>
          <w:lang w:val="fr"/>
        </w:rPr>
        <w:t>G</w:t>
      </w:r>
      <w:r>
        <w:rPr>
          <w:lang w:val="fr"/>
        </w:rPr>
        <w:t xml:space="preserve">ouvernement est en train de mettre en place un système d’octroi de licences et de quotas pour les importations et les exportations de HCFC et que la consommation de HCFC déclarée pour 2018 à 2021 en vertu de l’article 7 du Protocole de Montréal est correcte (comme indiqué dans le tableau 1 ci-dessus), sauf pour 2020, où la consommation </w:t>
      </w:r>
      <w:r w:rsidR="00C61A92">
        <w:rPr>
          <w:lang w:val="fr"/>
        </w:rPr>
        <w:t>devrait</w:t>
      </w:r>
      <w:r>
        <w:rPr>
          <w:lang w:val="fr"/>
        </w:rPr>
        <w:t xml:space="preserve"> être de 0,34 tonne PAO au lieu de 0,28 tonne PAO comme communiqué en vertu de l’article 7 </w:t>
      </w:r>
      <w:r w:rsidR="00C77E96">
        <w:rPr>
          <w:lang w:val="fr"/>
        </w:rPr>
        <w:t xml:space="preserve">et </w:t>
      </w:r>
      <w:r>
        <w:rPr>
          <w:lang w:val="fr"/>
        </w:rPr>
        <w:t xml:space="preserve">dans le programme du pays. La vérification a conclu que le Suriname était en conformité avec le Protocole de </w:t>
      </w:r>
      <w:r>
        <w:rPr>
          <w:lang w:val="fr"/>
        </w:rPr>
        <w:lastRenderedPageBreak/>
        <w:t xml:space="preserve">Montréal et avec son Accord avec le Comité exécutif pour les années 2018 à 2022 et a identifié plusieurs actions à mettre en œuvre pour renforcer la mise en </w:t>
      </w:r>
      <w:r w:rsidR="00C77E96">
        <w:rPr>
          <w:lang w:val="fr"/>
        </w:rPr>
        <w:t>place</w:t>
      </w:r>
      <w:r>
        <w:rPr>
          <w:lang w:val="fr"/>
        </w:rPr>
        <w:t xml:space="preserve"> du système d’octroi de licences et de quotas pour les HCFC comme détaillé dans le paragraphe 15 ci-après.</w:t>
      </w:r>
    </w:p>
    <w:p w14:paraId="18029C49" w14:textId="77777777" w:rsidR="00E74D0C" w:rsidRPr="00DD7BF9" w:rsidRDefault="00E74D0C" w:rsidP="00E74D0C">
      <w:pPr>
        <w:rPr>
          <w:u w:val="single"/>
          <w:lang w:val="fr-FR"/>
        </w:rPr>
      </w:pPr>
      <w:r>
        <w:rPr>
          <w:u w:val="single"/>
          <w:lang w:val="fr"/>
        </w:rPr>
        <w:t>Rapport périodique sur la mise en œuvre de la troisième tranche de la phase I du plan de gestion de l’élimination du HCFC (PGEH)</w:t>
      </w:r>
    </w:p>
    <w:p w14:paraId="37325039" w14:textId="77777777" w:rsidR="00E74D0C" w:rsidRPr="00DD7BF9" w:rsidRDefault="00E74D0C" w:rsidP="00E74D0C">
      <w:pPr>
        <w:rPr>
          <w:lang w:val="fr-FR"/>
        </w:rPr>
      </w:pPr>
    </w:p>
    <w:p w14:paraId="203C5AEC" w14:textId="77777777" w:rsidR="00E74D0C" w:rsidRPr="000336D7" w:rsidRDefault="00E74D0C" w:rsidP="00E74D0C">
      <w:pPr>
        <w:rPr>
          <w:i/>
        </w:rPr>
      </w:pPr>
      <w:r>
        <w:rPr>
          <w:i/>
          <w:iCs/>
          <w:lang w:val="fr"/>
        </w:rPr>
        <w:t>Cadre juridique</w:t>
      </w:r>
    </w:p>
    <w:p w14:paraId="4678DCC3" w14:textId="77777777" w:rsidR="00E74D0C" w:rsidRPr="000336D7" w:rsidRDefault="00E74D0C" w:rsidP="00E74D0C">
      <w:pPr>
        <w:rPr>
          <w:iCs/>
        </w:rPr>
      </w:pPr>
    </w:p>
    <w:p w14:paraId="25B9F431" w14:textId="25B108F4" w:rsidR="00E74D0C" w:rsidRPr="00DD7BF9" w:rsidRDefault="00E74D0C" w:rsidP="00E74D0C">
      <w:pPr>
        <w:pStyle w:val="Heading1"/>
        <w:rPr>
          <w:lang w:val="fr-FR"/>
        </w:rPr>
      </w:pPr>
      <w:r>
        <w:rPr>
          <w:lang w:val="fr"/>
        </w:rPr>
        <w:t xml:space="preserve">Le </w:t>
      </w:r>
      <w:r w:rsidR="00C77E96">
        <w:rPr>
          <w:lang w:val="fr"/>
        </w:rPr>
        <w:t>g</w:t>
      </w:r>
      <w:r>
        <w:rPr>
          <w:lang w:val="fr"/>
        </w:rPr>
        <w:t xml:space="preserve">ouvernement du Suriname a mis en place un système d’octroi de permis et de quotas pour les importations et les exportations de HCFC. Le système est opérationnel et </w:t>
      </w:r>
      <w:r w:rsidR="00C77E96">
        <w:rPr>
          <w:lang w:val="fr"/>
        </w:rPr>
        <w:t xml:space="preserve">est en cours de </w:t>
      </w:r>
      <w:r>
        <w:rPr>
          <w:lang w:val="fr"/>
        </w:rPr>
        <w:t>mis</w:t>
      </w:r>
      <w:r w:rsidR="00C77E96">
        <w:rPr>
          <w:lang w:val="fr"/>
        </w:rPr>
        <w:t>e</w:t>
      </w:r>
      <w:r>
        <w:rPr>
          <w:lang w:val="fr"/>
        </w:rPr>
        <w:t xml:space="preserve"> en œuvre par le ministère du Commerce et de l’Industrie et fonctionne selon le principe du «</w:t>
      </w:r>
      <w:r w:rsidR="00DB333A">
        <w:rPr>
          <w:lang w:val="fr"/>
        </w:rPr>
        <w:t> </w:t>
      </w:r>
      <w:r>
        <w:rPr>
          <w:lang w:val="fr"/>
        </w:rPr>
        <w:t>premier arrivé, premier servi</w:t>
      </w:r>
      <w:r w:rsidR="00DB333A">
        <w:rPr>
          <w:lang w:val="fr"/>
        </w:rPr>
        <w:t> </w:t>
      </w:r>
      <w:r>
        <w:rPr>
          <w:lang w:val="fr"/>
        </w:rPr>
        <w:t>», la préférence étant accordée aux importateurs réguliers sur l’année. Le Gouvernement est aussi en train de développer un système d’octroi de licence électronique (e-licence) pour traiter les demandes de permis d’importation et pourrait considérer une interdiction des importations d’équipement à base de HCFC dans le futur.</w:t>
      </w:r>
    </w:p>
    <w:p w14:paraId="69D9BCFC" w14:textId="77777777" w:rsidR="00E74D0C" w:rsidRPr="00DD7BF9" w:rsidRDefault="00E74D0C" w:rsidP="00E74D0C">
      <w:pPr>
        <w:pStyle w:val="Heading1"/>
        <w:rPr>
          <w:lang w:val="fr-FR"/>
        </w:rPr>
      </w:pPr>
      <w:r>
        <w:rPr>
          <w:lang w:val="fr"/>
        </w:rPr>
        <w:t>La législation sur le contrôle des importations et des exportations de frigorigènes et d’équipement connexe/auxiliaire a été amendée pour y inclure les HFC, les frigorigènes de substitution, et les équipements connexes de réfrigération et de climatisation.</w:t>
      </w:r>
    </w:p>
    <w:p w14:paraId="613410CC" w14:textId="77777777" w:rsidR="00E74D0C" w:rsidRPr="00DD7BF9" w:rsidRDefault="00E74D0C" w:rsidP="00E74D0C">
      <w:pPr>
        <w:keepNext/>
        <w:rPr>
          <w:i/>
          <w:lang w:val="fr-FR"/>
        </w:rPr>
      </w:pPr>
      <w:r>
        <w:rPr>
          <w:i/>
          <w:iCs/>
          <w:lang w:val="fr"/>
        </w:rPr>
        <w:t>Secteur de l’entretien des systèmes de réfrigération</w:t>
      </w:r>
    </w:p>
    <w:p w14:paraId="2575489D" w14:textId="77777777" w:rsidR="00E74D0C" w:rsidRPr="00DD7BF9" w:rsidRDefault="00E74D0C" w:rsidP="00E74D0C">
      <w:pPr>
        <w:keepNext/>
        <w:rPr>
          <w:lang w:val="fr-FR"/>
        </w:rPr>
      </w:pPr>
    </w:p>
    <w:p w14:paraId="1F6F7518" w14:textId="77777777" w:rsidR="00E74D0C" w:rsidRPr="00DD7BF9" w:rsidRDefault="00E74D0C" w:rsidP="00E74D0C">
      <w:pPr>
        <w:pStyle w:val="Heading1"/>
        <w:rPr>
          <w:lang w:val="fr-FR"/>
        </w:rPr>
      </w:pPr>
      <w:r>
        <w:rPr>
          <w:lang w:val="fr"/>
        </w:rPr>
        <w:t>Les activités suivantes ont été mises en œuvre :</w:t>
      </w:r>
    </w:p>
    <w:p w14:paraId="11EBED31" w14:textId="406CAF57" w:rsidR="00E74D0C" w:rsidRPr="00DD7BF9" w:rsidRDefault="00E74D0C" w:rsidP="00E74D0C">
      <w:pPr>
        <w:pStyle w:val="Heading2"/>
        <w:numPr>
          <w:ilvl w:val="1"/>
          <w:numId w:val="1"/>
        </w:numPr>
        <w:rPr>
          <w:lang w:val="fr-FR"/>
        </w:rPr>
      </w:pPr>
      <w:r>
        <w:rPr>
          <w:lang w:val="fr"/>
        </w:rPr>
        <w:t>Formation of 20 agents des douanes et des forces de l’ordre à l’utilisation du Système automatisé de données douanières (SYDONIA) et à la communication exacte des données relatives aux HCFC</w:t>
      </w:r>
      <w:r w:rsidR="00DB333A">
        <w:rPr>
          <w:lang w:val="fr"/>
        </w:rPr>
        <w:t> </w:t>
      </w:r>
      <w:r>
        <w:rPr>
          <w:lang w:val="fr"/>
        </w:rPr>
        <w:t>;</w:t>
      </w:r>
    </w:p>
    <w:p w14:paraId="22F7319E" w14:textId="2C0B0441" w:rsidR="00E74D0C" w:rsidRPr="00DD7BF9" w:rsidRDefault="00E74D0C" w:rsidP="00E74D0C">
      <w:pPr>
        <w:pStyle w:val="Heading2"/>
        <w:numPr>
          <w:ilvl w:val="1"/>
          <w:numId w:val="1"/>
        </w:numPr>
        <w:rPr>
          <w:lang w:val="fr-FR"/>
        </w:rPr>
      </w:pPr>
      <w:r>
        <w:rPr>
          <w:lang w:val="fr"/>
        </w:rPr>
        <w:t>Formation virtuelle de 20 techniciens frigoristes aux bonnes pratiques de gestion de la réfrigération</w:t>
      </w:r>
      <w:r w:rsidR="00C77E96">
        <w:rPr>
          <w:lang w:val="fr"/>
        </w:rPr>
        <w:t>,</w:t>
      </w:r>
      <w:r>
        <w:rPr>
          <w:lang w:val="fr"/>
        </w:rPr>
        <w:t xml:space="preserve"> à la récupération, au recyclage et à la régénération des frigorigènes et à l’utilisation en sécurité des technologies de remplacement</w:t>
      </w:r>
      <w:r w:rsidR="00DB333A">
        <w:rPr>
          <w:lang w:val="fr"/>
        </w:rPr>
        <w:t> </w:t>
      </w:r>
      <w:r>
        <w:rPr>
          <w:lang w:val="fr"/>
        </w:rPr>
        <w:t>;</w:t>
      </w:r>
    </w:p>
    <w:p w14:paraId="00373273" w14:textId="7EA21AF5" w:rsidR="00E74D0C" w:rsidRPr="00DD7BF9" w:rsidRDefault="00E74D0C" w:rsidP="00E74D0C">
      <w:pPr>
        <w:pStyle w:val="Heading2"/>
        <w:numPr>
          <w:ilvl w:val="1"/>
          <w:numId w:val="1"/>
        </w:numPr>
        <w:rPr>
          <w:lang w:val="fr-FR"/>
        </w:rPr>
      </w:pPr>
      <w:r>
        <w:rPr>
          <w:lang w:val="fr"/>
        </w:rPr>
        <w:t xml:space="preserve">Quatre programmes en ligne de sensibilisation à destination des techniciens locaux via l’Association de climatisation, réfrigération et ventilation du Suriname (ARVAS) et </w:t>
      </w:r>
      <w:r w:rsidR="00C77E96">
        <w:rPr>
          <w:lang w:val="fr"/>
        </w:rPr>
        <w:t>l</w:t>
      </w:r>
      <w:r>
        <w:rPr>
          <w:lang w:val="fr"/>
        </w:rPr>
        <w:t>es centres d’enseignement technique concernant l’utilisation des frigorigènes de substitution et l’Amendement de Kigali</w:t>
      </w:r>
      <w:r w:rsidR="00DB333A">
        <w:rPr>
          <w:lang w:val="fr"/>
        </w:rPr>
        <w:t> </w:t>
      </w:r>
      <w:r>
        <w:rPr>
          <w:lang w:val="fr"/>
        </w:rPr>
        <w:t xml:space="preserve">; et  </w:t>
      </w:r>
    </w:p>
    <w:p w14:paraId="60971428" w14:textId="0BE8F6FA" w:rsidR="00E74D0C" w:rsidRPr="00DD7BF9" w:rsidRDefault="00E74D0C" w:rsidP="00E74D0C">
      <w:pPr>
        <w:pStyle w:val="Heading2"/>
        <w:numPr>
          <w:ilvl w:val="1"/>
          <w:numId w:val="1"/>
        </w:numPr>
        <w:rPr>
          <w:lang w:val="fr-FR"/>
        </w:rPr>
      </w:pPr>
      <w:r>
        <w:rPr>
          <w:lang w:val="fr"/>
        </w:rPr>
        <w:t xml:space="preserve">Distribution d’identificateurs de frigorigènes et </w:t>
      </w:r>
      <w:r w:rsidR="00C77E96">
        <w:rPr>
          <w:lang w:val="fr"/>
        </w:rPr>
        <w:t>de stations de charge</w:t>
      </w:r>
      <w:r>
        <w:rPr>
          <w:lang w:val="fr"/>
        </w:rPr>
        <w:t xml:space="preserve"> portables </w:t>
      </w:r>
      <w:r w:rsidR="00C77E96">
        <w:rPr>
          <w:lang w:val="fr"/>
        </w:rPr>
        <w:t>à</w:t>
      </w:r>
      <w:r>
        <w:rPr>
          <w:lang w:val="fr"/>
        </w:rPr>
        <w:t xml:space="preserve"> l’ARVAS et </w:t>
      </w:r>
      <w:r w:rsidR="00C77E96">
        <w:rPr>
          <w:lang w:val="fr"/>
        </w:rPr>
        <w:t xml:space="preserve">à </w:t>
      </w:r>
      <w:r>
        <w:rPr>
          <w:lang w:val="fr"/>
        </w:rPr>
        <w:t>deux centres d’enseignement technique.</w:t>
      </w:r>
    </w:p>
    <w:p w14:paraId="1EED2D15" w14:textId="77777777" w:rsidR="00E74D0C" w:rsidRPr="00DD7BF9" w:rsidRDefault="00E74D0C" w:rsidP="00E74D0C">
      <w:pPr>
        <w:rPr>
          <w:i/>
          <w:lang w:val="fr-FR"/>
        </w:rPr>
      </w:pPr>
      <w:r>
        <w:rPr>
          <w:i/>
          <w:iCs/>
          <w:lang w:val="fr"/>
        </w:rPr>
        <w:t xml:space="preserve">Mise en œuvre et supervision du projet </w:t>
      </w:r>
    </w:p>
    <w:p w14:paraId="0BE74BBC" w14:textId="77777777" w:rsidR="00E74D0C" w:rsidRPr="00DD7BF9" w:rsidRDefault="00E74D0C" w:rsidP="00E74D0C">
      <w:pPr>
        <w:rPr>
          <w:lang w:val="fr-FR"/>
        </w:rPr>
      </w:pPr>
    </w:p>
    <w:p w14:paraId="43511B40" w14:textId="5C5F583D" w:rsidR="00E74D0C" w:rsidRPr="00DD7BF9" w:rsidRDefault="00E74D0C" w:rsidP="00E74D0C">
      <w:pPr>
        <w:pStyle w:val="Heading1"/>
        <w:rPr>
          <w:lang w:val="fr-FR"/>
        </w:rPr>
      </w:pPr>
      <w:r>
        <w:rPr>
          <w:lang w:val="fr"/>
        </w:rPr>
        <w:t>L’Unité nationale d’ozone (UNO) a géré les activités de projet comprenant la planification, la supervision et la communication des données relatives à la troisième tranche</w:t>
      </w:r>
      <w:r w:rsidR="00DB333A">
        <w:rPr>
          <w:lang w:val="fr"/>
        </w:rPr>
        <w:t> </w:t>
      </w:r>
      <w:r>
        <w:rPr>
          <w:lang w:val="fr"/>
        </w:rPr>
        <w:t xml:space="preserve">; les fonds ont été dépensés en coûts de déplacement (2 500 $ US) et en dépenses opérationnelles pour la collecte des données et la supervision (5 000 $ US). </w:t>
      </w:r>
    </w:p>
    <w:p w14:paraId="198F49AF" w14:textId="77777777" w:rsidR="00E74D0C" w:rsidRPr="000336D7" w:rsidRDefault="00E74D0C" w:rsidP="00E74D0C">
      <w:pPr>
        <w:pStyle w:val="Heading1"/>
        <w:numPr>
          <w:ilvl w:val="0"/>
          <w:numId w:val="0"/>
        </w:numPr>
        <w:spacing w:after="0"/>
      </w:pPr>
      <w:r>
        <w:rPr>
          <w:u w:val="single"/>
          <w:lang w:val="fr"/>
        </w:rPr>
        <w:t>Niveau de décaissement des fonds</w:t>
      </w:r>
      <w:r>
        <w:rPr>
          <w:lang w:val="fr"/>
        </w:rPr>
        <w:t xml:space="preserve"> </w:t>
      </w:r>
    </w:p>
    <w:p w14:paraId="290A737A" w14:textId="77777777" w:rsidR="00E74D0C" w:rsidRPr="000336D7" w:rsidRDefault="00E74D0C" w:rsidP="00E74D0C"/>
    <w:p w14:paraId="10FCCBF1" w14:textId="77777777" w:rsidR="00E74D0C" w:rsidRPr="00DD7BF9" w:rsidRDefault="00E74D0C" w:rsidP="00E74D0C">
      <w:pPr>
        <w:pStyle w:val="Heading1"/>
        <w:rPr>
          <w:lang w:val="fr-FR"/>
        </w:rPr>
      </w:pPr>
      <w:r>
        <w:rPr>
          <w:lang w:val="fr"/>
        </w:rPr>
        <w:t xml:space="preserve">En date de mars 2023, sur le montant de 187 500 $ US approuvé jusqu’ici, 172 379 $ US ont été décaissés (85 500 $ US pour le PNUE et 86 879 $ US pour l’ONUDI), comme l’indique le tableau 2. Sur </w:t>
      </w:r>
      <w:r>
        <w:rPr>
          <w:lang w:val="fr"/>
        </w:rPr>
        <w:lastRenderedPageBreak/>
        <w:t>le solde restant de 15 121 $ US, 758 $ US ont été restitués et les fonds restants seront dépensés d’ici fin décembre 2023.</w:t>
      </w:r>
    </w:p>
    <w:p w14:paraId="4D288E01" w14:textId="77777777" w:rsidR="00E74D0C" w:rsidRPr="00DD7BF9" w:rsidRDefault="00E74D0C" w:rsidP="00E74D0C">
      <w:pPr>
        <w:rPr>
          <w:lang w:val="fr-FR"/>
        </w:rPr>
      </w:pPr>
      <w:r>
        <w:rPr>
          <w:b/>
          <w:bCs/>
          <w:lang w:val="fr"/>
        </w:rPr>
        <w:t>Tableau 2. Rapport financier de la phase I du PGEH pour le Suriname ($ US)</w:t>
      </w:r>
    </w:p>
    <w:tbl>
      <w:tblPr>
        <w:tblW w:w="9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5"/>
        <w:gridCol w:w="1338"/>
        <w:gridCol w:w="1707"/>
        <w:gridCol w:w="1707"/>
        <w:gridCol w:w="1708"/>
        <w:gridCol w:w="1764"/>
      </w:tblGrid>
      <w:tr w:rsidR="00E74D0C" w:rsidRPr="000336D7" w14:paraId="164184C3" w14:textId="77777777" w:rsidTr="00E366E5">
        <w:trPr>
          <w:trHeight w:val="251"/>
          <w:tblHeader/>
        </w:trPr>
        <w:tc>
          <w:tcPr>
            <w:tcW w:w="2523" w:type="dxa"/>
            <w:gridSpan w:val="2"/>
            <w:shd w:val="clear" w:color="auto" w:fill="auto"/>
            <w:noWrap/>
            <w:hideMark/>
          </w:tcPr>
          <w:p w14:paraId="27DC91B5" w14:textId="77777777" w:rsidR="00E74D0C" w:rsidRPr="000336D7" w:rsidRDefault="00E74D0C" w:rsidP="00E366E5">
            <w:pPr>
              <w:jc w:val="center"/>
              <w:rPr>
                <w:b/>
                <w:bCs/>
                <w:color w:val="000000"/>
                <w:sz w:val="20"/>
                <w:szCs w:val="20"/>
              </w:rPr>
            </w:pPr>
            <w:r>
              <w:rPr>
                <w:b/>
                <w:bCs/>
                <w:color w:val="000000"/>
                <w:sz w:val="20"/>
                <w:szCs w:val="20"/>
                <w:lang w:val="fr"/>
              </w:rPr>
              <w:t>Tranche</w:t>
            </w:r>
          </w:p>
        </w:tc>
        <w:tc>
          <w:tcPr>
            <w:tcW w:w="1707" w:type="dxa"/>
            <w:shd w:val="clear" w:color="auto" w:fill="auto"/>
            <w:noWrap/>
            <w:hideMark/>
          </w:tcPr>
          <w:p w14:paraId="53CEA252" w14:textId="77777777" w:rsidR="00E74D0C" w:rsidRPr="000336D7" w:rsidRDefault="00E74D0C" w:rsidP="00E366E5">
            <w:pPr>
              <w:jc w:val="center"/>
              <w:rPr>
                <w:b/>
                <w:bCs/>
                <w:color w:val="000000"/>
                <w:sz w:val="20"/>
                <w:szCs w:val="20"/>
              </w:rPr>
            </w:pPr>
            <w:r>
              <w:rPr>
                <w:b/>
                <w:bCs/>
                <w:color w:val="000000"/>
                <w:sz w:val="20"/>
                <w:szCs w:val="20"/>
                <w:lang w:val="fr"/>
              </w:rPr>
              <w:t>PNUE</w:t>
            </w:r>
          </w:p>
        </w:tc>
        <w:tc>
          <w:tcPr>
            <w:tcW w:w="1707" w:type="dxa"/>
            <w:shd w:val="clear" w:color="auto" w:fill="auto"/>
            <w:hideMark/>
          </w:tcPr>
          <w:p w14:paraId="39360E43" w14:textId="77777777" w:rsidR="00E74D0C" w:rsidRPr="000336D7" w:rsidRDefault="00E74D0C" w:rsidP="00E366E5">
            <w:pPr>
              <w:jc w:val="center"/>
              <w:rPr>
                <w:b/>
                <w:bCs/>
                <w:color w:val="000000"/>
                <w:sz w:val="20"/>
                <w:szCs w:val="20"/>
              </w:rPr>
            </w:pPr>
            <w:r>
              <w:rPr>
                <w:b/>
                <w:bCs/>
                <w:color w:val="000000"/>
                <w:sz w:val="20"/>
                <w:szCs w:val="20"/>
                <w:lang w:val="fr"/>
              </w:rPr>
              <w:t>ONUDI</w:t>
            </w:r>
          </w:p>
        </w:tc>
        <w:tc>
          <w:tcPr>
            <w:tcW w:w="1708" w:type="dxa"/>
            <w:shd w:val="clear" w:color="auto" w:fill="auto"/>
            <w:noWrap/>
            <w:hideMark/>
          </w:tcPr>
          <w:p w14:paraId="69CDFE73" w14:textId="77777777" w:rsidR="00E74D0C" w:rsidRPr="000336D7" w:rsidRDefault="00E74D0C" w:rsidP="00E366E5">
            <w:pPr>
              <w:jc w:val="center"/>
              <w:rPr>
                <w:b/>
                <w:bCs/>
                <w:color w:val="000000"/>
                <w:sz w:val="20"/>
                <w:szCs w:val="20"/>
              </w:rPr>
            </w:pPr>
            <w:r>
              <w:rPr>
                <w:b/>
                <w:bCs/>
                <w:color w:val="000000"/>
                <w:sz w:val="20"/>
                <w:szCs w:val="20"/>
                <w:lang w:val="fr"/>
              </w:rPr>
              <w:t>Total</w:t>
            </w:r>
          </w:p>
        </w:tc>
        <w:tc>
          <w:tcPr>
            <w:tcW w:w="1764" w:type="dxa"/>
            <w:shd w:val="clear" w:color="auto" w:fill="auto"/>
            <w:hideMark/>
          </w:tcPr>
          <w:p w14:paraId="1EA76103" w14:textId="77777777" w:rsidR="00E74D0C" w:rsidRPr="000336D7" w:rsidRDefault="00E74D0C" w:rsidP="00E366E5">
            <w:pPr>
              <w:jc w:val="center"/>
              <w:rPr>
                <w:b/>
                <w:bCs/>
                <w:color w:val="000000"/>
                <w:sz w:val="20"/>
                <w:szCs w:val="20"/>
              </w:rPr>
            </w:pPr>
            <w:r>
              <w:rPr>
                <w:b/>
                <w:bCs/>
                <w:color w:val="000000"/>
                <w:sz w:val="20"/>
                <w:szCs w:val="20"/>
                <w:lang w:val="fr"/>
              </w:rPr>
              <w:t>Taux de décaissement (%)</w:t>
            </w:r>
          </w:p>
        </w:tc>
      </w:tr>
      <w:tr w:rsidR="00E74D0C" w:rsidRPr="000336D7" w14:paraId="1D342805" w14:textId="77777777" w:rsidTr="00E366E5">
        <w:trPr>
          <w:trHeight w:val="238"/>
        </w:trPr>
        <w:tc>
          <w:tcPr>
            <w:tcW w:w="1185" w:type="dxa"/>
            <w:vMerge w:val="restart"/>
            <w:shd w:val="clear" w:color="auto" w:fill="auto"/>
            <w:noWrap/>
            <w:hideMark/>
          </w:tcPr>
          <w:p w14:paraId="6A8EEA0E" w14:textId="77777777" w:rsidR="00E74D0C" w:rsidRPr="000336D7" w:rsidRDefault="00E74D0C" w:rsidP="00E366E5">
            <w:pPr>
              <w:jc w:val="left"/>
              <w:rPr>
                <w:color w:val="000000"/>
                <w:sz w:val="20"/>
                <w:szCs w:val="20"/>
              </w:rPr>
            </w:pPr>
            <w:r>
              <w:rPr>
                <w:color w:val="000000"/>
                <w:sz w:val="20"/>
                <w:szCs w:val="20"/>
                <w:lang w:val="fr"/>
              </w:rPr>
              <w:t>Première</w:t>
            </w:r>
          </w:p>
        </w:tc>
        <w:tc>
          <w:tcPr>
            <w:tcW w:w="1338" w:type="dxa"/>
            <w:shd w:val="clear" w:color="auto" w:fill="auto"/>
            <w:noWrap/>
            <w:hideMark/>
          </w:tcPr>
          <w:p w14:paraId="07B6044A" w14:textId="77777777" w:rsidR="00E74D0C" w:rsidRPr="000336D7" w:rsidRDefault="00E74D0C" w:rsidP="00E366E5">
            <w:pPr>
              <w:jc w:val="left"/>
              <w:rPr>
                <w:color w:val="000000"/>
                <w:sz w:val="20"/>
                <w:szCs w:val="20"/>
              </w:rPr>
            </w:pPr>
            <w:r>
              <w:rPr>
                <w:color w:val="000000"/>
                <w:sz w:val="20"/>
                <w:szCs w:val="20"/>
                <w:lang w:val="fr"/>
              </w:rPr>
              <w:t>Approuvé</w:t>
            </w:r>
          </w:p>
        </w:tc>
        <w:tc>
          <w:tcPr>
            <w:tcW w:w="1707" w:type="dxa"/>
            <w:shd w:val="clear" w:color="auto" w:fill="auto"/>
            <w:noWrap/>
            <w:hideMark/>
          </w:tcPr>
          <w:p w14:paraId="6CCF3F41" w14:textId="5CC5AD17" w:rsidR="00E74D0C" w:rsidRPr="000336D7" w:rsidRDefault="00E74D0C" w:rsidP="00E366E5">
            <w:pPr>
              <w:jc w:val="right"/>
              <w:rPr>
                <w:color w:val="000000"/>
                <w:sz w:val="20"/>
                <w:szCs w:val="20"/>
              </w:rPr>
            </w:pPr>
            <w:r>
              <w:rPr>
                <w:color w:val="000000"/>
                <w:sz w:val="20"/>
                <w:szCs w:val="20"/>
                <w:lang w:val="fr"/>
              </w:rPr>
              <w:t>27</w:t>
            </w:r>
            <w:r w:rsidR="00DB333A">
              <w:rPr>
                <w:color w:val="000000"/>
                <w:sz w:val="20"/>
                <w:szCs w:val="20"/>
                <w:lang w:val="fr"/>
              </w:rPr>
              <w:t> </w:t>
            </w:r>
            <w:r>
              <w:rPr>
                <w:color w:val="000000"/>
                <w:sz w:val="20"/>
                <w:szCs w:val="20"/>
                <w:lang w:val="fr"/>
              </w:rPr>
              <w:t>000</w:t>
            </w:r>
          </w:p>
        </w:tc>
        <w:tc>
          <w:tcPr>
            <w:tcW w:w="1707" w:type="dxa"/>
            <w:shd w:val="clear" w:color="auto" w:fill="auto"/>
            <w:hideMark/>
          </w:tcPr>
          <w:p w14:paraId="65BA9F8A" w14:textId="361EC1DF" w:rsidR="00E74D0C" w:rsidRPr="000336D7" w:rsidRDefault="00E74D0C" w:rsidP="00E366E5">
            <w:pPr>
              <w:jc w:val="right"/>
              <w:rPr>
                <w:color w:val="000000"/>
                <w:sz w:val="20"/>
                <w:szCs w:val="20"/>
              </w:rPr>
            </w:pPr>
            <w:r>
              <w:rPr>
                <w:color w:val="000000"/>
                <w:sz w:val="20"/>
                <w:szCs w:val="20"/>
                <w:lang w:val="fr"/>
              </w:rPr>
              <w:t>68</w:t>
            </w:r>
            <w:r w:rsidR="00DB333A">
              <w:rPr>
                <w:color w:val="000000"/>
                <w:sz w:val="20"/>
                <w:szCs w:val="20"/>
                <w:lang w:val="fr"/>
              </w:rPr>
              <w:t> </w:t>
            </w:r>
            <w:r>
              <w:rPr>
                <w:color w:val="000000"/>
                <w:sz w:val="20"/>
                <w:szCs w:val="20"/>
                <w:lang w:val="fr"/>
              </w:rPr>
              <w:t>000</w:t>
            </w:r>
          </w:p>
        </w:tc>
        <w:tc>
          <w:tcPr>
            <w:tcW w:w="1708" w:type="dxa"/>
            <w:shd w:val="clear" w:color="auto" w:fill="auto"/>
            <w:noWrap/>
            <w:hideMark/>
          </w:tcPr>
          <w:p w14:paraId="438765F2" w14:textId="09D683F5" w:rsidR="00E74D0C" w:rsidRPr="000336D7" w:rsidRDefault="00E74D0C" w:rsidP="00E366E5">
            <w:pPr>
              <w:jc w:val="right"/>
              <w:rPr>
                <w:color w:val="000000"/>
                <w:sz w:val="20"/>
                <w:szCs w:val="20"/>
              </w:rPr>
            </w:pPr>
            <w:r>
              <w:rPr>
                <w:color w:val="000000"/>
                <w:sz w:val="20"/>
                <w:szCs w:val="20"/>
                <w:lang w:val="fr"/>
              </w:rPr>
              <w:t>95</w:t>
            </w:r>
            <w:r w:rsidR="00DB333A">
              <w:rPr>
                <w:color w:val="000000"/>
                <w:sz w:val="20"/>
                <w:szCs w:val="20"/>
                <w:lang w:val="fr"/>
              </w:rPr>
              <w:t> </w:t>
            </w:r>
            <w:r>
              <w:rPr>
                <w:color w:val="000000"/>
                <w:sz w:val="20"/>
                <w:szCs w:val="20"/>
                <w:lang w:val="fr"/>
              </w:rPr>
              <w:t>000</w:t>
            </w:r>
          </w:p>
        </w:tc>
        <w:tc>
          <w:tcPr>
            <w:tcW w:w="1764" w:type="dxa"/>
            <w:vMerge w:val="restart"/>
            <w:shd w:val="clear" w:color="auto" w:fill="auto"/>
            <w:noWrap/>
            <w:vAlign w:val="center"/>
            <w:hideMark/>
          </w:tcPr>
          <w:p w14:paraId="3C5ED592" w14:textId="77777777" w:rsidR="00E74D0C" w:rsidRPr="000336D7" w:rsidRDefault="00E74D0C" w:rsidP="00E366E5">
            <w:pPr>
              <w:jc w:val="center"/>
              <w:rPr>
                <w:color w:val="000000"/>
                <w:sz w:val="20"/>
                <w:szCs w:val="20"/>
              </w:rPr>
            </w:pPr>
            <w:r>
              <w:rPr>
                <w:color w:val="000000"/>
                <w:sz w:val="20"/>
                <w:szCs w:val="20"/>
                <w:lang w:val="fr"/>
              </w:rPr>
              <w:t>99</w:t>
            </w:r>
          </w:p>
        </w:tc>
      </w:tr>
      <w:tr w:rsidR="00E74D0C" w:rsidRPr="000336D7" w14:paraId="53DD2AC6" w14:textId="77777777" w:rsidTr="00E366E5">
        <w:trPr>
          <w:trHeight w:val="238"/>
        </w:trPr>
        <w:tc>
          <w:tcPr>
            <w:tcW w:w="1185" w:type="dxa"/>
            <w:vMerge/>
            <w:hideMark/>
          </w:tcPr>
          <w:p w14:paraId="74F00375" w14:textId="77777777" w:rsidR="00E74D0C" w:rsidRPr="000336D7" w:rsidRDefault="00E74D0C" w:rsidP="00E366E5">
            <w:pPr>
              <w:jc w:val="left"/>
              <w:rPr>
                <w:color w:val="000000"/>
                <w:sz w:val="20"/>
                <w:szCs w:val="20"/>
              </w:rPr>
            </w:pPr>
          </w:p>
        </w:tc>
        <w:tc>
          <w:tcPr>
            <w:tcW w:w="1338" w:type="dxa"/>
            <w:shd w:val="clear" w:color="auto" w:fill="auto"/>
            <w:noWrap/>
            <w:hideMark/>
          </w:tcPr>
          <w:p w14:paraId="36C18FD3" w14:textId="77777777" w:rsidR="00E74D0C" w:rsidRPr="000336D7" w:rsidRDefault="00E74D0C" w:rsidP="00E366E5">
            <w:pPr>
              <w:jc w:val="left"/>
              <w:rPr>
                <w:color w:val="000000"/>
                <w:sz w:val="20"/>
                <w:szCs w:val="20"/>
              </w:rPr>
            </w:pPr>
            <w:r>
              <w:rPr>
                <w:color w:val="000000"/>
                <w:sz w:val="20"/>
                <w:szCs w:val="20"/>
                <w:lang w:val="fr"/>
              </w:rPr>
              <w:t>Décaissé</w:t>
            </w:r>
          </w:p>
        </w:tc>
        <w:tc>
          <w:tcPr>
            <w:tcW w:w="1707" w:type="dxa"/>
            <w:shd w:val="clear" w:color="auto" w:fill="auto"/>
            <w:noWrap/>
            <w:hideMark/>
          </w:tcPr>
          <w:p w14:paraId="3AB74FEB" w14:textId="290F050B" w:rsidR="00E74D0C" w:rsidRPr="000336D7" w:rsidRDefault="00E74D0C" w:rsidP="00E366E5">
            <w:pPr>
              <w:jc w:val="right"/>
              <w:rPr>
                <w:color w:val="000000"/>
                <w:sz w:val="20"/>
                <w:szCs w:val="20"/>
              </w:rPr>
            </w:pPr>
            <w:r>
              <w:rPr>
                <w:color w:val="000000"/>
                <w:sz w:val="20"/>
                <w:szCs w:val="20"/>
                <w:lang w:val="fr"/>
              </w:rPr>
              <w:t>27</w:t>
            </w:r>
            <w:r w:rsidR="00DB333A">
              <w:rPr>
                <w:color w:val="000000"/>
                <w:sz w:val="20"/>
                <w:szCs w:val="20"/>
                <w:lang w:val="fr"/>
              </w:rPr>
              <w:t> </w:t>
            </w:r>
            <w:r>
              <w:rPr>
                <w:color w:val="000000"/>
                <w:sz w:val="20"/>
                <w:szCs w:val="20"/>
                <w:lang w:val="fr"/>
              </w:rPr>
              <w:t>000</w:t>
            </w:r>
          </w:p>
        </w:tc>
        <w:tc>
          <w:tcPr>
            <w:tcW w:w="1707" w:type="dxa"/>
            <w:shd w:val="clear" w:color="auto" w:fill="auto"/>
            <w:hideMark/>
          </w:tcPr>
          <w:p w14:paraId="2581C20A" w14:textId="23964120" w:rsidR="00E74D0C" w:rsidRPr="000336D7" w:rsidRDefault="00E74D0C" w:rsidP="00E366E5">
            <w:pPr>
              <w:jc w:val="right"/>
              <w:rPr>
                <w:color w:val="000000"/>
                <w:sz w:val="20"/>
                <w:szCs w:val="20"/>
              </w:rPr>
            </w:pPr>
            <w:r>
              <w:rPr>
                <w:color w:val="000000"/>
                <w:sz w:val="20"/>
                <w:szCs w:val="20"/>
                <w:lang w:val="fr"/>
              </w:rPr>
              <w:t>67</w:t>
            </w:r>
            <w:r w:rsidR="00DB333A">
              <w:rPr>
                <w:color w:val="000000"/>
                <w:sz w:val="20"/>
                <w:szCs w:val="20"/>
                <w:lang w:val="fr"/>
              </w:rPr>
              <w:t> </w:t>
            </w:r>
            <w:r>
              <w:rPr>
                <w:color w:val="000000"/>
                <w:sz w:val="20"/>
                <w:szCs w:val="20"/>
                <w:lang w:val="fr"/>
              </w:rPr>
              <w:t>242</w:t>
            </w:r>
          </w:p>
        </w:tc>
        <w:tc>
          <w:tcPr>
            <w:tcW w:w="1708" w:type="dxa"/>
            <w:shd w:val="clear" w:color="auto" w:fill="auto"/>
            <w:noWrap/>
            <w:hideMark/>
          </w:tcPr>
          <w:p w14:paraId="7DFDC109" w14:textId="6963CA49" w:rsidR="00E74D0C" w:rsidRPr="000336D7" w:rsidRDefault="00E74D0C" w:rsidP="00E366E5">
            <w:pPr>
              <w:jc w:val="right"/>
              <w:rPr>
                <w:color w:val="000000"/>
                <w:sz w:val="20"/>
                <w:szCs w:val="20"/>
              </w:rPr>
            </w:pPr>
            <w:r>
              <w:rPr>
                <w:color w:val="000000"/>
                <w:sz w:val="20"/>
                <w:szCs w:val="20"/>
                <w:lang w:val="fr"/>
              </w:rPr>
              <w:t>94</w:t>
            </w:r>
            <w:r w:rsidR="00DB333A">
              <w:rPr>
                <w:color w:val="000000"/>
                <w:sz w:val="20"/>
                <w:szCs w:val="20"/>
                <w:lang w:val="fr"/>
              </w:rPr>
              <w:t> </w:t>
            </w:r>
            <w:r>
              <w:rPr>
                <w:color w:val="000000"/>
                <w:sz w:val="20"/>
                <w:szCs w:val="20"/>
                <w:lang w:val="fr"/>
              </w:rPr>
              <w:t>242</w:t>
            </w:r>
          </w:p>
        </w:tc>
        <w:tc>
          <w:tcPr>
            <w:tcW w:w="1764" w:type="dxa"/>
            <w:vMerge/>
            <w:vAlign w:val="center"/>
            <w:hideMark/>
          </w:tcPr>
          <w:p w14:paraId="0AE37A72" w14:textId="77777777" w:rsidR="00E74D0C" w:rsidRPr="000336D7" w:rsidRDefault="00E74D0C" w:rsidP="00E366E5">
            <w:pPr>
              <w:jc w:val="left"/>
              <w:rPr>
                <w:color w:val="000000"/>
                <w:sz w:val="20"/>
                <w:szCs w:val="20"/>
              </w:rPr>
            </w:pPr>
          </w:p>
        </w:tc>
      </w:tr>
      <w:tr w:rsidR="00E74D0C" w:rsidRPr="000336D7" w14:paraId="155AF1D0" w14:textId="77777777" w:rsidTr="00E366E5">
        <w:trPr>
          <w:trHeight w:val="238"/>
        </w:trPr>
        <w:tc>
          <w:tcPr>
            <w:tcW w:w="1185" w:type="dxa"/>
            <w:vMerge w:val="restart"/>
            <w:shd w:val="clear" w:color="auto" w:fill="auto"/>
            <w:noWrap/>
            <w:hideMark/>
          </w:tcPr>
          <w:p w14:paraId="66BED315" w14:textId="77777777" w:rsidR="00E74D0C" w:rsidRPr="000336D7" w:rsidRDefault="00E74D0C" w:rsidP="00E366E5">
            <w:pPr>
              <w:jc w:val="left"/>
              <w:rPr>
                <w:color w:val="000000"/>
                <w:sz w:val="20"/>
                <w:szCs w:val="20"/>
              </w:rPr>
            </w:pPr>
            <w:r>
              <w:rPr>
                <w:color w:val="000000"/>
                <w:sz w:val="20"/>
                <w:szCs w:val="20"/>
                <w:lang w:val="fr"/>
              </w:rPr>
              <w:t>Deuxième</w:t>
            </w:r>
          </w:p>
        </w:tc>
        <w:tc>
          <w:tcPr>
            <w:tcW w:w="1338" w:type="dxa"/>
            <w:shd w:val="clear" w:color="auto" w:fill="auto"/>
            <w:noWrap/>
            <w:hideMark/>
          </w:tcPr>
          <w:p w14:paraId="41B4AEB6" w14:textId="77777777" w:rsidR="00E74D0C" w:rsidRPr="000336D7" w:rsidRDefault="00E74D0C" w:rsidP="00E366E5">
            <w:pPr>
              <w:jc w:val="left"/>
              <w:rPr>
                <w:color w:val="000000"/>
                <w:sz w:val="20"/>
                <w:szCs w:val="20"/>
              </w:rPr>
            </w:pPr>
            <w:r>
              <w:rPr>
                <w:color w:val="000000"/>
                <w:sz w:val="20"/>
                <w:szCs w:val="20"/>
                <w:lang w:val="fr"/>
              </w:rPr>
              <w:t>Approuvé</w:t>
            </w:r>
          </w:p>
        </w:tc>
        <w:tc>
          <w:tcPr>
            <w:tcW w:w="1707" w:type="dxa"/>
            <w:shd w:val="clear" w:color="auto" w:fill="auto"/>
            <w:noWrap/>
            <w:hideMark/>
          </w:tcPr>
          <w:p w14:paraId="4B9F4D0A" w14:textId="1E4D3F0B" w:rsidR="00E74D0C" w:rsidRPr="000336D7" w:rsidRDefault="00E74D0C" w:rsidP="00E366E5">
            <w:pPr>
              <w:jc w:val="right"/>
              <w:rPr>
                <w:color w:val="000000"/>
                <w:sz w:val="20"/>
                <w:szCs w:val="20"/>
              </w:rPr>
            </w:pPr>
            <w:r>
              <w:rPr>
                <w:color w:val="000000"/>
                <w:sz w:val="20"/>
                <w:szCs w:val="20"/>
                <w:lang w:val="fr"/>
              </w:rPr>
              <w:t>28</w:t>
            </w:r>
            <w:r w:rsidR="00DB333A">
              <w:rPr>
                <w:color w:val="000000"/>
                <w:sz w:val="20"/>
                <w:szCs w:val="20"/>
                <w:lang w:val="fr"/>
              </w:rPr>
              <w:t> </w:t>
            </w:r>
            <w:r>
              <w:rPr>
                <w:color w:val="000000"/>
                <w:sz w:val="20"/>
                <w:szCs w:val="20"/>
                <w:lang w:val="fr"/>
              </w:rPr>
              <w:t>500</w:t>
            </w:r>
          </w:p>
        </w:tc>
        <w:tc>
          <w:tcPr>
            <w:tcW w:w="1707" w:type="dxa"/>
            <w:shd w:val="clear" w:color="auto" w:fill="auto"/>
            <w:hideMark/>
          </w:tcPr>
          <w:p w14:paraId="395B5911" w14:textId="77777777" w:rsidR="00E74D0C" w:rsidRPr="000336D7" w:rsidRDefault="00E74D0C" w:rsidP="00E366E5">
            <w:pPr>
              <w:jc w:val="right"/>
              <w:rPr>
                <w:color w:val="000000"/>
                <w:sz w:val="20"/>
                <w:szCs w:val="20"/>
              </w:rPr>
            </w:pPr>
            <w:r>
              <w:rPr>
                <w:color w:val="000000"/>
                <w:sz w:val="20"/>
                <w:szCs w:val="20"/>
                <w:lang w:val="fr"/>
              </w:rPr>
              <w:t>0</w:t>
            </w:r>
          </w:p>
        </w:tc>
        <w:tc>
          <w:tcPr>
            <w:tcW w:w="1708" w:type="dxa"/>
            <w:shd w:val="clear" w:color="auto" w:fill="auto"/>
            <w:noWrap/>
            <w:hideMark/>
          </w:tcPr>
          <w:p w14:paraId="0074B241" w14:textId="63C03F1C" w:rsidR="00E74D0C" w:rsidRPr="000336D7" w:rsidRDefault="00E74D0C" w:rsidP="00E366E5">
            <w:pPr>
              <w:jc w:val="right"/>
              <w:rPr>
                <w:color w:val="000000"/>
                <w:sz w:val="20"/>
                <w:szCs w:val="20"/>
              </w:rPr>
            </w:pPr>
            <w:r>
              <w:rPr>
                <w:color w:val="000000"/>
                <w:sz w:val="20"/>
                <w:szCs w:val="20"/>
                <w:lang w:val="fr"/>
              </w:rPr>
              <w:t>28</w:t>
            </w:r>
            <w:r w:rsidR="00DB333A">
              <w:rPr>
                <w:color w:val="000000"/>
                <w:sz w:val="20"/>
                <w:szCs w:val="20"/>
                <w:lang w:val="fr"/>
              </w:rPr>
              <w:t> </w:t>
            </w:r>
            <w:r>
              <w:rPr>
                <w:color w:val="000000"/>
                <w:sz w:val="20"/>
                <w:szCs w:val="20"/>
                <w:lang w:val="fr"/>
              </w:rPr>
              <w:t>500</w:t>
            </w:r>
          </w:p>
        </w:tc>
        <w:tc>
          <w:tcPr>
            <w:tcW w:w="1764" w:type="dxa"/>
            <w:vMerge w:val="restart"/>
            <w:shd w:val="clear" w:color="auto" w:fill="auto"/>
            <w:noWrap/>
            <w:vAlign w:val="center"/>
            <w:hideMark/>
          </w:tcPr>
          <w:p w14:paraId="17E70942" w14:textId="77777777" w:rsidR="00E74D0C" w:rsidRPr="000336D7" w:rsidRDefault="00E74D0C" w:rsidP="00E366E5">
            <w:pPr>
              <w:jc w:val="center"/>
              <w:rPr>
                <w:color w:val="000000"/>
                <w:sz w:val="20"/>
                <w:szCs w:val="20"/>
              </w:rPr>
            </w:pPr>
            <w:r>
              <w:rPr>
                <w:color w:val="000000"/>
                <w:sz w:val="20"/>
                <w:szCs w:val="20"/>
                <w:lang w:val="fr"/>
              </w:rPr>
              <w:t>100</w:t>
            </w:r>
          </w:p>
        </w:tc>
      </w:tr>
      <w:tr w:rsidR="00E74D0C" w:rsidRPr="000336D7" w14:paraId="4C805E08" w14:textId="77777777" w:rsidTr="00E366E5">
        <w:trPr>
          <w:trHeight w:val="238"/>
        </w:trPr>
        <w:tc>
          <w:tcPr>
            <w:tcW w:w="1185" w:type="dxa"/>
            <w:vMerge/>
            <w:hideMark/>
          </w:tcPr>
          <w:p w14:paraId="5CFB6674" w14:textId="77777777" w:rsidR="00E74D0C" w:rsidRPr="000336D7" w:rsidRDefault="00E74D0C" w:rsidP="00E366E5">
            <w:pPr>
              <w:jc w:val="left"/>
              <w:rPr>
                <w:color w:val="000000"/>
                <w:sz w:val="20"/>
                <w:szCs w:val="20"/>
              </w:rPr>
            </w:pPr>
          </w:p>
        </w:tc>
        <w:tc>
          <w:tcPr>
            <w:tcW w:w="1338" w:type="dxa"/>
            <w:shd w:val="clear" w:color="auto" w:fill="auto"/>
            <w:noWrap/>
            <w:hideMark/>
          </w:tcPr>
          <w:p w14:paraId="339666F1" w14:textId="77777777" w:rsidR="00E74D0C" w:rsidRPr="000336D7" w:rsidRDefault="00E74D0C" w:rsidP="00E366E5">
            <w:pPr>
              <w:jc w:val="left"/>
              <w:rPr>
                <w:color w:val="000000"/>
                <w:sz w:val="20"/>
                <w:szCs w:val="20"/>
              </w:rPr>
            </w:pPr>
            <w:r>
              <w:rPr>
                <w:color w:val="000000"/>
                <w:sz w:val="20"/>
                <w:szCs w:val="20"/>
                <w:lang w:val="fr"/>
              </w:rPr>
              <w:t>Décaissé</w:t>
            </w:r>
          </w:p>
        </w:tc>
        <w:tc>
          <w:tcPr>
            <w:tcW w:w="1707" w:type="dxa"/>
            <w:shd w:val="clear" w:color="auto" w:fill="auto"/>
            <w:noWrap/>
            <w:hideMark/>
          </w:tcPr>
          <w:p w14:paraId="2BF7F1D6" w14:textId="3CB132C6" w:rsidR="00E74D0C" w:rsidRPr="000336D7" w:rsidRDefault="00E74D0C" w:rsidP="00E366E5">
            <w:pPr>
              <w:jc w:val="right"/>
              <w:rPr>
                <w:color w:val="000000"/>
                <w:sz w:val="20"/>
                <w:szCs w:val="20"/>
              </w:rPr>
            </w:pPr>
            <w:r>
              <w:rPr>
                <w:color w:val="000000"/>
                <w:sz w:val="20"/>
                <w:szCs w:val="20"/>
                <w:lang w:val="fr"/>
              </w:rPr>
              <w:t>28</w:t>
            </w:r>
            <w:r w:rsidR="00DB333A">
              <w:rPr>
                <w:color w:val="000000"/>
                <w:sz w:val="20"/>
                <w:szCs w:val="20"/>
                <w:lang w:val="fr"/>
              </w:rPr>
              <w:t> </w:t>
            </w:r>
            <w:r>
              <w:rPr>
                <w:color w:val="000000"/>
                <w:sz w:val="20"/>
                <w:szCs w:val="20"/>
                <w:lang w:val="fr"/>
              </w:rPr>
              <w:t>500</w:t>
            </w:r>
          </w:p>
        </w:tc>
        <w:tc>
          <w:tcPr>
            <w:tcW w:w="1707" w:type="dxa"/>
            <w:shd w:val="clear" w:color="auto" w:fill="auto"/>
            <w:hideMark/>
          </w:tcPr>
          <w:p w14:paraId="620560C1" w14:textId="77777777" w:rsidR="00E74D0C" w:rsidRPr="000336D7" w:rsidRDefault="00E74D0C" w:rsidP="00E366E5">
            <w:pPr>
              <w:jc w:val="right"/>
              <w:rPr>
                <w:color w:val="000000"/>
                <w:sz w:val="20"/>
                <w:szCs w:val="20"/>
              </w:rPr>
            </w:pPr>
            <w:r>
              <w:rPr>
                <w:color w:val="000000"/>
                <w:sz w:val="20"/>
                <w:szCs w:val="20"/>
                <w:lang w:val="fr"/>
              </w:rPr>
              <w:t>0</w:t>
            </w:r>
          </w:p>
        </w:tc>
        <w:tc>
          <w:tcPr>
            <w:tcW w:w="1708" w:type="dxa"/>
            <w:shd w:val="clear" w:color="auto" w:fill="auto"/>
            <w:noWrap/>
            <w:hideMark/>
          </w:tcPr>
          <w:p w14:paraId="035DA6EE" w14:textId="11EBD8A7" w:rsidR="00E74D0C" w:rsidRPr="000336D7" w:rsidRDefault="00E74D0C" w:rsidP="00E366E5">
            <w:pPr>
              <w:jc w:val="right"/>
              <w:rPr>
                <w:color w:val="000000"/>
                <w:sz w:val="20"/>
                <w:szCs w:val="20"/>
              </w:rPr>
            </w:pPr>
            <w:r>
              <w:rPr>
                <w:color w:val="000000"/>
                <w:sz w:val="20"/>
                <w:szCs w:val="20"/>
                <w:lang w:val="fr"/>
              </w:rPr>
              <w:t>28</w:t>
            </w:r>
            <w:r w:rsidR="00DB333A">
              <w:rPr>
                <w:color w:val="000000"/>
                <w:sz w:val="20"/>
                <w:szCs w:val="20"/>
                <w:lang w:val="fr"/>
              </w:rPr>
              <w:t> </w:t>
            </w:r>
            <w:r>
              <w:rPr>
                <w:color w:val="000000"/>
                <w:sz w:val="20"/>
                <w:szCs w:val="20"/>
                <w:lang w:val="fr"/>
              </w:rPr>
              <w:t>500</w:t>
            </w:r>
          </w:p>
        </w:tc>
        <w:tc>
          <w:tcPr>
            <w:tcW w:w="1764" w:type="dxa"/>
            <w:vMerge/>
            <w:vAlign w:val="center"/>
            <w:hideMark/>
          </w:tcPr>
          <w:p w14:paraId="3AD9B1A2" w14:textId="77777777" w:rsidR="00E74D0C" w:rsidRPr="000336D7" w:rsidRDefault="00E74D0C" w:rsidP="00E366E5">
            <w:pPr>
              <w:jc w:val="left"/>
              <w:rPr>
                <w:color w:val="000000"/>
                <w:sz w:val="20"/>
                <w:szCs w:val="20"/>
              </w:rPr>
            </w:pPr>
          </w:p>
        </w:tc>
      </w:tr>
      <w:tr w:rsidR="00E74D0C" w:rsidRPr="000336D7" w14:paraId="2F58AEF1" w14:textId="77777777" w:rsidTr="00E366E5">
        <w:trPr>
          <w:trHeight w:val="238"/>
        </w:trPr>
        <w:tc>
          <w:tcPr>
            <w:tcW w:w="1185" w:type="dxa"/>
            <w:vMerge w:val="restart"/>
            <w:shd w:val="clear" w:color="auto" w:fill="auto"/>
            <w:noWrap/>
            <w:hideMark/>
          </w:tcPr>
          <w:p w14:paraId="73A42C00" w14:textId="77777777" w:rsidR="00E74D0C" w:rsidRPr="000336D7" w:rsidRDefault="00E74D0C" w:rsidP="00E366E5">
            <w:pPr>
              <w:jc w:val="left"/>
              <w:rPr>
                <w:color w:val="000000"/>
                <w:sz w:val="20"/>
                <w:szCs w:val="20"/>
              </w:rPr>
            </w:pPr>
            <w:r>
              <w:rPr>
                <w:color w:val="000000"/>
                <w:sz w:val="20"/>
                <w:szCs w:val="20"/>
                <w:lang w:val="fr"/>
              </w:rPr>
              <w:t>Troisième</w:t>
            </w:r>
          </w:p>
        </w:tc>
        <w:tc>
          <w:tcPr>
            <w:tcW w:w="1338" w:type="dxa"/>
            <w:shd w:val="clear" w:color="auto" w:fill="auto"/>
            <w:noWrap/>
            <w:hideMark/>
          </w:tcPr>
          <w:p w14:paraId="7C38E6B2" w14:textId="77777777" w:rsidR="00E74D0C" w:rsidRPr="000336D7" w:rsidRDefault="00E74D0C" w:rsidP="00E366E5">
            <w:pPr>
              <w:jc w:val="left"/>
              <w:rPr>
                <w:color w:val="000000"/>
                <w:sz w:val="20"/>
                <w:szCs w:val="20"/>
              </w:rPr>
            </w:pPr>
            <w:r>
              <w:rPr>
                <w:color w:val="000000"/>
                <w:sz w:val="20"/>
                <w:szCs w:val="20"/>
                <w:lang w:val="fr"/>
              </w:rPr>
              <w:t>Approuvé</w:t>
            </w:r>
          </w:p>
        </w:tc>
        <w:tc>
          <w:tcPr>
            <w:tcW w:w="1707" w:type="dxa"/>
            <w:shd w:val="clear" w:color="auto" w:fill="auto"/>
            <w:noWrap/>
            <w:hideMark/>
          </w:tcPr>
          <w:p w14:paraId="2DF72DAE" w14:textId="77777777" w:rsidR="00E74D0C" w:rsidRPr="000336D7" w:rsidRDefault="00E74D0C" w:rsidP="00E366E5">
            <w:pPr>
              <w:jc w:val="right"/>
              <w:rPr>
                <w:color w:val="000000"/>
                <w:sz w:val="20"/>
                <w:szCs w:val="20"/>
              </w:rPr>
            </w:pPr>
            <w:r>
              <w:rPr>
                <w:color w:val="000000"/>
                <w:sz w:val="20"/>
                <w:szCs w:val="20"/>
                <w:lang w:val="fr"/>
              </w:rPr>
              <w:t>35 000</w:t>
            </w:r>
          </w:p>
        </w:tc>
        <w:tc>
          <w:tcPr>
            <w:tcW w:w="1707" w:type="dxa"/>
            <w:shd w:val="clear" w:color="auto" w:fill="auto"/>
            <w:hideMark/>
          </w:tcPr>
          <w:p w14:paraId="7EA03F27" w14:textId="77777777" w:rsidR="00E74D0C" w:rsidRPr="000336D7" w:rsidRDefault="00E74D0C" w:rsidP="00E366E5">
            <w:pPr>
              <w:jc w:val="right"/>
              <w:rPr>
                <w:color w:val="000000"/>
                <w:sz w:val="20"/>
                <w:szCs w:val="20"/>
              </w:rPr>
            </w:pPr>
            <w:r>
              <w:rPr>
                <w:color w:val="000000"/>
                <w:sz w:val="20"/>
                <w:szCs w:val="20"/>
                <w:lang w:val="fr"/>
              </w:rPr>
              <w:t>29 000</w:t>
            </w:r>
          </w:p>
        </w:tc>
        <w:tc>
          <w:tcPr>
            <w:tcW w:w="1708" w:type="dxa"/>
            <w:shd w:val="clear" w:color="auto" w:fill="auto"/>
            <w:noWrap/>
            <w:hideMark/>
          </w:tcPr>
          <w:p w14:paraId="64A3BE4A" w14:textId="6C3AEDC3" w:rsidR="00E74D0C" w:rsidRPr="000336D7" w:rsidRDefault="00E74D0C" w:rsidP="00E366E5">
            <w:pPr>
              <w:jc w:val="right"/>
              <w:rPr>
                <w:color w:val="000000"/>
                <w:sz w:val="20"/>
                <w:szCs w:val="20"/>
              </w:rPr>
            </w:pPr>
            <w:r>
              <w:rPr>
                <w:color w:val="000000"/>
                <w:sz w:val="20"/>
                <w:szCs w:val="20"/>
                <w:lang w:val="fr"/>
              </w:rPr>
              <w:t>64</w:t>
            </w:r>
            <w:r w:rsidR="00DB333A">
              <w:rPr>
                <w:color w:val="000000"/>
                <w:sz w:val="20"/>
                <w:szCs w:val="20"/>
                <w:lang w:val="fr"/>
              </w:rPr>
              <w:t> </w:t>
            </w:r>
            <w:r>
              <w:rPr>
                <w:color w:val="000000"/>
                <w:sz w:val="20"/>
                <w:szCs w:val="20"/>
                <w:lang w:val="fr"/>
              </w:rPr>
              <w:t>000</w:t>
            </w:r>
          </w:p>
        </w:tc>
        <w:tc>
          <w:tcPr>
            <w:tcW w:w="1764" w:type="dxa"/>
            <w:vMerge w:val="restart"/>
            <w:shd w:val="clear" w:color="auto" w:fill="auto"/>
            <w:noWrap/>
            <w:vAlign w:val="center"/>
            <w:hideMark/>
          </w:tcPr>
          <w:p w14:paraId="78C81849" w14:textId="77777777" w:rsidR="00E74D0C" w:rsidRPr="000336D7" w:rsidRDefault="00E74D0C" w:rsidP="00E366E5">
            <w:pPr>
              <w:jc w:val="center"/>
              <w:rPr>
                <w:color w:val="000000"/>
                <w:sz w:val="20"/>
                <w:szCs w:val="20"/>
              </w:rPr>
            </w:pPr>
            <w:r>
              <w:rPr>
                <w:color w:val="000000"/>
                <w:sz w:val="20"/>
                <w:szCs w:val="20"/>
                <w:lang w:val="fr"/>
              </w:rPr>
              <w:t>77,6</w:t>
            </w:r>
          </w:p>
        </w:tc>
      </w:tr>
      <w:tr w:rsidR="00E74D0C" w:rsidRPr="000336D7" w14:paraId="6F4A3B1D" w14:textId="77777777" w:rsidTr="00E366E5">
        <w:trPr>
          <w:trHeight w:val="238"/>
        </w:trPr>
        <w:tc>
          <w:tcPr>
            <w:tcW w:w="1185" w:type="dxa"/>
            <w:vMerge/>
            <w:hideMark/>
          </w:tcPr>
          <w:p w14:paraId="783C284B" w14:textId="77777777" w:rsidR="00E74D0C" w:rsidRPr="000336D7" w:rsidRDefault="00E74D0C" w:rsidP="00E366E5">
            <w:pPr>
              <w:jc w:val="left"/>
              <w:rPr>
                <w:color w:val="000000"/>
                <w:sz w:val="20"/>
                <w:szCs w:val="20"/>
              </w:rPr>
            </w:pPr>
          </w:p>
        </w:tc>
        <w:tc>
          <w:tcPr>
            <w:tcW w:w="1338" w:type="dxa"/>
            <w:shd w:val="clear" w:color="auto" w:fill="auto"/>
            <w:noWrap/>
            <w:hideMark/>
          </w:tcPr>
          <w:p w14:paraId="36E2AFCC" w14:textId="77777777" w:rsidR="00E74D0C" w:rsidRPr="000336D7" w:rsidRDefault="00E74D0C" w:rsidP="00E366E5">
            <w:pPr>
              <w:jc w:val="left"/>
              <w:rPr>
                <w:color w:val="000000"/>
                <w:sz w:val="20"/>
                <w:szCs w:val="20"/>
              </w:rPr>
            </w:pPr>
            <w:r>
              <w:rPr>
                <w:color w:val="000000"/>
                <w:sz w:val="20"/>
                <w:szCs w:val="20"/>
                <w:lang w:val="fr"/>
              </w:rPr>
              <w:t>Décaissé</w:t>
            </w:r>
          </w:p>
        </w:tc>
        <w:tc>
          <w:tcPr>
            <w:tcW w:w="1707" w:type="dxa"/>
            <w:shd w:val="clear" w:color="auto" w:fill="auto"/>
            <w:noWrap/>
            <w:hideMark/>
          </w:tcPr>
          <w:p w14:paraId="317EE3FA" w14:textId="0BB68625" w:rsidR="00E74D0C" w:rsidRPr="000336D7" w:rsidRDefault="00E74D0C" w:rsidP="00E366E5">
            <w:pPr>
              <w:jc w:val="right"/>
              <w:rPr>
                <w:color w:val="000000"/>
                <w:sz w:val="20"/>
                <w:szCs w:val="20"/>
              </w:rPr>
            </w:pPr>
            <w:r>
              <w:rPr>
                <w:color w:val="000000"/>
                <w:sz w:val="20"/>
                <w:szCs w:val="20"/>
                <w:lang w:val="fr"/>
              </w:rPr>
              <w:t>30</w:t>
            </w:r>
            <w:r w:rsidR="00DB333A">
              <w:rPr>
                <w:color w:val="000000"/>
                <w:sz w:val="20"/>
                <w:szCs w:val="20"/>
                <w:lang w:val="fr"/>
              </w:rPr>
              <w:t> </w:t>
            </w:r>
            <w:r>
              <w:rPr>
                <w:color w:val="000000"/>
                <w:sz w:val="20"/>
                <w:szCs w:val="20"/>
                <w:lang w:val="fr"/>
              </w:rPr>
              <w:t>000</w:t>
            </w:r>
          </w:p>
        </w:tc>
        <w:tc>
          <w:tcPr>
            <w:tcW w:w="1707" w:type="dxa"/>
            <w:shd w:val="clear" w:color="auto" w:fill="auto"/>
            <w:hideMark/>
          </w:tcPr>
          <w:p w14:paraId="6BFCB081" w14:textId="123C30D1" w:rsidR="00E74D0C" w:rsidRPr="000336D7" w:rsidRDefault="00E74D0C" w:rsidP="00E366E5">
            <w:pPr>
              <w:jc w:val="right"/>
              <w:rPr>
                <w:color w:val="000000"/>
                <w:sz w:val="20"/>
                <w:szCs w:val="20"/>
              </w:rPr>
            </w:pPr>
            <w:r>
              <w:rPr>
                <w:color w:val="000000"/>
                <w:sz w:val="20"/>
                <w:szCs w:val="20"/>
                <w:lang w:val="fr"/>
              </w:rPr>
              <w:t>19</w:t>
            </w:r>
            <w:r w:rsidR="00DB333A">
              <w:rPr>
                <w:color w:val="000000"/>
                <w:sz w:val="20"/>
                <w:szCs w:val="20"/>
                <w:lang w:val="fr"/>
              </w:rPr>
              <w:t> </w:t>
            </w:r>
            <w:r>
              <w:rPr>
                <w:color w:val="000000"/>
                <w:sz w:val="20"/>
                <w:szCs w:val="20"/>
                <w:lang w:val="fr"/>
              </w:rPr>
              <w:t>637</w:t>
            </w:r>
          </w:p>
        </w:tc>
        <w:tc>
          <w:tcPr>
            <w:tcW w:w="1708" w:type="dxa"/>
            <w:shd w:val="clear" w:color="auto" w:fill="auto"/>
            <w:noWrap/>
            <w:hideMark/>
          </w:tcPr>
          <w:p w14:paraId="580C3807" w14:textId="77777777" w:rsidR="00E74D0C" w:rsidRPr="000336D7" w:rsidRDefault="00E74D0C" w:rsidP="00E366E5">
            <w:pPr>
              <w:jc w:val="right"/>
              <w:rPr>
                <w:color w:val="000000"/>
                <w:sz w:val="20"/>
                <w:szCs w:val="20"/>
              </w:rPr>
            </w:pPr>
            <w:r>
              <w:rPr>
                <w:color w:val="000000"/>
                <w:sz w:val="20"/>
                <w:szCs w:val="20"/>
                <w:lang w:val="fr"/>
              </w:rPr>
              <w:t>49 637</w:t>
            </w:r>
          </w:p>
        </w:tc>
        <w:tc>
          <w:tcPr>
            <w:tcW w:w="1764" w:type="dxa"/>
            <w:vMerge/>
            <w:vAlign w:val="center"/>
            <w:hideMark/>
          </w:tcPr>
          <w:p w14:paraId="67CE456C" w14:textId="77777777" w:rsidR="00E74D0C" w:rsidRPr="000336D7" w:rsidRDefault="00E74D0C" w:rsidP="00E366E5">
            <w:pPr>
              <w:jc w:val="left"/>
              <w:rPr>
                <w:color w:val="000000"/>
                <w:sz w:val="20"/>
                <w:szCs w:val="20"/>
              </w:rPr>
            </w:pPr>
          </w:p>
        </w:tc>
      </w:tr>
      <w:tr w:rsidR="00E74D0C" w:rsidRPr="000336D7" w14:paraId="723DBDD9" w14:textId="77777777" w:rsidTr="00E366E5">
        <w:trPr>
          <w:trHeight w:val="238"/>
        </w:trPr>
        <w:tc>
          <w:tcPr>
            <w:tcW w:w="1185" w:type="dxa"/>
            <w:vMerge w:val="restart"/>
            <w:shd w:val="clear" w:color="auto" w:fill="auto"/>
            <w:hideMark/>
          </w:tcPr>
          <w:p w14:paraId="0DCAC38B" w14:textId="77777777" w:rsidR="00E74D0C" w:rsidRPr="000336D7" w:rsidRDefault="00E74D0C" w:rsidP="00E366E5">
            <w:pPr>
              <w:keepNext/>
              <w:jc w:val="left"/>
              <w:rPr>
                <w:b/>
                <w:bCs/>
                <w:color w:val="000000"/>
                <w:sz w:val="20"/>
                <w:szCs w:val="20"/>
              </w:rPr>
            </w:pPr>
            <w:r>
              <w:rPr>
                <w:b/>
                <w:bCs/>
                <w:color w:val="000000"/>
                <w:sz w:val="20"/>
                <w:szCs w:val="20"/>
                <w:lang w:val="fr"/>
              </w:rPr>
              <w:t>Total</w:t>
            </w:r>
          </w:p>
        </w:tc>
        <w:tc>
          <w:tcPr>
            <w:tcW w:w="1338" w:type="dxa"/>
            <w:shd w:val="clear" w:color="auto" w:fill="auto"/>
            <w:hideMark/>
          </w:tcPr>
          <w:p w14:paraId="36BC76A6" w14:textId="03577CB0" w:rsidR="00E74D0C" w:rsidRPr="000336D7" w:rsidRDefault="00E74D0C" w:rsidP="00E366E5">
            <w:pPr>
              <w:keepNext/>
              <w:jc w:val="left"/>
              <w:rPr>
                <w:b/>
                <w:bCs/>
                <w:color w:val="000000"/>
                <w:sz w:val="20"/>
                <w:szCs w:val="20"/>
              </w:rPr>
            </w:pPr>
            <w:r>
              <w:rPr>
                <w:b/>
                <w:bCs/>
                <w:color w:val="000000"/>
                <w:sz w:val="20"/>
                <w:szCs w:val="20"/>
                <w:lang w:val="fr"/>
              </w:rPr>
              <w:t>Approuvé</w:t>
            </w:r>
          </w:p>
        </w:tc>
        <w:tc>
          <w:tcPr>
            <w:tcW w:w="1707" w:type="dxa"/>
            <w:shd w:val="clear" w:color="auto" w:fill="auto"/>
            <w:hideMark/>
          </w:tcPr>
          <w:p w14:paraId="77209F42" w14:textId="1230D19D" w:rsidR="00E74D0C" w:rsidRPr="000336D7" w:rsidRDefault="00E74D0C" w:rsidP="00E366E5">
            <w:pPr>
              <w:keepNext/>
              <w:jc w:val="right"/>
              <w:rPr>
                <w:b/>
                <w:bCs/>
                <w:color w:val="000000"/>
                <w:sz w:val="20"/>
                <w:szCs w:val="20"/>
              </w:rPr>
            </w:pPr>
            <w:r>
              <w:rPr>
                <w:b/>
                <w:bCs/>
                <w:color w:val="000000"/>
                <w:sz w:val="20"/>
                <w:szCs w:val="20"/>
                <w:lang w:val="fr"/>
              </w:rPr>
              <w:t>90</w:t>
            </w:r>
            <w:r w:rsidR="00DB333A">
              <w:rPr>
                <w:b/>
                <w:bCs/>
                <w:color w:val="000000"/>
                <w:sz w:val="20"/>
                <w:szCs w:val="20"/>
                <w:lang w:val="fr"/>
              </w:rPr>
              <w:t> </w:t>
            </w:r>
            <w:r>
              <w:rPr>
                <w:b/>
                <w:bCs/>
                <w:color w:val="000000"/>
                <w:sz w:val="20"/>
                <w:szCs w:val="20"/>
                <w:lang w:val="fr"/>
              </w:rPr>
              <w:t>500</w:t>
            </w:r>
          </w:p>
        </w:tc>
        <w:tc>
          <w:tcPr>
            <w:tcW w:w="1707" w:type="dxa"/>
            <w:shd w:val="clear" w:color="auto" w:fill="auto"/>
            <w:hideMark/>
          </w:tcPr>
          <w:p w14:paraId="398AA8D4" w14:textId="18D46648" w:rsidR="00E74D0C" w:rsidRPr="000336D7" w:rsidRDefault="00E74D0C" w:rsidP="00E366E5">
            <w:pPr>
              <w:keepNext/>
              <w:jc w:val="right"/>
              <w:rPr>
                <w:b/>
                <w:bCs/>
                <w:color w:val="000000"/>
                <w:sz w:val="20"/>
                <w:szCs w:val="20"/>
              </w:rPr>
            </w:pPr>
            <w:r>
              <w:rPr>
                <w:b/>
                <w:bCs/>
                <w:color w:val="000000"/>
                <w:sz w:val="20"/>
                <w:szCs w:val="20"/>
                <w:lang w:val="fr"/>
              </w:rPr>
              <w:t>97</w:t>
            </w:r>
            <w:r w:rsidR="00DB333A">
              <w:rPr>
                <w:b/>
                <w:bCs/>
                <w:color w:val="000000"/>
                <w:sz w:val="20"/>
                <w:szCs w:val="20"/>
                <w:lang w:val="fr"/>
              </w:rPr>
              <w:t> </w:t>
            </w:r>
            <w:r>
              <w:rPr>
                <w:b/>
                <w:bCs/>
                <w:color w:val="000000"/>
                <w:sz w:val="20"/>
                <w:szCs w:val="20"/>
                <w:lang w:val="fr"/>
              </w:rPr>
              <w:t>000</w:t>
            </w:r>
          </w:p>
        </w:tc>
        <w:tc>
          <w:tcPr>
            <w:tcW w:w="1708" w:type="dxa"/>
            <w:shd w:val="clear" w:color="auto" w:fill="auto"/>
            <w:hideMark/>
          </w:tcPr>
          <w:p w14:paraId="177B9E9E" w14:textId="5B07EC96" w:rsidR="00E74D0C" w:rsidRPr="000336D7" w:rsidRDefault="00E74D0C" w:rsidP="00E366E5">
            <w:pPr>
              <w:keepNext/>
              <w:jc w:val="right"/>
              <w:rPr>
                <w:b/>
                <w:bCs/>
                <w:color w:val="000000"/>
                <w:sz w:val="20"/>
                <w:szCs w:val="20"/>
              </w:rPr>
            </w:pPr>
            <w:r>
              <w:rPr>
                <w:b/>
                <w:bCs/>
                <w:color w:val="000000"/>
                <w:sz w:val="20"/>
                <w:szCs w:val="20"/>
                <w:lang w:val="fr"/>
              </w:rPr>
              <w:t>187</w:t>
            </w:r>
            <w:r w:rsidR="00DB333A">
              <w:rPr>
                <w:b/>
                <w:bCs/>
                <w:color w:val="000000"/>
                <w:sz w:val="20"/>
                <w:szCs w:val="20"/>
                <w:lang w:val="fr"/>
              </w:rPr>
              <w:t> </w:t>
            </w:r>
            <w:r>
              <w:rPr>
                <w:b/>
                <w:bCs/>
                <w:color w:val="000000"/>
                <w:sz w:val="20"/>
                <w:szCs w:val="20"/>
                <w:lang w:val="fr"/>
              </w:rPr>
              <w:t>500</w:t>
            </w:r>
          </w:p>
        </w:tc>
        <w:tc>
          <w:tcPr>
            <w:tcW w:w="1764" w:type="dxa"/>
            <w:vMerge w:val="restart"/>
            <w:shd w:val="clear" w:color="auto" w:fill="auto"/>
            <w:vAlign w:val="center"/>
            <w:hideMark/>
          </w:tcPr>
          <w:p w14:paraId="7C80BF74" w14:textId="77777777" w:rsidR="00E74D0C" w:rsidRPr="000336D7" w:rsidRDefault="00E74D0C" w:rsidP="00E366E5">
            <w:pPr>
              <w:keepNext/>
              <w:jc w:val="center"/>
              <w:rPr>
                <w:b/>
                <w:bCs/>
                <w:color w:val="000000"/>
                <w:sz w:val="20"/>
                <w:szCs w:val="20"/>
              </w:rPr>
            </w:pPr>
            <w:r>
              <w:rPr>
                <w:b/>
                <w:bCs/>
                <w:color w:val="000000"/>
                <w:sz w:val="20"/>
                <w:szCs w:val="20"/>
                <w:lang w:val="fr"/>
              </w:rPr>
              <w:t>91,9</w:t>
            </w:r>
          </w:p>
        </w:tc>
      </w:tr>
      <w:tr w:rsidR="00E74D0C" w:rsidRPr="000336D7" w14:paraId="7E42FC5F" w14:textId="77777777" w:rsidTr="00E366E5">
        <w:trPr>
          <w:trHeight w:val="238"/>
        </w:trPr>
        <w:tc>
          <w:tcPr>
            <w:tcW w:w="1185" w:type="dxa"/>
            <w:vMerge/>
            <w:hideMark/>
          </w:tcPr>
          <w:p w14:paraId="45A91FA6" w14:textId="77777777" w:rsidR="00E74D0C" w:rsidRPr="000336D7" w:rsidRDefault="00E74D0C" w:rsidP="00E366E5">
            <w:pPr>
              <w:jc w:val="left"/>
              <w:rPr>
                <w:b/>
                <w:bCs/>
                <w:color w:val="000000"/>
                <w:sz w:val="20"/>
                <w:szCs w:val="20"/>
              </w:rPr>
            </w:pPr>
          </w:p>
        </w:tc>
        <w:tc>
          <w:tcPr>
            <w:tcW w:w="1338" w:type="dxa"/>
            <w:shd w:val="clear" w:color="auto" w:fill="auto"/>
            <w:hideMark/>
          </w:tcPr>
          <w:p w14:paraId="042FF9DA" w14:textId="77777777" w:rsidR="00E74D0C" w:rsidRPr="000336D7" w:rsidRDefault="00E74D0C" w:rsidP="00E366E5">
            <w:pPr>
              <w:jc w:val="left"/>
              <w:rPr>
                <w:b/>
                <w:bCs/>
                <w:color w:val="000000"/>
                <w:sz w:val="20"/>
                <w:szCs w:val="20"/>
              </w:rPr>
            </w:pPr>
            <w:r>
              <w:rPr>
                <w:b/>
                <w:bCs/>
                <w:color w:val="000000"/>
                <w:sz w:val="20"/>
                <w:szCs w:val="20"/>
                <w:lang w:val="fr"/>
              </w:rPr>
              <w:t>Décaissé</w:t>
            </w:r>
          </w:p>
        </w:tc>
        <w:tc>
          <w:tcPr>
            <w:tcW w:w="1707" w:type="dxa"/>
            <w:shd w:val="clear" w:color="auto" w:fill="auto"/>
            <w:hideMark/>
          </w:tcPr>
          <w:p w14:paraId="3F90CBCE" w14:textId="1DB88916" w:rsidR="00E74D0C" w:rsidRPr="000336D7" w:rsidRDefault="00E74D0C" w:rsidP="00E366E5">
            <w:pPr>
              <w:jc w:val="right"/>
              <w:rPr>
                <w:b/>
                <w:bCs/>
                <w:color w:val="000000"/>
                <w:sz w:val="20"/>
                <w:szCs w:val="20"/>
              </w:rPr>
            </w:pPr>
            <w:r>
              <w:rPr>
                <w:b/>
                <w:bCs/>
                <w:color w:val="000000"/>
                <w:sz w:val="20"/>
                <w:szCs w:val="20"/>
                <w:lang w:val="fr"/>
              </w:rPr>
              <w:t>85</w:t>
            </w:r>
            <w:r w:rsidR="00DB333A">
              <w:rPr>
                <w:b/>
                <w:bCs/>
                <w:color w:val="000000"/>
                <w:sz w:val="20"/>
                <w:szCs w:val="20"/>
                <w:lang w:val="fr"/>
              </w:rPr>
              <w:t> </w:t>
            </w:r>
            <w:r>
              <w:rPr>
                <w:b/>
                <w:bCs/>
                <w:color w:val="000000"/>
                <w:sz w:val="20"/>
                <w:szCs w:val="20"/>
                <w:lang w:val="fr"/>
              </w:rPr>
              <w:t>500</w:t>
            </w:r>
          </w:p>
        </w:tc>
        <w:tc>
          <w:tcPr>
            <w:tcW w:w="1707" w:type="dxa"/>
            <w:shd w:val="clear" w:color="auto" w:fill="auto"/>
            <w:hideMark/>
          </w:tcPr>
          <w:p w14:paraId="30E76CBD" w14:textId="1AB6F6EC" w:rsidR="00E74D0C" w:rsidRPr="000336D7" w:rsidRDefault="00E74D0C" w:rsidP="00E366E5">
            <w:pPr>
              <w:jc w:val="right"/>
              <w:rPr>
                <w:b/>
                <w:bCs/>
                <w:color w:val="000000"/>
                <w:sz w:val="20"/>
                <w:szCs w:val="20"/>
              </w:rPr>
            </w:pPr>
            <w:r>
              <w:rPr>
                <w:b/>
                <w:bCs/>
                <w:color w:val="000000"/>
                <w:sz w:val="20"/>
                <w:szCs w:val="20"/>
                <w:lang w:val="fr"/>
              </w:rPr>
              <w:t>86</w:t>
            </w:r>
            <w:r w:rsidR="00DB333A">
              <w:rPr>
                <w:b/>
                <w:bCs/>
                <w:color w:val="000000"/>
                <w:sz w:val="20"/>
                <w:szCs w:val="20"/>
                <w:lang w:val="fr"/>
              </w:rPr>
              <w:t> </w:t>
            </w:r>
            <w:r>
              <w:rPr>
                <w:b/>
                <w:bCs/>
                <w:color w:val="000000"/>
                <w:sz w:val="20"/>
                <w:szCs w:val="20"/>
                <w:lang w:val="fr"/>
              </w:rPr>
              <w:t>879</w:t>
            </w:r>
          </w:p>
        </w:tc>
        <w:tc>
          <w:tcPr>
            <w:tcW w:w="1708" w:type="dxa"/>
            <w:shd w:val="clear" w:color="auto" w:fill="auto"/>
            <w:hideMark/>
          </w:tcPr>
          <w:p w14:paraId="39434C67" w14:textId="379AE22B" w:rsidR="00E74D0C" w:rsidRPr="000336D7" w:rsidRDefault="00E74D0C" w:rsidP="00E366E5">
            <w:pPr>
              <w:jc w:val="right"/>
              <w:rPr>
                <w:b/>
                <w:bCs/>
                <w:color w:val="000000"/>
                <w:sz w:val="20"/>
                <w:szCs w:val="20"/>
              </w:rPr>
            </w:pPr>
            <w:r>
              <w:rPr>
                <w:b/>
                <w:bCs/>
                <w:color w:val="000000"/>
                <w:sz w:val="20"/>
                <w:szCs w:val="20"/>
                <w:lang w:val="fr"/>
              </w:rPr>
              <w:t>172</w:t>
            </w:r>
            <w:r w:rsidR="00DB333A">
              <w:rPr>
                <w:b/>
                <w:bCs/>
                <w:color w:val="000000"/>
                <w:sz w:val="20"/>
                <w:szCs w:val="20"/>
                <w:lang w:val="fr"/>
              </w:rPr>
              <w:t> </w:t>
            </w:r>
            <w:r>
              <w:rPr>
                <w:b/>
                <w:bCs/>
                <w:color w:val="000000"/>
                <w:sz w:val="20"/>
                <w:szCs w:val="20"/>
                <w:lang w:val="fr"/>
              </w:rPr>
              <w:t>379</w:t>
            </w:r>
          </w:p>
        </w:tc>
        <w:tc>
          <w:tcPr>
            <w:tcW w:w="1764" w:type="dxa"/>
            <w:vMerge/>
            <w:vAlign w:val="center"/>
            <w:hideMark/>
          </w:tcPr>
          <w:p w14:paraId="65D6D8AB" w14:textId="77777777" w:rsidR="00E74D0C" w:rsidRPr="000336D7" w:rsidRDefault="00E74D0C" w:rsidP="00E366E5">
            <w:pPr>
              <w:jc w:val="left"/>
              <w:rPr>
                <w:b/>
                <w:bCs/>
                <w:color w:val="000000"/>
                <w:sz w:val="20"/>
                <w:szCs w:val="20"/>
              </w:rPr>
            </w:pPr>
          </w:p>
        </w:tc>
      </w:tr>
      <w:tr w:rsidR="00E74D0C" w:rsidRPr="000336D7" w14:paraId="4FA5CF0B" w14:textId="77777777" w:rsidTr="00E366E5">
        <w:trPr>
          <w:trHeight w:val="238"/>
        </w:trPr>
        <w:tc>
          <w:tcPr>
            <w:tcW w:w="1185" w:type="dxa"/>
            <w:vMerge/>
            <w:hideMark/>
          </w:tcPr>
          <w:p w14:paraId="6AD8CA0F" w14:textId="77777777" w:rsidR="00E74D0C" w:rsidRPr="000336D7" w:rsidRDefault="00E74D0C" w:rsidP="00E366E5">
            <w:pPr>
              <w:jc w:val="left"/>
              <w:rPr>
                <w:b/>
                <w:bCs/>
                <w:color w:val="000000"/>
                <w:sz w:val="20"/>
                <w:szCs w:val="20"/>
              </w:rPr>
            </w:pPr>
          </w:p>
        </w:tc>
        <w:tc>
          <w:tcPr>
            <w:tcW w:w="1338" w:type="dxa"/>
            <w:shd w:val="clear" w:color="auto" w:fill="auto"/>
            <w:hideMark/>
          </w:tcPr>
          <w:p w14:paraId="19CCA3E7" w14:textId="77777777" w:rsidR="00E74D0C" w:rsidRPr="000336D7" w:rsidRDefault="00E74D0C" w:rsidP="00E366E5">
            <w:pPr>
              <w:jc w:val="left"/>
              <w:rPr>
                <w:b/>
                <w:bCs/>
                <w:color w:val="000000"/>
                <w:sz w:val="20"/>
                <w:szCs w:val="20"/>
              </w:rPr>
            </w:pPr>
            <w:r>
              <w:rPr>
                <w:b/>
                <w:bCs/>
                <w:color w:val="000000"/>
                <w:sz w:val="20"/>
                <w:szCs w:val="20"/>
                <w:lang w:val="fr"/>
              </w:rPr>
              <w:t>Solde*</w:t>
            </w:r>
          </w:p>
        </w:tc>
        <w:tc>
          <w:tcPr>
            <w:tcW w:w="1707" w:type="dxa"/>
            <w:shd w:val="clear" w:color="auto" w:fill="auto"/>
            <w:hideMark/>
          </w:tcPr>
          <w:p w14:paraId="5AB89189" w14:textId="69A1E09D" w:rsidR="00E74D0C" w:rsidRPr="000336D7" w:rsidRDefault="00E74D0C" w:rsidP="00E366E5">
            <w:pPr>
              <w:jc w:val="right"/>
              <w:rPr>
                <w:color w:val="000000"/>
                <w:sz w:val="20"/>
                <w:szCs w:val="20"/>
              </w:rPr>
            </w:pPr>
            <w:r>
              <w:rPr>
                <w:color w:val="000000"/>
                <w:sz w:val="20"/>
                <w:szCs w:val="20"/>
                <w:lang w:val="fr"/>
              </w:rPr>
              <w:t>5</w:t>
            </w:r>
            <w:r w:rsidR="00DB333A">
              <w:rPr>
                <w:color w:val="000000"/>
                <w:sz w:val="20"/>
                <w:szCs w:val="20"/>
                <w:lang w:val="fr"/>
              </w:rPr>
              <w:t> </w:t>
            </w:r>
            <w:r>
              <w:rPr>
                <w:color w:val="000000"/>
                <w:sz w:val="20"/>
                <w:szCs w:val="20"/>
                <w:lang w:val="fr"/>
              </w:rPr>
              <w:t>000</w:t>
            </w:r>
          </w:p>
        </w:tc>
        <w:tc>
          <w:tcPr>
            <w:tcW w:w="1707" w:type="dxa"/>
            <w:shd w:val="clear" w:color="auto" w:fill="auto"/>
            <w:hideMark/>
          </w:tcPr>
          <w:p w14:paraId="75B40C95" w14:textId="70A25D18" w:rsidR="00E74D0C" w:rsidRPr="000336D7" w:rsidRDefault="00E74D0C" w:rsidP="00E366E5">
            <w:pPr>
              <w:jc w:val="right"/>
              <w:rPr>
                <w:color w:val="000000"/>
                <w:sz w:val="20"/>
                <w:szCs w:val="20"/>
              </w:rPr>
            </w:pPr>
            <w:r>
              <w:rPr>
                <w:color w:val="000000"/>
                <w:sz w:val="20"/>
                <w:szCs w:val="20"/>
                <w:lang w:val="fr"/>
              </w:rPr>
              <w:t>10</w:t>
            </w:r>
            <w:r w:rsidR="00DB333A">
              <w:rPr>
                <w:color w:val="000000"/>
                <w:sz w:val="20"/>
                <w:szCs w:val="20"/>
                <w:lang w:val="fr"/>
              </w:rPr>
              <w:t> </w:t>
            </w:r>
            <w:r>
              <w:rPr>
                <w:color w:val="000000"/>
                <w:sz w:val="20"/>
                <w:szCs w:val="20"/>
                <w:lang w:val="fr"/>
              </w:rPr>
              <w:t>121</w:t>
            </w:r>
          </w:p>
        </w:tc>
        <w:tc>
          <w:tcPr>
            <w:tcW w:w="1708" w:type="dxa"/>
            <w:shd w:val="clear" w:color="auto" w:fill="auto"/>
            <w:hideMark/>
          </w:tcPr>
          <w:p w14:paraId="1753ABD7" w14:textId="1830804F" w:rsidR="00E74D0C" w:rsidRPr="000336D7" w:rsidRDefault="00E74D0C" w:rsidP="00E366E5">
            <w:pPr>
              <w:jc w:val="right"/>
              <w:rPr>
                <w:color w:val="000000"/>
                <w:sz w:val="20"/>
                <w:szCs w:val="20"/>
              </w:rPr>
            </w:pPr>
            <w:r>
              <w:rPr>
                <w:color w:val="000000"/>
                <w:sz w:val="20"/>
                <w:szCs w:val="20"/>
                <w:lang w:val="fr"/>
              </w:rPr>
              <w:t>15</w:t>
            </w:r>
            <w:r w:rsidR="00DB333A">
              <w:rPr>
                <w:color w:val="000000"/>
                <w:sz w:val="20"/>
                <w:szCs w:val="20"/>
                <w:lang w:val="fr"/>
              </w:rPr>
              <w:t> </w:t>
            </w:r>
            <w:r>
              <w:rPr>
                <w:color w:val="000000"/>
                <w:sz w:val="20"/>
                <w:szCs w:val="20"/>
                <w:lang w:val="fr"/>
              </w:rPr>
              <w:t>121</w:t>
            </w:r>
          </w:p>
        </w:tc>
        <w:tc>
          <w:tcPr>
            <w:tcW w:w="1764" w:type="dxa"/>
            <w:vMerge/>
            <w:vAlign w:val="center"/>
            <w:hideMark/>
          </w:tcPr>
          <w:p w14:paraId="7FF40662" w14:textId="77777777" w:rsidR="00E74D0C" w:rsidRPr="000336D7" w:rsidRDefault="00E74D0C" w:rsidP="00E366E5">
            <w:pPr>
              <w:jc w:val="left"/>
              <w:rPr>
                <w:b/>
                <w:bCs/>
                <w:color w:val="000000"/>
                <w:sz w:val="20"/>
                <w:szCs w:val="20"/>
              </w:rPr>
            </w:pPr>
          </w:p>
        </w:tc>
      </w:tr>
    </w:tbl>
    <w:p w14:paraId="2704B323" w14:textId="77777777" w:rsidR="00E74D0C" w:rsidRPr="00DD7BF9" w:rsidRDefault="00E74D0C" w:rsidP="00E74D0C">
      <w:pPr>
        <w:rPr>
          <w:sz w:val="20"/>
          <w:szCs w:val="20"/>
          <w:lang w:val="fr-FR"/>
        </w:rPr>
      </w:pPr>
      <w:r>
        <w:rPr>
          <w:sz w:val="20"/>
          <w:szCs w:val="20"/>
          <w:lang w:val="fr"/>
        </w:rPr>
        <w:t>* Le solde d’un montant de 758 $ US restant de la première tranche a été restitué par l’ONUDI.</w:t>
      </w:r>
    </w:p>
    <w:p w14:paraId="7A590CE5" w14:textId="77777777" w:rsidR="00E74D0C" w:rsidRPr="00DD7BF9" w:rsidRDefault="00E74D0C" w:rsidP="00E74D0C">
      <w:pPr>
        <w:rPr>
          <w:lang w:val="fr-FR"/>
        </w:rPr>
      </w:pPr>
    </w:p>
    <w:p w14:paraId="45509C76" w14:textId="77777777" w:rsidR="00E74D0C" w:rsidRPr="00DD7BF9" w:rsidRDefault="00E74D0C" w:rsidP="00E74D0C">
      <w:pPr>
        <w:rPr>
          <w:u w:val="single"/>
          <w:lang w:val="fr-FR"/>
        </w:rPr>
      </w:pPr>
      <w:r>
        <w:rPr>
          <w:u w:val="single"/>
          <w:lang w:val="fr"/>
        </w:rPr>
        <w:t>Mise en œuvre de la quatrième et dernière tranche de la phase I du plan de gestion de l’élimination du HCFC (PGEH)</w:t>
      </w:r>
    </w:p>
    <w:p w14:paraId="408F2AAB" w14:textId="77777777" w:rsidR="00E74D0C" w:rsidRPr="00DD7BF9" w:rsidRDefault="00E74D0C" w:rsidP="00E74D0C">
      <w:pPr>
        <w:rPr>
          <w:lang w:val="fr-FR"/>
        </w:rPr>
      </w:pPr>
    </w:p>
    <w:p w14:paraId="4F64A6C1" w14:textId="77777777" w:rsidR="00E74D0C" w:rsidRPr="00DD7BF9" w:rsidRDefault="00E74D0C" w:rsidP="00E74D0C">
      <w:pPr>
        <w:pStyle w:val="Heading1"/>
        <w:rPr>
          <w:lang w:val="fr-FR"/>
        </w:rPr>
      </w:pPr>
      <w:bookmarkStart w:id="0" w:name="_Hlk126934425"/>
      <w:bookmarkStart w:id="1" w:name="_Hlk126663552"/>
      <w:r>
        <w:rPr>
          <w:lang w:val="fr"/>
        </w:rPr>
        <w:t>Les activités suivantes seront mises en œuvre entre juillet 2023 et décembre 2025 :</w:t>
      </w:r>
    </w:p>
    <w:p w14:paraId="635E22A3" w14:textId="503B0A81" w:rsidR="00E74D0C" w:rsidRPr="00DD7BF9" w:rsidRDefault="00E74D0C" w:rsidP="00E74D0C">
      <w:pPr>
        <w:pStyle w:val="Heading2"/>
        <w:numPr>
          <w:ilvl w:val="1"/>
          <w:numId w:val="1"/>
        </w:numPr>
        <w:rPr>
          <w:lang w:val="fr-FR"/>
        </w:rPr>
      </w:pPr>
      <w:r>
        <w:rPr>
          <w:lang w:val="fr"/>
        </w:rPr>
        <w:t>Poursuite du développement et de la mise en œuvre du système d’octroi de licence en ligne pour le traitement des demandes de permis d’importation (en collaboration avec le ministère des Affaires économiques)</w:t>
      </w:r>
      <w:r w:rsidR="00DB333A">
        <w:rPr>
          <w:lang w:val="fr"/>
        </w:rPr>
        <w:t> </w:t>
      </w:r>
      <w:r>
        <w:rPr>
          <w:lang w:val="fr"/>
        </w:rPr>
        <w:t>; formation de l’UNO à l’utilisation du SYDONIA en vue d’une vérification indépendante des importations de frigorigènes communiquées (PNUE) (pas de financement demandé)</w:t>
      </w:r>
      <w:r w:rsidR="00DB333A">
        <w:rPr>
          <w:lang w:val="fr"/>
        </w:rPr>
        <w:t> </w:t>
      </w:r>
      <w:r>
        <w:rPr>
          <w:lang w:val="fr"/>
        </w:rPr>
        <w:t>;</w:t>
      </w:r>
    </w:p>
    <w:p w14:paraId="2D63AFF7" w14:textId="4771FAAD" w:rsidR="00E74D0C" w:rsidRPr="00DD7BF9" w:rsidRDefault="00E74D0C" w:rsidP="00E74D0C">
      <w:pPr>
        <w:pStyle w:val="Heading2"/>
        <w:numPr>
          <w:ilvl w:val="1"/>
          <w:numId w:val="1"/>
        </w:numPr>
        <w:rPr>
          <w:lang w:val="fr-FR"/>
        </w:rPr>
      </w:pPr>
      <w:r>
        <w:rPr>
          <w:lang w:val="fr"/>
        </w:rPr>
        <w:t xml:space="preserve">Formation de 15 agents des douanes, de cinq agents du Bureau des normes et de personnel de l’UNO, dans le cadre de deux ateliers pour chaque groupe, sur la collecte des données, les </w:t>
      </w:r>
      <w:r w:rsidR="003C664E">
        <w:rPr>
          <w:lang w:val="fr"/>
        </w:rPr>
        <w:t>directives</w:t>
      </w:r>
      <w:r>
        <w:rPr>
          <w:lang w:val="fr"/>
        </w:rPr>
        <w:t xml:space="preserve"> d’importation des SAO, la supervision des données d’importation et d’exportation dans SYDONIA, le système d’e-licence, l’utilisation correcte de la description des produits et des bons codes du Système harmonisé (SH), et le commerce illégal des substances prohibées (PNUE) (1 500 $ US)</w:t>
      </w:r>
      <w:r w:rsidR="00DB333A">
        <w:rPr>
          <w:lang w:val="fr"/>
        </w:rPr>
        <w:t> </w:t>
      </w:r>
      <w:r>
        <w:rPr>
          <w:lang w:val="fr"/>
        </w:rPr>
        <w:t>;</w:t>
      </w:r>
    </w:p>
    <w:p w14:paraId="64626E05" w14:textId="7BC4DFB9" w:rsidR="00E74D0C" w:rsidRPr="00DD7BF9" w:rsidRDefault="00E74D0C" w:rsidP="00E74D0C">
      <w:pPr>
        <w:pStyle w:val="Heading2"/>
        <w:numPr>
          <w:ilvl w:val="1"/>
          <w:numId w:val="1"/>
        </w:numPr>
        <w:rPr>
          <w:lang w:val="fr-FR"/>
        </w:rPr>
      </w:pPr>
      <w:r>
        <w:rPr>
          <w:lang w:val="fr"/>
        </w:rPr>
        <w:t>Formation de 10 courtiers en douane dans le cadre de deux ateliers sur l’identification correcte des SAO et des équipements utilisant des SAO et la saisie des données dans SYDONIA, comprenant l’utilisation correcte des derniers codes SH (2012 et 2022 une fois adoptés par la Communauté des Caraïbes (CARICOM)</w:t>
      </w:r>
      <w:r w:rsidR="003C664E">
        <w:rPr>
          <w:lang w:val="fr"/>
        </w:rPr>
        <w:t>) (PNUE) (2 000 $ US)</w:t>
      </w:r>
      <w:r w:rsidR="00DB333A">
        <w:rPr>
          <w:lang w:val="fr"/>
        </w:rPr>
        <w:t> </w:t>
      </w:r>
      <w:r w:rsidR="003C664E">
        <w:rPr>
          <w:lang w:val="fr"/>
        </w:rPr>
        <w:t>;</w:t>
      </w:r>
    </w:p>
    <w:p w14:paraId="2F23A71C" w14:textId="67E5044F" w:rsidR="00E74D0C" w:rsidRPr="00DD7BF9" w:rsidRDefault="00E74D0C" w:rsidP="00E74D0C">
      <w:pPr>
        <w:pStyle w:val="Heading2"/>
        <w:numPr>
          <w:ilvl w:val="1"/>
          <w:numId w:val="1"/>
        </w:numPr>
        <w:rPr>
          <w:lang w:val="fr-FR"/>
        </w:rPr>
      </w:pPr>
      <w:r>
        <w:rPr>
          <w:lang w:val="fr"/>
        </w:rPr>
        <w:t xml:space="preserve">Formation des importateurs et des revendeurs </w:t>
      </w:r>
      <w:r w:rsidR="00D36E05">
        <w:rPr>
          <w:lang w:val="fr"/>
        </w:rPr>
        <w:t xml:space="preserve">de frigorigènes </w:t>
      </w:r>
      <w:r>
        <w:rPr>
          <w:lang w:val="fr"/>
        </w:rPr>
        <w:t xml:space="preserve">à la procédure d’importation de HCFC, au système national de quotas, à l’enregistrement des données relatives à l’importation de tous les frigorigènes, la préparation des rapports corrects pour l’UNO, et </w:t>
      </w:r>
      <w:r w:rsidR="00D36E05">
        <w:rPr>
          <w:lang w:val="fr"/>
        </w:rPr>
        <w:t>aux</w:t>
      </w:r>
      <w:r>
        <w:rPr>
          <w:lang w:val="fr"/>
        </w:rPr>
        <w:t xml:space="preserve"> </w:t>
      </w:r>
      <w:r w:rsidR="00D36E05">
        <w:rPr>
          <w:lang w:val="fr"/>
        </w:rPr>
        <w:t>répercussions en cas</w:t>
      </w:r>
      <w:r>
        <w:rPr>
          <w:lang w:val="fr"/>
        </w:rPr>
        <w:t xml:space="preserve"> de violation du système d’octroi de licences et de quotas (PNUE) (1 000 $ US)</w:t>
      </w:r>
      <w:r w:rsidR="00DB333A">
        <w:rPr>
          <w:lang w:val="fr"/>
        </w:rPr>
        <w:t> </w:t>
      </w:r>
      <w:r>
        <w:rPr>
          <w:lang w:val="fr"/>
        </w:rPr>
        <w:t>;</w:t>
      </w:r>
    </w:p>
    <w:p w14:paraId="05CEA93A" w14:textId="42509909" w:rsidR="00E74D0C" w:rsidRPr="00DD7BF9" w:rsidRDefault="00E74D0C" w:rsidP="00E74D0C">
      <w:pPr>
        <w:pStyle w:val="Heading2"/>
        <w:numPr>
          <w:ilvl w:val="1"/>
          <w:numId w:val="1"/>
        </w:numPr>
        <w:rPr>
          <w:lang w:val="fr-FR"/>
        </w:rPr>
      </w:pPr>
      <w:r>
        <w:rPr>
          <w:lang w:val="fr"/>
        </w:rPr>
        <w:t>Formation de 30 techniciens frigoristes dans le cadre de deux ateliers portant sur les bonnes pratiques d’entretien et l’utilisation de nouveaux frigorigènes de remplacement (PNUE) (2 000 $ US)</w:t>
      </w:r>
      <w:r w:rsidR="00DB333A">
        <w:rPr>
          <w:lang w:val="fr"/>
        </w:rPr>
        <w:t> </w:t>
      </w:r>
      <w:r>
        <w:rPr>
          <w:lang w:val="fr"/>
        </w:rPr>
        <w:t>;</w:t>
      </w:r>
    </w:p>
    <w:p w14:paraId="643ED78E" w14:textId="27E17278" w:rsidR="00E74D0C" w:rsidRPr="00DD7BF9" w:rsidRDefault="00E74D0C" w:rsidP="00E74D0C">
      <w:pPr>
        <w:pStyle w:val="Heading2"/>
        <w:numPr>
          <w:ilvl w:val="1"/>
          <w:numId w:val="1"/>
        </w:numPr>
        <w:rPr>
          <w:lang w:val="fr-FR"/>
        </w:rPr>
      </w:pPr>
      <w:r>
        <w:rPr>
          <w:lang w:val="fr"/>
        </w:rPr>
        <w:t>Évaluation des risques et mise à niveau des centres de formation/ateliers privés sélectionnés par l’UNO comme bénéficiaires</w:t>
      </w:r>
      <w:r w:rsidR="00DB333A">
        <w:rPr>
          <w:lang w:val="fr"/>
        </w:rPr>
        <w:t> </w:t>
      </w:r>
      <w:r>
        <w:rPr>
          <w:lang w:val="fr"/>
        </w:rPr>
        <w:t>; achat de quelques kits de machines de recyclage pour A2L</w:t>
      </w:r>
      <w:r w:rsidR="00DB333A">
        <w:rPr>
          <w:lang w:val="fr"/>
        </w:rPr>
        <w:t> </w:t>
      </w:r>
      <w:r>
        <w:rPr>
          <w:lang w:val="fr"/>
        </w:rPr>
        <w:t>; de station de charge pour hydrocarbures (HC)</w:t>
      </w:r>
      <w:r w:rsidR="00DB333A">
        <w:rPr>
          <w:lang w:val="fr"/>
        </w:rPr>
        <w:t> </w:t>
      </w:r>
      <w:r>
        <w:rPr>
          <w:lang w:val="fr"/>
        </w:rPr>
        <w:t xml:space="preserve">; de détecteurs de fuite </w:t>
      </w:r>
      <w:r>
        <w:rPr>
          <w:lang w:val="fr"/>
        </w:rPr>
        <w:lastRenderedPageBreak/>
        <w:t xml:space="preserve">d’hydrocarbures et de kits </w:t>
      </w:r>
      <w:proofErr w:type="spellStart"/>
      <w:r>
        <w:rPr>
          <w:lang w:val="fr"/>
        </w:rPr>
        <w:t>lokring</w:t>
      </w:r>
      <w:proofErr w:type="spellEnd"/>
      <w:r>
        <w:rPr>
          <w:lang w:val="fr"/>
        </w:rPr>
        <w:t xml:space="preserve"> (ONUDI) (9 000 $ US plus le solde restant de la tranche précédente)</w:t>
      </w:r>
      <w:r w:rsidR="00DB333A">
        <w:rPr>
          <w:lang w:val="fr"/>
        </w:rPr>
        <w:t> </w:t>
      </w:r>
      <w:r>
        <w:rPr>
          <w:lang w:val="fr"/>
        </w:rPr>
        <w:t>;</w:t>
      </w:r>
    </w:p>
    <w:p w14:paraId="59E05959" w14:textId="70F172D2" w:rsidR="00E74D0C" w:rsidRPr="00DD7BF9" w:rsidRDefault="00E74D0C" w:rsidP="00E74D0C">
      <w:pPr>
        <w:pStyle w:val="Heading2"/>
        <w:numPr>
          <w:ilvl w:val="1"/>
          <w:numId w:val="1"/>
        </w:numPr>
        <w:rPr>
          <w:lang w:val="fr-FR"/>
        </w:rPr>
      </w:pPr>
      <w:r>
        <w:rPr>
          <w:lang w:val="fr"/>
        </w:rPr>
        <w:t>Session</w:t>
      </w:r>
      <w:r w:rsidR="00D36E05">
        <w:rPr>
          <w:lang w:val="fr"/>
        </w:rPr>
        <w:t>s</w:t>
      </w:r>
      <w:r>
        <w:rPr>
          <w:lang w:val="fr"/>
        </w:rPr>
        <w:t xml:space="preserve"> de sensibilisation concernant le secteur de l’entretien des systèmes de réfrigération afin d’encourager la conformité avec les dispositions du système d’octroi de licences et de quotas</w:t>
      </w:r>
      <w:r w:rsidR="00DB333A">
        <w:rPr>
          <w:lang w:val="fr"/>
        </w:rPr>
        <w:t> </w:t>
      </w:r>
      <w:r>
        <w:rPr>
          <w:lang w:val="fr"/>
        </w:rPr>
        <w:t xml:space="preserve">; sessions de sensibilisation des parties prenantes aux </w:t>
      </w:r>
      <w:r w:rsidR="00D36E05">
        <w:rPr>
          <w:lang w:val="fr"/>
        </w:rPr>
        <w:t>répercussions en cas</w:t>
      </w:r>
      <w:r>
        <w:rPr>
          <w:lang w:val="fr"/>
        </w:rPr>
        <w:t xml:space="preserve"> de violation du système d’octroi de licences et de quotas via divers médias</w:t>
      </w:r>
      <w:r w:rsidR="00DB333A">
        <w:rPr>
          <w:lang w:val="fr"/>
        </w:rPr>
        <w:t> </w:t>
      </w:r>
      <w:r>
        <w:rPr>
          <w:lang w:val="fr"/>
        </w:rPr>
        <w:t>; réimpression des supports éducatifs et de sensibilisation du public pour y inclure les frigorigènes de remplacement (PNUE) (3 000 $ US)</w:t>
      </w:r>
      <w:r w:rsidR="00DB333A">
        <w:rPr>
          <w:lang w:val="fr"/>
        </w:rPr>
        <w:t> </w:t>
      </w:r>
      <w:r>
        <w:rPr>
          <w:lang w:val="fr"/>
        </w:rPr>
        <w:t>;</w:t>
      </w:r>
    </w:p>
    <w:p w14:paraId="0ED0815A" w14:textId="1174C648" w:rsidR="00E74D0C" w:rsidRPr="00DD7BF9" w:rsidRDefault="00E74D0C" w:rsidP="00E74D0C">
      <w:pPr>
        <w:pStyle w:val="Heading2"/>
        <w:numPr>
          <w:ilvl w:val="1"/>
          <w:numId w:val="1"/>
        </w:numPr>
        <w:rPr>
          <w:lang w:val="fr-FR"/>
        </w:rPr>
      </w:pPr>
      <w:r>
        <w:rPr>
          <w:lang w:val="fr"/>
        </w:rPr>
        <w:t>Réunions de sensibilisation avec le directeur de l’unité de délivrance de permis au sein du ministère des Affaires économiques pour fournir une information détaillée sur les procédures de délivrance de permis (pas de financement demandé)</w:t>
      </w:r>
      <w:r w:rsidR="00DB333A">
        <w:rPr>
          <w:lang w:val="fr"/>
        </w:rPr>
        <w:t> </w:t>
      </w:r>
      <w:r>
        <w:rPr>
          <w:lang w:val="fr"/>
        </w:rPr>
        <w:t>; et</w:t>
      </w:r>
    </w:p>
    <w:p w14:paraId="6FFF2140" w14:textId="14FEED2E" w:rsidR="00E74D0C" w:rsidRPr="00DD7BF9" w:rsidRDefault="00E74D0C" w:rsidP="00E74D0C">
      <w:pPr>
        <w:pStyle w:val="Heading2"/>
        <w:widowControl/>
        <w:numPr>
          <w:ilvl w:val="1"/>
          <w:numId w:val="1"/>
        </w:numPr>
        <w:rPr>
          <w:lang w:val="fr-FR"/>
        </w:rPr>
      </w:pPr>
      <w:r>
        <w:rPr>
          <w:lang w:val="fr"/>
        </w:rPr>
        <w:t>Supervision de projet (4</w:t>
      </w:r>
      <w:r w:rsidR="00DB333A">
        <w:rPr>
          <w:lang w:val="fr"/>
        </w:rPr>
        <w:t> </w:t>
      </w:r>
      <w:r>
        <w:rPr>
          <w:lang w:val="fr"/>
        </w:rPr>
        <w:t>000 $ US). Coordination et gestion du PGEH comprenant la supervision et la communication des données</w:t>
      </w:r>
      <w:r w:rsidR="00DB333A">
        <w:rPr>
          <w:lang w:val="fr"/>
        </w:rPr>
        <w:t> </w:t>
      </w:r>
      <w:r>
        <w:rPr>
          <w:lang w:val="fr"/>
        </w:rPr>
        <w:t xml:space="preserve">; la maintenance de la structure existante par laquelle l’UNO an sein de l’Institut nation pour l’Environnement et le Développement (NIMOS) est responsable de l’exécution au quotidien du programme de protection de la couche d’ozone, comprenant la mise en œuvre du PGEH. </w:t>
      </w:r>
    </w:p>
    <w:p w14:paraId="29AB8000" w14:textId="77777777" w:rsidR="00E74D0C" w:rsidRPr="00DD7BF9" w:rsidRDefault="00E74D0C" w:rsidP="00E74D0C">
      <w:pPr>
        <w:rPr>
          <w:lang w:val="fr-FR"/>
        </w:rPr>
      </w:pPr>
      <w:bookmarkStart w:id="2" w:name="_Hlk126934504"/>
      <w:bookmarkEnd w:id="0"/>
      <w:bookmarkEnd w:id="1"/>
    </w:p>
    <w:bookmarkEnd w:id="2"/>
    <w:p w14:paraId="335A3B45" w14:textId="77777777" w:rsidR="00E74D0C" w:rsidRPr="00DD7BF9" w:rsidRDefault="00E74D0C" w:rsidP="00E74D0C">
      <w:pPr>
        <w:keepNext/>
        <w:keepLines/>
        <w:jc w:val="center"/>
        <w:rPr>
          <w:b/>
          <w:lang w:val="fr-FR"/>
        </w:rPr>
      </w:pPr>
      <w:r>
        <w:rPr>
          <w:b/>
          <w:bCs/>
          <w:lang w:val="fr"/>
        </w:rPr>
        <w:t>OBSERVATIONS ET RECOMMANDATION DU SECRÉTARIAT</w:t>
      </w:r>
    </w:p>
    <w:p w14:paraId="27A0938B" w14:textId="77777777" w:rsidR="00E74D0C" w:rsidRPr="00DD7BF9" w:rsidRDefault="00E74D0C" w:rsidP="00E74D0C">
      <w:pPr>
        <w:keepNext/>
        <w:keepLines/>
        <w:rPr>
          <w:lang w:val="fr-FR"/>
        </w:rPr>
      </w:pPr>
    </w:p>
    <w:p w14:paraId="56490E4A" w14:textId="77777777" w:rsidR="00E74D0C" w:rsidRPr="00DD7BF9" w:rsidRDefault="00E74D0C" w:rsidP="00E74D0C">
      <w:pPr>
        <w:keepNext/>
        <w:keepLines/>
        <w:rPr>
          <w:b/>
          <w:lang w:val="fr-FR"/>
        </w:rPr>
      </w:pPr>
      <w:r>
        <w:rPr>
          <w:b/>
          <w:bCs/>
          <w:lang w:val="fr"/>
        </w:rPr>
        <w:t>OBSERVATIONS</w:t>
      </w:r>
    </w:p>
    <w:p w14:paraId="4BB62212" w14:textId="77777777" w:rsidR="00E74D0C" w:rsidRPr="00DD7BF9" w:rsidRDefault="00E74D0C" w:rsidP="00E74D0C">
      <w:pPr>
        <w:keepNext/>
        <w:keepLines/>
        <w:rPr>
          <w:lang w:val="fr-FR"/>
        </w:rPr>
      </w:pPr>
    </w:p>
    <w:p w14:paraId="2545E9AD" w14:textId="77777777" w:rsidR="00E74D0C" w:rsidRPr="00DD7BF9" w:rsidRDefault="00E74D0C" w:rsidP="00E74D0C">
      <w:pPr>
        <w:keepNext/>
        <w:keepLines/>
        <w:rPr>
          <w:u w:val="single"/>
          <w:lang w:val="fr-FR"/>
        </w:rPr>
      </w:pPr>
      <w:r>
        <w:rPr>
          <w:u w:val="single"/>
          <w:lang w:val="fr"/>
        </w:rPr>
        <w:t>Retard de soumission de la demande de la présente tranche</w:t>
      </w:r>
    </w:p>
    <w:p w14:paraId="06226339" w14:textId="77777777" w:rsidR="00E74D0C" w:rsidRPr="00DD7BF9" w:rsidRDefault="00E74D0C" w:rsidP="00E74D0C">
      <w:pPr>
        <w:keepNext/>
        <w:keepLines/>
        <w:rPr>
          <w:u w:val="single"/>
          <w:lang w:val="fr-FR"/>
        </w:rPr>
      </w:pPr>
    </w:p>
    <w:p w14:paraId="70453F38" w14:textId="20D190EE" w:rsidR="00E74D0C" w:rsidRPr="00DD7BF9" w:rsidRDefault="00E74D0C" w:rsidP="00E74D0C">
      <w:pPr>
        <w:pStyle w:val="Heading1"/>
        <w:rPr>
          <w:lang w:val="fr-FR"/>
        </w:rPr>
      </w:pPr>
      <w:r>
        <w:rPr>
          <w:lang w:val="fr"/>
        </w:rPr>
        <w:t xml:space="preserve">Le PNUE a clarifié que le retard de soumission de la quatrième tranche était principalement dû aux contraintes liées à la pandémie de COVID-19, ainsi qu’à des modifications dans la structure administrative qui ont mené </w:t>
      </w:r>
      <w:r w:rsidR="00EB68C7">
        <w:rPr>
          <w:lang w:val="fr"/>
        </w:rPr>
        <w:t>au transfert</w:t>
      </w:r>
      <w:r>
        <w:rPr>
          <w:lang w:val="fr"/>
        </w:rPr>
        <w:t xml:space="preserve"> des opérations de l’UNO du NIMOS vers l’Autorité nationale de l’environnement (NEA) à partir du troisième trimestre 2022 et </w:t>
      </w:r>
      <w:r w:rsidR="00EB68C7">
        <w:rPr>
          <w:lang w:val="fr"/>
        </w:rPr>
        <w:t xml:space="preserve">qui devrait </w:t>
      </w:r>
      <w:r>
        <w:rPr>
          <w:lang w:val="fr"/>
        </w:rPr>
        <w:t xml:space="preserve">être </w:t>
      </w:r>
      <w:r w:rsidR="00EB68C7">
        <w:rPr>
          <w:lang w:val="fr"/>
        </w:rPr>
        <w:t>achevé</w:t>
      </w:r>
      <w:r>
        <w:rPr>
          <w:lang w:val="fr"/>
        </w:rPr>
        <w:t xml:space="preserve"> d’ici le deuxième trimestre 2023. Le PNUE a expliqué qu’avec la résolution de ces problèmes administratifs, toutes les activités planifiées dans le cadre de la quatrième tranche de la phase I du PGEH seraient mises en œuvre dans les temps.</w:t>
      </w:r>
    </w:p>
    <w:p w14:paraId="2B974C6B" w14:textId="77777777" w:rsidR="00E74D0C" w:rsidRPr="00DD7BF9" w:rsidRDefault="00E74D0C" w:rsidP="00E74D0C">
      <w:pPr>
        <w:rPr>
          <w:u w:val="single"/>
          <w:lang w:val="fr-FR"/>
        </w:rPr>
      </w:pPr>
      <w:r>
        <w:rPr>
          <w:u w:val="single"/>
          <w:lang w:val="fr"/>
        </w:rPr>
        <w:t>Étude de la demande de la présente tranche</w:t>
      </w:r>
    </w:p>
    <w:p w14:paraId="665B6F1F" w14:textId="77777777" w:rsidR="00E74D0C" w:rsidRPr="00DD7BF9" w:rsidRDefault="00E74D0C" w:rsidP="00E74D0C">
      <w:pPr>
        <w:rPr>
          <w:u w:val="single"/>
          <w:lang w:val="fr-FR"/>
        </w:rPr>
      </w:pPr>
    </w:p>
    <w:p w14:paraId="5CC2F8B0" w14:textId="4BB67A7F" w:rsidR="00E74D0C" w:rsidRPr="00DD7BF9" w:rsidRDefault="00E74D0C" w:rsidP="00E74D0C">
      <w:pPr>
        <w:pStyle w:val="Heading1"/>
        <w:rPr>
          <w:lang w:val="fr-FR"/>
        </w:rPr>
      </w:pPr>
      <w:r>
        <w:rPr>
          <w:lang w:val="fr"/>
        </w:rPr>
        <w:t>Le Secrétariat a mené des consultations avec le PNUE afin de déterminer si les activités identifiées au paragraphe 155 du document UNEP/</w:t>
      </w:r>
      <w:proofErr w:type="spellStart"/>
      <w:r>
        <w:rPr>
          <w:lang w:val="fr"/>
        </w:rPr>
        <w:t>OzL.Pro</w:t>
      </w:r>
      <w:proofErr w:type="spellEnd"/>
      <w:r>
        <w:rPr>
          <w:lang w:val="fr"/>
        </w:rPr>
        <w:t>/</w:t>
      </w:r>
      <w:proofErr w:type="spellStart"/>
      <w:r>
        <w:rPr>
          <w:lang w:val="fr"/>
        </w:rPr>
        <w:t>ExCom</w:t>
      </w:r>
      <w:proofErr w:type="spellEnd"/>
      <w:r>
        <w:rPr>
          <w:lang w:val="fr"/>
        </w:rPr>
        <w:t>/83/11</w:t>
      </w:r>
      <w:r>
        <w:rPr>
          <w:rStyle w:val="FootnoteReference"/>
          <w:lang w:val="fr"/>
        </w:rPr>
        <w:footnoteReference w:id="3"/>
      </w:r>
      <w:r>
        <w:rPr>
          <w:lang w:val="fr"/>
        </w:rPr>
        <w:t xml:space="preserve"> liées au renforcement du système d’octroi de licences et de quotas du Suriname avaient été mises en œuvre. Le PNUE a expliqué que l’UNO avait pris des mesures relatives à la formation et mené des consultations concernant les exigences obligatoires des lettres d’approbation tacite de l’UNO pour la soumission des </w:t>
      </w:r>
      <w:r w:rsidR="00EB68C7">
        <w:rPr>
          <w:lang w:val="fr"/>
        </w:rPr>
        <w:t>demandes</w:t>
      </w:r>
      <w:r>
        <w:rPr>
          <w:lang w:val="fr"/>
        </w:rPr>
        <w:t xml:space="preserve"> </w:t>
      </w:r>
      <w:r w:rsidR="00693AB6">
        <w:rPr>
          <w:lang w:val="fr"/>
        </w:rPr>
        <w:t>d’</w:t>
      </w:r>
      <w:r>
        <w:rPr>
          <w:lang w:val="fr"/>
        </w:rPr>
        <w:t xml:space="preserve">importations de HCFC au ministère des Affaires économiques, </w:t>
      </w:r>
      <w:r w:rsidR="00693AB6">
        <w:rPr>
          <w:lang w:val="fr"/>
        </w:rPr>
        <w:t xml:space="preserve">à </w:t>
      </w:r>
      <w:r>
        <w:rPr>
          <w:lang w:val="fr"/>
        </w:rPr>
        <w:t xml:space="preserve">la formation des courtiers en douane et des agents des douanes sur la description correcte des produits contenant du HCFC et leurs codes SH et </w:t>
      </w:r>
      <w:r w:rsidR="00693AB6">
        <w:rPr>
          <w:lang w:val="fr"/>
        </w:rPr>
        <w:t xml:space="preserve">sur </w:t>
      </w:r>
      <w:r>
        <w:rPr>
          <w:lang w:val="fr"/>
        </w:rPr>
        <w:t>le partage des données entre les douanes et le ministère du Commerce, de l’Industrie et du Tourisme</w:t>
      </w:r>
      <w:r w:rsidR="00DB333A">
        <w:rPr>
          <w:lang w:val="fr"/>
        </w:rPr>
        <w:t> </w:t>
      </w:r>
      <w:r>
        <w:rPr>
          <w:lang w:val="fr"/>
        </w:rPr>
        <w:t xml:space="preserve">; l’UNO est aussi en train de travailler à la mise en œuvre d’un système en ligne de </w:t>
      </w:r>
      <w:r w:rsidR="00693AB6">
        <w:rPr>
          <w:lang w:val="fr"/>
        </w:rPr>
        <w:t>validation</w:t>
      </w:r>
      <w:r>
        <w:rPr>
          <w:lang w:val="fr"/>
        </w:rPr>
        <w:t xml:space="preserve"> de</w:t>
      </w:r>
      <w:r w:rsidR="00693AB6">
        <w:rPr>
          <w:lang w:val="fr"/>
        </w:rPr>
        <w:t>s</w:t>
      </w:r>
      <w:r>
        <w:rPr>
          <w:lang w:val="fr"/>
        </w:rPr>
        <w:t xml:space="preserve"> permis d’importation </w:t>
      </w:r>
      <w:r w:rsidR="00693AB6">
        <w:rPr>
          <w:lang w:val="fr"/>
        </w:rPr>
        <w:t>de</w:t>
      </w:r>
      <w:r>
        <w:rPr>
          <w:lang w:val="fr"/>
        </w:rPr>
        <w:t xml:space="preserve"> frigorigènes comprenant la confirmation des codes SH exacts pour les frigorigènes avant la délivrance des permis d’importation. Le PNUE a aussi expliqué qu’en raison de </w:t>
      </w:r>
      <w:r w:rsidR="00693AB6">
        <w:rPr>
          <w:lang w:val="fr"/>
        </w:rPr>
        <w:t>changement</w:t>
      </w:r>
      <w:r>
        <w:rPr>
          <w:lang w:val="fr"/>
        </w:rPr>
        <w:t xml:space="preserve"> de personnel au sein du ministère des Affaires économiques, des consultations supplémentaires sont nécessaires pour garantir que le ministère est bien au courant </w:t>
      </w:r>
      <w:r w:rsidR="00693AB6">
        <w:rPr>
          <w:lang w:val="fr"/>
        </w:rPr>
        <w:t>de l’exigence</w:t>
      </w:r>
      <w:r>
        <w:rPr>
          <w:lang w:val="fr"/>
        </w:rPr>
        <w:t xml:space="preserve"> d</w:t>
      </w:r>
      <w:r w:rsidR="00693AB6">
        <w:rPr>
          <w:lang w:val="fr"/>
        </w:rPr>
        <w:t>’une</w:t>
      </w:r>
      <w:r>
        <w:rPr>
          <w:lang w:val="fr"/>
        </w:rPr>
        <w:t xml:space="preserve"> lettre d’approbation tacite</w:t>
      </w:r>
      <w:r w:rsidR="00DB333A">
        <w:rPr>
          <w:lang w:val="fr"/>
        </w:rPr>
        <w:t> </w:t>
      </w:r>
      <w:r>
        <w:rPr>
          <w:lang w:val="fr"/>
        </w:rPr>
        <w:t xml:space="preserve">; et une formation supplémentaire est nécessaire pour les agents des douanes et des forces de l’ordre ainsi que les courtiers en douane concernant les procédures d’importation des frigorigènes et l’usage correct des codes SH. Ces activités seront mises en </w:t>
      </w:r>
      <w:r>
        <w:rPr>
          <w:lang w:val="fr"/>
        </w:rPr>
        <w:lastRenderedPageBreak/>
        <w:t xml:space="preserve">œuvre de manière prioritaire pendant la mise en œuvre de la quatrième tranche de la phase I du PGEH. Le Secrétariat note que bien que la mise en œuvre des mesures identifiées de renforcement du système d’octroi de licences et de quotas de HCFC au Suriname ait avancé, des activités supplémentaires telles qu’identifiées dans le rapport de vérification doivent être mises en œuvre. </w:t>
      </w:r>
    </w:p>
    <w:p w14:paraId="3ECB5E84" w14:textId="77777777" w:rsidR="00E74D0C" w:rsidRPr="00DD7BF9" w:rsidRDefault="00E74D0C" w:rsidP="00E74D0C">
      <w:pPr>
        <w:keepNext/>
        <w:keepLines/>
        <w:rPr>
          <w:u w:val="single"/>
          <w:lang w:val="fr-FR"/>
        </w:rPr>
      </w:pPr>
      <w:r>
        <w:rPr>
          <w:u w:val="single"/>
          <w:lang w:val="fr"/>
        </w:rPr>
        <w:t>Rapport sur la consommation de HCFC</w:t>
      </w:r>
    </w:p>
    <w:p w14:paraId="1AF5BAFB" w14:textId="77777777" w:rsidR="00E74D0C" w:rsidRPr="00DD7BF9" w:rsidRDefault="00E74D0C" w:rsidP="00E74D0C">
      <w:pPr>
        <w:keepNext/>
        <w:keepLines/>
        <w:rPr>
          <w:u w:val="single"/>
          <w:lang w:val="fr-FR"/>
        </w:rPr>
      </w:pPr>
    </w:p>
    <w:p w14:paraId="6012FE88" w14:textId="752B3A40" w:rsidR="00E74D0C" w:rsidRPr="00DD7BF9" w:rsidRDefault="00E74D0C" w:rsidP="00E74D0C">
      <w:pPr>
        <w:pStyle w:val="Heading1"/>
        <w:rPr>
          <w:lang w:val="fr-FR"/>
        </w:rPr>
      </w:pPr>
      <w:r>
        <w:rPr>
          <w:lang w:val="fr"/>
        </w:rPr>
        <w:t>Concernant la différence de consommation de HCFC-22 communiquée pour 2020 identifiée dans le rapport de vérification, le PNUE a expliqué que les importations réelles de cette année</w:t>
      </w:r>
      <w:r w:rsidR="00693AB6">
        <w:rPr>
          <w:lang w:val="fr"/>
        </w:rPr>
        <w:t>-là</w:t>
      </w:r>
      <w:r>
        <w:rPr>
          <w:lang w:val="fr"/>
        </w:rPr>
        <w:t>, telles que confirmées dans le rapport de vérification, étaient de 6,20 </w:t>
      </w:r>
      <w:proofErr w:type="spellStart"/>
      <w:r>
        <w:rPr>
          <w:lang w:val="fr"/>
        </w:rPr>
        <w:t>tm</w:t>
      </w:r>
      <w:proofErr w:type="spellEnd"/>
      <w:r>
        <w:rPr>
          <w:lang w:val="fr"/>
        </w:rPr>
        <w:t xml:space="preserve"> (0,34 tonne PAO) au lieu des 5,00 </w:t>
      </w:r>
      <w:proofErr w:type="spellStart"/>
      <w:r>
        <w:rPr>
          <w:lang w:val="fr"/>
        </w:rPr>
        <w:t>tm</w:t>
      </w:r>
      <w:proofErr w:type="spellEnd"/>
      <w:r>
        <w:rPr>
          <w:lang w:val="fr"/>
        </w:rPr>
        <w:t xml:space="preserve"> communiquées au titre de l’article 7. Le PNUE a aussi confirmé que la consommation révisée serait communiquée aux Secrétariats de l’Ozone et du Fonds.</w:t>
      </w:r>
    </w:p>
    <w:p w14:paraId="53BB8EF5" w14:textId="77777777" w:rsidR="00E74D0C" w:rsidRPr="000336D7" w:rsidRDefault="00E74D0C" w:rsidP="00E74D0C">
      <w:pPr>
        <w:rPr>
          <w:i/>
          <w:iCs/>
        </w:rPr>
      </w:pPr>
      <w:r>
        <w:rPr>
          <w:i/>
          <w:iCs/>
          <w:lang w:val="fr"/>
        </w:rPr>
        <w:t>Rapport de vérification</w:t>
      </w:r>
    </w:p>
    <w:p w14:paraId="5D6827E4" w14:textId="77777777" w:rsidR="00E74D0C" w:rsidRPr="000336D7" w:rsidRDefault="00E74D0C" w:rsidP="00E74D0C">
      <w:pPr>
        <w:keepNext/>
        <w:keepLines/>
        <w:rPr>
          <w:u w:val="single"/>
        </w:rPr>
      </w:pPr>
    </w:p>
    <w:p w14:paraId="7FCF3C54" w14:textId="14E622AD" w:rsidR="00E74D0C" w:rsidRPr="00DD7BF9" w:rsidRDefault="00E74D0C" w:rsidP="00E74D0C">
      <w:pPr>
        <w:pStyle w:val="Heading1"/>
        <w:rPr>
          <w:lang w:val="fr-FR"/>
        </w:rPr>
      </w:pPr>
      <w:r>
        <w:rPr>
          <w:lang w:val="fr"/>
        </w:rPr>
        <w:t>Le Secrétariat a mené des discussions détaillées concernant les observations relevées dans le rapport de vérification relatives à la mise en œuvre du système d’octroi de licences et de quotas dans le pays</w:t>
      </w:r>
      <w:r w:rsidR="00693AB6">
        <w:rPr>
          <w:lang w:val="fr"/>
        </w:rPr>
        <w:t>,</w:t>
      </w:r>
      <w:r>
        <w:rPr>
          <w:lang w:val="fr"/>
        </w:rPr>
        <w:t xml:space="preserve"> entre autres la mise en œuvre des recommandations prescrites dans le rapport de vérification précédent relatives au besoin d’une lettre d’accord tacite pour les importations de HCFC, à la formation des agents des douanes et des forces de l’ordre et des courtiers en douane à l’utilisation correcte des codes SH et des descriptions de produit, et au partage des informations sur les quotas d’importation de HCFC entre l’UNO et le département des douanes. Le PNUE a expliqué que le Gouvernement a pris différentes mesures pour renforcer </w:t>
      </w:r>
      <w:r w:rsidR="00693AB6">
        <w:rPr>
          <w:lang w:val="fr"/>
        </w:rPr>
        <w:t>son</w:t>
      </w:r>
      <w:r>
        <w:rPr>
          <w:lang w:val="fr"/>
        </w:rPr>
        <w:t xml:space="preserve"> système national d’octroi de licences et de quotas et que le Gouvernement va mettre en œuvre les activités identifiées ci-dessous lors de la mise en œuvre de la quatrième et dernière tranche de la phase I du PGEH (aussi répercuté sur le paragraphe 11 le cas échéant) et </w:t>
      </w:r>
      <w:r w:rsidR="00693AB6">
        <w:rPr>
          <w:lang w:val="fr"/>
        </w:rPr>
        <w:t xml:space="preserve">soumettent un compte rendu de situation sur </w:t>
      </w:r>
      <w:r>
        <w:rPr>
          <w:lang w:val="fr"/>
        </w:rPr>
        <w:t xml:space="preserve">la mise en œuvre </w:t>
      </w:r>
      <w:r w:rsidR="00693AB6">
        <w:rPr>
          <w:lang w:val="fr"/>
        </w:rPr>
        <w:t>de</w:t>
      </w:r>
      <w:r>
        <w:rPr>
          <w:lang w:val="fr"/>
        </w:rPr>
        <w:t xml:space="preserve"> ces activités à chaque réunion du Comité exécutif. Il a aussi été décidé que la phase II serait envisagée après la mise en œuvre satisfaisante de ces activités :</w:t>
      </w:r>
    </w:p>
    <w:p w14:paraId="4C4A4EF0" w14:textId="620EC948" w:rsidR="00E74D0C" w:rsidRPr="00DD7BF9" w:rsidRDefault="00E74D0C" w:rsidP="00E74D0C">
      <w:pPr>
        <w:pStyle w:val="Heading2"/>
        <w:numPr>
          <w:ilvl w:val="1"/>
          <w:numId w:val="1"/>
        </w:numPr>
        <w:rPr>
          <w:lang w:val="fr-FR"/>
        </w:rPr>
      </w:pPr>
      <w:r>
        <w:rPr>
          <w:lang w:val="fr"/>
        </w:rPr>
        <w:t xml:space="preserve">Formation du ministère des Affaires économiques et du nouveau responsable du département de </w:t>
      </w:r>
      <w:r w:rsidR="003E6615">
        <w:rPr>
          <w:lang w:val="fr"/>
        </w:rPr>
        <w:t>C</w:t>
      </w:r>
      <w:r>
        <w:rPr>
          <w:lang w:val="fr"/>
        </w:rPr>
        <w:t xml:space="preserve">ontrôle des </w:t>
      </w:r>
      <w:r w:rsidR="003E6615">
        <w:rPr>
          <w:lang w:val="fr"/>
        </w:rPr>
        <w:t>I</w:t>
      </w:r>
      <w:r>
        <w:rPr>
          <w:lang w:val="fr"/>
        </w:rPr>
        <w:t xml:space="preserve">mportations, des </w:t>
      </w:r>
      <w:r w:rsidR="003E6615">
        <w:rPr>
          <w:lang w:val="fr"/>
        </w:rPr>
        <w:t>E</w:t>
      </w:r>
      <w:r>
        <w:rPr>
          <w:lang w:val="fr"/>
        </w:rPr>
        <w:t xml:space="preserve">xportations et des </w:t>
      </w:r>
      <w:r w:rsidR="003E6615">
        <w:rPr>
          <w:lang w:val="fr"/>
        </w:rPr>
        <w:t>D</w:t>
      </w:r>
      <w:r>
        <w:rPr>
          <w:lang w:val="fr"/>
        </w:rPr>
        <w:t xml:space="preserve">evises sur les dispositions du système d’octroi de licences et de quotas pour garantir </w:t>
      </w:r>
      <w:r w:rsidR="003E6615">
        <w:rPr>
          <w:lang w:val="fr"/>
        </w:rPr>
        <w:t>que tout le monde soit conscient</w:t>
      </w:r>
      <w:r>
        <w:rPr>
          <w:lang w:val="fr"/>
        </w:rPr>
        <w:t xml:space="preserve"> que </w:t>
      </w:r>
      <w:r w:rsidR="003E6615">
        <w:rPr>
          <w:lang w:val="fr"/>
        </w:rPr>
        <w:t>la</w:t>
      </w:r>
      <w:r>
        <w:rPr>
          <w:lang w:val="fr"/>
        </w:rPr>
        <w:t xml:space="preserve"> lettre d’accord tacite </w:t>
      </w:r>
      <w:r w:rsidR="003E6615">
        <w:rPr>
          <w:lang w:val="fr"/>
        </w:rPr>
        <w:t xml:space="preserve">doit </w:t>
      </w:r>
      <w:r>
        <w:rPr>
          <w:lang w:val="fr"/>
        </w:rPr>
        <w:t>prov</w:t>
      </w:r>
      <w:r w:rsidR="003E6615">
        <w:rPr>
          <w:lang w:val="fr"/>
        </w:rPr>
        <w:t>enir impérativement</w:t>
      </w:r>
      <w:r>
        <w:rPr>
          <w:lang w:val="fr"/>
        </w:rPr>
        <w:t xml:space="preserve"> du NIMOS</w:t>
      </w:r>
      <w:r w:rsidR="00DB333A">
        <w:rPr>
          <w:lang w:val="fr"/>
        </w:rPr>
        <w:t> </w:t>
      </w:r>
      <w:r>
        <w:rPr>
          <w:lang w:val="fr"/>
        </w:rPr>
        <w:t xml:space="preserve">; </w:t>
      </w:r>
    </w:p>
    <w:p w14:paraId="59C320BB" w14:textId="58C49937" w:rsidR="00E74D0C" w:rsidRPr="00DD7BF9" w:rsidRDefault="00E74D0C" w:rsidP="00E74D0C">
      <w:pPr>
        <w:pStyle w:val="Heading2"/>
        <w:numPr>
          <w:ilvl w:val="1"/>
          <w:numId w:val="1"/>
        </w:numPr>
        <w:rPr>
          <w:lang w:val="fr-FR"/>
        </w:rPr>
      </w:pPr>
      <w:r>
        <w:rPr>
          <w:lang w:val="fr"/>
        </w:rPr>
        <w:t>Partage des quotas entre l’UNO et le ministère des Affaires économiques et le Département des douanes</w:t>
      </w:r>
      <w:r w:rsidR="00DB333A">
        <w:rPr>
          <w:lang w:val="fr"/>
        </w:rPr>
        <w:t> </w:t>
      </w:r>
      <w:r>
        <w:rPr>
          <w:lang w:val="fr"/>
        </w:rPr>
        <w:t>;</w:t>
      </w:r>
    </w:p>
    <w:p w14:paraId="2DCB9414" w14:textId="12DE36F6" w:rsidR="00E74D0C" w:rsidRPr="00DD7BF9" w:rsidRDefault="00E74D0C" w:rsidP="00E74D0C">
      <w:pPr>
        <w:pStyle w:val="Heading2"/>
        <w:numPr>
          <w:ilvl w:val="1"/>
          <w:numId w:val="1"/>
        </w:numPr>
        <w:rPr>
          <w:lang w:val="fr-FR"/>
        </w:rPr>
      </w:pPr>
      <w:r>
        <w:rPr>
          <w:lang w:val="fr"/>
        </w:rPr>
        <w:t xml:space="preserve">Formation des importateurs de frigorigènes et d’équipement utilisant des frigorigènes à la communication des données exactes dans le délai imparti </w:t>
      </w:r>
      <w:r w:rsidR="00540D12">
        <w:rPr>
          <w:lang w:val="fr"/>
        </w:rPr>
        <w:t>y compris</w:t>
      </w:r>
      <w:r>
        <w:rPr>
          <w:lang w:val="fr"/>
        </w:rPr>
        <w:t xml:space="preserve"> l’utilisation des codes SH corrects</w:t>
      </w:r>
      <w:r w:rsidR="00DB333A">
        <w:rPr>
          <w:lang w:val="fr"/>
        </w:rPr>
        <w:t> </w:t>
      </w:r>
      <w:r>
        <w:rPr>
          <w:lang w:val="fr"/>
        </w:rPr>
        <w:t xml:space="preserve">; </w:t>
      </w:r>
    </w:p>
    <w:p w14:paraId="75FC9D8D" w14:textId="02ED033A" w:rsidR="00E74D0C" w:rsidRPr="00DD7BF9" w:rsidRDefault="00E74D0C" w:rsidP="00E74D0C">
      <w:pPr>
        <w:pStyle w:val="Heading2"/>
        <w:numPr>
          <w:ilvl w:val="1"/>
          <w:numId w:val="1"/>
        </w:numPr>
        <w:rPr>
          <w:lang w:val="fr-FR"/>
        </w:rPr>
      </w:pPr>
      <w:r>
        <w:rPr>
          <w:lang w:val="fr"/>
        </w:rPr>
        <w:t>Formation de courtiers en douane à l’utilisation correcte des codes SH et à la soumission des informations dans SYDONIA</w:t>
      </w:r>
      <w:r w:rsidR="00DB333A">
        <w:rPr>
          <w:lang w:val="fr"/>
        </w:rPr>
        <w:t> </w:t>
      </w:r>
      <w:r>
        <w:rPr>
          <w:lang w:val="fr"/>
        </w:rPr>
        <w:t xml:space="preserve">; </w:t>
      </w:r>
    </w:p>
    <w:p w14:paraId="773525B4" w14:textId="22F67C92" w:rsidR="00E74D0C" w:rsidRPr="00DD7BF9" w:rsidRDefault="00E74D0C" w:rsidP="00E74D0C">
      <w:pPr>
        <w:pStyle w:val="Heading2"/>
        <w:numPr>
          <w:ilvl w:val="1"/>
          <w:numId w:val="1"/>
        </w:numPr>
        <w:rPr>
          <w:lang w:val="fr-FR"/>
        </w:rPr>
      </w:pPr>
      <w:r>
        <w:rPr>
          <w:lang w:val="fr"/>
        </w:rPr>
        <w:t>Inclusion des codes SH dans les lettres d’accord tacite à envoyer au ministère des Affaires économiques</w:t>
      </w:r>
      <w:r w:rsidR="00DB333A">
        <w:rPr>
          <w:lang w:val="fr"/>
        </w:rPr>
        <w:t> </w:t>
      </w:r>
      <w:r>
        <w:rPr>
          <w:lang w:val="fr"/>
        </w:rPr>
        <w:t>; et</w:t>
      </w:r>
    </w:p>
    <w:p w14:paraId="4CF4516B" w14:textId="77777777" w:rsidR="00E74D0C" w:rsidRPr="00DD7BF9" w:rsidRDefault="00E74D0C" w:rsidP="00E74D0C">
      <w:pPr>
        <w:pStyle w:val="Heading2"/>
        <w:numPr>
          <w:ilvl w:val="1"/>
          <w:numId w:val="1"/>
        </w:numPr>
        <w:rPr>
          <w:lang w:val="fr-FR"/>
        </w:rPr>
      </w:pPr>
      <w:r>
        <w:rPr>
          <w:lang w:val="fr"/>
        </w:rPr>
        <w:t>Révision des données communiquées en vertu de l’article 7 et du programme du pays pour 2020 à 6,20 </w:t>
      </w:r>
      <w:proofErr w:type="spellStart"/>
      <w:r>
        <w:rPr>
          <w:lang w:val="fr"/>
        </w:rPr>
        <w:t>tm</w:t>
      </w:r>
      <w:proofErr w:type="spellEnd"/>
      <w:r>
        <w:rPr>
          <w:lang w:val="fr"/>
        </w:rPr>
        <w:t xml:space="preserve"> ou 0,34 tonne PAO. </w:t>
      </w:r>
    </w:p>
    <w:p w14:paraId="53E4466B" w14:textId="0DBC2B99" w:rsidR="00E74D0C" w:rsidRPr="00DD7BF9" w:rsidRDefault="00E74D0C" w:rsidP="0024654B">
      <w:pPr>
        <w:keepNext/>
        <w:keepLines/>
        <w:widowControl w:val="0"/>
        <w:rPr>
          <w:u w:val="single"/>
          <w:lang w:val="fr-FR"/>
        </w:rPr>
      </w:pPr>
      <w:r>
        <w:rPr>
          <w:u w:val="single"/>
          <w:lang w:val="fr"/>
        </w:rPr>
        <w:lastRenderedPageBreak/>
        <w:t>Rapport périodique sur la mise en œuvre de la troisième tranche de la phase I du plan de gestion de l’élimination du HCFC</w:t>
      </w:r>
    </w:p>
    <w:p w14:paraId="776E5AD3" w14:textId="77777777" w:rsidR="00E74D0C" w:rsidRPr="00DD7BF9" w:rsidRDefault="00E74D0C" w:rsidP="0024654B">
      <w:pPr>
        <w:keepNext/>
        <w:keepLines/>
        <w:widowControl w:val="0"/>
        <w:rPr>
          <w:lang w:val="fr-FR"/>
        </w:rPr>
      </w:pPr>
    </w:p>
    <w:p w14:paraId="5F9F3654" w14:textId="77777777" w:rsidR="00E74D0C" w:rsidRPr="000336D7" w:rsidRDefault="00E74D0C" w:rsidP="0024654B">
      <w:pPr>
        <w:keepNext/>
        <w:keepLines/>
        <w:widowControl w:val="0"/>
        <w:rPr>
          <w:i/>
        </w:rPr>
      </w:pPr>
      <w:r>
        <w:rPr>
          <w:i/>
          <w:iCs/>
          <w:lang w:val="fr"/>
        </w:rPr>
        <w:t>Cadre juridique</w:t>
      </w:r>
    </w:p>
    <w:p w14:paraId="79F42115" w14:textId="77777777" w:rsidR="00E74D0C" w:rsidRPr="000336D7" w:rsidRDefault="00E74D0C" w:rsidP="0024654B">
      <w:pPr>
        <w:keepNext/>
        <w:keepLines/>
        <w:widowControl w:val="0"/>
      </w:pPr>
    </w:p>
    <w:p w14:paraId="25A62A67" w14:textId="77777777" w:rsidR="00E74D0C" w:rsidRPr="00DD7BF9" w:rsidRDefault="00E74D0C" w:rsidP="0024654B">
      <w:pPr>
        <w:pStyle w:val="Heading1"/>
        <w:keepNext/>
        <w:keepLines/>
        <w:widowControl w:val="0"/>
        <w:rPr>
          <w:lang w:val="fr-FR"/>
        </w:rPr>
      </w:pPr>
      <w:r>
        <w:rPr>
          <w:lang w:val="fr"/>
        </w:rPr>
        <w:t>Le gouvernement du Suriname a déjà émis pour 2023 des quotas d’importation de HCFC fixés à 1,28 tonne PAO, conformément aux objectifs de réglementation du Protocole de Montréal.</w:t>
      </w:r>
    </w:p>
    <w:p w14:paraId="72B569FC" w14:textId="77777777" w:rsidR="00E74D0C" w:rsidRPr="00DD7BF9" w:rsidRDefault="00E74D0C" w:rsidP="00E74D0C">
      <w:pPr>
        <w:widowControl w:val="0"/>
        <w:rPr>
          <w:i/>
          <w:lang w:val="fr-FR"/>
        </w:rPr>
      </w:pPr>
      <w:r>
        <w:rPr>
          <w:i/>
          <w:iCs/>
          <w:lang w:val="fr"/>
        </w:rPr>
        <w:t>Secteur de l’entretien des systèmes de réfrigération</w:t>
      </w:r>
    </w:p>
    <w:p w14:paraId="34AFEE12" w14:textId="77777777" w:rsidR="00E74D0C" w:rsidRPr="00DD7BF9" w:rsidRDefault="00E74D0C" w:rsidP="00E74D0C">
      <w:pPr>
        <w:widowControl w:val="0"/>
        <w:rPr>
          <w:lang w:val="fr-FR"/>
        </w:rPr>
      </w:pPr>
    </w:p>
    <w:p w14:paraId="5C4CF663" w14:textId="0C4DFC03" w:rsidR="00E74D0C" w:rsidRPr="00DD7BF9" w:rsidRDefault="00E74D0C" w:rsidP="00E74D0C">
      <w:pPr>
        <w:pStyle w:val="Heading1"/>
        <w:rPr>
          <w:lang w:val="fr-FR"/>
        </w:rPr>
      </w:pPr>
      <w:r>
        <w:rPr>
          <w:lang w:val="fr"/>
        </w:rPr>
        <w:t>Le Secrétariat a demandé des clarifications concernant les raisons des retards dans la mise en œuvre des programmes de formation. Le PNUE a expliqué que l’accord de financement à petite échelle pour la troisième tranche, approuvé en 2018, avait été signé en juin 2020 en raison de retards administratifs dans l’approbation et de changements au sein du gouvernement</w:t>
      </w:r>
      <w:r w:rsidR="00DB333A">
        <w:rPr>
          <w:lang w:val="fr"/>
        </w:rPr>
        <w:t> </w:t>
      </w:r>
      <w:r>
        <w:rPr>
          <w:lang w:val="fr"/>
        </w:rPr>
        <w:t xml:space="preserve">; les défis relatifs à la pandémie de COVID-19 ont affecté la mise en œuvre des différentes activités en 2020 et ce jusque août 2021. Plus récemment la restructuration et </w:t>
      </w:r>
      <w:r w:rsidR="00540D12">
        <w:rPr>
          <w:lang w:val="fr"/>
        </w:rPr>
        <w:t>le transfert</w:t>
      </w:r>
      <w:r>
        <w:rPr>
          <w:lang w:val="fr"/>
        </w:rPr>
        <w:t xml:space="preserve"> des opérations de l’UNO du NIMOS vers le NEA ont encore plus affecté la mise en œuvre. Le PNUE a en outre indiqué que les activités restantes planifiées dans le cadre de la phase I du PGEH seront mises en œuvre au plus tard d’ici le 30 juin 2024.</w:t>
      </w:r>
    </w:p>
    <w:p w14:paraId="0F95299B" w14:textId="25103C9D" w:rsidR="00E74D0C" w:rsidRPr="00DD7BF9" w:rsidRDefault="00E74D0C" w:rsidP="00E74D0C">
      <w:pPr>
        <w:pStyle w:val="Heading1"/>
        <w:rPr>
          <w:lang w:val="fr-FR"/>
        </w:rPr>
      </w:pPr>
      <w:r>
        <w:rPr>
          <w:lang w:val="fr"/>
        </w:rPr>
        <w:t xml:space="preserve">Le PNUE a confirmé qu’aucune modernisation d’équipement utilisant des frigorigènes inflammables n’a été entreprise dans le pays et que le gouvernement est au fait des décisions </w:t>
      </w:r>
      <w:r w:rsidR="00540D12">
        <w:rPr>
          <w:lang w:val="fr"/>
        </w:rPr>
        <w:t xml:space="preserve">pertinentes </w:t>
      </w:r>
      <w:r>
        <w:rPr>
          <w:lang w:val="fr"/>
        </w:rPr>
        <w:t>du Comité exécutif</w:t>
      </w:r>
      <w:r w:rsidR="00DB333A">
        <w:rPr>
          <w:lang w:val="fr"/>
        </w:rPr>
        <w:t> </w:t>
      </w:r>
      <w:r>
        <w:rPr>
          <w:lang w:val="fr"/>
        </w:rPr>
        <w:t>;</w:t>
      </w:r>
      <w:r>
        <w:rPr>
          <w:rStyle w:val="FootnoteReference"/>
          <w:lang w:val="fr"/>
        </w:rPr>
        <w:footnoteReference w:id="4"/>
      </w:r>
      <w:r>
        <w:rPr>
          <w:lang w:val="fr"/>
        </w:rPr>
        <w:t xml:space="preserve"> les programmes de formation comprennent des informations sur l’utilisation en sécurité des frigorigènes inflammables dans l’entretien des équipements de réfrigération et de climatisation.</w:t>
      </w:r>
    </w:p>
    <w:p w14:paraId="6869D987" w14:textId="77777777" w:rsidR="00E74D0C" w:rsidRPr="00DD7BF9" w:rsidRDefault="00E74D0C" w:rsidP="00E74D0C">
      <w:pPr>
        <w:keepNext/>
        <w:widowControl w:val="0"/>
        <w:rPr>
          <w:u w:val="single"/>
          <w:lang w:val="fr-FR"/>
        </w:rPr>
      </w:pPr>
      <w:r>
        <w:rPr>
          <w:u w:val="single"/>
          <w:lang w:val="fr"/>
        </w:rPr>
        <w:t>Mise en œuvre de la politique en matière d’égalité des sexes</w:t>
      </w:r>
      <w:r>
        <w:rPr>
          <w:rStyle w:val="FootnoteReference"/>
          <w:lang w:val="fr"/>
        </w:rPr>
        <w:footnoteReference w:id="5"/>
      </w:r>
    </w:p>
    <w:p w14:paraId="3FCAEF0D" w14:textId="77777777" w:rsidR="00E74D0C" w:rsidRPr="00DD7BF9" w:rsidRDefault="00E74D0C" w:rsidP="00E74D0C">
      <w:pPr>
        <w:keepNext/>
        <w:widowControl w:val="0"/>
        <w:rPr>
          <w:lang w:val="fr-FR"/>
        </w:rPr>
      </w:pPr>
    </w:p>
    <w:p w14:paraId="6741ABD9" w14:textId="1CC303B2" w:rsidR="00E74D0C" w:rsidRPr="00DD7BF9" w:rsidRDefault="00E74D0C" w:rsidP="00E74D0C">
      <w:pPr>
        <w:pStyle w:val="Heading1"/>
        <w:keepNext/>
        <w:spacing w:after="0"/>
        <w:rPr>
          <w:lang w:val="fr-FR"/>
        </w:rPr>
      </w:pPr>
      <w:r>
        <w:rPr>
          <w:lang w:val="fr"/>
        </w:rPr>
        <w:t xml:space="preserve">Le </w:t>
      </w:r>
      <w:r w:rsidR="00540D12">
        <w:rPr>
          <w:lang w:val="fr"/>
        </w:rPr>
        <w:t>G</w:t>
      </w:r>
      <w:r>
        <w:rPr>
          <w:lang w:val="fr"/>
        </w:rPr>
        <w:t xml:space="preserve">ouvernement, le PNUE et l’ONUDI sont totalement engagés dans la mise en œuvre de la politique en matière d’égalité des sexes du Fonds multilatéral. Le Gouvernement va continuer à travailler avec le ministère des Affaires économiques, des associations de </w:t>
      </w:r>
      <w:r w:rsidR="00540D12">
        <w:rPr>
          <w:lang w:val="fr"/>
        </w:rPr>
        <w:t>f</w:t>
      </w:r>
      <w:r>
        <w:rPr>
          <w:lang w:val="fr"/>
        </w:rPr>
        <w:t xml:space="preserve">emmes, l’association des techniciens, les centres d’enseignement technique et d’autres pour </w:t>
      </w:r>
      <w:r w:rsidR="00540D12">
        <w:rPr>
          <w:lang w:val="fr"/>
        </w:rPr>
        <w:t>obtenir</w:t>
      </w:r>
      <w:r>
        <w:rPr>
          <w:lang w:val="fr"/>
        </w:rPr>
        <w:t xml:space="preserve"> un aperçu </w:t>
      </w:r>
      <w:r w:rsidR="00540D12">
        <w:rPr>
          <w:lang w:val="fr"/>
        </w:rPr>
        <w:t xml:space="preserve">de </w:t>
      </w:r>
      <w:r>
        <w:rPr>
          <w:lang w:val="fr"/>
        </w:rPr>
        <w:t xml:space="preserve">la façon d’encourager les femmes à participer aux activités du PGEH. En combinant différentes interventions, le </w:t>
      </w:r>
      <w:r w:rsidR="00540D12">
        <w:rPr>
          <w:lang w:val="fr"/>
        </w:rPr>
        <w:t>G</w:t>
      </w:r>
      <w:r>
        <w:rPr>
          <w:lang w:val="fr"/>
        </w:rPr>
        <w:t>ouvernement prévoit d’augmenter la participation des femmes aux activités du PGEH, y compris un plus grand nombre de femmes travaillant comme techniciennes frigoristes.</w:t>
      </w:r>
      <w:r>
        <w:rPr>
          <w:lang w:val="fr"/>
        </w:rPr>
        <w:cr/>
      </w:r>
    </w:p>
    <w:p w14:paraId="5D6A93C6" w14:textId="7041EDAF" w:rsidR="00E74D0C" w:rsidRPr="00DD7BF9" w:rsidRDefault="00E74D0C" w:rsidP="00E74D0C">
      <w:pPr>
        <w:rPr>
          <w:u w:val="single"/>
          <w:lang w:val="fr-FR"/>
        </w:rPr>
      </w:pPr>
      <w:r>
        <w:rPr>
          <w:u w:val="single"/>
          <w:lang w:val="fr"/>
        </w:rPr>
        <w:t>Achèvement de la phase</w:t>
      </w:r>
      <w:r w:rsidR="00540D12">
        <w:rPr>
          <w:u w:val="single"/>
          <w:lang w:val="fr"/>
        </w:rPr>
        <w:t> </w:t>
      </w:r>
      <w:r>
        <w:rPr>
          <w:u w:val="single"/>
          <w:lang w:val="fr"/>
        </w:rPr>
        <w:t>I du plan de gestion de l’élimination des HCFC</w:t>
      </w:r>
    </w:p>
    <w:p w14:paraId="5CB3FB01" w14:textId="77777777" w:rsidR="00E74D0C" w:rsidRPr="00DD7BF9" w:rsidRDefault="00E74D0C" w:rsidP="00E74D0C">
      <w:pPr>
        <w:rPr>
          <w:i/>
          <w:lang w:val="fr-FR"/>
        </w:rPr>
      </w:pPr>
    </w:p>
    <w:p w14:paraId="7FB13AAA" w14:textId="6B046BD6" w:rsidR="00E74D0C" w:rsidRPr="00DD7BF9" w:rsidRDefault="00E74D0C" w:rsidP="00E74D0C">
      <w:pPr>
        <w:pStyle w:val="Heading1"/>
        <w:rPr>
          <w:lang w:val="fr-FR"/>
        </w:rPr>
      </w:pPr>
      <w:r>
        <w:rPr>
          <w:lang w:val="fr"/>
        </w:rPr>
        <w:t>La date d’achèvement de la phase I du PGEH pour le Suriname était originellement planifiée pour le 31 décembre 2021. Lors de la 90</w:t>
      </w:r>
      <w:r w:rsidRPr="00540D12">
        <w:rPr>
          <w:vertAlign w:val="superscript"/>
          <w:lang w:val="fr"/>
        </w:rPr>
        <w:t>e</w:t>
      </w:r>
      <w:r>
        <w:rPr>
          <w:lang w:val="fr"/>
        </w:rPr>
        <w:t> réunion, le Comité exécutif a permis au pays, sur une base exceptionnelle, de continuer la mise en œuvre des activités en souffrance liées à la phase I et a demandé qu’un plan de mise en œuvre détaillé incluant la demande pour la tranche restante soit soumis lors de la 91</w:t>
      </w:r>
      <w:r>
        <w:rPr>
          <w:vertAlign w:val="superscript"/>
          <w:lang w:val="fr"/>
        </w:rPr>
        <w:t>e</w:t>
      </w:r>
      <w:r>
        <w:rPr>
          <w:lang w:val="fr"/>
        </w:rPr>
        <w:t> réunion (décision 90/23). Au vu des retards de soumission de la quatrième tranche, le Secrétariat a noté que proroger l’Accord de la phase</w:t>
      </w:r>
      <w:r w:rsidR="00540D12">
        <w:rPr>
          <w:lang w:val="fr"/>
        </w:rPr>
        <w:t> </w:t>
      </w:r>
      <w:r>
        <w:rPr>
          <w:lang w:val="fr"/>
        </w:rPr>
        <w:t xml:space="preserve">I au 30 juin 2024 permettrait au pays d’achever les activités restantes telles que décrites dans le plan d’action révisé. </w:t>
      </w:r>
    </w:p>
    <w:p w14:paraId="4D247BC6" w14:textId="77777777" w:rsidR="00E74D0C" w:rsidRPr="00DD7BF9" w:rsidRDefault="00E74D0C" w:rsidP="00E74D0C">
      <w:pPr>
        <w:pStyle w:val="NormalWeb"/>
        <w:widowControl w:val="0"/>
        <w:rPr>
          <w:sz w:val="22"/>
          <w:szCs w:val="22"/>
          <w:u w:val="single"/>
          <w:lang w:val="fr-FR"/>
        </w:rPr>
      </w:pPr>
      <w:r>
        <w:rPr>
          <w:sz w:val="22"/>
          <w:szCs w:val="22"/>
          <w:u w:val="single"/>
          <w:lang w:val="fr"/>
        </w:rPr>
        <w:t>Pérennité de l’élimination des HCFC et évaluation des risques</w:t>
      </w:r>
    </w:p>
    <w:p w14:paraId="0BAD4A0D" w14:textId="357458C9" w:rsidR="00E74D0C" w:rsidRPr="00DD7BF9" w:rsidRDefault="00E74D0C" w:rsidP="00E74D0C">
      <w:pPr>
        <w:pStyle w:val="Heading1"/>
        <w:rPr>
          <w:lang w:val="fr-FR"/>
        </w:rPr>
      </w:pPr>
      <w:r>
        <w:rPr>
          <w:lang w:val="fr"/>
        </w:rPr>
        <w:t xml:space="preserve">Le gouvernement du Suriname a établi un programme de formation de formateurs pour former les agents des douanes de manière durable et priorisera et mettre en œuvre les différentes recommandations </w:t>
      </w:r>
      <w:r>
        <w:rPr>
          <w:lang w:val="fr"/>
        </w:rPr>
        <w:lastRenderedPageBreak/>
        <w:t>concernant le renforcement du système d’octroi de licences et de quotas pour les HCFC. Les programmes de formation et cursus pour les techniciens sont utilisés par les nouveaux membres lors de leurs nouveaux cours de remise à niveau</w:t>
      </w:r>
      <w:r w:rsidR="00DB333A">
        <w:rPr>
          <w:lang w:val="fr"/>
        </w:rPr>
        <w:t> </w:t>
      </w:r>
      <w:r>
        <w:rPr>
          <w:lang w:val="fr"/>
        </w:rPr>
        <w:t>; les enseignants des centres d’enseignement technique participent régulièrement aux programmes de formation aux bonnes pratiques d’entretien. Les risques liés à la mise en œuvre en raison des défis administratifs découlant de la restructuration de l’UNO ont été abordés et les activités planifiées dans le cadre de la quatrième tranche devraient être mises en œuvre dans le temps imparti. Le Gouvernement prévoit de soumettre la demande pour la phase II du PGEH en 2024.</w:t>
      </w:r>
    </w:p>
    <w:p w14:paraId="11FE9683" w14:textId="77777777" w:rsidR="00E74D0C" w:rsidRPr="000336D7" w:rsidRDefault="00E74D0C" w:rsidP="0051376E">
      <w:pPr>
        <w:keepNext/>
        <w:spacing w:after="120"/>
        <w:rPr>
          <w:u w:val="single"/>
        </w:rPr>
      </w:pPr>
      <w:r>
        <w:rPr>
          <w:u w:val="single"/>
          <w:lang w:val="fr"/>
        </w:rPr>
        <w:t xml:space="preserve">Conclusion </w:t>
      </w:r>
    </w:p>
    <w:p w14:paraId="44D12509" w14:textId="24924E34" w:rsidR="00E74D0C" w:rsidRPr="00DD7BF9" w:rsidRDefault="00E74D0C" w:rsidP="0051376E">
      <w:pPr>
        <w:pStyle w:val="Heading1"/>
        <w:spacing w:after="120"/>
        <w:rPr>
          <w:lang w:val="fr-FR"/>
        </w:rPr>
      </w:pPr>
      <w:r>
        <w:rPr>
          <w:lang w:val="fr"/>
        </w:rPr>
        <w:t>Le gouvernement du Suriname a réduit sa consommation de HCFC à 0,10 tonne PAO de HCFC en 2022, ce qui représente 95 pour cent de moins que la valeur de référence pour les HCFC aux fins de conformité et 92,2 pour cent de moins que les objectifs de consommation pour cette année. En raison de la restructuration organisationnelle de l’UNO et des défis liés à la pandémie de COVID-19, les activités relatives à la troisième tranche ont pris du retard</w:t>
      </w:r>
      <w:r w:rsidR="00DB333A">
        <w:rPr>
          <w:lang w:val="fr"/>
        </w:rPr>
        <w:t> </w:t>
      </w:r>
      <w:r>
        <w:rPr>
          <w:lang w:val="fr"/>
        </w:rPr>
        <w:t xml:space="preserve">; actuellement, l’UNO, </w:t>
      </w:r>
      <w:r w:rsidR="00540D12">
        <w:rPr>
          <w:lang w:val="fr"/>
        </w:rPr>
        <w:t>dans</w:t>
      </w:r>
      <w:r>
        <w:rPr>
          <w:lang w:val="fr"/>
        </w:rPr>
        <w:t xml:space="preserve"> sa nouvelle structure, est en train de mettre en œuvre les activités du PGEH. Sur le montant total du financement approuvé jusqu’à la troisième tranche, 91,9 pour cent ont été décaissés. Bien que les actions de renforcement du système d’octroi de licences et de quotas pour les HCFC aient débuté dans le cadre de la mise en œuvre de la troisième tranche, elles </w:t>
      </w:r>
      <w:r w:rsidR="00540D12">
        <w:rPr>
          <w:lang w:val="fr"/>
        </w:rPr>
        <w:t>n’ont pas été</w:t>
      </w:r>
      <w:r>
        <w:rPr>
          <w:lang w:val="fr"/>
        </w:rPr>
        <w:t xml:space="preserve"> totalement</w:t>
      </w:r>
      <w:r w:rsidR="00540D12">
        <w:rPr>
          <w:lang w:val="fr"/>
        </w:rPr>
        <w:t xml:space="preserve"> mises en œuvre</w:t>
      </w:r>
      <w:r w:rsidR="00DB333A">
        <w:rPr>
          <w:lang w:val="fr"/>
        </w:rPr>
        <w:t> </w:t>
      </w:r>
      <w:r>
        <w:rPr>
          <w:lang w:val="fr"/>
        </w:rPr>
        <w:t xml:space="preserve">; et en raison des défis relatifs à </w:t>
      </w:r>
      <w:r w:rsidR="00540D12">
        <w:rPr>
          <w:lang w:val="fr"/>
        </w:rPr>
        <w:t>la</w:t>
      </w:r>
      <w:r>
        <w:rPr>
          <w:lang w:val="fr"/>
        </w:rPr>
        <w:t xml:space="preserve"> pandémie de COVID-19, les consultations en présentiel et les formations nécessaires </w:t>
      </w:r>
      <w:r w:rsidR="00540D12">
        <w:rPr>
          <w:lang w:val="fr"/>
        </w:rPr>
        <w:t>à</w:t>
      </w:r>
      <w:r>
        <w:rPr>
          <w:lang w:val="fr"/>
        </w:rPr>
        <w:t xml:space="preserve"> ces activités ont été affectées. Le rapport de vérification a identifié les actions à entreprendre pour renforcer le système d’octroi de licences et de quotas et le </w:t>
      </w:r>
      <w:r w:rsidR="00BC391F">
        <w:rPr>
          <w:lang w:val="fr"/>
        </w:rPr>
        <w:t>G</w:t>
      </w:r>
      <w:r>
        <w:rPr>
          <w:lang w:val="fr"/>
        </w:rPr>
        <w:t xml:space="preserve">ouvernement a accepté de mettre en œuvre ces activités prioritairement et de </w:t>
      </w:r>
      <w:r w:rsidR="00BC391F">
        <w:rPr>
          <w:lang w:val="fr"/>
        </w:rPr>
        <w:t>soumettent un compte rendu de situation</w:t>
      </w:r>
      <w:r>
        <w:rPr>
          <w:lang w:val="fr"/>
        </w:rPr>
        <w:t xml:space="preserve"> au Comité exécutif sur la mise en œuvre lors de chaque réunion. Les activités de formation pour les agents des douanes et des forces de l’ordre et pour le secteur des services et les activités de sensibilisation et d’information continueront à être mises en œuvre durant la quatrième tranche. Compte tenu du retard dans la mise en œuvre de la troisième tranche et dans la soumission de la quatrième tranche, le </w:t>
      </w:r>
      <w:r w:rsidR="00BC391F">
        <w:rPr>
          <w:lang w:val="fr"/>
        </w:rPr>
        <w:t>G</w:t>
      </w:r>
      <w:r>
        <w:rPr>
          <w:lang w:val="fr"/>
        </w:rPr>
        <w:t>ouvernement a demandé une prorogation de la date d’achèvement de la phase I du PGEH au 30 juin 2024 étant entendu qu’aucune nouvelle prorogation ne serait demandée. La phase II du PGEH est en cours de préparation et devrait être soumise lors de la dernière réunion de 2024 à condition que les activités identifiées au paragraphe 15 relatives au renforcement du système d’octroi de licences et de quotas soient totalement mises en œuvre.</w:t>
      </w:r>
    </w:p>
    <w:p w14:paraId="26869354" w14:textId="77777777" w:rsidR="00E74D0C" w:rsidRPr="000336D7" w:rsidRDefault="00E74D0C" w:rsidP="0051376E">
      <w:pPr>
        <w:keepNext/>
        <w:keepLines/>
        <w:spacing w:after="120"/>
        <w:rPr>
          <w:b/>
        </w:rPr>
      </w:pPr>
      <w:r>
        <w:rPr>
          <w:b/>
          <w:bCs/>
          <w:lang w:val="fr"/>
        </w:rPr>
        <w:t>RECOMMANDATION</w:t>
      </w:r>
    </w:p>
    <w:p w14:paraId="7BFB6B59" w14:textId="77777777" w:rsidR="00E74D0C" w:rsidRPr="00DD7BF9" w:rsidRDefault="00E74D0C" w:rsidP="0051376E">
      <w:pPr>
        <w:pStyle w:val="Heading1"/>
        <w:keepNext/>
        <w:keepLines/>
        <w:spacing w:after="120"/>
        <w:rPr>
          <w:lang w:val="fr-FR"/>
        </w:rPr>
      </w:pPr>
      <w:bookmarkStart w:id="3" w:name="_Hlk122622077"/>
      <w:r>
        <w:rPr>
          <w:lang w:val="fr"/>
        </w:rPr>
        <w:t xml:space="preserve">Le Comité exécutif pourrait souhaiter envisager : </w:t>
      </w:r>
    </w:p>
    <w:p w14:paraId="775222B9" w14:textId="6ADDD2FD" w:rsidR="00E74D0C" w:rsidRPr="00DD7BF9" w:rsidRDefault="00E74D0C" w:rsidP="0051376E">
      <w:pPr>
        <w:pStyle w:val="Heading2"/>
        <w:keepNext/>
        <w:keepLines/>
        <w:numPr>
          <w:ilvl w:val="1"/>
          <w:numId w:val="1"/>
        </w:numPr>
        <w:spacing w:after="120"/>
        <w:rPr>
          <w:lang w:val="fr-FR"/>
        </w:rPr>
      </w:pPr>
      <w:r>
        <w:rPr>
          <w:lang w:val="fr"/>
        </w:rPr>
        <w:t>Prendre note du rapport périodique sur la mise en œuvre de la troisième tranche de la phase I du plan de gestion de l’élimination du HCFC (PGEH) pour le Suriname</w:t>
      </w:r>
      <w:r w:rsidR="00DB333A">
        <w:rPr>
          <w:lang w:val="fr"/>
        </w:rPr>
        <w:t> </w:t>
      </w:r>
      <w:r>
        <w:rPr>
          <w:lang w:val="fr"/>
        </w:rPr>
        <w:t xml:space="preserve">; </w:t>
      </w:r>
    </w:p>
    <w:p w14:paraId="250B1AE7" w14:textId="61D6F871" w:rsidR="00E74D0C" w:rsidRPr="00DD7BF9" w:rsidRDefault="00E74D0C" w:rsidP="0051376E">
      <w:pPr>
        <w:pStyle w:val="Heading2"/>
        <w:keepNext/>
        <w:keepLines/>
        <w:numPr>
          <w:ilvl w:val="1"/>
          <w:numId w:val="1"/>
        </w:numPr>
        <w:spacing w:after="120"/>
        <w:rPr>
          <w:lang w:val="fr-FR"/>
        </w:rPr>
      </w:pPr>
      <w:r>
        <w:rPr>
          <w:lang w:val="fr"/>
        </w:rPr>
        <w:t>Approuver, à titre exceptionnel, compte tenu du retard de mise en œuvre des activités d’élimination et étant entendu qu’aucune autre prorogation de la mise en œuvre ne sera demandée, la prorogation de la date d’achèvement de la phase</w:t>
      </w:r>
      <w:r w:rsidR="00BC391F">
        <w:rPr>
          <w:lang w:val="fr"/>
        </w:rPr>
        <w:t> </w:t>
      </w:r>
      <w:r>
        <w:rPr>
          <w:lang w:val="fr"/>
        </w:rPr>
        <w:t>I du PGEH pour le Suriname au 30 juin 2024</w:t>
      </w:r>
      <w:r w:rsidR="00DB333A">
        <w:rPr>
          <w:lang w:val="fr"/>
        </w:rPr>
        <w:t> </w:t>
      </w:r>
      <w:r>
        <w:rPr>
          <w:lang w:val="fr"/>
        </w:rPr>
        <w:t xml:space="preserve">; </w:t>
      </w:r>
    </w:p>
    <w:p w14:paraId="3613E7F6" w14:textId="70A82FF4" w:rsidR="00E74D0C" w:rsidRPr="00DD7BF9" w:rsidRDefault="00E74D0C" w:rsidP="0051376E">
      <w:pPr>
        <w:pStyle w:val="Heading2"/>
        <w:numPr>
          <w:ilvl w:val="1"/>
          <w:numId w:val="1"/>
        </w:numPr>
        <w:spacing w:after="120"/>
        <w:rPr>
          <w:lang w:val="fr-FR"/>
        </w:rPr>
      </w:pPr>
      <w:r>
        <w:rPr>
          <w:lang w:val="fr"/>
        </w:rPr>
        <w:t>Demander au gouvernement du Suriname</w:t>
      </w:r>
      <w:r w:rsidR="00BC391F">
        <w:rPr>
          <w:lang w:val="fr"/>
        </w:rPr>
        <w:t>,</w:t>
      </w:r>
      <w:r>
        <w:rPr>
          <w:lang w:val="fr"/>
        </w:rPr>
        <w:t xml:space="preserve"> au PNUE et à l’ONUDI de remettre un rapport périodique sur la mise en œuvre du programme de travail de la dernière tranche à la dernière réunion du Comité exécutif en 2024 et le rapport d’achèvement de projet à la première réunion du Comité exécutif </w:t>
      </w:r>
      <w:r w:rsidR="00BC391F">
        <w:rPr>
          <w:lang w:val="fr"/>
        </w:rPr>
        <w:t>en</w:t>
      </w:r>
      <w:r>
        <w:rPr>
          <w:lang w:val="fr"/>
        </w:rPr>
        <w:t xml:space="preserve"> 2025</w:t>
      </w:r>
      <w:r w:rsidR="00DB333A">
        <w:rPr>
          <w:lang w:val="fr"/>
        </w:rPr>
        <w:t> </w:t>
      </w:r>
      <w:r>
        <w:rPr>
          <w:lang w:val="fr"/>
        </w:rPr>
        <w:t>; et</w:t>
      </w:r>
    </w:p>
    <w:p w14:paraId="34B68C41" w14:textId="77777777" w:rsidR="00E74D0C" w:rsidRPr="00DD7BF9" w:rsidRDefault="00E74D0C" w:rsidP="0051376E">
      <w:pPr>
        <w:pStyle w:val="Heading2"/>
        <w:numPr>
          <w:ilvl w:val="1"/>
          <w:numId w:val="1"/>
        </w:numPr>
        <w:spacing w:after="120"/>
        <w:rPr>
          <w:lang w:val="fr-FR"/>
        </w:rPr>
      </w:pPr>
      <w:r>
        <w:rPr>
          <w:lang w:val="fr"/>
        </w:rPr>
        <w:t xml:space="preserve">Approuver la quatrième et dernière tranche de la phase I du plan de gestion de l’élimination des HCFC (PGEH) pour le Suriname et le plan de mise en œuvre de la tranche correspondante pour 2023-2024, pour un montant de 25 065 $ US, constitué de 13 500 $ US plus les coûts d’appui d’agence à hauteur de 1 755 $ US pour le PNUE et de 9 000 $ US plus les coûts d’appui d’agence à hauteur de 810 $ US pour l’ONUDI, étant entendu que le gouvernement du Suriname, le PNUE et l’ONUDI soumettent un compte rendu de situation sur la mise en œuvre des recommandations du rapport de vérification </w:t>
      </w:r>
      <w:r>
        <w:rPr>
          <w:lang w:val="fr"/>
        </w:rPr>
        <w:lastRenderedPageBreak/>
        <w:t>concernant le renforcement du système d’octroi de licences et de quotas, tel qu’identifié dans le paragraphe 15 du présent document à chaque réunion du Comité exécutif à partir de la 93</w:t>
      </w:r>
      <w:r w:rsidRPr="00BC391F">
        <w:rPr>
          <w:vertAlign w:val="superscript"/>
          <w:lang w:val="fr"/>
        </w:rPr>
        <w:t>e</w:t>
      </w:r>
      <w:r>
        <w:rPr>
          <w:lang w:val="fr"/>
        </w:rPr>
        <w:t> réunion et que la phase II du PGEH pour le Suriname ne serait étudiée qu’après une mise en œuvre satisfaisante des recommandations ci-dessus.</w:t>
      </w:r>
    </w:p>
    <w:bookmarkEnd w:id="3"/>
    <w:p w14:paraId="5FB35ADA" w14:textId="77777777" w:rsidR="005A7F28" w:rsidRPr="00B07F02" w:rsidRDefault="005A7F28" w:rsidP="00A97E14">
      <w:pPr>
        <w:jc w:val="left"/>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D577CE" w14:paraId="634D16B8" w14:textId="77777777" w:rsidTr="0051376E">
        <w:tc>
          <w:tcPr>
            <w:tcW w:w="1871" w:type="dxa"/>
          </w:tcPr>
          <w:p w14:paraId="04D7A932" w14:textId="77777777" w:rsidR="00441083" w:rsidRPr="00EA3573" w:rsidRDefault="00441083">
            <w:pPr>
              <w:rPr>
                <w:lang w:val="fr-FR"/>
              </w:rPr>
            </w:pPr>
          </w:p>
        </w:tc>
        <w:tc>
          <w:tcPr>
            <w:tcW w:w="1872" w:type="dxa"/>
          </w:tcPr>
          <w:p w14:paraId="6082A7B9" w14:textId="77777777" w:rsidR="00441083" w:rsidRPr="00EA3573" w:rsidRDefault="00441083">
            <w:pPr>
              <w:rPr>
                <w:lang w:val="fr-FR"/>
              </w:rPr>
            </w:pPr>
          </w:p>
        </w:tc>
        <w:tc>
          <w:tcPr>
            <w:tcW w:w="1872" w:type="dxa"/>
            <w:tcBorders>
              <w:bottom w:val="single" w:sz="4" w:space="0" w:color="auto"/>
            </w:tcBorders>
          </w:tcPr>
          <w:p w14:paraId="0F6945C4" w14:textId="77777777" w:rsidR="00441083" w:rsidRPr="00EA3573" w:rsidRDefault="00441083">
            <w:pPr>
              <w:rPr>
                <w:b/>
                <w:bCs/>
                <w:lang w:val="fr-FR"/>
              </w:rPr>
            </w:pPr>
          </w:p>
        </w:tc>
        <w:tc>
          <w:tcPr>
            <w:tcW w:w="1872" w:type="dxa"/>
          </w:tcPr>
          <w:p w14:paraId="54A636B6" w14:textId="77777777" w:rsidR="00441083" w:rsidRPr="00EA3573" w:rsidRDefault="00441083">
            <w:pPr>
              <w:rPr>
                <w:lang w:val="fr-FR"/>
              </w:rPr>
            </w:pPr>
          </w:p>
        </w:tc>
        <w:tc>
          <w:tcPr>
            <w:tcW w:w="1873" w:type="dxa"/>
          </w:tcPr>
          <w:p w14:paraId="078DBB0A" w14:textId="77777777" w:rsidR="00441083" w:rsidRPr="00EA3573" w:rsidRDefault="00441083">
            <w:pPr>
              <w:rPr>
                <w:lang w:val="fr-FR"/>
              </w:rPr>
            </w:pPr>
          </w:p>
        </w:tc>
      </w:tr>
    </w:tbl>
    <w:p w14:paraId="1F6D7181" w14:textId="77777777" w:rsidR="00441083" w:rsidRDefault="00441083">
      <w:pPr>
        <w:rPr>
          <w:lang w:val="fr-FR"/>
        </w:rPr>
      </w:pPr>
    </w:p>
    <w:sectPr w:rsidR="00441083" w:rsidSect="00620131">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709"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92CDD" w14:textId="77777777" w:rsidR="003C03DA" w:rsidRDefault="003C03DA">
      <w:r>
        <w:separator/>
      </w:r>
    </w:p>
  </w:endnote>
  <w:endnote w:type="continuationSeparator" w:id="0">
    <w:p w14:paraId="5CEBC0E4" w14:textId="77777777" w:rsidR="003C03DA" w:rsidRDefault="003C0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9522463"/>
      <w:docPartObj>
        <w:docPartGallery w:val="Page Numbers (Bottom of Page)"/>
        <w:docPartUnique/>
      </w:docPartObj>
    </w:sdtPr>
    <w:sdtEndPr>
      <w:rPr>
        <w:noProof/>
      </w:rPr>
    </w:sdtEndPr>
    <w:sdtContent>
      <w:p w14:paraId="220D6968" w14:textId="0DE2D358" w:rsidR="00A50A17" w:rsidRDefault="00A50A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E1DDFA" w14:textId="77777777" w:rsidR="00A50A17" w:rsidRDefault="00A50A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6307826"/>
      <w:docPartObj>
        <w:docPartGallery w:val="Page Numbers (Bottom of Page)"/>
        <w:docPartUnique/>
      </w:docPartObj>
    </w:sdtPr>
    <w:sdtEndPr>
      <w:rPr>
        <w:noProof/>
      </w:rPr>
    </w:sdtEndPr>
    <w:sdtContent>
      <w:p w14:paraId="3AFA3644" w14:textId="6E12816C" w:rsidR="0024654B" w:rsidRDefault="002465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BA5B7D" w14:textId="77777777" w:rsidR="0024654B" w:rsidRDefault="002465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4348B" w14:textId="77777777" w:rsidR="0024654B" w:rsidRDefault="0024654B" w:rsidP="0024654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359843B" w14:textId="2590D6C0" w:rsidR="00441083" w:rsidRPr="0024654B" w:rsidRDefault="0024654B" w:rsidP="0024654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1BCD8" w14:textId="77777777" w:rsidR="003C03DA" w:rsidRDefault="003C03DA">
      <w:r>
        <w:separator/>
      </w:r>
    </w:p>
  </w:footnote>
  <w:footnote w:type="continuationSeparator" w:id="0">
    <w:p w14:paraId="430EB12D" w14:textId="77777777" w:rsidR="003C03DA" w:rsidRDefault="003C03DA">
      <w:r>
        <w:continuationSeparator/>
      </w:r>
    </w:p>
  </w:footnote>
  <w:footnote w:id="1">
    <w:p w14:paraId="5A2F62D1" w14:textId="77777777" w:rsidR="00E74D0C" w:rsidRDefault="00E74D0C" w:rsidP="00E74D0C">
      <w:pPr>
        <w:pStyle w:val="FootnoteText"/>
        <w:rPr>
          <w:lang w:val="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/92/1</w:t>
      </w:r>
    </w:p>
    <w:p w14:paraId="3C5E5AAA" w14:textId="77777777" w:rsidR="00B20E77" w:rsidRPr="00DD7BF9" w:rsidRDefault="00B20E77" w:rsidP="00E74D0C">
      <w:pPr>
        <w:pStyle w:val="FootnoteText"/>
        <w:rPr>
          <w:lang w:val="fr-FR"/>
        </w:rPr>
      </w:pPr>
    </w:p>
  </w:footnote>
  <w:footnote w:id="2">
    <w:p w14:paraId="66EED785" w14:textId="77777777" w:rsidR="00E74D0C" w:rsidRPr="00DD7BF9" w:rsidRDefault="00E74D0C" w:rsidP="00E74D0C">
      <w:pPr>
        <w:pStyle w:val="FootnoteText"/>
        <w:rPr>
          <w:lang w:val="fr-FR"/>
        </w:rPr>
      </w:pPr>
      <w:r>
        <w:rPr>
          <w:rStyle w:val="FootnoteReference"/>
          <w:lang w:val="fr"/>
        </w:rPr>
        <w:footnoteRef/>
      </w:r>
      <w:r>
        <w:rPr>
          <w:lang w:val="fr"/>
        </w:rPr>
        <w:t xml:space="preserve"> Conformément à la lettre datant du 8 mars 2023 adressée au Secrétariat par l’Institut national pour l’Environnement et le Développement du Suriname.</w:t>
      </w:r>
    </w:p>
  </w:footnote>
  <w:footnote w:id="3">
    <w:p w14:paraId="73CF0339" w14:textId="77777777" w:rsidR="00E74D0C" w:rsidRPr="00DD7BF9" w:rsidRDefault="00E74D0C" w:rsidP="00E74D0C">
      <w:pPr>
        <w:pStyle w:val="FootnoteText"/>
        <w:rPr>
          <w:lang w:val="fr-FR"/>
        </w:rPr>
      </w:pPr>
      <w:r>
        <w:rPr>
          <w:rStyle w:val="FootnoteReference"/>
          <w:lang w:val="fr"/>
        </w:rPr>
        <w:footnoteRef/>
      </w:r>
      <w:r>
        <w:rPr>
          <w:lang w:val="fr"/>
        </w:rPr>
        <w:t>Rapports de situation et rapports sur les projets comportant des exigences particulières de remise de rapports.</w:t>
      </w:r>
    </w:p>
  </w:footnote>
  <w:footnote w:id="4">
    <w:p w14:paraId="67BB8FD9" w14:textId="77777777" w:rsidR="00E74D0C" w:rsidRPr="00DD7BF9" w:rsidRDefault="00E74D0C" w:rsidP="00E74D0C">
      <w:pPr>
        <w:pStyle w:val="FootnoteText"/>
        <w:rPr>
          <w:lang w:val="fr-FR"/>
        </w:rPr>
      </w:pPr>
      <w:r>
        <w:rPr>
          <w:rStyle w:val="FootnoteReference"/>
          <w:lang w:val="fr"/>
        </w:rPr>
        <w:footnoteRef/>
      </w:r>
      <w:r>
        <w:rPr>
          <w:lang w:val="fr"/>
        </w:rPr>
        <w:t xml:space="preserve"> Décisions 72/17 et 73/34.</w:t>
      </w:r>
    </w:p>
  </w:footnote>
  <w:footnote w:id="5">
    <w:p w14:paraId="218A78A3" w14:textId="77777777" w:rsidR="00E74D0C" w:rsidRPr="00DD7BF9" w:rsidRDefault="00E74D0C" w:rsidP="00E74D0C">
      <w:pPr>
        <w:pStyle w:val="FootnoteText"/>
        <w:rPr>
          <w:lang w:val="fr-FR"/>
        </w:rPr>
      </w:pPr>
      <w:r>
        <w:rPr>
          <w:rStyle w:val="FootnoteReference"/>
          <w:lang w:val="fr"/>
        </w:rPr>
        <w:footnoteRef/>
      </w:r>
      <w:r>
        <w:rPr>
          <w:lang w:val="fr"/>
        </w:rPr>
        <w:t>Conformément à la décision 84/92(d), la décision 90/48(c) a encouragé les agences bilatérales et d’exécution à continuer à s’assurer que les politiques en matière d’égalité des sexes soient appliquées pour tous les projets, prenant en compte les activités spécifiques présentées dans le tableau 2 du document UNEP/</w:t>
      </w:r>
      <w:proofErr w:type="spellStart"/>
      <w:r>
        <w:rPr>
          <w:lang w:val="fr"/>
        </w:rPr>
        <w:t>OzL.Pro</w:t>
      </w:r>
      <w:proofErr w:type="spellEnd"/>
      <w:r>
        <w:rPr>
          <w:lang w:val="fr"/>
        </w:rPr>
        <w:t>/</w:t>
      </w:r>
      <w:proofErr w:type="spellStart"/>
      <w:r>
        <w:rPr>
          <w:lang w:val="fr"/>
        </w:rPr>
        <w:t>ExCom</w:t>
      </w:r>
      <w:proofErr w:type="spellEnd"/>
      <w:r>
        <w:rPr>
          <w:lang w:val="fr"/>
        </w:rPr>
        <w:t>/90/37.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2F3F8" w14:textId="2A6B33C2" w:rsidR="0024654B" w:rsidRPr="000336D7" w:rsidRDefault="0024654B" w:rsidP="0024654B">
    <w:r>
      <w:fldChar w:fldCharType="begin"/>
    </w:r>
    <w:r>
      <w:instrText xml:space="preserve"> DOCPROPERTY "Document number"  \* MERGEFORMAT </w:instrText>
    </w:r>
    <w:r>
      <w:fldChar w:fldCharType="separate"/>
    </w:r>
    <w:r>
      <w:t>UNEP/</w:t>
    </w:r>
    <w:proofErr w:type="spellStart"/>
    <w:r>
      <w:t>OzL.Pro</w:t>
    </w:r>
    <w:proofErr w:type="spellEnd"/>
    <w:r>
      <w:t>/ExCom/92/38</w:t>
    </w:r>
    <w:r>
      <w:fldChar w:fldCharType="end"/>
    </w:r>
  </w:p>
  <w:p w14:paraId="088C5249" w14:textId="77777777" w:rsidR="0024654B" w:rsidRDefault="0024654B">
    <w:pPr>
      <w:pStyle w:val="Header"/>
    </w:pPr>
  </w:p>
  <w:p w14:paraId="38054DB8" w14:textId="77777777" w:rsidR="00EA3573" w:rsidRDefault="00EA35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D74D0" w14:textId="6D7DA6DF" w:rsidR="0024654B" w:rsidRPr="000336D7" w:rsidRDefault="0024654B" w:rsidP="0024654B">
    <w:pPr>
      <w:jc w:val="right"/>
    </w:pPr>
    <w:r>
      <w:fldChar w:fldCharType="begin"/>
    </w:r>
    <w:r>
      <w:instrText xml:space="preserve"> DOCPROPERTY "Document number"  \* MERGEFORMAT </w:instrText>
    </w:r>
    <w:r>
      <w:fldChar w:fldCharType="separate"/>
    </w:r>
    <w:r w:rsidR="00A50A17">
      <w:t>UNEP/</w:t>
    </w:r>
    <w:proofErr w:type="spellStart"/>
    <w:r w:rsidR="00A50A17">
      <w:t>OzL.Pro</w:t>
    </w:r>
    <w:proofErr w:type="spellEnd"/>
    <w:r w:rsidR="00A50A17">
      <w:t>/ExCom/92/38</w:t>
    </w:r>
    <w:r>
      <w:fldChar w:fldCharType="end"/>
    </w:r>
  </w:p>
  <w:p w14:paraId="6F1C7F0D" w14:textId="77777777" w:rsidR="0024654B" w:rsidRDefault="0024654B">
    <w:pPr>
      <w:pStyle w:val="Header"/>
    </w:pPr>
  </w:p>
  <w:p w14:paraId="530BAECC" w14:textId="77777777" w:rsidR="00EA3573" w:rsidRDefault="00EA35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508B2"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449200496">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D0C"/>
    <w:rsid w:val="000372D2"/>
    <w:rsid w:val="0005110A"/>
    <w:rsid w:val="000F6C8E"/>
    <w:rsid w:val="0015302C"/>
    <w:rsid w:val="00177D11"/>
    <w:rsid w:val="001C3D0C"/>
    <w:rsid w:val="001D4CE7"/>
    <w:rsid w:val="0024654B"/>
    <w:rsid w:val="00251E85"/>
    <w:rsid w:val="00265AF0"/>
    <w:rsid w:val="002C06D4"/>
    <w:rsid w:val="002E7E73"/>
    <w:rsid w:val="002F0B57"/>
    <w:rsid w:val="003029F8"/>
    <w:rsid w:val="003A0CA4"/>
    <w:rsid w:val="003C03DA"/>
    <w:rsid w:val="003C664E"/>
    <w:rsid w:val="003E6615"/>
    <w:rsid w:val="00403EDF"/>
    <w:rsid w:val="00441083"/>
    <w:rsid w:val="00444619"/>
    <w:rsid w:val="004B1B59"/>
    <w:rsid w:val="004C2C87"/>
    <w:rsid w:val="004E3A36"/>
    <w:rsid w:val="00510722"/>
    <w:rsid w:val="0051376E"/>
    <w:rsid w:val="00540D12"/>
    <w:rsid w:val="00540E82"/>
    <w:rsid w:val="005A7F28"/>
    <w:rsid w:val="005B3CAD"/>
    <w:rsid w:val="005C278F"/>
    <w:rsid w:val="00605093"/>
    <w:rsid w:val="00615EDE"/>
    <w:rsid w:val="00620131"/>
    <w:rsid w:val="00693AB6"/>
    <w:rsid w:val="006A355C"/>
    <w:rsid w:val="007034FA"/>
    <w:rsid w:val="0075750B"/>
    <w:rsid w:val="00775FBB"/>
    <w:rsid w:val="00843511"/>
    <w:rsid w:val="00847BDB"/>
    <w:rsid w:val="0091161A"/>
    <w:rsid w:val="00972E99"/>
    <w:rsid w:val="009A5180"/>
    <w:rsid w:val="009F6617"/>
    <w:rsid w:val="009F709E"/>
    <w:rsid w:val="00A50A17"/>
    <w:rsid w:val="00A97E14"/>
    <w:rsid w:val="00AC013C"/>
    <w:rsid w:val="00AE63D8"/>
    <w:rsid w:val="00B2047B"/>
    <w:rsid w:val="00B20E77"/>
    <w:rsid w:val="00B55AA4"/>
    <w:rsid w:val="00B811F2"/>
    <w:rsid w:val="00BC391F"/>
    <w:rsid w:val="00BC3C7D"/>
    <w:rsid w:val="00C16E3F"/>
    <w:rsid w:val="00C34C3E"/>
    <w:rsid w:val="00C61A92"/>
    <w:rsid w:val="00C6443E"/>
    <w:rsid w:val="00C75602"/>
    <w:rsid w:val="00C77E96"/>
    <w:rsid w:val="00C9547D"/>
    <w:rsid w:val="00CC2B33"/>
    <w:rsid w:val="00D36E05"/>
    <w:rsid w:val="00D55204"/>
    <w:rsid w:val="00D577CE"/>
    <w:rsid w:val="00D64DED"/>
    <w:rsid w:val="00D7654A"/>
    <w:rsid w:val="00D978D0"/>
    <w:rsid w:val="00DB333A"/>
    <w:rsid w:val="00DB4E64"/>
    <w:rsid w:val="00DD3433"/>
    <w:rsid w:val="00E348C6"/>
    <w:rsid w:val="00E54871"/>
    <w:rsid w:val="00E60D9C"/>
    <w:rsid w:val="00E74D0C"/>
    <w:rsid w:val="00EA3573"/>
    <w:rsid w:val="00EB2067"/>
    <w:rsid w:val="00EB68C7"/>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A61417"/>
  <w15:docId w15:val="{A0C20E09-F29E-4F1F-B36D-C192ABE1C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w:basedOn w:val="DefaultParagraphFont"/>
    <w:link w:val="FootnoteText"/>
    <w:uiPriority w:val="99"/>
    <w:rsid w:val="002C06D4"/>
    <w:rPr>
      <w:lang w:val="en-GB"/>
    </w:rPr>
  </w:style>
  <w:style w:type="character" w:styleId="FootnoteReference">
    <w:name w:val="footnote reference"/>
    <w:basedOn w:val="DefaultParagraphFont"/>
    <w:uiPriority w:val="99"/>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74D0C"/>
    <w:rPr>
      <w:sz w:val="22"/>
      <w:szCs w:val="22"/>
      <w:lang w:val="en-GB"/>
    </w:rPr>
  </w:style>
  <w:style w:type="character" w:customStyle="1" w:styleId="Heading5Char">
    <w:name w:val="Heading 5 Char"/>
    <w:basedOn w:val="DefaultParagraphFont"/>
    <w:link w:val="Heading5"/>
    <w:rsid w:val="00E74D0C"/>
    <w:rPr>
      <w:sz w:val="22"/>
      <w:szCs w:val="22"/>
      <w:lang w:val="en-GB"/>
    </w:rPr>
  </w:style>
  <w:style w:type="paragraph" w:styleId="ListParagraph">
    <w:name w:val="List Paragraph"/>
    <w:basedOn w:val="Normal"/>
    <w:uiPriority w:val="34"/>
    <w:qFormat/>
    <w:rsid w:val="00E74D0C"/>
    <w:pPr>
      <w:ind w:left="720"/>
      <w:contextualSpacing/>
    </w:pPr>
  </w:style>
  <w:style w:type="paragraph" w:styleId="NormalWeb">
    <w:name w:val="Normal (Web)"/>
    <w:basedOn w:val="Normal"/>
    <w:uiPriority w:val="99"/>
    <w:unhideWhenUsed/>
    <w:rsid w:val="00E74D0C"/>
    <w:pPr>
      <w:spacing w:before="100" w:beforeAutospacing="1" w:after="100" w:afterAutospacing="1"/>
      <w:jc w:val="left"/>
    </w:pPr>
    <w:rPr>
      <w:sz w:val="24"/>
      <w:szCs w:val="24"/>
      <w:lang w:val="en-CA" w:eastAsia="en-CA"/>
    </w:rPr>
  </w:style>
  <w:style w:type="character" w:customStyle="1" w:styleId="HeaderChar">
    <w:name w:val="Header Char"/>
    <w:basedOn w:val="DefaultParagraphFont"/>
    <w:link w:val="Header"/>
    <w:uiPriority w:val="99"/>
    <w:rsid w:val="0024654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7EF4BD960DEED4DB5A415EE320456A9" ma:contentTypeVersion="5" ma:contentTypeDescription="Create a new document." ma:contentTypeScope="" ma:versionID="f8b4d8aec81d1c732893f6d9f39e985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30628112-CDB0-4406-9F3A-8A8098A0F2C4}"/>
</file>

<file path=customXml/itemProps4.xml><?xml version="1.0" encoding="utf-8"?>
<ds:datastoreItem xmlns:ds="http://schemas.openxmlformats.org/officeDocument/2006/customXml" ds:itemID="{08E6A820-A433-4AF1-B5A4-3376D6D4B755}"/>
</file>

<file path=docProps/app.xml><?xml version="1.0" encoding="utf-8"?>
<Properties xmlns="http://schemas.openxmlformats.org/officeDocument/2006/extended-properties" xmlns:vt="http://schemas.openxmlformats.org/officeDocument/2006/docPropsVTypes">
  <Template>normal</Template>
  <TotalTime>9</TotalTime>
  <Pages>10</Pages>
  <Words>3926</Words>
  <Characters>22379</Characters>
  <Application>Microsoft Office Word</Application>
  <DocSecurity>0</DocSecurity>
  <Lines>186</Lines>
  <Paragraphs>52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Suriname</vt:lpstr>
      <vt:lpstr/>
    </vt:vector>
  </TitlesOfParts>
  <Company>UNMFS</Company>
  <LinksUpToDate>false</LinksUpToDate>
  <CharactersWithSpaces>26253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Suriname                                                                                                                                                                                .</dc:title>
  <dc:creator>Maïlys Lejosne</dc:creator>
  <cp:lastModifiedBy>HBE</cp:lastModifiedBy>
  <cp:revision>15</cp:revision>
  <cp:lastPrinted>2001-05-26T16:40:00Z</cp:lastPrinted>
  <dcterms:created xsi:type="dcterms:W3CDTF">2023-05-06T02:32:00Z</dcterms:created>
  <dcterms:modified xsi:type="dcterms:W3CDTF">2023-05-11T20:25:00Z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UNEP/OzL.Pro/ExCom/92/38</vt:lpwstr>
  </property>
  <property fmtid="{D5CDD505-2E9C-101B-9397-08002B2CF9AE}" pid="3" name="Revision date">
    <vt:lpwstr>4/27/2023</vt:lpwstr>
  </property>
  <property fmtid="{D5CDD505-2E9C-101B-9397-08002B2CF9AE}" pid="4" name="ContentTypeId">
    <vt:lpwstr>0x010100D7EF4BD960DEED4DB5A415EE320456A9</vt:lpwstr>
  </property>
  <property fmtid="{D5CDD505-2E9C-101B-9397-08002B2CF9AE}" pid="5" name="Order">
    <vt:r8>147800</vt:r8>
  </property>
  <property fmtid="{D5CDD505-2E9C-101B-9397-08002B2CF9AE}" pid="7" name="_SourceUrl">
    <vt:lpwstr/>
  </property>
  <property fmtid="{D5CDD505-2E9C-101B-9397-08002B2CF9AE}" pid="8" name="_SharedFileIndex">
    <vt:lpwstr/>
  </property>
  <property fmtid="{D5CDD505-2E9C-101B-9397-08002B2CF9AE}" pid="9" name="_ColorHex">
    <vt:lpwstr/>
  </property>
  <property fmtid="{D5CDD505-2E9C-101B-9397-08002B2CF9AE}" pid="10" name="ComplianceAssetId">
    <vt:lpwstr/>
  </property>
  <property fmtid="{D5CDD505-2E9C-101B-9397-08002B2CF9AE}" pid="11" name="_ExtendedDescription">
    <vt:lpwstr/>
  </property>
  <property fmtid="{D5CDD505-2E9C-101B-9397-08002B2CF9AE}" pid="12" name="_ColorTag">
    <vt:lpwstr/>
  </property>
  <property fmtid="{D5CDD505-2E9C-101B-9397-08002B2CF9AE}" pid="13" name="TriggerFlowInfo">
    <vt:lpwstr/>
  </property>
  <property fmtid="{D5CDD505-2E9C-101B-9397-08002B2CF9AE}" pid="14" name="_Emoji">
    <vt:lpwstr/>
  </property>
  <property fmtid="{D5CDD505-2E9C-101B-9397-08002B2CF9AE}" pid="15" name="MediaServiceImageTags">
    <vt:lpwstr/>
  </property>
  <property fmtid="{D5CDD505-2E9C-101B-9397-08002B2CF9AE}" pid="17" name="lcf76f155ced4ddcb4097134ff3c332f">
    <vt:lpwstr/>
  </property>
</Properties>
</file>