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E5322D" w14:paraId="4C9019CC" w14:textId="77777777" w:rsidTr="004B066E">
        <w:trPr>
          <w:trHeight w:val="720"/>
        </w:trPr>
        <w:tc>
          <w:tcPr>
            <w:tcW w:w="5922" w:type="dxa"/>
            <w:gridSpan w:val="2"/>
            <w:tcBorders>
              <w:bottom w:val="single" w:sz="18" w:space="0" w:color="auto"/>
            </w:tcBorders>
          </w:tcPr>
          <w:p w14:paraId="55FEAC9E" w14:textId="77777777" w:rsidR="00E5322D" w:rsidRDefault="00E5322D" w:rsidP="004B06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630FFCB" w14:textId="77777777" w:rsidR="00E5322D" w:rsidRDefault="00E5322D" w:rsidP="004B06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40D1D2C8" w14:textId="77777777" w:rsidR="00E5322D" w:rsidRDefault="00E5322D" w:rsidP="004B066E">
            <w:pPr>
              <w:tabs>
                <w:tab w:val="left" w:pos="3010"/>
              </w:tabs>
              <w:jc w:val="center"/>
              <w:rPr>
                <w:sz w:val="52"/>
                <w:szCs w:val="52"/>
              </w:rPr>
            </w:pPr>
            <w:r>
              <w:rPr>
                <w:rFonts w:ascii="Univers Bold" w:hAnsi="Univers Bold"/>
                <w:b/>
                <w:sz w:val="72"/>
                <w:lang w:val="fr-CA"/>
              </w:rPr>
              <w:t xml:space="preserve">               EP</w:t>
            </w:r>
          </w:p>
        </w:tc>
      </w:tr>
      <w:tr w:rsidR="00E5322D" w:rsidRPr="00103AB1" w14:paraId="180BD966" w14:textId="77777777" w:rsidTr="004B06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4F3A8A77" w14:textId="77777777" w:rsidR="00E5322D" w:rsidRDefault="00E5322D" w:rsidP="004B066E">
            <w:pPr>
              <w:spacing w:before="120"/>
            </w:pPr>
            <w:r>
              <w:rPr>
                <w:noProof/>
                <w:lang w:eastAsia="en-CA"/>
              </w:rPr>
              <w:drawing>
                <wp:anchor distT="0" distB="0" distL="114300" distR="114300" simplePos="0" relativeHeight="251659264" behindDoc="0" locked="0" layoutInCell="1" allowOverlap="1" wp14:anchorId="2735C8E6" wp14:editId="5568EB9B">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35238129" wp14:editId="2E1ED24B">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3DECB87" w14:textId="77777777" w:rsidR="00E5322D" w:rsidRDefault="00E5322D" w:rsidP="004B06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532BAC7" w14:textId="77777777" w:rsidR="00E5322D" w:rsidRDefault="00E5322D" w:rsidP="004B06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6346218" w14:textId="77777777" w:rsidR="00E5322D" w:rsidRDefault="00E5322D" w:rsidP="004B066E">
            <w:pPr>
              <w:rPr>
                <w:rFonts w:ascii="Univers" w:hAnsi="Univers"/>
                <w:b/>
                <w:sz w:val="32"/>
                <w:lang w:val="fr-CA"/>
              </w:rPr>
            </w:pPr>
            <w:r>
              <w:rPr>
                <w:rFonts w:ascii="Univers" w:hAnsi="Univers"/>
                <w:b/>
                <w:sz w:val="32"/>
                <w:lang w:val="fr-CA"/>
              </w:rPr>
              <w:t>Nations Unies pour</w:t>
            </w:r>
          </w:p>
          <w:p w14:paraId="02A431F3" w14:textId="77777777" w:rsidR="00E5322D" w:rsidRPr="00542808" w:rsidRDefault="00E5322D" w:rsidP="004B066E">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701CFB16" w14:textId="77777777" w:rsidR="00E5322D" w:rsidRDefault="00E5322D" w:rsidP="004B066E"/>
          <w:p w14:paraId="22D96399" w14:textId="77777777" w:rsidR="00E5322D" w:rsidRPr="00DD3433" w:rsidRDefault="00E5322D" w:rsidP="004B066E">
            <w:r w:rsidRPr="00DD3433">
              <w:t>Distr.</w:t>
            </w:r>
          </w:p>
          <w:p w14:paraId="08CE9EA8" w14:textId="77777777" w:rsidR="00E5322D" w:rsidRPr="00DD3433" w:rsidRDefault="00E5322D" w:rsidP="004B066E">
            <w:r w:rsidRPr="00DD3433">
              <w:t>GÉNÉRALE</w:t>
            </w:r>
          </w:p>
          <w:p w14:paraId="79A93DBD" w14:textId="77777777" w:rsidR="00E5322D" w:rsidRPr="00DD3433" w:rsidRDefault="00E5322D" w:rsidP="004B066E"/>
          <w:p w14:paraId="6CB26A07" w14:textId="50F56523" w:rsidR="00E5322D" w:rsidRPr="00956C5C" w:rsidRDefault="00E5322D" w:rsidP="004B066E">
            <w:pPr>
              <w:rPr>
                <w:lang w:val="fr-CA"/>
              </w:rPr>
            </w:pPr>
            <w:r>
              <w:fldChar w:fldCharType="begin"/>
            </w:r>
            <w:r w:rsidRPr="00956C5C">
              <w:rPr>
                <w:lang w:val="fr-CA"/>
              </w:rPr>
              <w:instrText xml:space="preserve"> DOCPROPERTY "Document number"  \* MERGEFORMAT </w:instrText>
            </w:r>
            <w:r>
              <w:fldChar w:fldCharType="separate"/>
            </w:r>
            <w:r w:rsidR="00F147EC">
              <w:rPr>
                <w:lang w:val="fr-CA"/>
              </w:rPr>
              <w:t>UNEP/OzL.Pro/ExCom/96/64</w:t>
            </w:r>
            <w:r>
              <w:fldChar w:fldCharType="end"/>
            </w:r>
          </w:p>
          <w:p w14:paraId="37EF2459" w14:textId="68D0D49E" w:rsidR="00E5322D" w:rsidRPr="009B0D30" w:rsidRDefault="00E5322D" w:rsidP="00E5322D">
            <w:r w:rsidRPr="009B0D30">
              <w:fldChar w:fldCharType="begin"/>
            </w:r>
            <w:r w:rsidRPr="009B0D30">
              <w:instrText xml:space="preserve"> DOCPROPERTY "Revision date" \@ "d MMMM YYYY"  \* MERGEFORMAT </w:instrText>
            </w:r>
            <w:r w:rsidRPr="009B0D30">
              <w:fldChar w:fldCharType="separate"/>
            </w:r>
            <w:r>
              <w:t>28 avril 2025</w:t>
            </w:r>
            <w:r w:rsidRPr="009B0D30">
              <w:fldChar w:fldCharType="end"/>
            </w:r>
          </w:p>
          <w:p w14:paraId="28D9645D" w14:textId="77777777" w:rsidR="00E5322D" w:rsidRDefault="00E5322D" w:rsidP="004B066E">
            <w:pPr>
              <w:rPr>
                <w:caps/>
              </w:rPr>
            </w:pPr>
            <w:r w:rsidRPr="00DB2922">
              <w:rPr>
                <w:caps/>
                <w:lang w:val="fr-CA"/>
              </w:rPr>
              <w:br/>
            </w:r>
            <w:r>
              <w:rPr>
                <w:caps/>
              </w:rPr>
              <w:t>FRANÇAIS</w:t>
            </w:r>
          </w:p>
          <w:p w14:paraId="36EC086C" w14:textId="77777777" w:rsidR="00E5322D" w:rsidRPr="00E5237E" w:rsidRDefault="00E5322D" w:rsidP="004B066E">
            <w:pPr>
              <w:rPr>
                <w:lang w:val="fr-CA"/>
              </w:rPr>
            </w:pPr>
            <w:r w:rsidRPr="00E5237E">
              <w:rPr>
                <w:lang w:val="fr-CA"/>
              </w:rPr>
              <w:t>ORIGINAL: ANGLAIS</w:t>
            </w:r>
          </w:p>
        </w:tc>
      </w:tr>
    </w:tbl>
    <w:p w14:paraId="199FE072" w14:textId="77777777" w:rsidR="00E5322D" w:rsidRDefault="00E5322D" w:rsidP="00E5322D">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Pr="008E4CC8">
        <w:rPr>
          <w:lang w:val="fr-CA"/>
        </w:rPr>
        <w:t>seizième</w:t>
      </w:r>
      <w:r w:rsidRPr="00103AB1">
        <w:rPr>
          <w:lang w:val="fr-CA"/>
        </w:rPr>
        <w:t xml:space="preserve"> réunion</w:t>
      </w:r>
    </w:p>
    <w:p w14:paraId="25722658" w14:textId="586CF2CF" w:rsidR="00E5322D" w:rsidRPr="00FE1FA0" w:rsidRDefault="00E5322D" w:rsidP="00E5322D">
      <w:pPr>
        <w:jc w:val="left"/>
        <w:rPr>
          <w:lang w:val="fr-CA"/>
        </w:rPr>
      </w:pPr>
      <w:r w:rsidRPr="008A4946">
        <w:rPr>
          <w:lang w:val="fr-CA"/>
        </w:rPr>
        <w:t xml:space="preserve">Montréal, </w:t>
      </w:r>
      <w:r>
        <w:rPr>
          <w:lang w:val="fr-CA"/>
        </w:rPr>
        <w:t>26-30</w:t>
      </w:r>
      <w:r w:rsidR="00F92443">
        <w:rPr>
          <w:lang w:val="fr-CA"/>
        </w:rPr>
        <w:t> </w:t>
      </w:r>
      <w:r>
        <w:rPr>
          <w:lang w:val="fr-CA"/>
        </w:rPr>
        <w:t>mai</w:t>
      </w:r>
      <w:r w:rsidR="00F92443">
        <w:rPr>
          <w:lang w:val="fr-CA"/>
        </w:rPr>
        <w:t> </w:t>
      </w:r>
      <w:r>
        <w:rPr>
          <w:lang w:val="fr-CA"/>
        </w:rPr>
        <w:t>2025</w:t>
      </w:r>
    </w:p>
    <w:p w14:paraId="4D36CA64" w14:textId="7FEDEA1D" w:rsidR="0079781A" w:rsidRPr="006B3B98" w:rsidRDefault="0079781A" w:rsidP="0079781A">
      <w:pPr>
        <w:jc w:val="left"/>
      </w:pPr>
      <w:r>
        <w:t>Point 15 de l’ordre du jour provisoire </w:t>
      </w:r>
      <w:r w:rsidRPr="006B3B98">
        <w:rPr>
          <w:rStyle w:val="FootnoteReference"/>
          <w:lang w:val="en-GB"/>
        </w:rPr>
        <w:footnoteReference w:id="1"/>
      </w:r>
    </w:p>
    <w:p w14:paraId="49FF3911" w14:textId="77777777" w:rsidR="00C15867" w:rsidRPr="009E7A5A" w:rsidRDefault="00C15867" w:rsidP="00E5322D">
      <w:pPr>
        <w:jc w:val="center"/>
        <w:rPr>
          <w:lang w:val="fr-CA"/>
        </w:rPr>
      </w:pPr>
    </w:p>
    <w:p w14:paraId="5F3D19BD" w14:textId="7E7BBB6C" w:rsidR="009145E4" w:rsidRPr="009E7A5A" w:rsidRDefault="009145E4" w:rsidP="00E5322D">
      <w:pPr>
        <w:pStyle w:val="Heading1"/>
        <w:jc w:val="center"/>
        <w:rPr>
          <w:lang w:val="fr-CA"/>
        </w:rPr>
      </w:pPr>
    </w:p>
    <w:p w14:paraId="0CFE8D49" w14:textId="0BB0C166" w:rsidR="00080529" w:rsidRPr="006B3B98" w:rsidRDefault="00080529" w:rsidP="00080529">
      <w:pPr>
        <w:jc w:val="center"/>
        <w:rPr>
          <w:b/>
          <w:bCs/>
        </w:rPr>
      </w:pPr>
      <w:r>
        <w:rPr>
          <w:b/>
        </w:rPr>
        <w:t>PROJET DE RAPPORT DU COMITÉ EXÉCUTIF DU FONDS MULTILATÉRAL AUX FINS D’APPLICATION DU PROTOCOLE DE MONTRÉAL À LA TRENTE</w:t>
      </w:r>
      <w:r>
        <w:rPr>
          <w:b/>
        </w:rPr>
        <w:noBreakHyphen/>
        <w:t>SEPTIÈME RÉUNION DES PARTIES</w:t>
      </w:r>
    </w:p>
    <w:p w14:paraId="1C7ED1E9" w14:textId="77777777" w:rsidR="00080529" w:rsidRPr="006B3B98" w:rsidRDefault="00080529" w:rsidP="00080529">
      <w:pPr>
        <w:pStyle w:val="Title1"/>
        <w:rPr>
          <w:sz w:val="20"/>
          <w:szCs w:val="20"/>
        </w:rPr>
      </w:pPr>
    </w:p>
    <w:p w14:paraId="48478773" w14:textId="77777777" w:rsidR="00080529" w:rsidRPr="006B3B98" w:rsidRDefault="00080529" w:rsidP="00080529">
      <w:pPr>
        <w:pStyle w:val="Heading1"/>
        <w:tabs>
          <w:tab w:val="left" w:pos="720"/>
        </w:tabs>
        <w:jc w:val="left"/>
        <w:rPr>
          <w:sz w:val="24"/>
          <w:szCs w:val="24"/>
        </w:rPr>
      </w:pPr>
      <w:r>
        <w:rPr>
          <w:b/>
          <w:sz w:val="24"/>
        </w:rPr>
        <w:t>Introduction</w:t>
      </w:r>
    </w:p>
    <w:p w14:paraId="7B241C44" w14:textId="343A71DB" w:rsidR="00080529" w:rsidRPr="006B3B98" w:rsidRDefault="00080529" w:rsidP="00CC2EB9">
      <w:pPr>
        <w:pStyle w:val="Heading1"/>
        <w:numPr>
          <w:ilvl w:val="0"/>
          <w:numId w:val="6"/>
        </w:numPr>
      </w:pPr>
      <w:r>
        <w:t>Le présent rapport comprend les deux parties et l’annexe suivantes :</w:t>
      </w:r>
    </w:p>
    <w:p w14:paraId="335D6693" w14:textId="4F6FB973" w:rsidR="00080529" w:rsidRPr="006B3B98" w:rsidRDefault="00080529" w:rsidP="00080529">
      <w:pPr>
        <w:ind w:left="720"/>
      </w:pPr>
      <w:r>
        <w:t>I :</w:t>
      </w:r>
      <w:r>
        <w:tab/>
      </w:r>
      <w:r>
        <w:tab/>
        <w:t>Examen de la période visée depuis la trente-sixième Réunion des Parties</w:t>
      </w:r>
    </w:p>
    <w:p w14:paraId="2134D146" w14:textId="77777777" w:rsidR="00080529" w:rsidRPr="006B3B98" w:rsidRDefault="00080529" w:rsidP="00080529">
      <w:pPr>
        <w:ind w:left="720"/>
      </w:pPr>
      <w:r>
        <w:t>II :</w:t>
      </w:r>
      <w:r>
        <w:tab/>
      </w:r>
      <w:r>
        <w:tab/>
        <w:t>Réalisations du Fonds multilatéral depuis sa création</w:t>
      </w:r>
    </w:p>
    <w:p w14:paraId="024D22EE" w14:textId="1D28249B" w:rsidR="00080529" w:rsidRPr="006B3B98" w:rsidRDefault="00080529" w:rsidP="000F5247">
      <w:pPr>
        <w:ind w:left="2160" w:hanging="1440"/>
      </w:pPr>
      <w:r>
        <w:t>Annexe :</w:t>
      </w:r>
      <w:r>
        <w:tab/>
      </w:r>
      <w:r>
        <w:rPr>
          <w:highlight w:val="yellow"/>
        </w:rPr>
        <w:t>Bulletin annuel du Fonds multilatéral présentant quelques projets approuvés et résultats des orientations de 2024</w:t>
      </w:r>
    </w:p>
    <w:p w14:paraId="47FB06B5" w14:textId="77777777" w:rsidR="00080529" w:rsidRPr="009E7A5A" w:rsidRDefault="00080529" w:rsidP="00080529">
      <w:pPr>
        <w:ind w:left="720"/>
        <w:rPr>
          <w:lang w:val="fr-CA"/>
        </w:rPr>
      </w:pPr>
    </w:p>
    <w:p w14:paraId="38DCE720" w14:textId="3A496832" w:rsidR="00080529" w:rsidRPr="006B3B98" w:rsidRDefault="00080529" w:rsidP="0011624E">
      <w:pPr>
        <w:pStyle w:val="ListParagraph"/>
        <w:numPr>
          <w:ilvl w:val="0"/>
          <w:numId w:val="7"/>
        </w:numPr>
        <w:spacing w:after="240"/>
        <w:ind w:left="720"/>
        <w:rPr>
          <w:rFonts w:ascii="Times New Roman Bold" w:hAnsi="Times New Roman Bold"/>
          <w:b/>
          <w:sz w:val="24"/>
          <w:szCs w:val="24"/>
        </w:rPr>
      </w:pPr>
      <w:r>
        <w:rPr>
          <w:rFonts w:ascii="Times New Roman Bold" w:hAnsi="Times New Roman Bold"/>
          <w:b/>
          <w:sz w:val="24"/>
        </w:rPr>
        <w:t xml:space="preserve">Examen de la période visée depuis la trente-sixième Réunion des Parties </w:t>
      </w:r>
    </w:p>
    <w:p w14:paraId="32652C80" w14:textId="02B26124" w:rsidR="003811A6" w:rsidRPr="006B3B98" w:rsidRDefault="00282EB1" w:rsidP="00CC2EB9">
      <w:pPr>
        <w:pStyle w:val="Heading1"/>
        <w:numPr>
          <w:ilvl w:val="0"/>
          <w:numId w:val="6"/>
        </w:numPr>
      </w:pPr>
      <w:r>
        <w:t>Le Comité exécutif a tenu sa 95</w:t>
      </w:r>
      <w:r>
        <w:rPr>
          <w:vertAlign w:val="superscript"/>
        </w:rPr>
        <w:t>e</w:t>
      </w:r>
      <w:r>
        <w:t xml:space="preserve"> </w:t>
      </w:r>
      <w:r>
        <w:rPr>
          <w:highlight w:val="yellow"/>
        </w:rPr>
        <w:t>[et sa 96</w:t>
      </w:r>
      <w:r>
        <w:rPr>
          <w:highlight w:val="yellow"/>
          <w:vertAlign w:val="superscript"/>
        </w:rPr>
        <w:t>e</w:t>
      </w:r>
      <w:r>
        <w:rPr>
          <w:highlight w:val="yellow"/>
        </w:rPr>
        <w:t>] réunion</w:t>
      </w:r>
      <w:r>
        <w:t xml:space="preserve"> au cours de la période visée par ce rapport. La 95</w:t>
      </w:r>
      <w:r>
        <w:rPr>
          <w:vertAlign w:val="superscript"/>
        </w:rPr>
        <w:t>e</w:t>
      </w:r>
      <w:r>
        <w:t> réunion s’est déroulée à Montréal, au Canada, du 4 au 8 décembre 2024. Les travaux de la 95</w:t>
      </w:r>
      <w:r>
        <w:rPr>
          <w:vertAlign w:val="superscript"/>
        </w:rPr>
        <w:t>e</w:t>
      </w:r>
      <w:r>
        <w:t> réunion ont été dirigés par les membres du Comité exécutif pour l’année 2024, conformément à la décision XXXV/23 de la trente-cinquième Réunion des Parties. Le Comité était formé des représentants des Parties visées au paragraphe 1 de l’article 5 du Protocole (Parties visées à l’article 5) suivantes : Argentine (président), Cuba, Ghana, Inde, Jordanie, Koweït et Tunisie ; et des représentants des Parties non visées au paragraphe 1 de l’article 5 du Protocole (Parties non visées à l’article 5) suivantes : Belgique, Canada, États-Unis d’Amérique, Italie (vice-président), Japon et Suède.</w:t>
      </w:r>
    </w:p>
    <w:p w14:paraId="48965207" w14:textId="6AA9DCBA" w:rsidR="00282EB1" w:rsidRDefault="003811A6" w:rsidP="00CC2EB9">
      <w:pPr>
        <w:pStyle w:val="Heading1"/>
        <w:numPr>
          <w:ilvl w:val="0"/>
          <w:numId w:val="6"/>
        </w:numPr>
        <w:rPr>
          <w:highlight w:val="yellow"/>
        </w:rPr>
      </w:pPr>
      <w:r>
        <w:rPr>
          <w:highlight w:val="yellow"/>
        </w:rPr>
        <w:t>[La 96</w:t>
      </w:r>
      <w:r>
        <w:rPr>
          <w:highlight w:val="yellow"/>
          <w:vertAlign w:val="superscript"/>
        </w:rPr>
        <w:t>e</w:t>
      </w:r>
      <w:r>
        <w:rPr>
          <w:highlight w:val="yellow"/>
        </w:rPr>
        <w:t> réunion s’est déroulée à Montréal, du 26 au 30 mai 2025. Les travaux de la 96</w:t>
      </w:r>
      <w:r>
        <w:rPr>
          <w:highlight w:val="yellow"/>
          <w:vertAlign w:val="superscript"/>
        </w:rPr>
        <w:t>e</w:t>
      </w:r>
      <w:r>
        <w:rPr>
          <w:highlight w:val="yellow"/>
        </w:rPr>
        <w:t xml:space="preserve"> réunion ont été dirigés par les membres du Comité exécutif pour l’année 2025, conformément à la décision XXXVI/19 de la trente-sixième Réunion des Parties. Le Comité était formé des représentants des Parties non visées à l’article 5 suivantes : Belgique, Canada, États-Unis d’Amérique, Italie (président), Japon, Lituanie et </w:t>
      </w:r>
      <w:r>
        <w:rPr>
          <w:highlight w:val="yellow"/>
        </w:rPr>
        <w:lastRenderedPageBreak/>
        <w:t>Suède ; et des représentants des Parties visées à l’article 5 suivantes : Argentine, Bahreïn, Chine, Cuba, Kirghizistan, Lesotho (vice</w:t>
      </w:r>
      <w:r>
        <w:rPr>
          <w:highlight w:val="yellow"/>
        </w:rPr>
        <w:noBreakHyphen/>
        <w:t>président) et Togo.]</w:t>
      </w:r>
    </w:p>
    <w:p w14:paraId="31E03D34" w14:textId="339A67CE" w:rsidR="005A5255" w:rsidRPr="001D12EF" w:rsidRDefault="005A5255" w:rsidP="005A5255">
      <w:pPr>
        <w:pStyle w:val="Heading1"/>
        <w:numPr>
          <w:ilvl w:val="0"/>
          <w:numId w:val="6"/>
        </w:numPr>
      </w:pPr>
      <w:r>
        <w:t>Les rapports des 95</w:t>
      </w:r>
      <w:r>
        <w:rPr>
          <w:vertAlign w:val="superscript"/>
        </w:rPr>
        <w:t>e</w:t>
      </w:r>
      <w:r>
        <w:t xml:space="preserve"> et 96</w:t>
      </w:r>
      <w:r>
        <w:rPr>
          <w:vertAlign w:val="superscript"/>
        </w:rPr>
        <w:t>e</w:t>
      </w:r>
      <w:r>
        <w:t> réunions </w:t>
      </w:r>
      <w:r w:rsidRPr="001D12EF">
        <w:rPr>
          <w:vertAlign w:val="superscript"/>
          <w:lang w:eastAsia="en-GB"/>
        </w:rPr>
        <w:footnoteReference w:id="2"/>
      </w:r>
      <w:r>
        <w:t xml:space="preserve"> sont disponibles sur le site Web du Fonds multilatéral (https://www.multilateralfund.org/meetings).</w:t>
      </w:r>
    </w:p>
    <w:p w14:paraId="14302F3B" w14:textId="1790B72A" w:rsidR="005215C1" w:rsidRPr="006B3B98" w:rsidRDefault="00282EB1" w:rsidP="005215C1">
      <w:pPr>
        <w:keepNext/>
        <w:spacing w:after="240"/>
        <w:jc w:val="left"/>
        <w:outlineLvl w:val="1"/>
        <w:rPr>
          <w:b/>
          <w:sz w:val="24"/>
          <w:szCs w:val="24"/>
        </w:rPr>
      </w:pPr>
      <w:r>
        <w:rPr>
          <w:b/>
          <w:sz w:val="24"/>
        </w:rPr>
        <w:t>A.</w:t>
      </w:r>
      <w:r>
        <w:rPr>
          <w:b/>
          <w:sz w:val="24"/>
        </w:rPr>
        <w:tab/>
        <w:t>Questions d’orientation en lien avec l’Amendement de Kigali</w:t>
      </w:r>
    </w:p>
    <w:p w14:paraId="245582DD" w14:textId="13951CE7" w:rsidR="00282EB1" w:rsidRPr="006B3B98" w:rsidRDefault="003811A6" w:rsidP="002013FB">
      <w:pPr>
        <w:keepNext/>
        <w:spacing w:after="240"/>
        <w:ind w:left="720" w:hanging="720"/>
        <w:outlineLvl w:val="1"/>
        <w:rPr>
          <w:b/>
        </w:rPr>
      </w:pPr>
      <w:r>
        <w:rPr>
          <w:b/>
        </w:rPr>
        <w:t>1.</w:t>
      </w:r>
      <w:r>
        <w:rPr>
          <w:b/>
        </w:rPr>
        <w:tab/>
        <w:t xml:space="preserve">Élaboration des lignes directrices sur le financement de la réduction progressive des HFC dans les pays visés à l’article 5, comprenant l’examen de l’opérationnalisation du paragraphe 24 de la décision XXVIII/2 </w:t>
      </w:r>
    </w:p>
    <w:p w14:paraId="14ABD47C" w14:textId="448390CB" w:rsidR="00E805B3" w:rsidRDefault="005A5255" w:rsidP="00CC2EB9">
      <w:pPr>
        <w:pStyle w:val="Heading1"/>
        <w:numPr>
          <w:ilvl w:val="0"/>
          <w:numId w:val="6"/>
        </w:numPr>
      </w:pPr>
      <w:r>
        <w:t>À la 95</w:t>
      </w:r>
      <w:r>
        <w:rPr>
          <w:vertAlign w:val="superscript"/>
        </w:rPr>
        <w:t>e</w:t>
      </w:r>
      <w:r>
        <w:t> réunion </w:t>
      </w:r>
      <w:r w:rsidRPr="006B3B98">
        <w:rPr>
          <w:rStyle w:val="FootnoteReference"/>
          <w:lang w:val="en-GB"/>
        </w:rPr>
        <w:footnoteReference w:id="3"/>
      </w:r>
      <w:r>
        <w:t>, dans sa décision 95/86, le Comité exécutif est parvenu à une entente sur les lignes directrices sur le financement de la réduction progressive des HFC dans les pays visés à l’article 5. Il délibérait des directives de financement depuis 2017, après la décision XXVIII/2 des Parties, relative à l’amendement pour la réduction progressive des HFC. Dans le cadre du présent rapport du Comité exécutif à la trente-septième Réunion des Parties, l’élaboration des lignes directrices est présentée conformément au paragraphe 10 de la décision XXVIII/2 pour examen par les Parties </w:t>
      </w:r>
      <w:r w:rsidR="009E6F8D">
        <w:rPr>
          <w:rStyle w:val="FootnoteReference"/>
          <w:lang w:val="en-GB"/>
        </w:rPr>
        <w:footnoteReference w:id="4"/>
      </w:r>
      <w:r>
        <w:t>. Le détail des lignes directrices du financement convenues est donné ci-après.</w:t>
      </w:r>
    </w:p>
    <w:p w14:paraId="301F671B" w14:textId="25EE19FC" w:rsidR="00AE2EBD" w:rsidRPr="00296CF0" w:rsidRDefault="00296CF0" w:rsidP="00704DBD">
      <w:pPr>
        <w:spacing w:after="240"/>
        <w:rPr>
          <w:b/>
          <w:bCs/>
          <w:u w:val="single"/>
        </w:rPr>
      </w:pPr>
      <w:r>
        <w:rPr>
          <w:b/>
        </w:rPr>
        <w:t>a)</w:t>
      </w:r>
      <w:r>
        <w:rPr>
          <w:b/>
        </w:rPr>
        <w:tab/>
        <w:t>Lignes directrices pour la réduction progressive des HFC</w:t>
      </w:r>
    </w:p>
    <w:p w14:paraId="4039E5ED" w14:textId="596A4FCA" w:rsidR="00A071D1" w:rsidRPr="00517CF8" w:rsidRDefault="00A071D1" w:rsidP="00704DBD">
      <w:pPr>
        <w:spacing w:after="240"/>
        <w:ind w:left="720"/>
        <w:rPr>
          <w:i/>
          <w:iCs/>
        </w:rPr>
      </w:pPr>
      <w:r>
        <w:rPr>
          <w:i/>
        </w:rPr>
        <w:t>Souplesse dans la mise en œuvre pour permettre aux Parties de définir leurs propres stratégies et de fixer leurs propres priorités selon les secteurs et les technologies (vocabulaire de la décision XXVIII/2)</w:t>
      </w:r>
    </w:p>
    <w:p w14:paraId="5E8C5E61" w14:textId="141B81FA" w:rsidR="00A071D1" w:rsidRDefault="00A071D1" w:rsidP="00A071D1">
      <w:pPr>
        <w:pStyle w:val="Heading1"/>
        <w:numPr>
          <w:ilvl w:val="0"/>
          <w:numId w:val="6"/>
        </w:numPr>
        <w:tabs>
          <w:tab w:val="clear" w:pos="0"/>
        </w:tabs>
      </w:pPr>
      <w:r>
        <w:t>Le Comité exécutif a décidé que les pays visés à l’article 5 pourraient établir la priorité des HFC, définir les secteurs, sélectionner les technologies et les solutions de remplacement et élaborer et mettre en œuvre leurs stratégies afin de respecter les obligations convenues en matière de HFC, en fonction de leurs besoins particuliers et de la situation nationale, selon une approche déterminée par le pays.</w:t>
      </w:r>
    </w:p>
    <w:p w14:paraId="328C94B4" w14:textId="5522B4C4" w:rsidR="00517CF8" w:rsidRPr="00A44C80" w:rsidRDefault="00517CF8" w:rsidP="00704DBD">
      <w:pPr>
        <w:spacing w:after="240"/>
        <w:ind w:firstLine="360"/>
        <w:rPr>
          <w:i/>
          <w:iCs/>
        </w:rPr>
      </w:pPr>
      <w:r>
        <w:rPr>
          <w:i/>
        </w:rPr>
        <w:t>Date limite d’éligibilité (vocabulaire de la décision XXVIII/2)</w:t>
      </w:r>
    </w:p>
    <w:p w14:paraId="43649391" w14:textId="0F4DFFF9" w:rsidR="00517CF8" w:rsidRDefault="00517CF8" w:rsidP="00A44C80">
      <w:pPr>
        <w:pStyle w:val="Heading1"/>
        <w:numPr>
          <w:ilvl w:val="0"/>
          <w:numId w:val="6"/>
        </w:numPr>
        <w:tabs>
          <w:tab w:val="clear" w:pos="0"/>
        </w:tabs>
      </w:pPr>
      <w:r>
        <w:t>Le Comité exécutif a fixé la date limite d’éligibilité au 1</w:t>
      </w:r>
      <w:r>
        <w:rPr>
          <w:vertAlign w:val="superscript"/>
        </w:rPr>
        <w:t>er</w:t>
      </w:r>
      <w:r>
        <w:t> janvier 2020 pour les Parties dont l’année de référence se situe entre 2020 et 2022 et au 1</w:t>
      </w:r>
      <w:r>
        <w:rPr>
          <w:vertAlign w:val="superscript"/>
        </w:rPr>
        <w:t>er</w:t>
      </w:r>
      <w:r>
        <w:t> janvier 2024 pour celles dont l’année de référence se situe entre 2024 et 2026.</w:t>
      </w:r>
    </w:p>
    <w:p w14:paraId="26409BD8" w14:textId="441445CE" w:rsidR="00DB2FF6" w:rsidRPr="00DB2FF6" w:rsidRDefault="00DB2FF6" w:rsidP="00704DBD">
      <w:pPr>
        <w:spacing w:after="240"/>
        <w:ind w:firstLine="360"/>
        <w:rPr>
          <w:i/>
          <w:iCs/>
        </w:rPr>
      </w:pPr>
      <w:r>
        <w:rPr>
          <w:i/>
        </w:rPr>
        <w:t>Deuxième et troisième conversions (vocabulaire de la décision XXVIII/2)</w:t>
      </w:r>
    </w:p>
    <w:p w14:paraId="0BC32FA4" w14:textId="77777777" w:rsidR="00DB2FF6" w:rsidRPr="006B3B98" w:rsidRDefault="00DB2FF6" w:rsidP="00DB2FF6">
      <w:pPr>
        <w:pStyle w:val="Heading1"/>
        <w:numPr>
          <w:ilvl w:val="0"/>
          <w:numId w:val="6"/>
        </w:numPr>
        <w:tabs>
          <w:tab w:val="clear" w:pos="0"/>
        </w:tabs>
      </w:pPr>
      <w:r>
        <w:t>Le Comité exécutif a défini un ensemble de principes qui s’appliqueraient aux projets de deuxième et troisième conversion, de la manière suivante :</w:t>
      </w:r>
    </w:p>
    <w:p w14:paraId="5A075BDA" w14:textId="6382FA91" w:rsidR="00DB2FF6" w:rsidRPr="006B3B98" w:rsidRDefault="00DB2FF6" w:rsidP="00490999">
      <w:pPr>
        <w:pStyle w:val="Heading2"/>
        <w:numPr>
          <w:ilvl w:val="2"/>
          <w:numId w:val="6"/>
        </w:numPr>
        <w:tabs>
          <w:tab w:val="clear" w:pos="0"/>
          <w:tab w:val="num" w:pos="1440"/>
        </w:tabs>
        <w:ind w:left="1440"/>
      </w:pPr>
      <w:r>
        <w:t xml:space="preserve">les premières conversions, dans le contexte d’une réduction progressive des HFC, ont été définies comme des conversions à des solutions de remplacement à potentiel de réchauffement de la planète (PRP) faible ou nul des entreprises qui n’ont jamais reçu aucun soutien direct ou indirect, en tout ou en partie, du Fonds multilatéral, y compris les </w:t>
      </w:r>
      <w:r>
        <w:lastRenderedPageBreak/>
        <w:t>entreprises qui se sont converties aux HFC avec leurs propres ressources ;</w:t>
      </w:r>
    </w:p>
    <w:p w14:paraId="675B99A7" w14:textId="77777777" w:rsidR="00DB2FF6" w:rsidRPr="006B3B98" w:rsidRDefault="00DB2FF6" w:rsidP="003835D5">
      <w:pPr>
        <w:pStyle w:val="Heading2"/>
        <w:widowControl/>
        <w:numPr>
          <w:ilvl w:val="2"/>
          <w:numId w:val="6"/>
        </w:numPr>
        <w:tabs>
          <w:tab w:val="clear" w:pos="0"/>
          <w:tab w:val="num" w:pos="1440"/>
        </w:tabs>
        <w:ind w:left="1440"/>
      </w:pPr>
      <w:r>
        <w:t>les entreprises qui s’étaient déjà reconverties aux HFC lors de l’élimination des CFC et/ou des HCFC seraient admissibles au financement par le Fonds multilatéral afin de respecter les surcoûts convenus de la même manière que les entreprises admissibles à une première conversion ;</w:t>
      </w:r>
    </w:p>
    <w:p w14:paraId="4022853E" w14:textId="77777777" w:rsidR="00DB2FF6" w:rsidRPr="006B3B98" w:rsidRDefault="00DB2FF6" w:rsidP="00A322CA">
      <w:pPr>
        <w:pStyle w:val="Heading2"/>
        <w:widowControl/>
        <w:numPr>
          <w:ilvl w:val="2"/>
          <w:numId w:val="6"/>
        </w:numPr>
        <w:tabs>
          <w:tab w:val="clear" w:pos="0"/>
          <w:tab w:val="num" w:pos="1440"/>
        </w:tabs>
        <w:ind w:left="1440"/>
      </w:pPr>
      <w:r>
        <w:t xml:space="preserve">les entreprises qui s’étaient converties des HCFC à des HFC à fort PRP après la date d’adoption de l’Amendement de Kigali, selon les Plans de gestion de l’élimination des HCFC (PGEH) déjà approuvés par le Comité exécutif, seraient admissibles à recevoir du financement du Fonds multilatéral pour une conversion subséquente à des solutions de remplacement à PRP faible ou nul afin de respecter les surcoûts convenus de la même manière que les entreprises admissibles à une première conversion ; </w:t>
      </w:r>
    </w:p>
    <w:p w14:paraId="075E72BE" w14:textId="2BCD6F11" w:rsidR="00DB2FF6" w:rsidRPr="006B3B98" w:rsidRDefault="00DB2FF6" w:rsidP="00490999">
      <w:pPr>
        <w:pStyle w:val="Heading2"/>
        <w:numPr>
          <w:ilvl w:val="2"/>
          <w:numId w:val="6"/>
        </w:numPr>
        <w:tabs>
          <w:tab w:val="clear" w:pos="0"/>
          <w:tab w:val="num" w:pos="1440"/>
        </w:tabs>
        <w:ind w:left="1440"/>
      </w:pPr>
      <w:r>
        <w:t xml:space="preserve">les entreprises qui s’étaient converties des HCFC à des HFC à fort PRP en utilisant leurs propres ressources avant 2025 dans le cadre de l’Amendement de Kigali seraient admissibles à recevoir du financement du Fonds multilatéral afin de respecter les surcoûts convenus de la même manière que les entreprises admissibles à une première conversion ; et </w:t>
      </w:r>
    </w:p>
    <w:p w14:paraId="4D64A6FC" w14:textId="77777777" w:rsidR="00DB2FF6" w:rsidRDefault="00DB2FF6" w:rsidP="00490999">
      <w:pPr>
        <w:pStyle w:val="Heading2"/>
        <w:numPr>
          <w:ilvl w:val="2"/>
          <w:numId w:val="6"/>
        </w:numPr>
        <w:tabs>
          <w:tab w:val="clear" w:pos="0"/>
          <w:tab w:val="num" w:pos="1440"/>
        </w:tabs>
        <w:ind w:left="1440"/>
      </w:pPr>
      <w:r>
        <w:t>les entreprises qui s’étaient converties d’un HFC à un HFC à plus faible PRP avec le soutien du Fonds multilatéral lorsque aucune autre solution de remplacement n’était disponible seraient admissibles à recevoir du financement du Fonds multilatéral pour une conversion subséquente à des solutions de remplacement à PRP faible ou nul, s’il était jugé nécessaire de le faire pour respecter l’étape finale de la réduction progressive des HFC.</w:t>
      </w:r>
    </w:p>
    <w:p w14:paraId="2966E1B9" w14:textId="77777777" w:rsidR="00DB2FF6" w:rsidRPr="007E16B3" w:rsidRDefault="00DB2FF6" w:rsidP="00704DBD">
      <w:pPr>
        <w:spacing w:after="240"/>
        <w:ind w:firstLine="720"/>
        <w:rPr>
          <w:i/>
          <w:iCs/>
        </w:rPr>
      </w:pPr>
      <w:r>
        <w:rPr>
          <w:i/>
        </w:rPr>
        <w:t>Réductions globales durables</w:t>
      </w:r>
    </w:p>
    <w:p w14:paraId="4FCD18B5" w14:textId="7E2B589D" w:rsidR="00DB2FF6" w:rsidRPr="006B3B98" w:rsidRDefault="00DB2FF6" w:rsidP="00473AFD">
      <w:pPr>
        <w:pStyle w:val="Heading1"/>
        <w:numPr>
          <w:ilvl w:val="0"/>
          <w:numId w:val="6"/>
        </w:numPr>
        <w:tabs>
          <w:tab w:val="clear" w:pos="0"/>
        </w:tabs>
        <w:rPr>
          <w:b/>
        </w:rPr>
      </w:pPr>
      <w:r>
        <w:t xml:space="preserve">Le Comité exécutif a convenu que la consommation restante admissible au financement, en tonnes, serait déterminée en fonction du point de départ pour la consommation nationale globale, qui restait à définir par le Comité exécutif, moins la quantité financée dans les projets précédemment approuvés dans les futurs modèles d’accord pluriannuel pour les plans de mise en œuvre de l’Amendement de Kigali pour les HFC. Il a également été convenu que la formule pour la détermination du point de départ et de la méthodologie pour déterminer les réductions à partir de la consommation restante de HFC admissible au financement, une fois acceptée par le Comité exécutif, ferait partie des lignes directrices du financement. </w:t>
      </w:r>
    </w:p>
    <w:p w14:paraId="517B93B3" w14:textId="51E71A4B" w:rsidR="001779F1" w:rsidRPr="00517CF8" w:rsidRDefault="00875EB4" w:rsidP="00704DBD">
      <w:pPr>
        <w:spacing w:after="240"/>
        <w:ind w:left="720"/>
        <w:rPr>
          <w:i/>
          <w:iCs/>
        </w:rPr>
      </w:pPr>
      <w:r>
        <w:rPr>
          <w:i/>
        </w:rPr>
        <w:t>Surcoûts recevables – secteur de la fabrication pour la consommation (catégories des surcoûts recevables telles que convenues dans la décision XXVIII/2)</w:t>
      </w:r>
    </w:p>
    <w:p w14:paraId="79DEBE0C" w14:textId="77961FF0" w:rsidR="00001487" w:rsidRDefault="00001487" w:rsidP="00001487">
      <w:pPr>
        <w:pStyle w:val="Heading1"/>
        <w:numPr>
          <w:ilvl w:val="0"/>
          <w:numId w:val="6"/>
        </w:numPr>
        <w:tabs>
          <w:tab w:val="clear" w:pos="0"/>
        </w:tabs>
      </w:pPr>
      <w:r>
        <w:t>En ce qui concerne les surcoûts recevables dans le secteur de la fabrication pour la consommation, le Comité exécutif a décidé de rendre les catégories de coûts suivantes admissibles au financement et de les intégrer au calcul des coûts associés à la réduction progressive des HFC : surcoûts d'investissement ; surcoûts d’exploitation pour une durée à déterminer par le Comité exécutif ; activités d’assistance technique ; recherche et développement, lorsqu’il est nécessaire d’adapter et d’optimiser des solutions de remplacement aux HFC à PRP faible ou nul ; coûts des brevets et des conceptions, et surcoûts des redevances, lorsque cela est nécessaire et économique ; et coûts de l’introduction sans danger des solutions de remplacement inflammables et toxiques.</w:t>
      </w:r>
    </w:p>
    <w:p w14:paraId="754F8620" w14:textId="6765519D" w:rsidR="00A922E7" w:rsidRPr="00756CDF" w:rsidRDefault="00A922E7" w:rsidP="00A922E7">
      <w:pPr>
        <w:pStyle w:val="Heading1"/>
        <w:numPr>
          <w:ilvl w:val="0"/>
          <w:numId w:val="6"/>
        </w:numPr>
        <w:tabs>
          <w:tab w:val="clear" w:pos="0"/>
        </w:tabs>
      </w:pPr>
      <w:r>
        <w:t xml:space="preserve">Pour la détermination des critères de financement de la réduction progressive des HFC dans le secteur de la consommation pour la phase I des plans de mise en œuvre de l’Amendement de Kigali dans les pays visés à l’article 5, le Comité exécutif a convenu d’utiliser les seuils coût-efficacité et les surcoûts d’exploitation spécifiés dans le tableau 1, ci-dessous, pour les entreprises dont la consommation de HFC est supérieure à 15 tonnes métriques dans le secteur de la fabrication d’équipements de réfrigération et de </w:t>
      </w:r>
      <w:r>
        <w:lastRenderedPageBreak/>
        <w:t>climatisation et pour les entreprises dont la consommation de HFC est supérieure à 20 tonnes métriques dans le secteur de la mousse de polyuréthane.</w:t>
      </w:r>
    </w:p>
    <w:p w14:paraId="06D979D5" w14:textId="77777777" w:rsidR="00A922E7" w:rsidRPr="006B3B98" w:rsidRDefault="00A922E7" w:rsidP="00890859">
      <w:pPr>
        <w:keepNext/>
        <w:keepLines/>
        <w:ind w:firstLine="720"/>
      </w:pPr>
      <w:r>
        <w:t xml:space="preserve">Tableau 1 </w:t>
      </w:r>
    </w:p>
    <w:p w14:paraId="60238BC3" w14:textId="77777777" w:rsidR="00A922E7" w:rsidRPr="006B3B98" w:rsidRDefault="00A922E7" w:rsidP="00890859">
      <w:pPr>
        <w:pStyle w:val="Heading1"/>
        <w:keepNext/>
        <w:keepLines/>
        <w:spacing w:after="0"/>
        <w:ind w:left="720"/>
        <w:rPr>
          <w:b/>
          <w:bCs/>
        </w:rPr>
      </w:pPr>
      <w:r>
        <w:rPr>
          <w:b/>
        </w:rPr>
        <w:t>Seuils coût-efficacité et surcoûts d’exploitation pour les entreprises dont la consommation de HFC est supérieure à 15 tonnes métriques dans le secteur de la fabrication d’équipements de réfrigération et de climatisation et pour les entreprises dont la consommation de HFC est supérieure à 20 tonnes métriques dans le secteur de la mousse de polyuréthane</w:t>
      </w:r>
    </w:p>
    <w:tbl>
      <w:tblPr>
        <w:tblStyle w:val="TableGrid"/>
        <w:tblW w:w="4700" w:type="pct"/>
        <w:tblInd w:w="562" w:type="dxa"/>
        <w:tblLook w:val="04A0" w:firstRow="1" w:lastRow="0" w:firstColumn="1" w:lastColumn="0" w:noHBand="0" w:noVBand="1"/>
      </w:tblPr>
      <w:tblGrid>
        <w:gridCol w:w="3688"/>
        <w:gridCol w:w="2549"/>
        <w:gridCol w:w="2552"/>
      </w:tblGrid>
      <w:tr w:rsidR="00A922E7" w:rsidRPr="0033445E" w14:paraId="12E245A4" w14:textId="77777777" w:rsidTr="002F3D17">
        <w:trPr>
          <w:trHeight w:val="209"/>
        </w:trPr>
        <w:tc>
          <w:tcPr>
            <w:tcW w:w="2098" w:type="pct"/>
            <w:shd w:val="clear" w:color="auto" w:fill="auto"/>
            <w:vAlign w:val="center"/>
          </w:tcPr>
          <w:p w14:paraId="4EB59832" w14:textId="77777777" w:rsidR="00A922E7" w:rsidRPr="0033445E" w:rsidRDefault="00A922E7" w:rsidP="00E173A4">
            <w:pPr>
              <w:jc w:val="center"/>
              <w:rPr>
                <w:b/>
                <w:bCs/>
                <w:sz w:val="20"/>
              </w:rPr>
            </w:pPr>
            <w:r>
              <w:rPr>
                <w:b/>
                <w:sz w:val="20"/>
              </w:rPr>
              <w:t>Secteur</w:t>
            </w:r>
          </w:p>
        </w:tc>
        <w:tc>
          <w:tcPr>
            <w:tcW w:w="1450" w:type="pct"/>
            <w:shd w:val="clear" w:color="auto" w:fill="auto"/>
          </w:tcPr>
          <w:p w14:paraId="279CA6A2" w14:textId="77777777" w:rsidR="00A922E7" w:rsidRPr="0033445E" w:rsidRDefault="00A922E7" w:rsidP="002F3D17">
            <w:pPr>
              <w:jc w:val="center"/>
              <w:rPr>
                <w:rFonts w:eastAsia="Calibri"/>
                <w:b/>
                <w:bCs/>
                <w:sz w:val="20"/>
              </w:rPr>
            </w:pPr>
            <w:r>
              <w:rPr>
                <w:b/>
                <w:sz w:val="20"/>
              </w:rPr>
              <w:t>Seuil coût-efficacité ($US/kg)</w:t>
            </w:r>
          </w:p>
        </w:tc>
        <w:tc>
          <w:tcPr>
            <w:tcW w:w="1452" w:type="pct"/>
            <w:shd w:val="clear" w:color="auto" w:fill="auto"/>
          </w:tcPr>
          <w:p w14:paraId="3FB160FB" w14:textId="77777777" w:rsidR="00A922E7" w:rsidRPr="0033445E" w:rsidRDefault="00A922E7" w:rsidP="002F3D17">
            <w:pPr>
              <w:jc w:val="center"/>
              <w:rPr>
                <w:rFonts w:eastAsia="Calibri"/>
                <w:b/>
                <w:bCs/>
                <w:sz w:val="20"/>
              </w:rPr>
            </w:pPr>
            <w:r>
              <w:rPr>
                <w:b/>
                <w:sz w:val="20"/>
              </w:rPr>
              <w:t>Surcoûts d’exploitation ($US/kg)</w:t>
            </w:r>
          </w:p>
        </w:tc>
      </w:tr>
      <w:tr w:rsidR="00A922E7" w:rsidRPr="006B3B98" w14:paraId="0E1D96FE" w14:textId="77777777" w:rsidTr="002F3D17">
        <w:trPr>
          <w:trHeight w:val="259"/>
        </w:trPr>
        <w:tc>
          <w:tcPr>
            <w:tcW w:w="2098" w:type="pct"/>
            <w:shd w:val="clear" w:color="auto" w:fill="auto"/>
          </w:tcPr>
          <w:p w14:paraId="0D9670DC" w14:textId="77777777" w:rsidR="00A922E7" w:rsidRPr="006B3B98" w:rsidRDefault="00A922E7" w:rsidP="002F3D17">
            <w:pPr>
              <w:jc w:val="left"/>
              <w:rPr>
                <w:sz w:val="20"/>
              </w:rPr>
            </w:pPr>
            <w:r>
              <w:rPr>
                <w:sz w:val="20"/>
              </w:rPr>
              <w:t>Réfrigération domestique</w:t>
            </w:r>
          </w:p>
        </w:tc>
        <w:tc>
          <w:tcPr>
            <w:tcW w:w="1450" w:type="pct"/>
            <w:shd w:val="clear" w:color="auto" w:fill="auto"/>
          </w:tcPr>
          <w:p w14:paraId="5F7457F3" w14:textId="77777777" w:rsidR="00A922E7" w:rsidRPr="006B3B98" w:rsidRDefault="00A922E7" w:rsidP="00632393">
            <w:pPr>
              <w:jc w:val="right"/>
              <w:rPr>
                <w:rFonts w:eastAsia="Calibri"/>
                <w:sz w:val="20"/>
              </w:rPr>
            </w:pPr>
            <w:r>
              <w:rPr>
                <w:sz w:val="20"/>
              </w:rPr>
              <w:t>13,76</w:t>
            </w:r>
          </w:p>
        </w:tc>
        <w:tc>
          <w:tcPr>
            <w:tcW w:w="1452" w:type="pct"/>
            <w:shd w:val="clear" w:color="auto" w:fill="auto"/>
          </w:tcPr>
          <w:p w14:paraId="0D5EEFAE" w14:textId="77777777" w:rsidR="00A922E7" w:rsidRPr="006B3B98" w:rsidRDefault="00A922E7" w:rsidP="00632393">
            <w:pPr>
              <w:jc w:val="right"/>
              <w:rPr>
                <w:rFonts w:eastAsia="Calibri"/>
                <w:sz w:val="20"/>
              </w:rPr>
            </w:pPr>
            <w:r>
              <w:rPr>
                <w:sz w:val="20"/>
              </w:rPr>
              <w:t>5,75</w:t>
            </w:r>
          </w:p>
        </w:tc>
      </w:tr>
      <w:tr w:rsidR="00A922E7" w:rsidRPr="006B3B98" w14:paraId="2EB64E1A" w14:textId="77777777" w:rsidTr="002F3D17">
        <w:trPr>
          <w:trHeight w:val="259"/>
        </w:trPr>
        <w:tc>
          <w:tcPr>
            <w:tcW w:w="2098" w:type="pct"/>
            <w:shd w:val="clear" w:color="auto" w:fill="auto"/>
          </w:tcPr>
          <w:p w14:paraId="20364B44" w14:textId="77777777" w:rsidR="00A922E7" w:rsidRPr="006B3B98" w:rsidRDefault="00A922E7" w:rsidP="002F3D17">
            <w:pPr>
              <w:jc w:val="left"/>
              <w:rPr>
                <w:sz w:val="20"/>
              </w:rPr>
            </w:pPr>
            <w:r>
              <w:rPr>
                <w:sz w:val="20"/>
              </w:rPr>
              <w:t>Réfrigération commerciale</w:t>
            </w:r>
          </w:p>
        </w:tc>
        <w:tc>
          <w:tcPr>
            <w:tcW w:w="1450" w:type="pct"/>
            <w:shd w:val="clear" w:color="auto" w:fill="auto"/>
          </w:tcPr>
          <w:p w14:paraId="5DF243FF" w14:textId="77777777" w:rsidR="00A922E7" w:rsidRPr="006B3B98" w:rsidRDefault="00A922E7" w:rsidP="00632393">
            <w:pPr>
              <w:jc w:val="right"/>
              <w:rPr>
                <w:rFonts w:eastAsia="Calibri"/>
                <w:sz w:val="20"/>
              </w:rPr>
            </w:pPr>
            <w:r>
              <w:rPr>
                <w:sz w:val="20"/>
              </w:rPr>
              <w:t>16,50</w:t>
            </w:r>
          </w:p>
        </w:tc>
        <w:tc>
          <w:tcPr>
            <w:tcW w:w="1452" w:type="pct"/>
            <w:shd w:val="clear" w:color="auto" w:fill="auto"/>
          </w:tcPr>
          <w:p w14:paraId="322774BD" w14:textId="77777777" w:rsidR="00A922E7" w:rsidRPr="006B3B98" w:rsidRDefault="00A922E7" w:rsidP="00632393">
            <w:pPr>
              <w:jc w:val="right"/>
              <w:rPr>
                <w:rFonts w:eastAsia="Calibri"/>
                <w:sz w:val="20"/>
              </w:rPr>
            </w:pPr>
            <w:r>
              <w:rPr>
                <w:sz w:val="20"/>
              </w:rPr>
              <w:t>5,50</w:t>
            </w:r>
          </w:p>
        </w:tc>
      </w:tr>
      <w:tr w:rsidR="00A922E7" w:rsidRPr="006B3B98" w14:paraId="19749B65" w14:textId="77777777" w:rsidTr="002F3D17">
        <w:trPr>
          <w:trHeight w:val="259"/>
        </w:trPr>
        <w:tc>
          <w:tcPr>
            <w:tcW w:w="2098" w:type="pct"/>
            <w:shd w:val="clear" w:color="auto" w:fill="auto"/>
          </w:tcPr>
          <w:p w14:paraId="22DF1450" w14:textId="77777777" w:rsidR="00A922E7" w:rsidRPr="006B3B98" w:rsidRDefault="00A922E7" w:rsidP="002F3D17">
            <w:pPr>
              <w:jc w:val="left"/>
              <w:rPr>
                <w:sz w:val="20"/>
              </w:rPr>
            </w:pPr>
            <w:r>
              <w:rPr>
                <w:sz w:val="20"/>
              </w:rPr>
              <w:t>Climatisation stationnaire – résidentielle</w:t>
            </w:r>
          </w:p>
        </w:tc>
        <w:tc>
          <w:tcPr>
            <w:tcW w:w="1450" w:type="pct"/>
            <w:shd w:val="clear" w:color="auto" w:fill="auto"/>
          </w:tcPr>
          <w:p w14:paraId="631B04DF" w14:textId="77777777" w:rsidR="00A922E7" w:rsidRPr="006B3B98" w:rsidDel="00BF3797" w:rsidRDefault="00A922E7" w:rsidP="00632393">
            <w:pPr>
              <w:jc w:val="right"/>
              <w:rPr>
                <w:rFonts w:eastAsia="Calibri"/>
                <w:sz w:val="20"/>
              </w:rPr>
            </w:pPr>
            <w:r>
              <w:rPr>
                <w:sz w:val="20"/>
              </w:rPr>
              <w:t>13,60</w:t>
            </w:r>
          </w:p>
        </w:tc>
        <w:tc>
          <w:tcPr>
            <w:tcW w:w="1452" w:type="pct"/>
            <w:shd w:val="clear" w:color="auto" w:fill="auto"/>
          </w:tcPr>
          <w:p w14:paraId="1E96C79D" w14:textId="77777777" w:rsidR="00A922E7" w:rsidRPr="006B3B98" w:rsidDel="00BF3797" w:rsidRDefault="00A922E7" w:rsidP="00632393">
            <w:pPr>
              <w:jc w:val="right"/>
              <w:rPr>
                <w:rFonts w:eastAsia="Calibri"/>
                <w:sz w:val="20"/>
              </w:rPr>
            </w:pPr>
            <w:r>
              <w:rPr>
                <w:sz w:val="20"/>
              </w:rPr>
              <w:t>7,60</w:t>
            </w:r>
          </w:p>
        </w:tc>
      </w:tr>
      <w:tr w:rsidR="00A922E7" w:rsidRPr="006B3B98" w14:paraId="1382AB66" w14:textId="77777777" w:rsidTr="002F3D17">
        <w:trPr>
          <w:trHeight w:val="259"/>
        </w:trPr>
        <w:tc>
          <w:tcPr>
            <w:tcW w:w="2098" w:type="pct"/>
            <w:shd w:val="clear" w:color="auto" w:fill="auto"/>
          </w:tcPr>
          <w:p w14:paraId="297A1E80" w14:textId="77777777" w:rsidR="00A922E7" w:rsidRPr="006B3B98" w:rsidRDefault="00A922E7" w:rsidP="002F3D17">
            <w:pPr>
              <w:jc w:val="left"/>
              <w:rPr>
                <w:sz w:val="20"/>
              </w:rPr>
            </w:pPr>
            <w:r>
              <w:rPr>
                <w:sz w:val="20"/>
              </w:rPr>
              <w:t xml:space="preserve">Climatisation stationnaire – commerciale </w:t>
            </w:r>
          </w:p>
        </w:tc>
        <w:tc>
          <w:tcPr>
            <w:tcW w:w="1450" w:type="pct"/>
            <w:shd w:val="clear" w:color="auto" w:fill="auto"/>
          </w:tcPr>
          <w:p w14:paraId="4CF0DFCD" w14:textId="77777777" w:rsidR="00A922E7" w:rsidRPr="006B3B98" w:rsidDel="00BF3797" w:rsidRDefault="00A922E7" w:rsidP="00632393">
            <w:pPr>
              <w:jc w:val="right"/>
              <w:rPr>
                <w:rFonts w:eastAsia="Calibri"/>
                <w:sz w:val="20"/>
              </w:rPr>
            </w:pPr>
            <w:r>
              <w:rPr>
                <w:sz w:val="20"/>
              </w:rPr>
              <w:t>15,00</w:t>
            </w:r>
          </w:p>
        </w:tc>
        <w:tc>
          <w:tcPr>
            <w:tcW w:w="1452" w:type="pct"/>
            <w:shd w:val="clear" w:color="auto" w:fill="auto"/>
          </w:tcPr>
          <w:p w14:paraId="4FC6AA5E" w14:textId="77777777" w:rsidR="00A922E7" w:rsidRPr="006B3B98" w:rsidDel="00BF3797" w:rsidRDefault="00A922E7" w:rsidP="00632393">
            <w:pPr>
              <w:jc w:val="right"/>
              <w:rPr>
                <w:rFonts w:eastAsia="Calibri"/>
                <w:sz w:val="20"/>
              </w:rPr>
            </w:pPr>
            <w:r>
              <w:rPr>
                <w:sz w:val="20"/>
              </w:rPr>
              <w:t>7,90</w:t>
            </w:r>
          </w:p>
        </w:tc>
      </w:tr>
      <w:tr w:rsidR="00A922E7" w:rsidRPr="006B3B98" w14:paraId="527A60C7" w14:textId="77777777" w:rsidTr="002F3D17">
        <w:trPr>
          <w:trHeight w:val="259"/>
        </w:trPr>
        <w:tc>
          <w:tcPr>
            <w:tcW w:w="2098" w:type="pct"/>
            <w:shd w:val="clear" w:color="auto" w:fill="auto"/>
          </w:tcPr>
          <w:p w14:paraId="16F613F7" w14:textId="77777777" w:rsidR="00A922E7" w:rsidRPr="006B3B98" w:rsidRDefault="00A922E7" w:rsidP="002F3D17">
            <w:pPr>
              <w:jc w:val="left"/>
              <w:rPr>
                <w:sz w:val="20"/>
              </w:rPr>
            </w:pPr>
            <w:r>
              <w:rPr>
                <w:sz w:val="20"/>
              </w:rPr>
              <w:t>Réfrigération industrielle/pour transports</w:t>
            </w:r>
          </w:p>
        </w:tc>
        <w:tc>
          <w:tcPr>
            <w:tcW w:w="1450" w:type="pct"/>
            <w:shd w:val="clear" w:color="auto" w:fill="auto"/>
          </w:tcPr>
          <w:p w14:paraId="7968AF23" w14:textId="77777777" w:rsidR="00A922E7" w:rsidRPr="006B3B98" w:rsidRDefault="00A922E7" w:rsidP="00632393">
            <w:pPr>
              <w:jc w:val="right"/>
              <w:rPr>
                <w:rFonts w:eastAsia="Calibri"/>
                <w:sz w:val="20"/>
              </w:rPr>
            </w:pPr>
            <w:r>
              <w:rPr>
                <w:sz w:val="20"/>
              </w:rPr>
              <w:t>Au cas par cas</w:t>
            </w:r>
          </w:p>
        </w:tc>
        <w:tc>
          <w:tcPr>
            <w:tcW w:w="1452" w:type="pct"/>
            <w:shd w:val="clear" w:color="auto" w:fill="auto"/>
          </w:tcPr>
          <w:p w14:paraId="4013CBB3" w14:textId="77777777" w:rsidR="00A922E7" w:rsidRPr="006B3B98" w:rsidRDefault="00A922E7" w:rsidP="00632393">
            <w:pPr>
              <w:jc w:val="right"/>
              <w:rPr>
                <w:rFonts w:eastAsia="Calibri"/>
                <w:sz w:val="20"/>
              </w:rPr>
            </w:pPr>
            <w:r>
              <w:rPr>
                <w:sz w:val="20"/>
              </w:rPr>
              <w:t>Au cas par cas</w:t>
            </w:r>
          </w:p>
        </w:tc>
      </w:tr>
      <w:tr w:rsidR="00A922E7" w:rsidRPr="006B3B98" w14:paraId="1D702E55" w14:textId="77777777" w:rsidTr="002F3D17">
        <w:trPr>
          <w:trHeight w:val="259"/>
        </w:trPr>
        <w:tc>
          <w:tcPr>
            <w:tcW w:w="2098" w:type="pct"/>
            <w:shd w:val="clear" w:color="auto" w:fill="auto"/>
          </w:tcPr>
          <w:p w14:paraId="3BDF8876" w14:textId="77777777" w:rsidR="00A922E7" w:rsidRPr="006B3B98" w:rsidRDefault="00A922E7" w:rsidP="002F3D17">
            <w:pPr>
              <w:jc w:val="left"/>
              <w:rPr>
                <w:sz w:val="20"/>
              </w:rPr>
            </w:pPr>
            <w:r>
              <w:rPr>
                <w:sz w:val="20"/>
              </w:rPr>
              <w:t>Mousse de polyuréthane</w:t>
            </w:r>
          </w:p>
        </w:tc>
        <w:tc>
          <w:tcPr>
            <w:tcW w:w="1450" w:type="pct"/>
            <w:shd w:val="clear" w:color="auto" w:fill="auto"/>
          </w:tcPr>
          <w:p w14:paraId="0982EC5D" w14:textId="77777777" w:rsidR="00A922E7" w:rsidRPr="006B3B98" w:rsidDel="00BF3797" w:rsidRDefault="00A922E7" w:rsidP="00632393">
            <w:pPr>
              <w:jc w:val="right"/>
              <w:rPr>
                <w:rFonts w:eastAsia="Calibri"/>
                <w:sz w:val="20"/>
              </w:rPr>
            </w:pPr>
            <w:r>
              <w:rPr>
                <w:sz w:val="20"/>
              </w:rPr>
              <w:t>9,00</w:t>
            </w:r>
          </w:p>
        </w:tc>
        <w:tc>
          <w:tcPr>
            <w:tcW w:w="1452" w:type="pct"/>
            <w:shd w:val="clear" w:color="auto" w:fill="auto"/>
          </w:tcPr>
          <w:p w14:paraId="7EB268EC" w14:textId="77777777" w:rsidR="00A922E7" w:rsidRPr="006B3B98" w:rsidDel="00BF3797" w:rsidRDefault="00A922E7" w:rsidP="00632393">
            <w:pPr>
              <w:jc w:val="right"/>
              <w:rPr>
                <w:rFonts w:eastAsia="Calibri"/>
                <w:sz w:val="20"/>
              </w:rPr>
            </w:pPr>
            <w:r>
              <w:rPr>
                <w:sz w:val="20"/>
              </w:rPr>
              <w:t>5,20</w:t>
            </w:r>
          </w:p>
        </w:tc>
      </w:tr>
      <w:tr w:rsidR="00A922E7" w:rsidRPr="006B3B98" w14:paraId="67D720FB" w14:textId="77777777" w:rsidTr="002F3D17">
        <w:trPr>
          <w:trHeight w:val="259"/>
        </w:trPr>
        <w:tc>
          <w:tcPr>
            <w:tcW w:w="2098" w:type="pct"/>
            <w:shd w:val="clear" w:color="auto" w:fill="auto"/>
          </w:tcPr>
          <w:p w14:paraId="73AE2B72" w14:textId="77777777" w:rsidR="00A922E7" w:rsidRPr="006B3B98" w:rsidRDefault="00A922E7" w:rsidP="002F3D17">
            <w:pPr>
              <w:jc w:val="left"/>
              <w:rPr>
                <w:sz w:val="20"/>
              </w:rPr>
            </w:pPr>
            <w:r>
              <w:rPr>
                <w:sz w:val="20"/>
              </w:rPr>
              <w:t>Tous les autres secteurs</w:t>
            </w:r>
          </w:p>
        </w:tc>
        <w:tc>
          <w:tcPr>
            <w:tcW w:w="1450" w:type="pct"/>
            <w:shd w:val="clear" w:color="auto" w:fill="auto"/>
          </w:tcPr>
          <w:p w14:paraId="7BC5B9EF" w14:textId="77777777" w:rsidR="00A922E7" w:rsidRPr="006B3B98" w:rsidRDefault="00A922E7" w:rsidP="00632393">
            <w:pPr>
              <w:jc w:val="right"/>
              <w:rPr>
                <w:rFonts w:eastAsia="Calibri"/>
                <w:sz w:val="20"/>
              </w:rPr>
            </w:pPr>
            <w:r>
              <w:rPr>
                <w:sz w:val="20"/>
              </w:rPr>
              <w:t>Au cas par cas</w:t>
            </w:r>
          </w:p>
        </w:tc>
        <w:tc>
          <w:tcPr>
            <w:tcW w:w="1452" w:type="pct"/>
            <w:shd w:val="clear" w:color="auto" w:fill="auto"/>
          </w:tcPr>
          <w:p w14:paraId="6B7AFA09" w14:textId="77777777" w:rsidR="00A922E7" w:rsidRPr="006B3B98" w:rsidRDefault="00A922E7" w:rsidP="00632393">
            <w:pPr>
              <w:jc w:val="right"/>
              <w:rPr>
                <w:rFonts w:eastAsia="Calibri"/>
                <w:sz w:val="20"/>
              </w:rPr>
            </w:pPr>
            <w:r>
              <w:rPr>
                <w:sz w:val="20"/>
              </w:rPr>
              <w:t>Au cas par cas</w:t>
            </w:r>
          </w:p>
        </w:tc>
      </w:tr>
    </w:tbl>
    <w:p w14:paraId="46612523" w14:textId="77777777" w:rsidR="003E2274" w:rsidRDefault="003E2274" w:rsidP="00890859">
      <w:pPr>
        <w:pStyle w:val="Heading1"/>
        <w:spacing w:after="0"/>
        <w:rPr>
          <w:lang w:val="en-GB"/>
        </w:rPr>
      </w:pPr>
    </w:p>
    <w:p w14:paraId="36A5FB0E" w14:textId="54E3E8A7" w:rsidR="00A922E7" w:rsidRPr="00A9291C" w:rsidRDefault="00A922E7" w:rsidP="00A922E7">
      <w:pPr>
        <w:pStyle w:val="Heading1"/>
        <w:numPr>
          <w:ilvl w:val="0"/>
          <w:numId w:val="6"/>
        </w:numPr>
        <w:tabs>
          <w:tab w:val="clear" w:pos="0"/>
        </w:tabs>
      </w:pPr>
      <w:r>
        <w:t>Le Comité exécutif a défini les petites et moyennes entreprises (PME) dans le secteur de la fabrication de mousses de polyuréthane comme étant les entreprises consommant 20 tonnes métriques de HFC ou moins. Le Comité a également défini les PME dans le secteur de la fabrication d’équipements de réfrigération et de climatisation commerciaux comme étant les entreprises consommant 15 tonnes métriques de HFC ou moins, étant entendu que l’intégralité de la consommation de HFC par l’entreprise serait prise en compte, plutôt que la simple consommation de la ligne ou du procédé à convertir ; qu’une entreprise qui fabriquerait plus de 40 000 unités d’équipement par an, que cet équipement utilise des HFC ou non, ne serait pas considérée comme une PME pour les besoins du financement ; et qu’une entreprise ne serait pas considérée comme une PME si elle appartenait intégralement ou partiellement à une multinationale, que la propriété de celle-ci soit sise ou non dans un pays visé à l’article 5.</w:t>
      </w:r>
    </w:p>
    <w:p w14:paraId="189D2A78" w14:textId="77777777" w:rsidR="00A922E7" w:rsidRPr="006B3B98" w:rsidRDefault="00A922E7" w:rsidP="00A922E7">
      <w:pPr>
        <w:pStyle w:val="Heading1"/>
        <w:numPr>
          <w:ilvl w:val="0"/>
          <w:numId w:val="6"/>
        </w:numPr>
        <w:tabs>
          <w:tab w:val="clear" w:pos="0"/>
        </w:tabs>
      </w:pPr>
      <w:r>
        <w:t>Le Comité exécutif a convenu de fournir un financement de 32 pour cent au-dessus des seuils coût-efficacité du tableau 1 pour les PME consommant 15 tonnes métriques ou moins de HFC dans le secteur de la réfrigération et de la climatisation et de fournir un financement de 40 pour cent au-dessus du seuil coût-efficacité du tableau 1 pour les PME consommant 20 tonnes métriques ou moins de HFC dans le secteur de la mousse de polyuréthane.</w:t>
      </w:r>
    </w:p>
    <w:p w14:paraId="60730406" w14:textId="12119E8D" w:rsidR="00A922E7" w:rsidRPr="006B3B98" w:rsidRDefault="00A922E7" w:rsidP="00A922E7">
      <w:pPr>
        <w:pStyle w:val="Heading1"/>
        <w:numPr>
          <w:ilvl w:val="0"/>
          <w:numId w:val="6"/>
        </w:numPr>
        <w:tabs>
          <w:tab w:val="clear" w:pos="0"/>
        </w:tabs>
      </w:pPr>
      <w:r>
        <w:t>Il a été décidé que les entreprises consommant moins de 1,5 tonne métrique qui font partie d’un projet cadre pourraient recevoir un financement s’élevant jusqu’à 2,5 fois le seuil coût-efficacité spécifié dans le tableau 1, pour autant que le rapport coût-efficacité global du projet cadre ne dépasse pas 1,5 fois le seuil sectoriel ou les niveaux de seuil spécifiés pour les PME au paragraphe </w:t>
      </w:r>
      <w:r>
        <w:rPr>
          <w:highlight w:val="yellow"/>
        </w:rPr>
        <w:t>13</w:t>
      </w:r>
      <w:r>
        <w:t>, ci-dessus, si le projet cadre ne comprenait que des PME. Il a également été décidé que le projet cadre incluait toutes les entreprises restantes dans un secteur ou un sous-secteur pour lequel les seuils coût-efficacité avaient été établis. Il était entendu que le pays concerné ne soumettrait plus de demande de financement du Fond multilatéral pour une entreprise dans ce secteur ou sous-secteur, conformément à l’alinéa a) de la décision 19/32, qui soulignait les conditions d’admissibilité au financement des projets cadres.</w:t>
      </w:r>
    </w:p>
    <w:p w14:paraId="376E507E" w14:textId="37F5C9B3" w:rsidR="00A922E7" w:rsidRDefault="00A922E7" w:rsidP="00A922E7">
      <w:pPr>
        <w:pStyle w:val="Heading1"/>
        <w:numPr>
          <w:ilvl w:val="0"/>
          <w:numId w:val="6"/>
        </w:numPr>
        <w:tabs>
          <w:tab w:val="clear" w:pos="0"/>
        </w:tabs>
      </w:pPr>
      <w:r>
        <w:t>Lorsqu’il a été clairement démontré que l’utilisation de solutions de remplacement à faible PRP avec les surcoûts d’exploitation indiqués au tableau 1 n’était pas possible, le Comité exécutif a décidé qu’il examinerait un financement supérieur à ces surcoûts d’exploitation, dans les limites du seuil coût-efficacité applicable, lorsque cela serait nécessaire pour l’introduction de solutions de remplacement à faible PRP par la PME. Dans de tels cas, il convient que la justification pour une demande de niveaux supérieurs de surcoûts d’exploitation soit clairement documentée et présentée au Comité exécutif pour examen individuel.</w:t>
      </w:r>
    </w:p>
    <w:p w14:paraId="7A19F2D3" w14:textId="4841B8F5" w:rsidR="00A834E1" w:rsidRPr="00517CF8" w:rsidRDefault="00FF3958" w:rsidP="009F2DD1">
      <w:pPr>
        <w:spacing w:after="240"/>
        <w:ind w:left="720"/>
        <w:rPr>
          <w:i/>
          <w:iCs/>
        </w:rPr>
      </w:pPr>
      <w:r>
        <w:rPr>
          <w:i/>
        </w:rPr>
        <w:lastRenderedPageBreak/>
        <w:t>Surcoûts recevables – secteur de la production (catégories des surcoûts recevables telles que convenues dans la décision XXVIII/2)</w:t>
      </w:r>
    </w:p>
    <w:p w14:paraId="712DC72B" w14:textId="71EB0DE8" w:rsidR="00001487" w:rsidRPr="000C29E3" w:rsidRDefault="00001487" w:rsidP="00647DFE">
      <w:pPr>
        <w:pStyle w:val="Heading1"/>
        <w:numPr>
          <w:ilvl w:val="0"/>
          <w:numId w:val="6"/>
        </w:numPr>
        <w:tabs>
          <w:tab w:val="clear" w:pos="0"/>
        </w:tabs>
        <w:rPr>
          <w:bCs/>
        </w:rPr>
      </w:pPr>
      <w:r>
        <w:t>En ce qui concerne les surcoûts recevables dans le secteur de la production, le Comité exécutif a décidé de rendre les catégories de coûts suivantes admissibles au financement et de les inclure dans le calcul des coûts associé à la réduction progressive des HFC : perte de bénéfices due à l’arrêt/la fermeture d’installations de production et à la réduction de la production ; indemnisation des travailleurs déplacés ; démantèlement des installations de production ; activités d’assistance technique ; recherche et développement associés à la production de solutions de remplacement des HFC à PRP faible ou nul dans le but de réduire les coûts des solutions de remplacement ; coûts des brevets et des conceptions ou surcoûts des redevances ; coûts de conversion des installations pour la production de solutions de remplacement des HFC à PRP faible ou nul lorsque cela est techniquement possible et économique ; et coûts de la réduction des émissions de HFC-23, un sous-produit du procédé de production du HCFC</w:t>
      </w:r>
      <w:r>
        <w:noBreakHyphen/>
        <w:t xml:space="preserve">22, en réduisant le taux d’émission de HFC-23 dans le procédé, en l’éliminant des gaz d’échappement, ou en le collectant et le convertissant en d’autres produits chimiques non nuisibles à l'environnement (il convient que le Fonds multilatéral finance de tels coûts pour satisfaire aux obligations des Parties visées à l’article 5 spécifiées dans l’Amendement de Kigali). Le Comité a également convenu que le sous-groupe sur le secteur de la production envisagera au cas par cas une indemnité pour les obligations de contrôle liées à la conformité dans le secteur de la production, lorsque les pays visés à l’article 5 auront soumis les rapports officiels sur la production de HFC. </w:t>
      </w:r>
    </w:p>
    <w:p w14:paraId="5862EC7D" w14:textId="28382F5F" w:rsidR="00FD1150" w:rsidRPr="00517CF8" w:rsidRDefault="007C6403" w:rsidP="009F2DD1">
      <w:pPr>
        <w:spacing w:after="240"/>
        <w:ind w:left="720"/>
        <w:rPr>
          <w:i/>
          <w:iCs/>
        </w:rPr>
      </w:pPr>
      <w:r>
        <w:rPr>
          <w:i/>
        </w:rPr>
        <w:t>Surcoûts recevables – secteur de l’entretien de l’équipement de réfrigération (catégories des surcoûts recevables telles que convenues dans la décision XXVIII/2)</w:t>
      </w:r>
    </w:p>
    <w:p w14:paraId="0CEA06DE" w14:textId="77777777" w:rsidR="00B0414C" w:rsidRDefault="00001487" w:rsidP="00001487">
      <w:pPr>
        <w:pStyle w:val="Heading1"/>
        <w:numPr>
          <w:ilvl w:val="0"/>
          <w:numId w:val="6"/>
        </w:numPr>
        <w:tabs>
          <w:tab w:val="clear" w:pos="0"/>
        </w:tabs>
        <w:rPr>
          <w:bCs/>
        </w:rPr>
      </w:pPr>
      <w:r>
        <w:t xml:space="preserve">En ce qui concerne les surcoûts recevables dans le secteur de l’entretien de l’équipement de réfrigération, le Comité exécutif a décidé de rendre les catégories suivantes de coûts admissibles au financement et de les intégrer au calcul des coûts associés à la réduction progressive des HFC : activités de sensibilisation du public ; élaboration et mise en œuvre de politiques ; programmes de certification et formation des techniciens à la manipulation sans danger, aux bonnes pratiques et à la sécurité pour les solutions de remplacement, y compris l’équipement de formation ; formation des agents des douanes ; prévention du commerce illicite des HFC ; outils pour l’entretien ; équipement d’essai de frigorigène pour le secteur de la réfrigération et de la climatisation ; et recyclage et récupération des HFC. </w:t>
      </w:r>
    </w:p>
    <w:p w14:paraId="7BA1070D" w14:textId="6FE2B7C7" w:rsidR="007003F9" w:rsidRPr="005A4DED" w:rsidRDefault="00001487" w:rsidP="00B96148">
      <w:pPr>
        <w:pStyle w:val="Heading1"/>
        <w:numPr>
          <w:ilvl w:val="0"/>
          <w:numId w:val="6"/>
        </w:numPr>
        <w:tabs>
          <w:tab w:val="clear" w:pos="0"/>
        </w:tabs>
        <w:rPr>
          <w:bCs/>
        </w:rPr>
      </w:pPr>
      <w:r>
        <w:t>Le Comité a également convenu que, par rapport au niveau et aux modalités de financement de la réduction progressive des HFC dans le secteur de l’entretien de l’équipement de réfrigération, le financement serait fourni conformément à la décision 92/37, adoptée par le Comité en 2023, qui établit les principes à appliquer en ce qui concerne le financement des surcoûts recevables dans le secteur de l’entretien de l’équipement de réfrigération pour la phase I des KIP, étant entendu que les niveaux de financement indiqués dans le tableau 2, ci-dessous, pour le financement en vue d’atteindre l’objectif de réduction de 10 pour cent des HFC du Protocole de Montréal pour les pays à faible volume de consommation (FVC), seraient révisés pour les activités soumises pour de futures phases du plan de mise en œuvre de l’Amendement de Kigali une fois les activités au titre du PGEH achevées. Dans cette décision, le Comité avait convenu que les principes définis dans la décision seraient intégrés dans les lignes directrices du financement pour la réduction progressive des HFC et seraient révisés en 2028 pour le financement de futures phases des plans de mise en œuvre de l’Amendement de Kigali.</w:t>
      </w:r>
    </w:p>
    <w:p w14:paraId="6B986832" w14:textId="77777777" w:rsidR="007003F9" w:rsidRDefault="007003F9" w:rsidP="007003F9">
      <w:pPr>
        <w:pStyle w:val="Heading1"/>
        <w:numPr>
          <w:ilvl w:val="0"/>
          <w:numId w:val="6"/>
        </w:numPr>
        <w:tabs>
          <w:tab w:val="clear" w:pos="0"/>
        </w:tabs>
        <w:rPr>
          <w:bCs/>
        </w:rPr>
      </w:pPr>
      <w:r>
        <w:t xml:space="preserve">Ainsi, dans la décision 92/37, le Comité a décidé que les pays visés à l’article 5 devaient intégrer dans leurs plans de mise en œuvre de l’Amendement de Kigali, au moins : i) un engagement à atteindre, sans demande supplémentaire de financement, au moins l’objectif de 10 pour cent de réduction de la consommation de HFC conformément au calendrier de conformité du Protocole de Montréal et de restriction des importations d’équipement utilisant des HFC, si possible et si nécessaire pour respecter le calendrier de conformité et soutenir les activités de réduction progressive ; ii) une communication obligatoire, avant la demande de tranches de financement pour les plans de mise en œuvre de l’amendement </w:t>
      </w:r>
      <w:r>
        <w:lastRenderedPageBreak/>
        <w:t xml:space="preserve">de Kigali, sut la mise en œuvre des activités entreprises dans les précédentes tranches pour le secteur de l’entretien de l’équipement de réfrigération et pour le secteur de la fabrication, le cas échéant, ainsi qu’un plan de travail annuel complet pour la mise en œuvre des activités associées à la tranche suivante ; iii) une description des rôles et des responsabilités des principales parties prenantes et de l’agence d’exécution principale et des agences coopérantes, le cas échéant ; et iv) une description de la manière dont la mise en œuvre des activités dans le secteur de l’entretien au titre des plans de mise en œuvre de l’Amendement de Kigali et des PGEH serait coordonnée. </w:t>
      </w:r>
    </w:p>
    <w:p w14:paraId="50E22459" w14:textId="77777777" w:rsidR="007003F9" w:rsidRPr="006B3B98" w:rsidRDefault="007003F9" w:rsidP="007003F9">
      <w:pPr>
        <w:pStyle w:val="Heading1"/>
        <w:numPr>
          <w:ilvl w:val="0"/>
          <w:numId w:val="6"/>
        </w:numPr>
        <w:tabs>
          <w:tab w:val="clear" w:pos="0"/>
        </w:tabs>
        <w:rPr>
          <w:bCs/>
        </w:rPr>
      </w:pPr>
      <w:r>
        <w:t>Dans la même décision, le Comité a décidé que les pays visés à l’article 5 qui, au cours de leurs années de référence, avaient une consommation moyenne de HFC dans le secteur de l’entretien inférieure ou égale à 360 tonnes métriques recevraient un financement correspondant au niveau de consommation dans le secteur de l’entretien de l’équipement de réfrigération, étant entendu que les propositions de projet devraient encore démontrer que le niveau de financement est nécessaire pour atteindre au moins la cible de réduction de 10 pour cent des HFC. Le niveau de financement convenu par le Comité est indiqué dans le tableau 2.</w:t>
      </w:r>
    </w:p>
    <w:p w14:paraId="0E99509D" w14:textId="77777777" w:rsidR="007003F9" w:rsidRPr="006B3B98" w:rsidRDefault="007003F9" w:rsidP="00422FE0">
      <w:pPr>
        <w:keepNext/>
        <w:ind w:firstLine="720"/>
        <w:jc w:val="left"/>
      </w:pPr>
      <w:r>
        <w:t>Tableau 2</w:t>
      </w:r>
    </w:p>
    <w:p w14:paraId="2AB64831" w14:textId="77777777" w:rsidR="007003F9" w:rsidRPr="006B3B98" w:rsidRDefault="007003F9" w:rsidP="007003F9">
      <w:pPr>
        <w:ind w:left="720"/>
        <w:jc w:val="left"/>
        <w:rPr>
          <w:b/>
          <w:bCs/>
        </w:rPr>
      </w:pPr>
      <w:r>
        <w:rPr>
          <w:b/>
        </w:rPr>
        <w:t>Financement pour respecter l’objectif de réduction de 10 pour cent des HFC du Protocole de Montréal pour les pays à faible volume de consommation</w:t>
      </w:r>
    </w:p>
    <w:tbl>
      <w:tblPr>
        <w:tblW w:w="8741" w:type="dxa"/>
        <w:tblInd w:w="7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53"/>
        <w:gridCol w:w="4488"/>
      </w:tblGrid>
      <w:tr w:rsidR="007003F9" w:rsidRPr="0033445E" w14:paraId="3DAE51E0" w14:textId="77777777" w:rsidTr="00B873CA">
        <w:trPr>
          <w:trHeight w:val="300"/>
        </w:trPr>
        <w:tc>
          <w:tcPr>
            <w:tcW w:w="4253" w:type="dxa"/>
            <w:tcBorders>
              <w:top w:val="single" w:sz="6" w:space="0" w:color="auto"/>
              <w:left w:val="single" w:sz="6" w:space="0" w:color="auto"/>
              <w:bottom w:val="single" w:sz="6" w:space="0" w:color="auto"/>
              <w:right w:val="single" w:sz="6" w:space="0" w:color="auto"/>
            </w:tcBorders>
            <w:vAlign w:val="center"/>
            <w:hideMark/>
          </w:tcPr>
          <w:p w14:paraId="2DFC3946" w14:textId="77777777" w:rsidR="007003F9" w:rsidRPr="0033445E" w:rsidRDefault="007003F9" w:rsidP="00B873CA">
            <w:pPr>
              <w:ind w:left="78"/>
              <w:jc w:val="center"/>
              <w:textAlignment w:val="baseline"/>
              <w:rPr>
                <w:b/>
                <w:bCs/>
                <w:sz w:val="20"/>
                <w:szCs w:val="20"/>
              </w:rPr>
            </w:pPr>
            <w:r>
              <w:rPr>
                <w:b/>
                <w:color w:val="000000"/>
                <w:sz w:val="20"/>
              </w:rPr>
              <w:t>Consommation moyenne de HFC pour l’entretien dans les années de référence (tonnes métriques)</w:t>
            </w:r>
          </w:p>
        </w:tc>
        <w:tc>
          <w:tcPr>
            <w:tcW w:w="4488" w:type="dxa"/>
            <w:tcBorders>
              <w:top w:val="single" w:sz="6" w:space="0" w:color="auto"/>
              <w:left w:val="nil"/>
              <w:bottom w:val="single" w:sz="6" w:space="0" w:color="auto"/>
              <w:right w:val="single" w:sz="6" w:space="0" w:color="auto"/>
            </w:tcBorders>
            <w:vAlign w:val="center"/>
            <w:hideMark/>
          </w:tcPr>
          <w:p w14:paraId="402DF21E" w14:textId="2C3D9027" w:rsidR="007003F9" w:rsidRPr="0033445E" w:rsidRDefault="007003F9" w:rsidP="00B873CA">
            <w:pPr>
              <w:ind w:right="230"/>
              <w:jc w:val="center"/>
              <w:textAlignment w:val="baseline"/>
              <w:rPr>
                <w:b/>
                <w:bCs/>
                <w:color w:val="000000"/>
                <w:sz w:val="20"/>
                <w:szCs w:val="20"/>
              </w:rPr>
            </w:pPr>
            <w:r>
              <w:rPr>
                <w:b/>
                <w:color w:val="000000" w:themeColor="text1"/>
                <w:sz w:val="20"/>
              </w:rPr>
              <w:t>Financement pour respecter l’objectif de réduction de 10 pour cent des HFC du Protocole de Montréal ($US)</w:t>
            </w:r>
            <w:r w:rsidR="005445DF">
              <w:rPr>
                <w:b/>
                <w:color w:val="000000" w:themeColor="text1"/>
                <w:sz w:val="20"/>
              </w:rPr>
              <w:t> </w:t>
            </w:r>
            <w:r>
              <w:rPr>
                <w:b/>
                <w:color w:val="000000" w:themeColor="text1"/>
                <w:sz w:val="20"/>
              </w:rPr>
              <w:t>*</w:t>
            </w:r>
          </w:p>
        </w:tc>
      </w:tr>
      <w:tr w:rsidR="007003F9" w:rsidRPr="006B3B98" w14:paraId="26B67A41" w14:textId="77777777" w:rsidTr="00B873CA">
        <w:trPr>
          <w:trHeight w:val="120"/>
        </w:trPr>
        <w:tc>
          <w:tcPr>
            <w:tcW w:w="4253" w:type="dxa"/>
            <w:tcBorders>
              <w:top w:val="nil"/>
              <w:left w:val="single" w:sz="6" w:space="0" w:color="auto"/>
              <w:bottom w:val="single" w:sz="6" w:space="0" w:color="auto"/>
              <w:right w:val="single" w:sz="6" w:space="0" w:color="auto"/>
            </w:tcBorders>
            <w:hideMark/>
          </w:tcPr>
          <w:p w14:paraId="6387C435" w14:textId="77777777" w:rsidR="007003F9" w:rsidRPr="006B3B98" w:rsidRDefault="007003F9" w:rsidP="00B873CA">
            <w:pPr>
              <w:ind w:left="1395" w:hanging="993"/>
              <w:jc w:val="left"/>
              <w:textAlignment w:val="baseline"/>
              <w:rPr>
                <w:sz w:val="20"/>
                <w:szCs w:val="20"/>
              </w:rPr>
            </w:pPr>
            <w:r>
              <w:rPr>
                <w:color w:val="000000"/>
                <w:sz w:val="20"/>
              </w:rPr>
              <w:t>&gt; 0 &lt; 15 </w:t>
            </w:r>
          </w:p>
        </w:tc>
        <w:tc>
          <w:tcPr>
            <w:tcW w:w="4488" w:type="dxa"/>
            <w:tcBorders>
              <w:top w:val="nil"/>
              <w:left w:val="nil"/>
              <w:bottom w:val="single" w:sz="6" w:space="0" w:color="auto"/>
              <w:right w:val="single" w:sz="6" w:space="0" w:color="auto"/>
            </w:tcBorders>
            <w:hideMark/>
          </w:tcPr>
          <w:p w14:paraId="6A7F0A2E" w14:textId="77777777" w:rsidR="007003F9" w:rsidRPr="006B3B98" w:rsidRDefault="007003F9" w:rsidP="00B873CA">
            <w:pPr>
              <w:ind w:right="258"/>
              <w:jc w:val="right"/>
              <w:textAlignment w:val="baseline"/>
              <w:rPr>
                <w:sz w:val="20"/>
                <w:szCs w:val="20"/>
              </w:rPr>
            </w:pPr>
            <w:r>
              <w:rPr>
                <w:color w:val="000000"/>
                <w:sz w:val="20"/>
              </w:rPr>
              <w:t>135 000 </w:t>
            </w:r>
          </w:p>
        </w:tc>
      </w:tr>
      <w:tr w:rsidR="007003F9" w:rsidRPr="006B3B98" w14:paraId="2EA1BBE8" w14:textId="77777777" w:rsidTr="00B873CA">
        <w:trPr>
          <w:trHeight w:val="45"/>
        </w:trPr>
        <w:tc>
          <w:tcPr>
            <w:tcW w:w="4253" w:type="dxa"/>
            <w:tcBorders>
              <w:top w:val="nil"/>
              <w:left w:val="single" w:sz="6" w:space="0" w:color="auto"/>
              <w:bottom w:val="single" w:sz="6" w:space="0" w:color="auto"/>
              <w:right w:val="single" w:sz="6" w:space="0" w:color="auto"/>
            </w:tcBorders>
            <w:hideMark/>
          </w:tcPr>
          <w:p w14:paraId="417CC689" w14:textId="77777777" w:rsidR="007003F9" w:rsidRPr="006B3B98" w:rsidRDefault="007003F9" w:rsidP="00B873CA">
            <w:pPr>
              <w:ind w:left="1395" w:hanging="993"/>
              <w:jc w:val="left"/>
              <w:textAlignment w:val="baseline"/>
              <w:rPr>
                <w:sz w:val="20"/>
                <w:szCs w:val="20"/>
              </w:rPr>
            </w:pPr>
            <w:r>
              <w:rPr>
                <w:color w:val="000000"/>
                <w:sz w:val="20"/>
              </w:rPr>
              <w:t>15 &lt; 40 </w:t>
            </w:r>
          </w:p>
        </w:tc>
        <w:tc>
          <w:tcPr>
            <w:tcW w:w="4488" w:type="dxa"/>
            <w:tcBorders>
              <w:top w:val="nil"/>
              <w:left w:val="nil"/>
              <w:bottom w:val="single" w:sz="6" w:space="0" w:color="auto"/>
              <w:right w:val="single" w:sz="6" w:space="0" w:color="auto"/>
            </w:tcBorders>
            <w:hideMark/>
          </w:tcPr>
          <w:p w14:paraId="6AD95513" w14:textId="77777777" w:rsidR="007003F9" w:rsidRPr="006B3B98" w:rsidRDefault="007003F9" w:rsidP="00B873CA">
            <w:pPr>
              <w:ind w:right="258"/>
              <w:jc w:val="right"/>
              <w:textAlignment w:val="baseline"/>
              <w:rPr>
                <w:sz w:val="20"/>
                <w:szCs w:val="20"/>
              </w:rPr>
            </w:pPr>
            <w:r>
              <w:rPr>
                <w:color w:val="000000"/>
                <w:sz w:val="20"/>
              </w:rPr>
              <w:t>145 000 </w:t>
            </w:r>
          </w:p>
        </w:tc>
      </w:tr>
      <w:tr w:rsidR="007003F9" w:rsidRPr="006B3B98" w14:paraId="7E69E4E2" w14:textId="77777777" w:rsidTr="00B873CA">
        <w:trPr>
          <w:trHeight w:val="60"/>
        </w:trPr>
        <w:tc>
          <w:tcPr>
            <w:tcW w:w="4253" w:type="dxa"/>
            <w:tcBorders>
              <w:top w:val="nil"/>
              <w:left w:val="single" w:sz="6" w:space="0" w:color="auto"/>
              <w:bottom w:val="single" w:sz="6" w:space="0" w:color="auto"/>
              <w:right w:val="single" w:sz="6" w:space="0" w:color="auto"/>
            </w:tcBorders>
            <w:hideMark/>
          </w:tcPr>
          <w:p w14:paraId="0DB26C74" w14:textId="77777777" w:rsidR="007003F9" w:rsidRPr="006B3B98" w:rsidRDefault="007003F9" w:rsidP="00B873CA">
            <w:pPr>
              <w:ind w:left="1395" w:hanging="993"/>
              <w:jc w:val="left"/>
              <w:textAlignment w:val="baseline"/>
              <w:rPr>
                <w:sz w:val="20"/>
                <w:szCs w:val="20"/>
              </w:rPr>
            </w:pPr>
            <w:r>
              <w:rPr>
                <w:color w:val="000000"/>
                <w:sz w:val="20"/>
              </w:rPr>
              <w:t>40 &lt; 80 </w:t>
            </w:r>
          </w:p>
        </w:tc>
        <w:tc>
          <w:tcPr>
            <w:tcW w:w="4488" w:type="dxa"/>
            <w:tcBorders>
              <w:top w:val="nil"/>
              <w:left w:val="nil"/>
              <w:bottom w:val="single" w:sz="6" w:space="0" w:color="auto"/>
              <w:right w:val="single" w:sz="6" w:space="0" w:color="auto"/>
            </w:tcBorders>
            <w:hideMark/>
          </w:tcPr>
          <w:p w14:paraId="10F76853" w14:textId="77777777" w:rsidR="007003F9" w:rsidRPr="006B3B98" w:rsidRDefault="007003F9" w:rsidP="00B873CA">
            <w:pPr>
              <w:ind w:right="258"/>
              <w:jc w:val="right"/>
              <w:textAlignment w:val="baseline"/>
              <w:rPr>
                <w:sz w:val="20"/>
                <w:szCs w:val="20"/>
              </w:rPr>
            </w:pPr>
            <w:r>
              <w:rPr>
                <w:color w:val="000000"/>
                <w:sz w:val="20"/>
              </w:rPr>
              <w:t>158 000 </w:t>
            </w:r>
          </w:p>
        </w:tc>
      </w:tr>
      <w:tr w:rsidR="007003F9" w:rsidRPr="006B3B98" w14:paraId="27336B7F" w14:textId="77777777" w:rsidTr="00B873CA">
        <w:trPr>
          <w:trHeight w:val="45"/>
        </w:trPr>
        <w:tc>
          <w:tcPr>
            <w:tcW w:w="4253" w:type="dxa"/>
            <w:tcBorders>
              <w:top w:val="nil"/>
              <w:left w:val="single" w:sz="6" w:space="0" w:color="auto"/>
              <w:bottom w:val="single" w:sz="6" w:space="0" w:color="auto"/>
              <w:right w:val="single" w:sz="6" w:space="0" w:color="auto"/>
            </w:tcBorders>
            <w:hideMark/>
          </w:tcPr>
          <w:p w14:paraId="3F7E9CCD" w14:textId="77777777" w:rsidR="007003F9" w:rsidRPr="006B3B98" w:rsidRDefault="007003F9" w:rsidP="00B873CA">
            <w:pPr>
              <w:ind w:left="1395" w:hanging="993"/>
              <w:jc w:val="left"/>
              <w:textAlignment w:val="baseline"/>
              <w:rPr>
                <w:sz w:val="20"/>
                <w:szCs w:val="20"/>
              </w:rPr>
            </w:pPr>
            <w:r>
              <w:rPr>
                <w:color w:val="000000"/>
                <w:sz w:val="20"/>
              </w:rPr>
              <w:t>80 &lt; 120 </w:t>
            </w:r>
          </w:p>
        </w:tc>
        <w:tc>
          <w:tcPr>
            <w:tcW w:w="4488" w:type="dxa"/>
            <w:tcBorders>
              <w:top w:val="nil"/>
              <w:left w:val="nil"/>
              <w:bottom w:val="single" w:sz="6" w:space="0" w:color="auto"/>
              <w:right w:val="single" w:sz="6" w:space="0" w:color="auto"/>
            </w:tcBorders>
            <w:hideMark/>
          </w:tcPr>
          <w:p w14:paraId="7752311F" w14:textId="77777777" w:rsidR="007003F9" w:rsidRPr="006B3B98" w:rsidRDefault="007003F9" w:rsidP="00B873CA">
            <w:pPr>
              <w:ind w:right="258"/>
              <w:jc w:val="right"/>
              <w:textAlignment w:val="baseline"/>
              <w:rPr>
                <w:sz w:val="20"/>
                <w:szCs w:val="20"/>
              </w:rPr>
            </w:pPr>
            <w:r>
              <w:rPr>
                <w:color w:val="000000"/>
                <w:sz w:val="20"/>
              </w:rPr>
              <w:t>170 000 </w:t>
            </w:r>
          </w:p>
        </w:tc>
      </w:tr>
      <w:tr w:rsidR="007003F9" w:rsidRPr="006B3B98" w14:paraId="618420FF" w14:textId="77777777" w:rsidTr="00B873CA">
        <w:trPr>
          <w:trHeight w:val="45"/>
        </w:trPr>
        <w:tc>
          <w:tcPr>
            <w:tcW w:w="4253" w:type="dxa"/>
            <w:tcBorders>
              <w:top w:val="nil"/>
              <w:left w:val="single" w:sz="6" w:space="0" w:color="auto"/>
              <w:bottom w:val="single" w:sz="6" w:space="0" w:color="auto"/>
              <w:right w:val="single" w:sz="6" w:space="0" w:color="auto"/>
            </w:tcBorders>
            <w:hideMark/>
          </w:tcPr>
          <w:p w14:paraId="7AAFBD14" w14:textId="77777777" w:rsidR="007003F9" w:rsidRPr="006B3B98" w:rsidRDefault="007003F9" w:rsidP="00B873CA">
            <w:pPr>
              <w:ind w:left="1395" w:hanging="993"/>
              <w:jc w:val="left"/>
              <w:textAlignment w:val="baseline"/>
              <w:rPr>
                <w:sz w:val="20"/>
                <w:szCs w:val="20"/>
              </w:rPr>
            </w:pPr>
            <w:r>
              <w:rPr>
                <w:color w:val="000000"/>
                <w:sz w:val="20"/>
              </w:rPr>
              <w:t>120 &lt; 160 </w:t>
            </w:r>
          </w:p>
        </w:tc>
        <w:tc>
          <w:tcPr>
            <w:tcW w:w="4488" w:type="dxa"/>
            <w:tcBorders>
              <w:top w:val="nil"/>
              <w:left w:val="nil"/>
              <w:bottom w:val="single" w:sz="6" w:space="0" w:color="auto"/>
              <w:right w:val="single" w:sz="6" w:space="0" w:color="auto"/>
            </w:tcBorders>
            <w:hideMark/>
          </w:tcPr>
          <w:p w14:paraId="42F58F38" w14:textId="77777777" w:rsidR="007003F9" w:rsidRPr="006B3B98" w:rsidRDefault="007003F9" w:rsidP="00B873CA">
            <w:pPr>
              <w:ind w:right="258"/>
              <w:jc w:val="right"/>
              <w:textAlignment w:val="baseline"/>
              <w:rPr>
                <w:sz w:val="20"/>
                <w:szCs w:val="20"/>
              </w:rPr>
            </w:pPr>
            <w:r>
              <w:rPr>
                <w:color w:val="000000"/>
                <w:sz w:val="20"/>
              </w:rPr>
              <w:t>180 000 </w:t>
            </w:r>
          </w:p>
        </w:tc>
      </w:tr>
      <w:tr w:rsidR="007003F9" w:rsidRPr="006B3B98" w14:paraId="79883DB8" w14:textId="77777777" w:rsidTr="00B873CA">
        <w:trPr>
          <w:trHeight w:val="210"/>
        </w:trPr>
        <w:tc>
          <w:tcPr>
            <w:tcW w:w="4253" w:type="dxa"/>
            <w:tcBorders>
              <w:top w:val="nil"/>
              <w:left w:val="single" w:sz="6" w:space="0" w:color="auto"/>
              <w:bottom w:val="single" w:sz="6" w:space="0" w:color="auto"/>
              <w:right w:val="single" w:sz="6" w:space="0" w:color="auto"/>
            </w:tcBorders>
            <w:hideMark/>
          </w:tcPr>
          <w:p w14:paraId="24F2C5AF" w14:textId="77777777" w:rsidR="007003F9" w:rsidRPr="006B3B98" w:rsidRDefault="007003F9" w:rsidP="00B873CA">
            <w:pPr>
              <w:ind w:left="1395" w:hanging="993"/>
              <w:jc w:val="left"/>
              <w:textAlignment w:val="baseline"/>
              <w:rPr>
                <w:sz w:val="20"/>
                <w:szCs w:val="20"/>
              </w:rPr>
            </w:pPr>
            <w:r>
              <w:rPr>
                <w:color w:val="000000"/>
                <w:sz w:val="20"/>
              </w:rPr>
              <w:t>160 &lt; 200 </w:t>
            </w:r>
          </w:p>
        </w:tc>
        <w:tc>
          <w:tcPr>
            <w:tcW w:w="4488" w:type="dxa"/>
            <w:tcBorders>
              <w:top w:val="nil"/>
              <w:left w:val="nil"/>
              <w:bottom w:val="single" w:sz="6" w:space="0" w:color="auto"/>
              <w:right w:val="single" w:sz="6" w:space="0" w:color="auto"/>
            </w:tcBorders>
            <w:hideMark/>
          </w:tcPr>
          <w:p w14:paraId="10968565" w14:textId="77777777" w:rsidR="007003F9" w:rsidRPr="006B3B98" w:rsidRDefault="007003F9" w:rsidP="00B873CA">
            <w:pPr>
              <w:ind w:right="258"/>
              <w:jc w:val="right"/>
              <w:textAlignment w:val="baseline"/>
              <w:rPr>
                <w:sz w:val="20"/>
                <w:szCs w:val="20"/>
              </w:rPr>
            </w:pPr>
            <w:r>
              <w:rPr>
                <w:color w:val="000000"/>
                <w:sz w:val="20"/>
              </w:rPr>
              <w:t>190 000 </w:t>
            </w:r>
          </w:p>
        </w:tc>
      </w:tr>
      <w:tr w:rsidR="007003F9" w:rsidRPr="006B3B98" w14:paraId="419DC46B" w14:textId="77777777" w:rsidTr="00B873CA">
        <w:trPr>
          <w:trHeight w:val="90"/>
        </w:trPr>
        <w:tc>
          <w:tcPr>
            <w:tcW w:w="4253" w:type="dxa"/>
            <w:tcBorders>
              <w:top w:val="nil"/>
              <w:left w:val="single" w:sz="6" w:space="0" w:color="auto"/>
              <w:bottom w:val="single" w:sz="6" w:space="0" w:color="auto"/>
              <w:right w:val="single" w:sz="6" w:space="0" w:color="auto"/>
            </w:tcBorders>
            <w:hideMark/>
          </w:tcPr>
          <w:p w14:paraId="7AB4A75D" w14:textId="77777777" w:rsidR="007003F9" w:rsidRPr="006B3B98" w:rsidRDefault="007003F9" w:rsidP="00B873CA">
            <w:pPr>
              <w:ind w:left="1395" w:hanging="993"/>
              <w:jc w:val="left"/>
              <w:textAlignment w:val="baseline"/>
              <w:rPr>
                <w:sz w:val="20"/>
                <w:szCs w:val="20"/>
              </w:rPr>
            </w:pPr>
            <w:r>
              <w:rPr>
                <w:color w:val="000000"/>
                <w:sz w:val="20"/>
              </w:rPr>
              <w:t>200 &lt; 300 </w:t>
            </w:r>
          </w:p>
        </w:tc>
        <w:tc>
          <w:tcPr>
            <w:tcW w:w="4488" w:type="dxa"/>
            <w:tcBorders>
              <w:top w:val="nil"/>
              <w:left w:val="nil"/>
              <w:bottom w:val="single" w:sz="6" w:space="0" w:color="auto"/>
              <w:right w:val="single" w:sz="6" w:space="0" w:color="auto"/>
            </w:tcBorders>
            <w:hideMark/>
          </w:tcPr>
          <w:p w14:paraId="7F858DCC" w14:textId="77777777" w:rsidR="007003F9" w:rsidRPr="006B3B98" w:rsidRDefault="007003F9" w:rsidP="00B873CA">
            <w:pPr>
              <w:ind w:right="258"/>
              <w:jc w:val="right"/>
              <w:textAlignment w:val="baseline"/>
              <w:rPr>
                <w:sz w:val="20"/>
                <w:szCs w:val="20"/>
              </w:rPr>
            </w:pPr>
            <w:r>
              <w:rPr>
                <w:color w:val="000000"/>
                <w:sz w:val="20"/>
              </w:rPr>
              <w:t>325 000 </w:t>
            </w:r>
          </w:p>
        </w:tc>
      </w:tr>
      <w:tr w:rsidR="007003F9" w:rsidRPr="006B3B98" w14:paraId="76E24B65" w14:textId="77777777" w:rsidTr="00B873CA">
        <w:trPr>
          <w:trHeight w:val="150"/>
        </w:trPr>
        <w:tc>
          <w:tcPr>
            <w:tcW w:w="4253" w:type="dxa"/>
            <w:tcBorders>
              <w:top w:val="nil"/>
              <w:left w:val="single" w:sz="6" w:space="0" w:color="auto"/>
              <w:bottom w:val="single" w:sz="6" w:space="0" w:color="auto"/>
              <w:right w:val="single" w:sz="6" w:space="0" w:color="auto"/>
            </w:tcBorders>
            <w:hideMark/>
          </w:tcPr>
          <w:p w14:paraId="5C8519B5" w14:textId="77777777" w:rsidR="007003F9" w:rsidRPr="006B3B98" w:rsidRDefault="007003F9" w:rsidP="00B873CA">
            <w:pPr>
              <w:ind w:left="1395" w:hanging="993"/>
              <w:jc w:val="left"/>
              <w:textAlignment w:val="baseline"/>
              <w:rPr>
                <w:sz w:val="20"/>
                <w:szCs w:val="20"/>
              </w:rPr>
            </w:pPr>
            <w:r>
              <w:rPr>
                <w:color w:val="000000"/>
                <w:sz w:val="20"/>
              </w:rPr>
              <w:t>300 &lt; 360 </w:t>
            </w:r>
          </w:p>
        </w:tc>
        <w:tc>
          <w:tcPr>
            <w:tcW w:w="4488" w:type="dxa"/>
            <w:tcBorders>
              <w:top w:val="nil"/>
              <w:left w:val="nil"/>
              <w:bottom w:val="single" w:sz="6" w:space="0" w:color="auto"/>
              <w:right w:val="single" w:sz="6" w:space="0" w:color="auto"/>
            </w:tcBorders>
            <w:hideMark/>
          </w:tcPr>
          <w:p w14:paraId="7938109D" w14:textId="77777777" w:rsidR="007003F9" w:rsidRPr="006B3B98" w:rsidRDefault="007003F9" w:rsidP="00B873CA">
            <w:pPr>
              <w:ind w:right="258"/>
              <w:jc w:val="right"/>
              <w:textAlignment w:val="baseline"/>
              <w:rPr>
                <w:sz w:val="20"/>
                <w:szCs w:val="20"/>
              </w:rPr>
            </w:pPr>
            <w:r>
              <w:rPr>
                <w:color w:val="000000"/>
                <w:sz w:val="20"/>
              </w:rPr>
              <w:t>360</w:t>
            </w:r>
            <w:r>
              <w:rPr>
                <w:color w:val="000000" w:themeColor="text1"/>
                <w:sz w:val="20"/>
              </w:rPr>
              <w:t> 000 </w:t>
            </w:r>
          </w:p>
        </w:tc>
      </w:tr>
    </w:tbl>
    <w:p w14:paraId="62736557" w14:textId="77777777" w:rsidR="007003F9" w:rsidRPr="006B3B98" w:rsidRDefault="007003F9" w:rsidP="007003F9">
      <w:pPr>
        <w:pStyle w:val="Heading3"/>
        <w:ind w:left="1276"/>
        <w:jc w:val="left"/>
        <w:rPr>
          <w:sz w:val="18"/>
          <w:szCs w:val="18"/>
        </w:rPr>
      </w:pPr>
      <w:r>
        <w:rPr>
          <w:sz w:val="18"/>
        </w:rPr>
        <w:t>*Plus 20 pour cent de financement pour les pays qui s’engagent à réduire la consommation de 10 pour cent de la consommation moyenne de HFC dans les années de référence</w:t>
      </w:r>
    </w:p>
    <w:p w14:paraId="000399FE" w14:textId="2985065E" w:rsidR="007003F9" w:rsidRPr="006B3B98" w:rsidRDefault="007003F9" w:rsidP="007003F9">
      <w:pPr>
        <w:pStyle w:val="Heading1"/>
        <w:numPr>
          <w:ilvl w:val="0"/>
          <w:numId w:val="6"/>
        </w:numPr>
        <w:tabs>
          <w:tab w:val="clear" w:pos="0"/>
        </w:tabs>
        <w:rPr>
          <w:bCs/>
        </w:rPr>
      </w:pPr>
      <w:r>
        <w:t>Le Comité exécutif a également décidé que les pays visés à l’article 5 dont la consommation moyenne de HFC est supérieure à 360 tonnes métriques et inférieure à 25 000 tonnes métriques dans le secteur de l’entretien dans les années de référence recevraient un financement, qui serait déduit de leur point de départ pour les réductions globales de la consommation de HFC, à un niveau maximal de 5,10 $US/kg, étant entendu que les propositions de projet devraient encore démontrer que ce niveau de financement est nécessaire pour atteindre au moins la cible de réduction de 10 pour cent des HFC. Le financement des pays visés à l’article 5 dont la consommation moyenne de HFC pour l’entretien dans les années de référence était supérieure à 25 000 tonnes métriques serait examiné au cas par cas.</w:t>
      </w:r>
    </w:p>
    <w:p w14:paraId="25376185" w14:textId="215D080E" w:rsidR="007003F9" w:rsidRPr="006B3B98" w:rsidRDefault="007003F9" w:rsidP="007003F9">
      <w:pPr>
        <w:pStyle w:val="Heading1"/>
        <w:numPr>
          <w:ilvl w:val="0"/>
          <w:numId w:val="6"/>
        </w:numPr>
        <w:tabs>
          <w:tab w:val="clear" w:pos="0"/>
        </w:tabs>
        <w:rPr>
          <w:bCs/>
        </w:rPr>
      </w:pPr>
      <w:r>
        <w:t>Les pays visés à l’article 5 dont il est question au paragraphe </w:t>
      </w:r>
      <w:r>
        <w:rPr>
          <w:highlight w:val="yellow"/>
        </w:rPr>
        <w:t>21</w:t>
      </w:r>
      <w:r>
        <w:t>, ci-dessus, dont le niveau de financement, en cas de calcul sur la base de 5,10 $US/kg, serait inférieur à celui pour le groupe des pays FVC dont la consommation moyenne de HFC pour l’entretien dans les années de référence est comprise entre 300 et 360 tonnes métriques, pourraient recevoir un financement maximum du niveau déterminé pour ce groupe de pays FVC, étant entendu qu’ils devraient intégrer à leurs plans de réduction progressive des HFC, au moins les exigences décrites au paragraphe </w:t>
      </w:r>
      <w:r>
        <w:rPr>
          <w:highlight w:val="yellow"/>
        </w:rPr>
        <w:t>19</w:t>
      </w:r>
      <w:r>
        <w:t xml:space="preserve"> ci-dessus. </w:t>
      </w:r>
    </w:p>
    <w:p w14:paraId="3F775467" w14:textId="6512C1FF" w:rsidR="00FB4416" w:rsidRPr="001A113E" w:rsidRDefault="00FB4416" w:rsidP="00F94F7F">
      <w:pPr>
        <w:pStyle w:val="Heading1"/>
        <w:keepNext/>
        <w:keepLines/>
        <w:widowControl w:val="0"/>
        <w:ind w:firstLine="720"/>
        <w:rPr>
          <w:bCs/>
          <w:i/>
          <w:iCs/>
        </w:rPr>
      </w:pPr>
      <w:r>
        <w:rPr>
          <w:i/>
        </w:rPr>
        <w:lastRenderedPageBreak/>
        <w:t>Admissibilité des substances visées à l’annexe F pouvant faire l’objet d’une dérogation pour température ambiante élevée</w:t>
      </w:r>
    </w:p>
    <w:p w14:paraId="18056FCC" w14:textId="133FA6A5" w:rsidR="00E805B3" w:rsidRDefault="00553B81" w:rsidP="00F94F7F">
      <w:pPr>
        <w:pStyle w:val="Heading1"/>
        <w:keepNext/>
        <w:keepLines/>
        <w:widowControl w:val="0"/>
        <w:numPr>
          <w:ilvl w:val="0"/>
          <w:numId w:val="6"/>
        </w:numPr>
        <w:tabs>
          <w:tab w:val="clear" w:pos="0"/>
        </w:tabs>
        <w:rPr>
          <w:bCs/>
        </w:rPr>
      </w:pPr>
      <w:r>
        <w:t>Enfin, le Comité exécutif a décidé que les quantités de substances visées à l’annexe F pouvant faire l’objet d’une dérogation pour température ambiante élevée n’étaient pas admissibles à un soutien financier du Fonds multilatéral lorsqu’elles faisaient l’objet d’une dérogation pour cette Partie.</w:t>
      </w:r>
    </w:p>
    <w:p w14:paraId="0227D18D" w14:textId="29438AF0" w:rsidR="005709F6" w:rsidRPr="00F024BD" w:rsidRDefault="007F30F7" w:rsidP="009F2DD1">
      <w:pPr>
        <w:spacing w:after="240"/>
        <w:ind w:left="720" w:hanging="720"/>
        <w:rPr>
          <w:b/>
          <w:bCs/>
        </w:rPr>
      </w:pPr>
      <w:r>
        <w:rPr>
          <w:b/>
        </w:rPr>
        <w:t>b)</w:t>
      </w:r>
      <w:r>
        <w:rPr>
          <w:b/>
        </w:rPr>
        <w:tab/>
        <w:t>Paragraphes restants de la décision XXVIII/2 des Parties</w:t>
      </w:r>
    </w:p>
    <w:p w14:paraId="2ED3CC1A" w14:textId="0B2F4538" w:rsidR="009D64B5" w:rsidRPr="009D64B5" w:rsidRDefault="00756C47" w:rsidP="00865C77">
      <w:pPr>
        <w:pStyle w:val="Heading1"/>
        <w:numPr>
          <w:ilvl w:val="0"/>
          <w:numId w:val="6"/>
        </w:numPr>
        <w:tabs>
          <w:tab w:val="clear" w:pos="0"/>
        </w:tabs>
      </w:pPr>
      <w:r>
        <w:t>Le Comité exécutif a examiné le paragraphe 23 de la décision XXVIII/2 sur le renforcement de la capacité pour traiter de la sécurité dans le cadre des lignes directrices du financement pour le secteur de l’entretien de l’équipement de réfrigération. Au paragraphe 25 de la décision XXVIII/2 relatif aux autres coûts, le Comité a noté que les Parties au Protocole de Montréal pourraient identifier d’autres éléments à ajouter à la liste informative des surcoûts émanant de la conversion aux solutions de remplacement à faible PRP. Le paragraphe 22 de la décision XXVIII/2 relatif à l’efficacité énergétique avait été traité en dehors des lignes directrices du financement depuis la 83</w:t>
      </w:r>
      <w:r>
        <w:rPr>
          <w:vertAlign w:val="superscript"/>
        </w:rPr>
        <w:t>e</w:t>
      </w:r>
      <w:r>
        <w:t> réunion et avait entraîné un certain nombre de décisions telles que décrites aux paragraphes </w:t>
      </w:r>
      <w:r>
        <w:rPr>
          <w:highlight w:val="yellow"/>
        </w:rPr>
        <w:t>28 à 35</w:t>
      </w:r>
      <w:r>
        <w:t>. Au paragraphe 24 de la décision XXVIII/2 relatif à la mise au rebut, le Comité avait pris un certain nombre de décisions et les avait communiquées aux Parties et continuera à examiner le sujet dans le cadre des délibérations sur la gestion des frigorigènes tout au long de leur durée de vie conformément à la décision XXXV/11, à la 97</w:t>
      </w:r>
      <w:r>
        <w:rPr>
          <w:vertAlign w:val="superscript"/>
        </w:rPr>
        <w:t>e</w:t>
      </w:r>
      <w:r>
        <w:t> réunion.</w:t>
      </w:r>
    </w:p>
    <w:p w14:paraId="191D61CE" w14:textId="2FBB9A41" w:rsidR="002679D6" w:rsidRPr="000B4F05" w:rsidRDefault="002679D6" w:rsidP="002679D6">
      <w:pPr>
        <w:pStyle w:val="Heading1"/>
        <w:rPr>
          <w:b/>
        </w:rPr>
      </w:pPr>
      <w:r>
        <w:rPr>
          <w:b/>
        </w:rPr>
        <w:t>c)</w:t>
      </w:r>
      <w:r>
        <w:rPr>
          <w:b/>
        </w:rPr>
        <w:tab/>
        <w:t>Sujets en suspens associés aux lignes directrices du financement pour la réduction progressive des HFC</w:t>
      </w:r>
    </w:p>
    <w:p w14:paraId="112EE90C" w14:textId="45A3DA75" w:rsidR="008C4D34" w:rsidRDefault="008C4D34" w:rsidP="008C4D34">
      <w:pPr>
        <w:pStyle w:val="Heading1"/>
        <w:numPr>
          <w:ilvl w:val="0"/>
          <w:numId w:val="6"/>
        </w:numPr>
        <w:tabs>
          <w:tab w:val="clear" w:pos="0"/>
        </w:tabs>
        <w:rPr>
          <w:bCs/>
        </w:rPr>
      </w:pPr>
      <w:r>
        <w:t>Après l’adoption, à la 95</w:t>
      </w:r>
      <w:r>
        <w:rPr>
          <w:vertAlign w:val="superscript"/>
        </w:rPr>
        <w:t>e</w:t>
      </w:r>
      <w:r>
        <w:t> réunion, des lignes directrices du financement de la réduction progressive des HFC dans les pays visés à l’article 5, le Comité exécutif a convenu de poursuivre ses délibérations sur les sujets en suspens à des réunions ultérieures, y compris sur la base de propositions liées au point de départ pour les réductions globales durables de la consommation de HFC et au calcul des réductions à partir du point de départ dans le secteur de l’entretien pour les plans de mise en œuvre de l’Amendement de Kigali pour les pays autres que FVC </w:t>
      </w:r>
      <w:r w:rsidRPr="006B3B98">
        <w:rPr>
          <w:rStyle w:val="FootnoteReference"/>
          <w:bCs/>
          <w:lang w:val="en-GB"/>
        </w:rPr>
        <w:footnoteReference w:id="5"/>
      </w:r>
      <w:r>
        <w:t>.</w:t>
      </w:r>
    </w:p>
    <w:p w14:paraId="74A3C26D" w14:textId="77777777" w:rsidR="00220D92" w:rsidRPr="006B3B98" w:rsidRDefault="00220D92" w:rsidP="00220D92">
      <w:pPr>
        <w:pStyle w:val="Heading1"/>
        <w:numPr>
          <w:ilvl w:val="0"/>
          <w:numId w:val="6"/>
        </w:numPr>
        <w:tabs>
          <w:tab w:val="clear" w:pos="0"/>
          <w:tab w:val="num" w:pos="720"/>
        </w:tabs>
        <w:ind w:left="720" w:hanging="720"/>
        <w:rPr>
          <w:highlight w:val="yellow"/>
        </w:rPr>
      </w:pPr>
      <w:r>
        <w:rPr>
          <w:highlight w:val="yellow"/>
        </w:rPr>
        <w:t>[À la 96</w:t>
      </w:r>
      <w:r>
        <w:rPr>
          <w:highlight w:val="yellow"/>
          <w:vertAlign w:val="superscript"/>
        </w:rPr>
        <w:t>e</w:t>
      </w:r>
      <w:r>
        <w:rPr>
          <w:highlight w:val="yellow"/>
        </w:rPr>
        <w:t> réunion…]</w:t>
      </w:r>
    </w:p>
    <w:p w14:paraId="546669A2" w14:textId="55A23228" w:rsidR="000671AC" w:rsidRPr="00002B3E" w:rsidRDefault="00FE4362" w:rsidP="000671AC">
      <w:pPr>
        <w:pStyle w:val="Heading1"/>
        <w:rPr>
          <w:b/>
        </w:rPr>
      </w:pPr>
      <w:r>
        <w:rPr>
          <w:b/>
        </w:rPr>
        <w:t>d)</w:t>
      </w:r>
      <w:r>
        <w:rPr>
          <w:b/>
        </w:rPr>
        <w:tab/>
        <w:t>Autres décisions du Comité exécutif concernant les lignes directrices du financement pour la réduction progressive des HFC</w:t>
      </w:r>
    </w:p>
    <w:p w14:paraId="1D3BC1EE" w14:textId="4B610A0C" w:rsidR="00EB0256" w:rsidRDefault="00002B3E" w:rsidP="00002B3E">
      <w:pPr>
        <w:pStyle w:val="Heading1"/>
        <w:numPr>
          <w:ilvl w:val="0"/>
          <w:numId w:val="6"/>
        </w:numPr>
        <w:tabs>
          <w:tab w:val="clear" w:pos="0"/>
        </w:tabs>
        <w:rPr>
          <w:bCs/>
        </w:rPr>
      </w:pPr>
      <w:r>
        <w:t>À la 92</w:t>
      </w:r>
      <w:r>
        <w:rPr>
          <w:vertAlign w:val="superscript"/>
        </w:rPr>
        <w:t>e</w:t>
      </w:r>
      <w:r>
        <w:t> réunion, le Comité exécutif a décidé que les propositions de projets pour réduire la consommation de HFC avant les dates fixées au titre du Protocole de Montréal seront examinés au cas par cas pour les pays qui ont manifesté un engagement marqué à réaliser de telles réductions (décision 92/44).</w:t>
      </w:r>
    </w:p>
    <w:p w14:paraId="1944AD73" w14:textId="77777777" w:rsidR="000962A6" w:rsidRPr="006B3B98" w:rsidRDefault="00282EB1" w:rsidP="00220D92">
      <w:pPr>
        <w:keepNext/>
        <w:keepLines/>
        <w:spacing w:after="240"/>
        <w:outlineLvl w:val="1"/>
        <w:rPr>
          <w:b/>
        </w:rPr>
      </w:pPr>
      <w:r>
        <w:rPr>
          <w:b/>
        </w:rPr>
        <w:t>2.</w:t>
      </w:r>
      <w:r>
        <w:rPr>
          <w:b/>
        </w:rPr>
        <w:tab/>
        <w:t xml:space="preserve">Cadre opérationnel visant à approfondir les aspects institutionnels et les projets et activités qui pourraient être entrepris par le Fonds multilatéral pour maintenir et/ou améliorer l’efficacité énergétique des technologies et équipements de remplacement dans les secteurs de la fabrication et de l’entretien lors de la réduction progressive des HFC </w:t>
      </w:r>
    </w:p>
    <w:p w14:paraId="46F6DC3A" w14:textId="37158620" w:rsidR="00282EB1" w:rsidRPr="00C2027D" w:rsidRDefault="00282EB1" w:rsidP="00C2027D">
      <w:pPr>
        <w:pStyle w:val="Heading1"/>
        <w:numPr>
          <w:ilvl w:val="0"/>
          <w:numId w:val="6"/>
        </w:numPr>
      </w:pPr>
      <w:r>
        <w:t>Au cours de la période visée par ce rapport, le Comité exécutif a poursuivi ses délibérations sur un cadre opérationnel visant à approfondir les aspects institutionnels et les projets et activités qui pourraient être entrepris par le Fonds multilatéral pour maintenir et/ou améliorer l’efficacité énergétique des technologies et équipements de remplacement dans les secteurs de la fabrication et de l’entretien lors de la réduction progressive des HFC. Le Comité avait commencé à échanger sur les enjeux de l’efficacité énergétique à la 82</w:t>
      </w:r>
      <w:r>
        <w:rPr>
          <w:vertAlign w:val="superscript"/>
        </w:rPr>
        <w:t>e</w:t>
      </w:r>
      <w:r>
        <w:t xml:space="preserve"> réunion en réponse aux débats des Parties à la quarantième réunion du Groupe de travail </w:t>
      </w:r>
      <w:r>
        <w:lastRenderedPageBreak/>
        <w:t>à composition non limitée et à la trentième Réunion des Parties en lien avec le volume 5 du rapport de mai 2018 du Groupe de l’évaluation technologique et économique portant sur les enjeux de l’efficacité énergétique lors de la réduction progressive des HFC </w:t>
      </w:r>
      <w:r w:rsidRPr="006B3B98">
        <w:rPr>
          <w:vertAlign w:val="superscript"/>
          <w:lang w:val="en-GB"/>
        </w:rPr>
        <w:footnoteReference w:id="6"/>
      </w:r>
      <w:r>
        <w:t>.</w:t>
      </w:r>
      <w:r>
        <w:rPr>
          <w:vertAlign w:val="superscript"/>
        </w:rPr>
        <w:t xml:space="preserve"> </w:t>
      </w:r>
    </w:p>
    <w:p w14:paraId="6F3869C7" w14:textId="77777777" w:rsidR="00832193" w:rsidRDefault="00282EB1" w:rsidP="00AF4346">
      <w:pPr>
        <w:pStyle w:val="Heading1"/>
        <w:numPr>
          <w:ilvl w:val="0"/>
          <w:numId w:val="6"/>
        </w:numPr>
      </w:pPr>
      <w:r>
        <w:t>À sa 95</w:t>
      </w:r>
      <w:r>
        <w:rPr>
          <w:vertAlign w:val="superscript"/>
        </w:rPr>
        <w:t>e</w:t>
      </w:r>
      <w:r>
        <w:t> réunion, le Comité a examiné un rapport du secrétariat </w:t>
      </w:r>
      <w:r w:rsidR="007E0207" w:rsidRPr="006B3B98">
        <w:rPr>
          <w:vertAlign w:val="superscript"/>
          <w:lang w:val="en-GB"/>
        </w:rPr>
        <w:footnoteReference w:id="7"/>
      </w:r>
      <w:r>
        <w:t xml:space="preserve"> sur cette question. Après de longues délibérations en plénière et dans un groupe de contact, le Comité exécutif a pris une décision à ce sujet (décision 95/87). </w:t>
      </w:r>
    </w:p>
    <w:p w14:paraId="64F2FFC9" w14:textId="6047CCE6" w:rsidR="00244147" w:rsidRPr="00244147" w:rsidRDefault="00E5088C" w:rsidP="00AF4346">
      <w:pPr>
        <w:pStyle w:val="Heading1"/>
        <w:numPr>
          <w:ilvl w:val="0"/>
          <w:numId w:val="6"/>
        </w:numPr>
      </w:pPr>
      <w:r>
        <w:t xml:space="preserve">En ce qui concerne la fabrication de composants et de pompes thermiques, il a prié le secrétariat d’utiliser le cadre opérationnel sur l’efficacité énergétique lors de la réduction progressive des HFC et d’appliquer, au titre de la décision 94/60 sur l’utilisation du cadre opérationnel, pour une durée initiale de trois ans, des modalités et des conditions spécifiques pour les projets de fabrication de compresseurs (paragraphes 7 à 17 du document UNEP/OzL.Pro/ExCom/95/87), les projets de fabrication d’échangeurs de chaleur (paragraphes 19 à 25 du document UNEP/OzL.Pro/ExCom/95/87) et les projets de fabrication de pompes thermiques (paragraphes 27 à 36 du document UNEP/OzL.Pro/ExCom/95/87). Le Comité a pris note que le cadre opérationnel serait examiné après la période de mise en œuvre initiale de trois ans, sur la base de l’expérience acquise. </w:t>
      </w:r>
    </w:p>
    <w:p w14:paraId="0A79C3E2" w14:textId="67FDB349" w:rsidR="00832193" w:rsidRPr="00AF4346" w:rsidRDefault="00832193" w:rsidP="00832193">
      <w:pPr>
        <w:pStyle w:val="Heading1"/>
        <w:numPr>
          <w:ilvl w:val="0"/>
          <w:numId w:val="6"/>
        </w:numPr>
      </w:pPr>
      <w:r>
        <w:t>Le Comité exécutif a convenu de niveaux de financement pour la préparation des projets susmentionnés et des projets liés à l’efficacité énergétique au titre de la décision 94/60. Les niveaux de financement pourraient être examinés dans le cas de pays où la préparation de projets d’investissement pour le plan de mise en œuvre de l’Amendement de Kigali étaient en cours et où il est prévu de soumettre le plan de mise en œuvre de l’Amendement de Kigali au plus tard à la 96</w:t>
      </w:r>
      <w:r>
        <w:rPr>
          <w:vertAlign w:val="superscript"/>
        </w:rPr>
        <w:t>e</w:t>
      </w:r>
      <w:r>
        <w:t> réunion, ou où la préparation du plan de mise en œuvre de l’Amendement de Kigali avait été achevée. Pour la préparation des projets d’investissement individuels au titre de la décision 94/60, les niveaux de financement suivants pourraient être utilisés pour la soumission des plans de mise en œuvre de l’Amendement de Kigali jusqu’à la 96</w:t>
      </w:r>
      <w:r>
        <w:rPr>
          <w:vertAlign w:val="superscript"/>
        </w:rPr>
        <w:t>e</w:t>
      </w:r>
      <w:r>
        <w:t> réunion :</w:t>
      </w:r>
    </w:p>
    <w:p w14:paraId="7C5C6ABF" w14:textId="77777777" w:rsidR="00832193" w:rsidRPr="00AF4346" w:rsidRDefault="00832193" w:rsidP="00832193">
      <w:pPr>
        <w:pStyle w:val="Heading2"/>
        <w:numPr>
          <w:ilvl w:val="2"/>
          <w:numId w:val="6"/>
        </w:numPr>
        <w:tabs>
          <w:tab w:val="num" w:pos="1440"/>
        </w:tabs>
        <w:ind w:left="1418"/>
      </w:pPr>
      <w:r>
        <w:t>jusqu’à 4 entreprises à convertir dans un secteur de la fabrication : 30 000 $US ;</w:t>
      </w:r>
    </w:p>
    <w:p w14:paraId="007823B1" w14:textId="4A8F96F8" w:rsidR="00832193" w:rsidRPr="00C2027D" w:rsidRDefault="00832193" w:rsidP="00832193">
      <w:pPr>
        <w:pStyle w:val="Heading2"/>
        <w:numPr>
          <w:ilvl w:val="2"/>
          <w:numId w:val="6"/>
        </w:numPr>
        <w:tabs>
          <w:tab w:val="num" w:pos="1440"/>
        </w:tabs>
        <w:ind w:left="1418"/>
      </w:pPr>
      <w:r>
        <w:tab/>
        <w:t>de 5 à 15 entreprises : 30 000 $US, plus 5 000 $US par entreprise au-delà de 4 ;</w:t>
      </w:r>
    </w:p>
    <w:p w14:paraId="1BFDEBFC" w14:textId="77777777" w:rsidR="00832193" w:rsidRPr="00C2027D" w:rsidRDefault="00832193" w:rsidP="00832193">
      <w:pPr>
        <w:pStyle w:val="Heading2"/>
        <w:numPr>
          <w:ilvl w:val="2"/>
          <w:numId w:val="6"/>
        </w:numPr>
        <w:tabs>
          <w:tab w:val="num" w:pos="1440"/>
        </w:tabs>
        <w:ind w:left="1418"/>
      </w:pPr>
      <w:r>
        <w:t>pour 16 entreprises et plus à convertir dans un secteur de la fabrication : 85 000 $US, plus 3 000 $US supplémentaires par entreprise au-delà de 15.</w:t>
      </w:r>
    </w:p>
    <w:p w14:paraId="7752DC3D" w14:textId="205094B2" w:rsidR="00832193" w:rsidRPr="00C2027D" w:rsidRDefault="00832193" w:rsidP="00F94F7F">
      <w:pPr>
        <w:pStyle w:val="Heading1"/>
        <w:numPr>
          <w:ilvl w:val="0"/>
          <w:numId w:val="6"/>
        </w:numPr>
        <w:spacing w:after="120"/>
      </w:pPr>
      <w:r>
        <w:t>S’il était proposé de soumettre le plan de mise en œuvre de l’Amendement de Kigali après la 96</w:t>
      </w:r>
      <w:r>
        <w:rPr>
          <w:vertAlign w:val="superscript"/>
        </w:rPr>
        <w:t>e</w:t>
      </w:r>
      <w:r>
        <w:t> réunion </w:t>
      </w:r>
      <w:r w:rsidRPr="00C2027D">
        <w:rPr>
          <w:vertAlign w:val="superscript"/>
          <w:lang w:val="en-US"/>
        </w:rPr>
        <w:footnoteReference w:id="8"/>
      </w:r>
      <w:r>
        <w:t>, il serait possible d’examiner des montants de 2 000 $US par entreprise pour un maximum de 15 entreprises participantes et de 1 000 $US par entreprise au-delà de 15 entreprises participantes, à la place des quantités mentionnées au paragraphe </w:t>
      </w:r>
      <w:r>
        <w:rPr>
          <w:highlight w:val="yellow"/>
        </w:rPr>
        <w:t>31</w:t>
      </w:r>
      <w:r>
        <w:t>. Le financement maximum qui pourrait être fourni aux pays visés à l’article 5 pour la préparation des projets relatifs à l’efficacité énergétique dans la fabrication s’est appuyé sur leur consommation de base de HFC en tonnes équivalent dioxyde de carbone comme indiqué dans le tableau 3 ci-dessous.</w:t>
      </w:r>
    </w:p>
    <w:p w14:paraId="40D8169F" w14:textId="77777777" w:rsidR="00832193" w:rsidRPr="00704D23" w:rsidRDefault="00832193" w:rsidP="00F94F7F">
      <w:pPr>
        <w:keepNext/>
        <w:keepLines/>
        <w:widowControl w:val="0"/>
        <w:ind w:left="706"/>
      </w:pPr>
      <w:r>
        <w:lastRenderedPageBreak/>
        <w:t>Tableau 3</w:t>
      </w:r>
    </w:p>
    <w:p w14:paraId="3CE896C5" w14:textId="77777777" w:rsidR="00832193" w:rsidRPr="00C2027D" w:rsidRDefault="00832193" w:rsidP="00F94F7F">
      <w:pPr>
        <w:keepNext/>
        <w:keepLines/>
        <w:widowControl w:val="0"/>
        <w:ind w:left="706"/>
      </w:pPr>
      <w:r>
        <w:rPr>
          <w:b/>
        </w:rPr>
        <w:t>Limites de financement préparatoire pour les projets d’investissement</w:t>
      </w:r>
    </w:p>
    <w:tbl>
      <w:tblPr>
        <w:tblW w:w="8636" w:type="dxa"/>
        <w:tblInd w:w="715" w:type="dxa"/>
        <w:tblLook w:val="04A0" w:firstRow="1" w:lastRow="0" w:firstColumn="1" w:lastColumn="0" w:noHBand="0" w:noVBand="1"/>
      </w:tblPr>
      <w:tblGrid>
        <w:gridCol w:w="4950"/>
        <w:gridCol w:w="3686"/>
      </w:tblGrid>
      <w:tr w:rsidR="00832193" w:rsidRPr="00C2027D" w14:paraId="5FD7CD3D" w14:textId="77777777" w:rsidTr="00700B55">
        <w:trPr>
          <w:trHeight w:val="260"/>
        </w:trPr>
        <w:tc>
          <w:tcPr>
            <w:tcW w:w="4950" w:type="dxa"/>
            <w:tcBorders>
              <w:top w:val="single" w:sz="4" w:space="0" w:color="auto"/>
              <w:left w:val="single" w:sz="4" w:space="0" w:color="auto"/>
              <w:bottom w:val="single" w:sz="4" w:space="0" w:color="auto"/>
              <w:right w:val="single" w:sz="4" w:space="0" w:color="auto"/>
            </w:tcBorders>
            <w:noWrap/>
            <w:hideMark/>
          </w:tcPr>
          <w:p w14:paraId="5EBFC3BE" w14:textId="77777777" w:rsidR="00C7235C" w:rsidRDefault="00832193" w:rsidP="00F94F7F">
            <w:pPr>
              <w:keepNext/>
              <w:keepLines/>
              <w:widowControl w:val="0"/>
              <w:jc w:val="center"/>
              <w:rPr>
                <w:b/>
                <w:bCs/>
              </w:rPr>
            </w:pPr>
            <w:r>
              <w:rPr>
                <w:b/>
              </w:rPr>
              <w:t>Consommation de référence de HFC en</w:t>
            </w:r>
          </w:p>
          <w:p w14:paraId="41ECE892" w14:textId="7DC5358C" w:rsidR="00832193" w:rsidRPr="00C2027D" w:rsidRDefault="00832193" w:rsidP="00F94F7F">
            <w:pPr>
              <w:keepNext/>
              <w:keepLines/>
              <w:widowControl w:val="0"/>
              <w:jc w:val="center"/>
              <w:rPr>
                <w:b/>
                <w:bCs/>
              </w:rPr>
            </w:pPr>
            <w:r>
              <w:rPr>
                <w:b/>
              </w:rPr>
              <w:t>tonnes équivalent dioxyde de carbone</w:t>
            </w:r>
          </w:p>
        </w:tc>
        <w:tc>
          <w:tcPr>
            <w:tcW w:w="3686" w:type="dxa"/>
            <w:tcBorders>
              <w:top w:val="single" w:sz="4" w:space="0" w:color="auto"/>
              <w:left w:val="nil"/>
              <w:bottom w:val="single" w:sz="4" w:space="0" w:color="auto"/>
              <w:right w:val="single" w:sz="4" w:space="0" w:color="auto"/>
            </w:tcBorders>
            <w:noWrap/>
            <w:hideMark/>
          </w:tcPr>
          <w:p w14:paraId="3369544A" w14:textId="3A04B6AB" w:rsidR="00C7235C" w:rsidRDefault="00832193" w:rsidP="00F94F7F">
            <w:pPr>
              <w:keepNext/>
              <w:keepLines/>
              <w:widowControl w:val="0"/>
              <w:jc w:val="center"/>
              <w:rPr>
                <w:b/>
                <w:bCs/>
              </w:rPr>
            </w:pPr>
            <w:r>
              <w:rPr>
                <w:b/>
              </w:rPr>
              <w:t>Limites pour le financement préparatoire en</w:t>
            </w:r>
          </w:p>
          <w:p w14:paraId="38A2FD2F" w14:textId="339B2737" w:rsidR="00832193" w:rsidRPr="00C2027D" w:rsidRDefault="00832193" w:rsidP="00F94F7F">
            <w:pPr>
              <w:keepNext/>
              <w:keepLines/>
              <w:widowControl w:val="0"/>
              <w:jc w:val="center"/>
              <w:rPr>
                <w:b/>
                <w:bCs/>
              </w:rPr>
            </w:pPr>
            <w:r>
              <w:rPr>
                <w:b/>
              </w:rPr>
              <w:t>$US</w:t>
            </w:r>
          </w:p>
        </w:tc>
      </w:tr>
      <w:tr w:rsidR="00832193" w:rsidRPr="00C2027D" w14:paraId="60723F58"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74E97CD7" w14:textId="77777777" w:rsidR="00832193" w:rsidRPr="00C2027D" w:rsidRDefault="00832193" w:rsidP="00F94F7F">
            <w:pPr>
              <w:keepNext/>
              <w:keepLines/>
              <w:widowControl w:val="0"/>
            </w:pPr>
            <w:r>
              <w:t>Jusqu’à 1 million</w:t>
            </w:r>
          </w:p>
        </w:tc>
        <w:tc>
          <w:tcPr>
            <w:tcW w:w="3686" w:type="dxa"/>
            <w:tcBorders>
              <w:top w:val="nil"/>
              <w:left w:val="nil"/>
              <w:bottom w:val="single" w:sz="4" w:space="0" w:color="auto"/>
              <w:right w:val="single" w:sz="4" w:space="0" w:color="auto"/>
            </w:tcBorders>
            <w:noWrap/>
            <w:hideMark/>
          </w:tcPr>
          <w:p w14:paraId="3C674296" w14:textId="77777777" w:rsidR="00832193" w:rsidRPr="00C2027D" w:rsidRDefault="00832193" w:rsidP="00F94F7F">
            <w:pPr>
              <w:keepNext/>
              <w:keepLines/>
              <w:widowControl w:val="0"/>
              <w:jc w:val="right"/>
            </w:pPr>
            <w:r>
              <w:t>50 000</w:t>
            </w:r>
          </w:p>
        </w:tc>
      </w:tr>
      <w:tr w:rsidR="00832193" w:rsidRPr="00C2027D" w14:paraId="7E0B82B4"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19F4FE6B" w14:textId="77777777" w:rsidR="00832193" w:rsidRPr="00C2027D" w:rsidRDefault="00832193" w:rsidP="00745749">
            <w:r>
              <w:t>De 1 million à 2 millions</w:t>
            </w:r>
          </w:p>
        </w:tc>
        <w:tc>
          <w:tcPr>
            <w:tcW w:w="3686" w:type="dxa"/>
            <w:tcBorders>
              <w:top w:val="nil"/>
              <w:left w:val="nil"/>
              <w:bottom w:val="single" w:sz="4" w:space="0" w:color="auto"/>
              <w:right w:val="single" w:sz="4" w:space="0" w:color="auto"/>
            </w:tcBorders>
            <w:noWrap/>
            <w:hideMark/>
          </w:tcPr>
          <w:p w14:paraId="66D1147A" w14:textId="77777777" w:rsidR="00832193" w:rsidRPr="00C2027D" w:rsidRDefault="00832193" w:rsidP="0033445E">
            <w:pPr>
              <w:jc w:val="right"/>
            </w:pPr>
            <w:r>
              <w:t>100 000</w:t>
            </w:r>
          </w:p>
        </w:tc>
      </w:tr>
      <w:tr w:rsidR="00832193" w:rsidRPr="00C2027D" w14:paraId="3C977F87"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1AA2334C" w14:textId="77777777" w:rsidR="00832193" w:rsidRPr="00C2027D" w:rsidRDefault="00832193" w:rsidP="00745749">
            <w:r>
              <w:t>De 2 millions à 8 millions</w:t>
            </w:r>
          </w:p>
        </w:tc>
        <w:tc>
          <w:tcPr>
            <w:tcW w:w="3686" w:type="dxa"/>
            <w:tcBorders>
              <w:top w:val="nil"/>
              <w:left w:val="nil"/>
              <w:bottom w:val="single" w:sz="4" w:space="0" w:color="auto"/>
              <w:right w:val="single" w:sz="4" w:space="0" w:color="auto"/>
            </w:tcBorders>
            <w:noWrap/>
            <w:hideMark/>
          </w:tcPr>
          <w:p w14:paraId="5B96A07B" w14:textId="77777777" w:rsidR="00832193" w:rsidRPr="00C2027D" w:rsidRDefault="00832193" w:rsidP="0033445E">
            <w:pPr>
              <w:jc w:val="right"/>
            </w:pPr>
            <w:r>
              <w:t>140 000</w:t>
            </w:r>
          </w:p>
        </w:tc>
      </w:tr>
      <w:tr w:rsidR="00832193" w:rsidRPr="00C2027D" w14:paraId="31C12478"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1B0426A7" w14:textId="77777777" w:rsidR="00832193" w:rsidRPr="00C2027D" w:rsidRDefault="00832193" w:rsidP="00745749">
            <w:r>
              <w:t>De 8 millions à 15 millions</w:t>
            </w:r>
          </w:p>
        </w:tc>
        <w:tc>
          <w:tcPr>
            <w:tcW w:w="3686" w:type="dxa"/>
            <w:tcBorders>
              <w:top w:val="nil"/>
              <w:left w:val="nil"/>
              <w:bottom w:val="single" w:sz="4" w:space="0" w:color="auto"/>
              <w:right w:val="single" w:sz="4" w:space="0" w:color="auto"/>
            </w:tcBorders>
            <w:noWrap/>
            <w:hideMark/>
          </w:tcPr>
          <w:p w14:paraId="094B8886" w14:textId="77777777" w:rsidR="00832193" w:rsidRPr="00C2027D" w:rsidRDefault="00832193" w:rsidP="0033445E">
            <w:pPr>
              <w:jc w:val="right"/>
            </w:pPr>
            <w:r>
              <w:t>180 000</w:t>
            </w:r>
          </w:p>
        </w:tc>
      </w:tr>
      <w:tr w:rsidR="00832193" w:rsidRPr="00C2027D" w14:paraId="4B098CC0" w14:textId="77777777" w:rsidTr="00700B55">
        <w:trPr>
          <w:trHeight w:val="260"/>
        </w:trPr>
        <w:tc>
          <w:tcPr>
            <w:tcW w:w="4950" w:type="dxa"/>
            <w:tcBorders>
              <w:top w:val="nil"/>
              <w:left w:val="single" w:sz="4" w:space="0" w:color="auto"/>
              <w:bottom w:val="single" w:sz="4" w:space="0" w:color="auto"/>
              <w:right w:val="single" w:sz="4" w:space="0" w:color="auto"/>
            </w:tcBorders>
            <w:noWrap/>
            <w:hideMark/>
          </w:tcPr>
          <w:p w14:paraId="59A0D460" w14:textId="77777777" w:rsidR="00832193" w:rsidRPr="00C2027D" w:rsidRDefault="00832193" w:rsidP="00745749">
            <w:r>
              <w:t>15 millions et plus</w:t>
            </w:r>
          </w:p>
        </w:tc>
        <w:tc>
          <w:tcPr>
            <w:tcW w:w="3686" w:type="dxa"/>
            <w:tcBorders>
              <w:top w:val="nil"/>
              <w:left w:val="nil"/>
              <w:bottom w:val="single" w:sz="4" w:space="0" w:color="auto"/>
              <w:right w:val="single" w:sz="4" w:space="0" w:color="auto"/>
            </w:tcBorders>
            <w:noWrap/>
            <w:hideMark/>
          </w:tcPr>
          <w:p w14:paraId="0A005D57" w14:textId="77777777" w:rsidR="00832193" w:rsidRPr="00C2027D" w:rsidRDefault="00832193" w:rsidP="0033445E">
            <w:pPr>
              <w:jc w:val="right"/>
            </w:pPr>
            <w:r>
              <w:t>220 000</w:t>
            </w:r>
          </w:p>
        </w:tc>
      </w:tr>
    </w:tbl>
    <w:p w14:paraId="486979CA" w14:textId="77777777" w:rsidR="00832193" w:rsidRDefault="00832193" w:rsidP="00832193">
      <w:pPr>
        <w:rPr>
          <w:lang w:val="en-GB"/>
        </w:rPr>
      </w:pPr>
    </w:p>
    <w:p w14:paraId="259912BA" w14:textId="15739875" w:rsidR="00E5088C" w:rsidRPr="006B3B98" w:rsidRDefault="00E5088C" w:rsidP="00E5088C">
      <w:pPr>
        <w:pStyle w:val="Heading1"/>
        <w:numPr>
          <w:ilvl w:val="0"/>
          <w:numId w:val="6"/>
        </w:numPr>
      </w:pPr>
      <w:r>
        <w:t>En ce qui concerne les activités sans fabrication, le Comité a décidé d’étendre la durée de la fenêtre pour la proposition des projets au titre de la décision 91/65, uniquement pour les activités d’entretien, jusqu’à sa 100</w:t>
      </w:r>
      <w:r>
        <w:rPr>
          <w:vertAlign w:val="superscript"/>
        </w:rPr>
        <w:t>e</w:t>
      </w:r>
      <w:r>
        <w:t> réunion incluse, et a prié le secrétariat de préparer, pour examen à la 97</w:t>
      </w:r>
      <w:r>
        <w:rPr>
          <w:vertAlign w:val="superscript"/>
        </w:rPr>
        <w:t>e</w:t>
      </w:r>
      <w:r>
        <w:t xml:space="preserve"> réunion, un document mis à jour qui élaborerait les fonctions spécifiques pour les deux centres d’excellence pour un refroidissement durable et les centres d’essai pour l’efficacité énergétique ; évaluerait les modèles d’activité durables pour les centres régionaux ; évaluerait les duplications potentielles avec les activités financées au titre des PGEH et/ou des plans de mise en œuvre de l’Amendement de Kigali, ainsi qu’avec les centres existants ; et identifierait les opportunités potentielles d’utilisation des centres existants et des mécanismes déjà en place pour l’essai de l’efficacité énergétique de l’équipement. </w:t>
      </w:r>
    </w:p>
    <w:p w14:paraId="4A6D5065" w14:textId="0840D502" w:rsidR="0096750B" w:rsidRPr="006B3B98" w:rsidRDefault="00E5088C" w:rsidP="00643B7B">
      <w:pPr>
        <w:pStyle w:val="Heading1"/>
        <w:numPr>
          <w:ilvl w:val="0"/>
          <w:numId w:val="6"/>
        </w:numPr>
      </w:pPr>
      <w:r>
        <w:t>En ce qui concerne un fonds renouvelable pour l’efficacité énergétique au bénéfice des utilisateurs finaux, le Comité a établi une fenêtre de financement de 40 millions de $US pour deux projets d’utilisateur final relatifs à l’efficacité énergétique en utilisant un mécanisme de fonds renouvelable élaboré et soutenu par des agences d’exécution, sur une durée de huit ans, après lesquels le fonds serait restitué au Fonds multilatéral, étant entendu que le fonds ne serait pas opérationnalisé tant que le Comité exécutif n’aurait pas convenu des modalités pour cela. Le Comité exécutif a décidé de fournir un financement, pour la préparation d’un maximum de cinq projets, pour un montant ne dépassant pas 100 000 $US par projet, étant entendu que ces propositions seraient soumises à la 96</w:t>
      </w:r>
      <w:r>
        <w:rPr>
          <w:vertAlign w:val="superscript"/>
        </w:rPr>
        <w:t>e</w:t>
      </w:r>
      <w:r>
        <w:t> réunion et qu’un maximum de deux projets seulement seraient sélectionnés pour la fenêtre de financement. Il a prié le secrétariat de préparer une mise à jour de la partie C du document UNEP/OzL.Pro/ExCom/95/87, sur l’opérationnalisation du fond renouvelable, pour examen par le Comité exécutif à sa 96</w:t>
      </w:r>
      <w:r>
        <w:rPr>
          <w:vertAlign w:val="superscript"/>
        </w:rPr>
        <w:t>e</w:t>
      </w:r>
      <w:r>
        <w:t> réunion, en prenant en considération les délibérations de la 95</w:t>
      </w:r>
      <w:r>
        <w:rPr>
          <w:vertAlign w:val="superscript"/>
        </w:rPr>
        <w:t>e</w:t>
      </w:r>
      <w:r>
        <w:t> réunion. Le secrétariat a également été prié de collaborer avec les agences d’exécution qui avaient de l’expérience dans les fonds renouvelables pour l’efficacité énergétique afin de partager des exemples et des enseignements tirés et d’illustrer les avantages attendus du financement du Fonds multilatéral pour les fonds existants et nouveaux, et de préparer un document récapitulatif pour la 96</w:t>
      </w:r>
      <w:r>
        <w:rPr>
          <w:vertAlign w:val="superscript"/>
        </w:rPr>
        <w:t>e</w:t>
      </w:r>
      <w:r>
        <w:t> réunion.</w:t>
      </w:r>
    </w:p>
    <w:p w14:paraId="072C0502" w14:textId="77777777" w:rsidR="006B3B98" w:rsidRDefault="006B3B98" w:rsidP="006B3B98">
      <w:pPr>
        <w:pStyle w:val="Heading1"/>
        <w:numPr>
          <w:ilvl w:val="0"/>
          <w:numId w:val="6"/>
        </w:numPr>
      </w:pPr>
      <w:r>
        <w:rPr>
          <w:highlight w:val="yellow"/>
        </w:rPr>
        <w:t>[À la 96</w:t>
      </w:r>
      <w:r>
        <w:rPr>
          <w:highlight w:val="yellow"/>
          <w:vertAlign w:val="superscript"/>
        </w:rPr>
        <w:t>e</w:t>
      </w:r>
      <w:r>
        <w:rPr>
          <w:highlight w:val="yellow"/>
        </w:rPr>
        <w:t> réunion…]</w:t>
      </w:r>
    </w:p>
    <w:p w14:paraId="27093F7E" w14:textId="5B5B00F1" w:rsidR="00BF3A1E" w:rsidRPr="00841E00" w:rsidRDefault="00BF3A1E" w:rsidP="00BF3A1E">
      <w:pPr>
        <w:keepNext/>
        <w:spacing w:after="240"/>
        <w:jc w:val="left"/>
        <w:outlineLvl w:val="1"/>
        <w:rPr>
          <w:b/>
        </w:rPr>
      </w:pPr>
      <w:r>
        <w:rPr>
          <w:b/>
        </w:rPr>
        <w:t>3.</w:t>
      </w:r>
      <w:r>
        <w:rPr>
          <w:b/>
        </w:rPr>
        <w:tab/>
        <w:t>Prise en compte des HFC contenus dans les polyols prémélangés importés dans le secteur de la mousse de polyuréthane dans la phase I des plans de mise en œuvre de l’Amendement de Kigali pour les HFC</w:t>
      </w:r>
    </w:p>
    <w:p w14:paraId="28D58A4F" w14:textId="77777777" w:rsidR="00BF3A1E" w:rsidRPr="005117F2" w:rsidRDefault="00BF3A1E" w:rsidP="00BF3A1E">
      <w:pPr>
        <w:pStyle w:val="Heading1"/>
        <w:numPr>
          <w:ilvl w:val="0"/>
          <w:numId w:val="6"/>
        </w:numPr>
      </w:pPr>
      <w:r>
        <w:t>Lors de sa 95</w:t>
      </w:r>
      <w:r>
        <w:rPr>
          <w:vertAlign w:val="superscript"/>
        </w:rPr>
        <w:t>e</w:t>
      </w:r>
      <w:r>
        <w:t> réunion, le Comité exécutif a examiné le document demandé au secrétariat à la 93</w:t>
      </w:r>
      <w:r>
        <w:rPr>
          <w:vertAlign w:val="superscript"/>
        </w:rPr>
        <w:t>e</w:t>
      </w:r>
      <w:r>
        <w:t> réunion sur la question des HFC contenus dans les polyols prémélangés importés dans le secteur de la mousse de polyuréthane dans les pays visés à l’article 5 </w:t>
      </w:r>
      <w:r w:rsidRPr="00841E00">
        <w:rPr>
          <w:vertAlign w:val="superscript"/>
        </w:rPr>
        <w:footnoteReference w:id="9"/>
      </w:r>
      <w:r>
        <w:t>. Après des discussions formelles et informelles, le Comité a demandé au secrétariat de fournir à la 96</w:t>
      </w:r>
      <w:r>
        <w:rPr>
          <w:vertAlign w:val="superscript"/>
        </w:rPr>
        <w:t>e</w:t>
      </w:r>
      <w:r>
        <w:t xml:space="preserve"> réunion une analyse complémentaire de l’effet de l’utilisation d’autres années de référence que 2020–2022 pour l’importation et l’exportation de polyols prémélangés contenant des HFC pour les pays visés à l’article 5, du groupe 1 et du groupe 2, y compris en </w:t>
      </w:r>
      <w:r>
        <w:lastRenderedPageBreak/>
        <w:t>ce qui concerne la date butoir pour les entreprises, en gardant à l’esprit les principes mentionnés dans les paragraphes 15 et 16 du document UNEP/OzL.Pro/ExCom/95/88 (décision 95/88).</w:t>
      </w:r>
    </w:p>
    <w:p w14:paraId="2327C1C2" w14:textId="77777777" w:rsidR="00BF3A1E" w:rsidRPr="00FE6192" w:rsidRDefault="00BF3A1E" w:rsidP="00BF3A1E">
      <w:pPr>
        <w:pStyle w:val="Heading1"/>
        <w:numPr>
          <w:ilvl w:val="0"/>
          <w:numId w:val="6"/>
        </w:numPr>
        <w:rPr>
          <w:highlight w:val="yellow"/>
        </w:rPr>
      </w:pPr>
      <w:r>
        <w:rPr>
          <w:highlight w:val="yellow"/>
        </w:rPr>
        <w:t>[À la 96</w:t>
      </w:r>
      <w:r>
        <w:rPr>
          <w:highlight w:val="yellow"/>
          <w:vertAlign w:val="superscript"/>
        </w:rPr>
        <w:t>e</w:t>
      </w:r>
      <w:r>
        <w:rPr>
          <w:highlight w:val="yellow"/>
        </w:rPr>
        <w:t> réunion…]</w:t>
      </w:r>
    </w:p>
    <w:p w14:paraId="026372E3" w14:textId="0C5842B9" w:rsidR="00282EB1" w:rsidRPr="00841E00" w:rsidRDefault="00810A8F" w:rsidP="000962A6">
      <w:pPr>
        <w:keepNext/>
        <w:spacing w:after="240"/>
        <w:jc w:val="left"/>
        <w:outlineLvl w:val="1"/>
        <w:rPr>
          <w:b/>
        </w:rPr>
      </w:pPr>
      <w:r>
        <w:rPr>
          <w:b/>
        </w:rPr>
        <w:t>4.</w:t>
      </w:r>
      <w:r>
        <w:rPr>
          <w:b/>
        </w:rPr>
        <w:tab/>
        <w:t>Consommation de HFC dans le sous-secteur de l’installation et de l’assemblage sur place</w:t>
      </w:r>
    </w:p>
    <w:p w14:paraId="0B3DAAE8" w14:textId="2427B5E9" w:rsidR="004937C5" w:rsidRPr="00841E00" w:rsidRDefault="00282EB1" w:rsidP="00841E00">
      <w:pPr>
        <w:pStyle w:val="Heading1"/>
        <w:numPr>
          <w:ilvl w:val="0"/>
          <w:numId w:val="6"/>
        </w:numPr>
      </w:pPr>
      <w:r>
        <w:t>À la 95</w:t>
      </w:r>
      <w:r>
        <w:rPr>
          <w:vertAlign w:val="superscript"/>
        </w:rPr>
        <w:t>e</w:t>
      </w:r>
      <w:r>
        <w:t> réunion, le Comité exécutif a examiné une mise à jour sur le sous-secteur de l’installation et de l’assemblage sur place </w:t>
      </w:r>
      <w:r w:rsidR="0089471D" w:rsidRPr="00841E00">
        <w:rPr>
          <w:vertAlign w:val="superscript"/>
        </w:rPr>
        <w:footnoteReference w:id="10"/>
      </w:r>
      <w:r>
        <w:t>. Il a décidé de continuer à examiner au cas par cas les projets dans le sous-secteur de l’installation et de l’assemblage sur place dans le contexte des plans de mise en œuvre de l’Amendement de Kigali, conformément à ses décisions 92/39 d) et 93/94 e), et a prié le secrétariat de continuer à collecter des informations dans le sous-secteur de l’installation et de l’assemblage sur place fournis par les pays visés à l’article 5 dans les plans de mise en œuvre de l’Amendement de Kigali soumis, pour examen par le Comité exécutif. Le secrétariat a aussi été prié de fournir, à la 98</w:t>
      </w:r>
      <w:r>
        <w:rPr>
          <w:vertAlign w:val="superscript"/>
        </w:rPr>
        <w:t>e</w:t>
      </w:r>
      <w:r>
        <w:t> réunion, une mise à jour du document préparé pour la 95</w:t>
      </w:r>
      <w:r>
        <w:rPr>
          <w:vertAlign w:val="superscript"/>
        </w:rPr>
        <w:t>e</w:t>
      </w:r>
      <w:r>
        <w:t> réunion (décision 95/89).</w:t>
      </w:r>
    </w:p>
    <w:p w14:paraId="20FFD0D7" w14:textId="4E846DED" w:rsidR="00BF3A1E" w:rsidRPr="00841E00" w:rsidRDefault="00D149C0" w:rsidP="00BF3A1E">
      <w:pPr>
        <w:keepNext/>
        <w:spacing w:after="240"/>
        <w:jc w:val="left"/>
        <w:outlineLvl w:val="1"/>
        <w:rPr>
          <w:b/>
        </w:rPr>
      </w:pPr>
      <w:r>
        <w:rPr>
          <w:b/>
        </w:rPr>
        <w:t>5.</w:t>
      </w:r>
      <w:r>
        <w:rPr>
          <w:b/>
        </w:rPr>
        <w:tab/>
        <w:t>Modèle d’accord pour la phase I des plans de mise en œuvre de l’Amendement de Kigali pour les HFC</w:t>
      </w:r>
    </w:p>
    <w:p w14:paraId="10FB8686" w14:textId="77777777" w:rsidR="00BF3A1E" w:rsidRPr="004937C5" w:rsidRDefault="00BF3A1E" w:rsidP="00BF3A1E">
      <w:pPr>
        <w:pStyle w:val="Heading1"/>
        <w:numPr>
          <w:ilvl w:val="0"/>
          <w:numId w:val="6"/>
        </w:numPr>
        <w:rPr>
          <w:rFonts w:eastAsiaTheme="minorEastAsia"/>
        </w:rPr>
      </w:pPr>
      <w:r>
        <w:t>À la 95</w:t>
      </w:r>
      <w:r>
        <w:rPr>
          <w:vertAlign w:val="superscript"/>
        </w:rPr>
        <w:t>e</w:t>
      </w:r>
      <w:r>
        <w:t> réunion, le Comité exécutif a poursuivi son examen des éléments en souffrance du modèle pour un accord pour la phase I du plan de mise en œuvre de l’Amendement de Kigali entre les gouvernements et le Comité exécutif </w:t>
      </w:r>
      <w:r w:rsidRPr="00841E00">
        <w:rPr>
          <w:rStyle w:val="FootnoteReference"/>
        </w:rPr>
        <w:footnoteReference w:id="11"/>
      </w:r>
      <w:r>
        <w:t>. Après délibérations dans un groupe de contact, le Comité a atteint un consensus sur tous les éléments du modèle </w:t>
      </w:r>
      <w:r w:rsidRPr="00841E00">
        <w:rPr>
          <w:rStyle w:val="FootnoteReference"/>
        </w:rPr>
        <w:footnoteReference w:id="12"/>
      </w:r>
      <w:r>
        <w:t xml:space="preserve"> sauf les appendices 1-A et 2-A, qui devaient être finalisés une fois les délibérations sur les critères pour le financement de la réduction progressive des HFC dans les pays visés à l’article 5 achevées (décision 95/90).</w:t>
      </w:r>
    </w:p>
    <w:p w14:paraId="0F04C29B" w14:textId="59A7A192" w:rsidR="005519C2" w:rsidRPr="00FE6192" w:rsidRDefault="00810A8F" w:rsidP="005519C2">
      <w:pPr>
        <w:keepNext/>
        <w:spacing w:after="240"/>
        <w:jc w:val="left"/>
        <w:outlineLvl w:val="1"/>
        <w:rPr>
          <w:b/>
        </w:rPr>
      </w:pPr>
      <w:r>
        <w:rPr>
          <w:b/>
        </w:rPr>
        <w:t>6.</w:t>
      </w:r>
      <w:r>
        <w:rPr>
          <w:b/>
        </w:rPr>
        <w:tab/>
        <w:t>Approche globale de la mise en œuvre de l’Amendement de Kigali</w:t>
      </w:r>
    </w:p>
    <w:p w14:paraId="5BBCD1E9" w14:textId="3D1C3F78" w:rsidR="00F85E86" w:rsidRPr="000400BD" w:rsidRDefault="00F85E86" w:rsidP="000400BD">
      <w:pPr>
        <w:pStyle w:val="Heading1"/>
        <w:numPr>
          <w:ilvl w:val="0"/>
          <w:numId w:val="6"/>
        </w:numPr>
      </w:pPr>
      <w:r>
        <w:t>À la 95</w:t>
      </w:r>
      <w:r>
        <w:rPr>
          <w:vertAlign w:val="superscript"/>
        </w:rPr>
        <w:t>e</w:t>
      </w:r>
      <w:r>
        <w:t> réunion, le Comité exécutif a délibéré de son examen futur, à la 96</w:t>
      </w:r>
      <w:r>
        <w:rPr>
          <w:vertAlign w:val="superscript"/>
        </w:rPr>
        <w:t>e</w:t>
      </w:r>
      <w:r>
        <w:t> réunion, des résultats de la session d’une demie journée sur les approches stratégiques de la mise en œuvre de l’Amendement de Kigali et de la contribution au refroidissement durable des activités soutenues par le Fonds multilatéral, qui devait se tenir le 9 décembre 2024, directement après la 95</w:t>
      </w:r>
      <w:r>
        <w:rPr>
          <w:vertAlign w:val="superscript"/>
        </w:rPr>
        <w:t>e</w:t>
      </w:r>
      <w:r>
        <w:t> réunion, conformément à la décision 94/62. Après ces délibérations, le Comité a décidé de tenir une autre session d’une demie journée le 25 mai 2025, immédiatement avant sa 96</w:t>
      </w:r>
      <w:r>
        <w:rPr>
          <w:vertAlign w:val="superscript"/>
        </w:rPr>
        <w:t>e</w:t>
      </w:r>
      <w:r>
        <w:t> réunion, sur les approches stratégiques de la mise en œuvre de l’Amendement de Kigali pour la réduction progressive durable des HFC par les Parties visées à l’article 5, et pour ajouter un point au sujet du récapitulatif et des résultats des délibérations aux sessions d’une demie journée tenues à ce jour à l’ordre du jour de la 96</w:t>
      </w:r>
      <w:r>
        <w:rPr>
          <w:vertAlign w:val="superscript"/>
        </w:rPr>
        <w:t>e</w:t>
      </w:r>
      <w:r>
        <w:t> réunion (décision 95/96).</w:t>
      </w:r>
    </w:p>
    <w:p w14:paraId="4B47416C" w14:textId="4175B566" w:rsidR="005519C2" w:rsidRPr="006B3B98" w:rsidRDefault="00FE6192" w:rsidP="00CC2EB9">
      <w:pPr>
        <w:pStyle w:val="Heading1"/>
        <w:numPr>
          <w:ilvl w:val="0"/>
          <w:numId w:val="6"/>
        </w:numPr>
        <w:tabs>
          <w:tab w:val="num" w:pos="720"/>
        </w:tabs>
        <w:rPr>
          <w:highlight w:val="yellow"/>
        </w:rPr>
      </w:pPr>
      <w:r>
        <w:rPr>
          <w:highlight w:val="yellow"/>
        </w:rPr>
        <w:t>[À la 96</w:t>
      </w:r>
      <w:r>
        <w:rPr>
          <w:highlight w:val="yellow"/>
          <w:vertAlign w:val="superscript"/>
        </w:rPr>
        <w:t>e</w:t>
      </w:r>
      <w:r>
        <w:rPr>
          <w:highlight w:val="yellow"/>
        </w:rPr>
        <w:t> réunion...]</w:t>
      </w:r>
    </w:p>
    <w:p w14:paraId="4046D476" w14:textId="71E209C4" w:rsidR="00282EB1" w:rsidRPr="005D6A0F" w:rsidRDefault="005519C2" w:rsidP="00810A8F">
      <w:pPr>
        <w:pStyle w:val="Heading2"/>
        <w:keepNext/>
        <w:widowControl/>
        <w:jc w:val="left"/>
        <w:rPr>
          <w:b/>
          <w:bCs/>
          <w:sz w:val="24"/>
          <w:szCs w:val="24"/>
        </w:rPr>
      </w:pPr>
      <w:r>
        <w:rPr>
          <w:b/>
          <w:sz w:val="24"/>
        </w:rPr>
        <w:t>B.</w:t>
      </w:r>
      <w:r>
        <w:rPr>
          <w:b/>
          <w:sz w:val="24"/>
        </w:rPr>
        <w:tab/>
        <w:t>Autres questions de politique</w:t>
      </w:r>
    </w:p>
    <w:p w14:paraId="6929F04F" w14:textId="5D00E531" w:rsidR="00516328" w:rsidRPr="00FE6192" w:rsidRDefault="00516328" w:rsidP="00516328">
      <w:pPr>
        <w:keepNext/>
        <w:spacing w:after="240"/>
        <w:jc w:val="left"/>
        <w:outlineLvl w:val="1"/>
        <w:rPr>
          <w:b/>
        </w:rPr>
      </w:pPr>
      <w:r>
        <w:rPr>
          <w:b/>
        </w:rPr>
        <w:t>1.</w:t>
      </w:r>
      <w:r>
        <w:rPr>
          <w:b/>
        </w:rPr>
        <w:tab/>
        <w:t>Technologies de remplacement dans le secteur de la fabrication de mousse de polyuréthane</w:t>
      </w:r>
    </w:p>
    <w:p w14:paraId="7F4A1F46" w14:textId="0434D8E0" w:rsidR="00DC76E7" w:rsidRPr="005117F2" w:rsidRDefault="002E73DB" w:rsidP="00F94F7F">
      <w:pPr>
        <w:pStyle w:val="Heading1"/>
        <w:numPr>
          <w:ilvl w:val="0"/>
          <w:numId w:val="6"/>
        </w:numPr>
        <w:spacing w:after="120"/>
      </w:pPr>
      <w:r>
        <w:t>Lors de sa 95</w:t>
      </w:r>
      <w:r>
        <w:rPr>
          <w:vertAlign w:val="superscript"/>
        </w:rPr>
        <w:t>e</w:t>
      </w:r>
      <w:r>
        <w:t> réunion, le Comité a examiné le document demandé au secrétariat à la 94</w:t>
      </w:r>
      <w:r>
        <w:rPr>
          <w:vertAlign w:val="superscript"/>
        </w:rPr>
        <w:t>e</w:t>
      </w:r>
      <w:r>
        <w:t> réunion, contenant une mise à jour des informations relatives aux technologies de remplacement dans le secteur de la fabrication de mousse de polyuréthane pour les pays visés à l’article 5 </w:t>
      </w:r>
      <w:r w:rsidR="00DC76E7" w:rsidRPr="005117F2">
        <w:rPr>
          <w:rStyle w:val="FootnoteReference"/>
        </w:rPr>
        <w:footnoteReference w:id="13"/>
      </w:r>
      <w:r>
        <w:t xml:space="preserve">. Après des délibérations, le Comité a décidé d’examiner les informations contenues dans le document tout en discutant de la question </w:t>
      </w:r>
      <w:r>
        <w:lastRenderedPageBreak/>
        <w:t>des solutions de remplacement dans le secteur de la mousse de polyuréthane et a pris note que le secrétariat mettrait à jour le rapport pour examen à la 96</w:t>
      </w:r>
      <w:r>
        <w:rPr>
          <w:vertAlign w:val="superscript"/>
        </w:rPr>
        <w:t>e</w:t>
      </w:r>
      <w:r>
        <w:t> réunion, conformément à la décision 94/58 (décision 95/85).</w:t>
      </w:r>
    </w:p>
    <w:p w14:paraId="055CF435" w14:textId="122A8427" w:rsidR="003E62FA" w:rsidRPr="00FE5373" w:rsidRDefault="00223DA9" w:rsidP="00F94F7F">
      <w:pPr>
        <w:pStyle w:val="Heading3"/>
        <w:widowControl/>
        <w:spacing w:after="120"/>
        <w:jc w:val="left"/>
        <w:rPr>
          <w:b/>
          <w:bCs/>
          <w:sz w:val="20"/>
          <w:szCs w:val="20"/>
          <w:highlight w:val="yellow"/>
        </w:rPr>
      </w:pPr>
      <w:r>
        <w:rPr>
          <w:b/>
        </w:rPr>
        <w:t>2.</w:t>
      </w:r>
      <w:r>
        <w:rPr>
          <w:b/>
        </w:rPr>
        <w:tab/>
        <w:t>Rationalisation des rapports sur les progrès accomplis dans l’ensemble</w:t>
      </w:r>
    </w:p>
    <w:p w14:paraId="7FF450DC" w14:textId="0AF16679" w:rsidR="003E62FA" w:rsidRDefault="003E62FA" w:rsidP="00F94F7F">
      <w:pPr>
        <w:pStyle w:val="Heading1"/>
        <w:numPr>
          <w:ilvl w:val="0"/>
          <w:numId w:val="6"/>
        </w:numPr>
        <w:spacing w:after="120"/>
      </w:pPr>
      <w:r>
        <w:t>À la 95</w:t>
      </w:r>
      <w:r>
        <w:rPr>
          <w:vertAlign w:val="superscript"/>
        </w:rPr>
        <w:t>e</w:t>
      </w:r>
      <w:r>
        <w:t> réunion, le Comité a examiné le document, demandé au secrétariat à la 93</w:t>
      </w:r>
      <w:r>
        <w:rPr>
          <w:vertAlign w:val="superscript"/>
        </w:rPr>
        <w:t>e</w:t>
      </w:r>
      <w:r>
        <w:t> réunion, sur le recensement des exigences en matière de compte rendu et la rationalisation de la communication d’informations sur les progrès accomplis dans l’ensemble des rapports </w:t>
      </w:r>
      <w:r w:rsidRPr="003E62FA">
        <w:rPr>
          <w:vertAlign w:val="superscript"/>
          <w:lang w:val="en-GB"/>
        </w:rPr>
        <w:footnoteReference w:id="14"/>
      </w:r>
      <w:r>
        <w:t>. Prenant note des efforts fournis par le secrétariat pour rationaliser la production de rapports sur l’avancement des projets, le Comité exécutif a décidé que le document sur les retards de soumission des tranches serait soumis à la première réunion du Comité exécutif de chaque année et a prié le secrétariat, en consultation avec les agences d’exécution, d’examiner le format des rapports d’étape et financiers, y compris leur texte explicatif, en vue de rationaliser la production de rapports tout en permettant le recueil des données nécessaires à la préparation du rapport de performance du Fonds multilatéral, et de présenter le format révisé pour examen par le Comité exécutif à sa 96</w:t>
      </w:r>
      <w:r>
        <w:rPr>
          <w:vertAlign w:val="superscript"/>
        </w:rPr>
        <w:t>e</w:t>
      </w:r>
      <w:r>
        <w:t> réunion. Le secrétariat et l’Administratrice principale, Surveillance et évaluation ont été priés d’étudier la possibilité d’intégrer la présentation de rapports dans le cadre des rapports d’achèvement des projets (RAP) et des rapports finaux détaillés sur les projets, en tenant compte du format universel approuvé pour les RAP, et de rendre compte à la 97</w:t>
      </w:r>
      <w:r>
        <w:rPr>
          <w:vertAlign w:val="superscript"/>
        </w:rPr>
        <w:t>e</w:t>
      </w:r>
      <w:r>
        <w:t> réunion du Comité exécutif (décision 95/91).</w:t>
      </w:r>
    </w:p>
    <w:p w14:paraId="1F691277" w14:textId="77777777" w:rsidR="00DA78CF" w:rsidRPr="006B3B98" w:rsidRDefault="00DA78CF" w:rsidP="00F94F7F">
      <w:pPr>
        <w:pStyle w:val="Heading1"/>
        <w:numPr>
          <w:ilvl w:val="0"/>
          <w:numId w:val="6"/>
        </w:numPr>
        <w:tabs>
          <w:tab w:val="num" w:pos="720"/>
        </w:tabs>
        <w:spacing w:after="120"/>
        <w:rPr>
          <w:highlight w:val="yellow"/>
        </w:rPr>
      </w:pPr>
      <w:r>
        <w:rPr>
          <w:highlight w:val="yellow"/>
        </w:rPr>
        <w:t>[À la 96</w:t>
      </w:r>
      <w:r>
        <w:rPr>
          <w:highlight w:val="yellow"/>
          <w:vertAlign w:val="superscript"/>
        </w:rPr>
        <w:t>e</w:t>
      </w:r>
      <w:r>
        <w:rPr>
          <w:highlight w:val="yellow"/>
        </w:rPr>
        <w:t> réunion...]</w:t>
      </w:r>
    </w:p>
    <w:p w14:paraId="0B65651D" w14:textId="30C1234F" w:rsidR="00A87D47" w:rsidRPr="00DA78CF" w:rsidRDefault="003E62FA" w:rsidP="00F94F7F">
      <w:pPr>
        <w:pStyle w:val="Heading3"/>
        <w:spacing w:after="120"/>
        <w:jc w:val="left"/>
        <w:rPr>
          <w:b/>
        </w:rPr>
      </w:pPr>
      <w:r>
        <w:rPr>
          <w:b/>
        </w:rPr>
        <w:t>3.</w:t>
      </w:r>
      <w:r>
        <w:rPr>
          <w:b/>
        </w:rPr>
        <w:tab/>
        <w:t>Mise en œuvre de la politique d’intégration des questions de genre du Fonds multilatéral</w:t>
      </w:r>
    </w:p>
    <w:p w14:paraId="3B6E6CF0" w14:textId="589C9AE8" w:rsidR="00DA78CF" w:rsidRDefault="00A87D47" w:rsidP="00F94F7F">
      <w:pPr>
        <w:pStyle w:val="Heading1"/>
        <w:numPr>
          <w:ilvl w:val="0"/>
          <w:numId w:val="6"/>
        </w:numPr>
        <w:spacing w:after="120"/>
      </w:pPr>
      <w:r>
        <w:t>À la 95</w:t>
      </w:r>
      <w:r>
        <w:rPr>
          <w:vertAlign w:val="superscript"/>
        </w:rPr>
        <w:t>e</w:t>
      </w:r>
      <w:r>
        <w:t> réunion, le Comité exécutif a examiné la mise à jour, demandée au secrétariat à la 90</w:t>
      </w:r>
      <w:r>
        <w:rPr>
          <w:vertAlign w:val="superscript"/>
        </w:rPr>
        <w:t>e</w:t>
      </w:r>
      <w:r>
        <w:t> réunion, sur la mise en œuvre de la politique opérationnelle d’intégration des questions de genre pour les projets financés par le Fonds multilatéral et l’examen des domaines professionnels et des mécanismes du Fonds où les questions de genre avaient été intégrées </w:t>
      </w:r>
      <w:r w:rsidRPr="00DA78CF">
        <w:rPr>
          <w:rStyle w:val="FootnoteReference"/>
          <w:lang w:val="en-GB"/>
        </w:rPr>
        <w:footnoteReference w:id="15"/>
      </w:r>
      <w:r>
        <w:t>. Il a prié le secrétariat d’examiner la mise en œuvre de la politique d’intégration des questions de genre du Fonds multilatéral, traitant de l’inclusion des exigences obligatoires et des indicateurs de performance dans les phases des projets d’accord pluriannuel à partir de la 94</w:t>
      </w:r>
      <w:r>
        <w:rPr>
          <w:vertAlign w:val="superscript"/>
        </w:rPr>
        <w:t>e</w:t>
      </w:r>
      <w:r>
        <w:t> réunion et de fournir, pour examen à la 98</w:t>
      </w:r>
      <w:r>
        <w:rPr>
          <w:vertAlign w:val="superscript"/>
        </w:rPr>
        <w:t>e</w:t>
      </w:r>
      <w:r>
        <w:t> réunion, une évaluation détaillée de mise en œuvre (décision 95/92).</w:t>
      </w:r>
    </w:p>
    <w:p w14:paraId="36079EB9" w14:textId="0D333462" w:rsidR="00DC76E7" w:rsidRPr="005D6A0F" w:rsidRDefault="00C3519B" w:rsidP="00F94F7F">
      <w:pPr>
        <w:pStyle w:val="ListParagraph"/>
        <w:keepNext/>
        <w:spacing w:after="120"/>
        <w:ind w:left="0"/>
        <w:contextualSpacing w:val="0"/>
        <w:outlineLvl w:val="0"/>
        <w:rPr>
          <w:u w:val="single"/>
        </w:rPr>
      </w:pPr>
      <w:r>
        <w:rPr>
          <w:b/>
        </w:rPr>
        <w:t>4.</w:t>
      </w:r>
      <w:r>
        <w:rPr>
          <w:b/>
        </w:rPr>
        <w:tab/>
        <w:t>Demande au Comité exécutif établie au paragraphe 4 de la décision XXXVI/1 de la trente</w:t>
      </w:r>
      <w:r>
        <w:rPr>
          <w:b/>
        </w:rPr>
        <w:noBreakHyphen/>
        <w:t>sixième Réunion de la Conférence des Parties</w:t>
      </w:r>
    </w:p>
    <w:p w14:paraId="5D60F466" w14:textId="77777777" w:rsidR="00DC76E7" w:rsidRPr="005D6A0F" w:rsidRDefault="00DC76E7" w:rsidP="00F94F7F">
      <w:pPr>
        <w:pStyle w:val="Heading1"/>
        <w:numPr>
          <w:ilvl w:val="0"/>
          <w:numId w:val="6"/>
        </w:numPr>
        <w:spacing w:after="120"/>
      </w:pPr>
      <w:r>
        <w:t>À la 95</w:t>
      </w:r>
      <w:r>
        <w:rPr>
          <w:vertAlign w:val="superscript"/>
        </w:rPr>
        <w:t>e</w:t>
      </w:r>
      <w:r>
        <w:t> réunion, le Comité a examiné un projet de décision, présenté par un membre, sur le suivi atmosphérique conformément à la demande au Comité exécutif établie au paragraphe 4 de la décision XXXVI/1 sur l’amélioration du suivi atmosphérique régional des substances réglementées en application du Protocole de Montréal. Le Comité exécutif a prié le secrétariat d’élaborer un document pour la 96</w:t>
      </w:r>
      <w:r>
        <w:rPr>
          <w:vertAlign w:val="superscript"/>
        </w:rPr>
        <w:t>e</w:t>
      </w:r>
      <w:r>
        <w:t> réunion sur les options relatives à une modalité de financement, visée au paragraphe 4 de la décision XXXVI/1, pour appuyer un nombre limité de projets pilotes visant à renforcer la surveillance atmosphérique régionale des substances réglementées en application du Protocole de Montréal, en s’appuyant sur les avis scientifiques du Comité consultatif du fonds d’affectation spéciale général destiné à financer des activités de recherche et d’observations systématiques au titre de la Convention de Vienne en ce qui concerne l’emplacement et la mise en place de nouvelles installations de surveillance (décision 95/97).</w:t>
      </w:r>
    </w:p>
    <w:p w14:paraId="6B8CDB0C" w14:textId="77777777" w:rsidR="00DC76E7" w:rsidRPr="006B3B98" w:rsidRDefault="00DC76E7" w:rsidP="00F94F7F">
      <w:pPr>
        <w:pStyle w:val="Heading1"/>
        <w:numPr>
          <w:ilvl w:val="0"/>
          <w:numId w:val="6"/>
        </w:numPr>
        <w:tabs>
          <w:tab w:val="clear" w:pos="0"/>
          <w:tab w:val="num" w:pos="720"/>
        </w:tabs>
        <w:spacing w:after="120"/>
        <w:ind w:left="720" w:hanging="720"/>
        <w:rPr>
          <w:highlight w:val="yellow"/>
        </w:rPr>
      </w:pPr>
      <w:r>
        <w:rPr>
          <w:highlight w:val="yellow"/>
        </w:rPr>
        <w:t>[À la 96</w:t>
      </w:r>
      <w:r>
        <w:rPr>
          <w:highlight w:val="yellow"/>
          <w:vertAlign w:val="superscript"/>
        </w:rPr>
        <w:t>e</w:t>
      </w:r>
      <w:r>
        <w:rPr>
          <w:highlight w:val="yellow"/>
        </w:rPr>
        <w:t> réunion...]</w:t>
      </w:r>
    </w:p>
    <w:p w14:paraId="3773B203" w14:textId="192CE3D7" w:rsidR="00282EB1" w:rsidRPr="00AD5D3F" w:rsidRDefault="00DA78CF" w:rsidP="00F94F7F">
      <w:pPr>
        <w:pStyle w:val="Heading3"/>
        <w:widowControl/>
        <w:spacing w:after="120"/>
        <w:jc w:val="left"/>
        <w:rPr>
          <w:b/>
        </w:rPr>
      </w:pPr>
      <w:r>
        <w:rPr>
          <w:b/>
        </w:rPr>
        <w:t>5.</w:t>
      </w:r>
      <w:r>
        <w:rPr>
          <w:b/>
        </w:rPr>
        <w:tab/>
        <w:t>Sous-groupe dédié au secteur de la production</w:t>
      </w:r>
    </w:p>
    <w:p w14:paraId="5DDD5EE8" w14:textId="0FCC3D6C" w:rsidR="00B47BA4" w:rsidRDefault="00282EB1" w:rsidP="00F94F7F">
      <w:pPr>
        <w:pStyle w:val="Heading1"/>
        <w:numPr>
          <w:ilvl w:val="0"/>
          <w:numId w:val="6"/>
        </w:numPr>
        <w:spacing w:after="120"/>
      </w:pPr>
      <w:r>
        <w:t>Le sous-groupe dédié au secteur de la production s’est réuni à trois reprises en marge de la 95</w:t>
      </w:r>
      <w:r>
        <w:rPr>
          <w:vertAlign w:val="superscript"/>
        </w:rPr>
        <w:t>e</w:t>
      </w:r>
      <w:r>
        <w:t xml:space="preserve"> réunion [et </w:t>
      </w:r>
      <w:r>
        <w:rPr>
          <w:highlight w:val="yellow"/>
        </w:rPr>
        <w:t>?? fois en marge de la 96</w:t>
      </w:r>
      <w:r>
        <w:rPr>
          <w:highlight w:val="yellow"/>
          <w:vertAlign w:val="superscript"/>
        </w:rPr>
        <w:t>e</w:t>
      </w:r>
      <w:r>
        <w:rPr>
          <w:highlight w:val="yellow"/>
        </w:rPr>
        <w:t> réunion]</w:t>
      </w:r>
      <w:r>
        <w:t>, produisant un rapport devant être examiné à chaque réunion </w:t>
      </w:r>
      <w:r w:rsidRPr="00AD5D3F">
        <w:rPr>
          <w:vertAlign w:val="superscript"/>
          <w:lang w:val="en-GB"/>
        </w:rPr>
        <w:footnoteReference w:id="16"/>
      </w:r>
      <w:r>
        <w:t xml:space="preserve">. </w:t>
      </w:r>
    </w:p>
    <w:p w14:paraId="60E85E60" w14:textId="359677C6" w:rsidR="00B47BA4" w:rsidRPr="003F5398" w:rsidRDefault="000270B4" w:rsidP="003F5398">
      <w:pPr>
        <w:pStyle w:val="Heading1"/>
        <w:numPr>
          <w:ilvl w:val="0"/>
          <w:numId w:val="6"/>
        </w:numPr>
      </w:pPr>
      <w:r>
        <w:lastRenderedPageBreak/>
        <w:t>À la 95</w:t>
      </w:r>
      <w:r>
        <w:rPr>
          <w:vertAlign w:val="superscript"/>
        </w:rPr>
        <w:t>e</w:t>
      </w:r>
      <w:r>
        <w:t> réunion, le Comité exécutif a pris note du rapport de vérification du secteur de la production de HCFC en Chine de 2023, pris note du rapport périodique sur la mise en œuvre de la deuxième tranche et la demande de financement de la troisième tranche de la phase II du plan de gestion de l’élimination de la production de HCFC (PGEPH) pour la Chine (voir paragraphe </w:t>
      </w:r>
      <w:r>
        <w:rPr>
          <w:highlight w:val="yellow"/>
        </w:rPr>
        <w:t>54)</w:t>
      </w:r>
      <w:r>
        <w:t xml:space="preserve"> et adopté une série de décisions associées au PGEPH pour la Chine sur la base des recommandations du sous-groupe (décisions 95/93 et 95/94). </w:t>
      </w:r>
    </w:p>
    <w:p w14:paraId="1FCF8958" w14:textId="6DF6DD23" w:rsidR="00B901AB" w:rsidRPr="00F85E86" w:rsidRDefault="00F113FC" w:rsidP="00794A19">
      <w:pPr>
        <w:pStyle w:val="Heading1"/>
        <w:numPr>
          <w:ilvl w:val="0"/>
          <w:numId w:val="6"/>
        </w:numPr>
      </w:pPr>
      <w:r>
        <w:t>En outre, le Comité exécutif a pris note, avec satisfaction, de la soumission, par le Gouvernement de la Chine par l’intermédiaire de la Banque mondiale, du rapport sur l’enquête relative à l’utilisation des HCFC comme matière première en Chine pour 2023, et a décidé de reporter la poursuite de l’examen des questions relatives au HFC-23 en Chine à la réunion suivante du Comité exécutif (décision 95/95).</w:t>
      </w:r>
    </w:p>
    <w:p w14:paraId="2865F2F7" w14:textId="28C2A5D1" w:rsidR="00AC0411" w:rsidRPr="006B3B98" w:rsidRDefault="00545E7E" w:rsidP="006C751F">
      <w:pPr>
        <w:pStyle w:val="Heading1"/>
        <w:numPr>
          <w:ilvl w:val="0"/>
          <w:numId w:val="6"/>
        </w:numPr>
        <w:rPr>
          <w:highlight w:val="yellow"/>
        </w:rPr>
      </w:pPr>
      <w:r>
        <w:rPr>
          <w:highlight w:val="yellow"/>
        </w:rPr>
        <w:t>[À la 96</w:t>
      </w:r>
      <w:r>
        <w:rPr>
          <w:highlight w:val="yellow"/>
          <w:vertAlign w:val="superscript"/>
        </w:rPr>
        <w:t>e</w:t>
      </w:r>
      <w:r>
        <w:rPr>
          <w:highlight w:val="yellow"/>
        </w:rPr>
        <w:t xml:space="preserve"> réunion…] </w:t>
      </w:r>
    </w:p>
    <w:p w14:paraId="21A2F5F0" w14:textId="2AA5E396" w:rsidR="00282EB1" w:rsidRPr="00F85E86" w:rsidRDefault="00F8694C" w:rsidP="00BC750B">
      <w:pPr>
        <w:pStyle w:val="Heading2"/>
        <w:keepNext/>
        <w:widowControl/>
        <w:rPr>
          <w:b/>
          <w:bCs/>
          <w:sz w:val="24"/>
          <w:szCs w:val="24"/>
        </w:rPr>
      </w:pPr>
      <w:r>
        <w:rPr>
          <w:b/>
          <w:sz w:val="24"/>
        </w:rPr>
        <w:t>C.</w:t>
      </w:r>
      <w:r>
        <w:rPr>
          <w:b/>
          <w:sz w:val="24"/>
        </w:rPr>
        <w:tab/>
        <w:t>Projets, mise en œuvre et suivi</w:t>
      </w:r>
    </w:p>
    <w:p w14:paraId="03C1C9B7" w14:textId="77777777" w:rsidR="00282EB1" w:rsidRPr="00F85E86" w:rsidRDefault="00282EB1" w:rsidP="00BC750B">
      <w:pPr>
        <w:keepNext/>
        <w:spacing w:after="240"/>
        <w:outlineLvl w:val="1"/>
        <w:rPr>
          <w:b/>
        </w:rPr>
      </w:pPr>
      <w:r>
        <w:rPr>
          <w:b/>
        </w:rPr>
        <w:t>1.</w:t>
      </w:r>
      <w:r>
        <w:rPr>
          <w:b/>
        </w:rPr>
        <w:tab/>
        <w:t>Approbations accordées au cours de la période visée par ce rapport</w:t>
      </w:r>
    </w:p>
    <w:p w14:paraId="3C641692" w14:textId="61F3CA16" w:rsidR="00282EB1" w:rsidRPr="00F85E86" w:rsidRDefault="00282EB1" w:rsidP="006C751F">
      <w:pPr>
        <w:pStyle w:val="Heading1"/>
        <w:numPr>
          <w:ilvl w:val="0"/>
          <w:numId w:val="6"/>
        </w:numPr>
      </w:pPr>
      <w:r>
        <w:t xml:space="preserve">Au cours de la période visée par ce rapport, le Comité exécutif a approuvé un total de </w:t>
      </w:r>
      <w:r>
        <w:rPr>
          <w:highlight w:val="yellow"/>
        </w:rPr>
        <w:t>???</w:t>
      </w:r>
      <w:r>
        <w:t xml:space="preserve"> projets et activités supplémentaires, avec une élimination prévue de </w:t>
      </w:r>
      <w:r>
        <w:rPr>
          <w:highlight w:val="yellow"/>
        </w:rPr>
        <w:t>???</w:t>
      </w:r>
      <w:r>
        <w:t xml:space="preserve"> tonnes PAO de production et de consommation de HCFC, et </w:t>
      </w:r>
      <w:r>
        <w:rPr>
          <w:highlight w:val="yellow"/>
        </w:rPr>
        <w:t>???</w:t>
      </w:r>
      <w:r>
        <w:t xml:space="preserve"> tonnes métriques (</w:t>
      </w:r>
      <w:r>
        <w:rPr>
          <w:highlight w:val="yellow"/>
        </w:rPr>
        <w:t>???</w:t>
      </w:r>
      <w:r>
        <w:t xml:space="preserve"> tonnes équivalent dioxyde de carbone) de consommation de HFC, pour un montant de </w:t>
      </w:r>
      <w:r>
        <w:rPr>
          <w:highlight w:val="yellow"/>
        </w:rPr>
        <w:t>??? $</w:t>
      </w:r>
      <w:r>
        <w:t xml:space="preserve">US, dont </w:t>
      </w:r>
      <w:r>
        <w:rPr>
          <w:highlight w:val="yellow"/>
        </w:rPr>
        <w:t>??? $</w:t>
      </w:r>
      <w:r>
        <w:t>US de coûts d’appui d’agence, conformément au tableau 4 ci-dessous.</w:t>
      </w:r>
    </w:p>
    <w:p w14:paraId="66C2B581" w14:textId="75048F25" w:rsidR="00282EB1" w:rsidRPr="00F85E86" w:rsidRDefault="00282EB1" w:rsidP="00283E24">
      <w:pPr>
        <w:keepNext/>
        <w:ind w:left="706"/>
      </w:pPr>
      <w:r>
        <w:t>Tableau 4</w:t>
      </w:r>
    </w:p>
    <w:p w14:paraId="56BA073B" w14:textId="77777777" w:rsidR="00282EB1" w:rsidRPr="00F85E86" w:rsidRDefault="00282EB1" w:rsidP="00283E24">
      <w:pPr>
        <w:keepNext/>
        <w:ind w:left="709"/>
        <w:rPr>
          <w:b/>
          <w:bCs/>
        </w:rPr>
      </w:pPr>
      <w:r>
        <w:rPr>
          <w:b/>
        </w:rPr>
        <w:t>Sommes approuvées par agence au cours de la période visée par ce rapport</w:t>
      </w:r>
    </w:p>
    <w:tbl>
      <w:tblPr>
        <w:tblW w:w="4609"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2494"/>
        <w:gridCol w:w="2778"/>
        <w:gridCol w:w="1508"/>
      </w:tblGrid>
      <w:tr w:rsidR="00282EB1" w:rsidRPr="00215346" w14:paraId="214D1F45" w14:textId="77777777" w:rsidTr="00700B55">
        <w:trPr>
          <w:trHeight w:val="179"/>
        </w:trPr>
        <w:tc>
          <w:tcPr>
            <w:tcW w:w="1194" w:type="pct"/>
            <w:shd w:val="clear" w:color="auto" w:fill="auto"/>
            <w:noWrap/>
            <w:hideMark/>
          </w:tcPr>
          <w:p w14:paraId="39B43574" w14:textId="77777777" w:rsidR="00282EB1" w:rsidRPr="00215346" w:rsidRDefault="00282EB1" w:rsidP="00283E24">
            <w:pPr>
              <w:keepNext/>
              <w:jc w:val="center"/>
              <w:rPr>
                <w:b/>
                <w:bCs/>
                <w:color w:val="000000"/>
                <w:sz w:val="20"/>
                <w:szCs w:val="20"/>
              </w:rPr>
            </w:pPr>
            <w:r>
              <w:rPr>
                <w:b/>
                <w:color w:val="000000"/>
                <w:sz w:val="20"/>
              </w:rPr>
              <w:t>Agence</w:t>
            </w:r>
          </w:p>
        </w:tc>
        <w:tc>
          <w:tcPr>
            <w:tcW w:w="1286" w:type="pct"/>
            <w:shd w:val="clear" w:color="auto" w:fill="auto"/>
            <w:noWrap/>
            <w:hideMark/>
          </w:tcPr>
          <w:p w14:paraId="517386DF" w14:textId="77777777" w:rsidR="00282EB1" w:rsidRPr="00215346" w:rsidRDefault="00282EB1" w:rsidP="00283E24">
            <w:pPr>
              <w:keepNext/>
              <w:jc w:val="center"/>
              <w:rPr>
                <w:b/>
                <w:bCs/>
                <w:color w:val="000000"/>
                <w:sz w:val="20"/>
                <w:szCs w:val="20"/>
              </w:rPr>
            </w:pPr>
            <w:r>
              <w:rPr>
                <w:b/>
                <w:color w:val="000000"/>
                <w:sz w:val="20"/>
              </w:rPr>
              <w:t>Sommes approuvées ($US)</w:t>
            </w:r>
          </w:p>
        </w:tc>
        <w:tc>
          <w:tcPr>
            <w:tcW w:w="1518" w:type="pct"/>
            <w:shd w:val="clear" w:color="auto" w:fill="auto"/>
            <w:noWrap/>
            <w:hideMark/>
          </w:tcPr>
          <w:p w14:paraId="5809E9C9" w14:textId="77777777" w:rsidR="00282EB1" w:rsidRPr="00215346" w:rsidRDefault="00282EB1" w:rsidP="00283E24">
            <w:pPr>
              <w:keepNext/>
              <w:jc w:val="center"/>
              <w:rPr>
                <w:b/>
                <w:bCs/>
                <w:color w:val="000000"/>
                <w:sz w:val="20"/>
                <w:szCs w:val="20"/>
              </w:rPr>
            </w:pPr>
            <w:r>
              <w:rPr>
                <w:b/>
                <w:color w:val="000000"/>
                <w:sz w:val="20"/>
              </w:rPr>
              <w:t>Coûts d’appui d’agence ($US)</w:t>
            </w:r>
          </w:p>
        </w:tc>
        <w:tc>
          <w:tcPr>
            <w:tcW w:w="1002" w:type="pct"/>
            <w:shd w:val="clear" w:color="auto" w:fill="auto"/>
            <w:hideMark/>
          </w:tcPr>
          <w:p w14:paraId="0F5A9685" w14:textId="77777777" w:rsidR="00282EB1" w:rsidRPr="00215346" w:rsidRDefault="00282EB1" w:rsidP="00283E24">
            <w:pPr>
              <w:keepNext/>
              <w:jc w:val="center"/>
              <w:rPr>
                <w:b/>
                <w:bCs/>
                <w:color w:val="000000"/>
                <w:sz w:val="20"/>
                <w:szCs w:val="20"/>
              </w:rPr>
            </w:pPr>
            <w:r>
              <w:rPr>
                <w:b/>
                <w:color w:val="000000"/>
                <w:sz w:val="20"/>
              </w:rPr>
              <w:t>Total ($US)</w:t>
            </w:r>
          </w:p>
        </w:tc>
      </w:tr>
      <w:tr w:rsidR="00283E24" w:rsidRPr="00215346" w14:paraId="0149A399" w14:textId="77777777" w:rsidTr="00700B55">
        <w:trPr>
          <w:trHeight w:val="251"/>
        </w:trPr>
        <w:tc>
          <w:tcPr>
            <w:tcW w:w="1194" w:type="pct"/>
            <w:shd w:val="clear" w:color="auto" w:fill="auto"/>
            <w:noWrap/>
            <w:hideMark/>
          </w:tcPr>
          <w:p w14:paraId="26B56153" w14:textId="5F1FD73D" w:rsidR="00283E24" w:rsidRPr="00215346" w:rsidRDefault="00283E24" w:rsidP="00283E24">
            <w:pPr>
              <w:keepNext/>
              <w:jc w:val="left"/>
              <w:rPr>
                <w:color w:val="000000"/>
                <w:sz w:val="20"/>
                <w:szCs w:val="20"/>
              </w:rPr>
            </w:pPr>
            <w:r>
              <w:rPr>
                <w:color w:val="000000"/>
                <w:sz w:val="20"/>
              </w:rPr>
              <w:t>Agences bilatérales</w:t>
            </w:r>
          </w:p>
        </w:tc>
        <w:tc>
          <w:tcPr>
            <w:tcW w:w="1286" w:type="pct"/>
            <w:shd w:val="clear" w:color="auto" w:fill="auto"/>
            <w:noWrap/>
            <w:hideMark/>
          </w:tcPr>
          <w:p w14:paraId="17637D07" w14:textId="231BD40D" w:rsidR="00283E24" w:rsidRPr="00215346" w:rsidRDefault="00283E24" w:rsidP="00283E24">
            <w:pPr>
              <w:keepNext/>
              <w:jc w:val="right"/>
              <w:rPr>
                <w:i/>
                <w:iCs/>
                <w:color w:val="000000"/>
                <w:sz w:val="18"/>
                <w:szCs w:val="18"/>
              </w:rPr>
            </w:pPr>
            <w:r>
              <w:rPr>
                <w:i/>
                <w:sz w:val="18"/>
              </w:rPr>
              <w:t>À compléter</w:t>
            </w:r>
          </w:p>
        </w:tc>
        <w:tc>
          <w:tcPr>
            <w:tcW w:w="1518" w:type="pct"/>
            <w:shd w:val="clear" w:color="auto" w:fill="auto"/>
            <w:noWrap/>
            <w:hideMark/>
          </w:tcPr>
          <w:p w14:paraId="5EC04125" w14:textId="606E5283" w:rsidR="00283E24" w:rsidRPr="00215346" w:rsidRDefault="00283E24" w:rsidP="00283E24">
            <w:pPr>
              <w:keepNext/>
              <w:jc w:val="right"/>
              <w:rPr>
                <w:color w:val="000000"/>
                <w:sz w:val="20"/>
                <w:szCs w:val="20"/>
              </w:rPr>
            </w:pPr>
            <w:r>
              <w:rPr>
                <w:i/>
                <w:sz w:val="18"/>
              </w:rPr>
              <w:t>À compléter</w:t>
            </w:r>
          </w:p>
        </w:tc>
        <w:tc>
          <w:tcPr>
            <w:tcW w:w="1002" w:type="pct"/>
            <w:shd w:val="clear" w:color="auto" w:fill="auto"/>
            <w:noWrap/>
            <w:hideMark/>
          </w:tcPr>
          <w:p w14:paraId="10900CD9" w14:textId="7690E4E0" w:rsidR="00283E24" w:rsidRPr="00215346" w:rsidRDefault="00283E24" w:rsidP="00283E24">
            <w:pPr>
              <w:keepNext/>
              <w:jc w:val="right"/>
              <w:rPr>
                <w:color w:val="000000"/>
                <w:sz w:val="20"/>
                <w:szCs w:val="20"/>
              </w:rPr>
            </w:pPr>
            <w:r>
              <w:rPr>
                <w:i/>
                <w:sz w:val="18"/>
              </w:rPr>
              <w:t>À compléter</w:t>
            </w:r>
          </w:p>
        </w:tc>
      </w:tr>
      <w:tr w:rsidR="00283E24" w:rsidRPr="00215346" w14:paraId="415B0CE9" w14:textId="77777777" w:rsidTr="00700B55">
        <w:trPr>
          <w:trHeight w:val="170"/>
        </w:trPr>
        <w:tc>
          <w:tcPr>
            <w:tcW w:w="1194" w:type="pct"/>
            <w:shd w:val="clear" w:color="auto" w:fill="auto"/>
            <w:noWrap/>
            <w:hideMark/>
          </w:tcPr>
          <w:p w14:paraId="0115D1FE" w14:textId="5FDD0299" w:rsidR="00283E24" w:rsidRPr="00215346" w:rsidRDefault="00283E24" w:rsidP="00283E24">
            <w:pPr>
              <w:keepNext/>
              <w:jc w:val="left"/>
              <w:rPr>
                <w:color w:val="000000"/>
                <w:sz w:val="20"/>
                <w:szCs w:val="20"/>
              </w:rPr>
            </w:pPr>
            <w:r>
              <w:rPr>
                <w:color w:val="000000"/>
                <w:sz w:val="20"/>
              </w:rPr>
              <w:t>PNUD</w:t>
            </w:r>
          </w:p>
        </w:tc>
        <w:tc>
          <w:tcPr>
            <w:tcW w:w="1286" w:type="pct"/>
            <w:shd w:val="clear" w:color="auto" w:fill="auto"/>
            <w:noWrap/>
            <w:hideMark/>
          </w:tcPr>
          <w:p w14:paraId="3D25B399" w14:textId="203F3AA8" w:rsidR="00283E24" w:rsidRPr="00215346" w:rsidRDefault="00283E24" w:rsidP="00283E24">
            <w:pPr>
              <w:keepNext/>
              <w:jc w:val="right"/>
              <w:rPr>
                <w:color w:val="000000"/>
                <w:sz w:val="20"/>
                <w:szCs w:val="20"/>
              </w:rPr>
            </w:pPr>
            <w:r>
              <w:rPr>
                <w:i/>
                <w:sz w:val="18"/>
              </w:rPr>
              <w:t>À compléter</w:t>
            </w:r>
          </w:p>
        </w:tc>
        <w:tc>
          <w:tcPr>
            <w:tcW w:w="1518" w:type="pct"/>
            <w:shd w:val="clear" w:color="auto" w:fill="auto"/>
            <w:noWrap/>
            <w:hideMark/>
          </w:tcPr>
          <w:p w14:paraId="6A67CE01" w14:textId="237BEEC9" w:rsidR="00283E24" w:rsidRPr="00215346" w:rsidRDefault="00283E24" w:rsidP="00283E24">
            <w:pPr>
              <w:keepNext/>
              <w:jc w:val="right"/>
              <w:rPr>
                <w:color w:val="000000"/>
                <w:sz w:val="20"/>
                <w:szCs w:val="20"/>
              </w:rPr>
            </w:pPr>
            <w:r>
              <w:rPr>
                <w:i/>
                <w:sz w:val="18"/>
              </w:rPr>
              <w:t>À compléter</w:t>
            </w:r>
          </w:p>
        </w:tc>
        <w:tc>
          <w:tcPr>
            <w:tcW w:w="1002" w:type="pct"/>
            <w:shd w:val="clear" w:color="auto" w:fill="auto"/>
            <w:noWrap/>
            <w:hideMark/>
          </w:tcPr>
          <w:p w14:paraId="2B56F0A7" w14:textId="0F743E7C" w:rsidR="00283E24" w:rsidRPr="00215346" w:rsidRDefault="00283E24" w:rsidP="00283E24">
            <w:pPr>
              <w:keepNext/>
              <w:jc w:val="right"/>
              <w:rPr>
                <w:color w:val="000000"/>
                <w:sz w:val="20"/>
                <w:szCs w:val="20"/>
              </w:rPr>
            </w:pPr>
            <w:r>
              <w:rPr>
                <w:i/>
                <w:sz w:val="18"/>
              </w:rPr>
              <w:t>À compléter</w:t>
            </w:r>
          </w:p>
        </w:tc>
      </w:tr>
      <w:tr w:rsidR="00283E24" w:rsidRPr="00215346" w14:paraId="65F929D8" w14:textId="77777777" w:rsidTr="00700B55">
        <w:trPr>
          <w:trHeight w:val="179"/>
        </w:trPr>
        <w:tc>
          <w:tcPr>
            <w:tcW w:w="1194" w:type="pct"/>
            <w:shd w:val="clear" w:color="auto" w:fill="auto"/>
            <w:noWrap/>
            <w:hideMark/>
          </w:tcPr>
          <w:p w14:paraId="5D0B231B" w14:textId="77777777" w:rsidR="00283E24" w:rsidRPr="00215346" w:rsidRDefault="00283E24" w:rsidP="00283E24">
            <w:pPr>
              <w:keepNext/>
              <w:jc w:val="left"/>
              <w:rPr>
                <w:color w:val="000000"/>
                <w:sz w:val="20"/>
                <w:szCs w:val="20"/>
              </w:rPr>
            </w:pPr>
            <w:r>
              <w:rPr>
                <w:color w:val="000000"/>
                <w:sz w:val="20"/>
              </w:rPr>
              <w:t>PNUE</w:t>
            </w:r>
          </w:p>
        </w:tc>
        <w:tc>
          <w:tcPr>
            <w:tcW w:w="1286" w:type="pct"/>
            <w:shd w:val="clear" w:color="auto" w:fill="auto"/>
            <w:noWrap/>
            <w:hideMark/>
          </w:tcPr>
          <w:p w14:paraId="0F4EA232" w14:textId="6105C3F1" w:rsidR="00283E24" w:rsidRPr="00215346" w:rsidRDefault="00283E24" w:rsidP="00283E24">
            <w:pPr>
              <w:keepNext/>
              <w:jc w:val="right"/>
              <w:rPr>
                <w:color w:val="000000"/>
                <w:sz w:val="20"/>
                <w:szCs w:val="20"/>
              </w:rPr>
            </w:pPr>
            <w:r>
              <w:rPr>
                <w:i/>
                <w:sz w:val="18"/>
              </w:rPr>
              <w:t>À compléter</w:t>
            </w:r>
          </w:p>
        </w:tc>
        <w:tc>
          <w:tcPr>
            <w:tcW w:w="1518" w:type="pct"/>
            <w:shd w:val="clear" w:color="auto" w:fill="auto"/>
            <w:noWrap/>
            <w:hideMark/>
          </w:tcPr>
          <w:p w14:paraId="56B11468" w14:textId="434271C6" w:rsidR="00283E24" w:rsidRPr="00215346" w:rsidRDefault="00283E24" w:rsidP="00283E24">
            <w:pPr>
              <w:keepNext/>
              <w:jc w:val="right"/>
              <w:rPr>
                <w:color w:val="000000"/>
                <w:sz w:val="20"/>
                <w:szCs w:val="20"/>
              </w:rPr>
            </w:pPr>
            <w:r>
              <w:rPr>
                <w:i/>
                <w:sz w:val="18"/>
              </w:rPr>
              <w:t>À compléter</w:t>
            </w:r>
          </w:p>
        </w:tc>
        <w:tc>
          <w:tcPr>
            <w:tcW w:w="1002" w:type="pct"/>
            <w:shd w:val="clear" w:color="auto" w:fill="auto"/>
            <w:noWrap/>
            <w:hideMark/>
          </w:tcPr>
          <w:p w14:paraId="6268B51E" w14:textId="4EE86B7B" w:rsidR="00283E24" w:rsidRPr="00215346" w:rsidRDefault="00283E24" w:rsidP="00283E24">
            <w:pPr>
              <w:keepNext/>
              <w:jc w:val="right"/>
              <w:rPr>
                <w:color w:val="000000"/>
                <w:sz w:val="20"/>
                <w:szCs w:val="20"/>
              </w:rPr>
            </w:pPr>
            <w:r>
              <w:rPr>
                <w:i/>
                <w:sz w:val="18"/>
              </w:rPr>
              <w:t>À compléter</w:t>
            </w:r>
          </w:p>
        </w:tc>
      </w:tr>
      <w:tr w:rsidR="00283E24" w:rsidRPr="00215346" w14:paraId="7D37C5DC" w14:textId="77777777" w:rsidTr="00700B55">
        <w:trPr>
          <w:trHeight w:val="188"/>
        </w:trPr>
        <w:tc>
          <w:tcPr>
            <w:tcW w:w="1194" w:type="pct"/>
            <w:shd w:val="clear" w:color="auto" w:fill="auto"/>
            <w:noWrap/>
            <w:hideMark/>
          </w:tcPr>
          <w:p w14:paraId="22C73D87" w14:textId="77777777" w:rsidR="00283E24" w:rsidRPr="00215346" w:rsidRDefault="00283E24" w:rsidP="00283E24">
            <w:pPr>
              <w:keepNext/>
              <w:jc w:val="left"/>
              <w:rPr>
                <w:color w:val="000000"/>
                <w:sz w:val="20"/>
                <w:szCs w:val="20"/>
              </w:rPr>
            </w:pPr>
            <w:r>
              <w:rPr>
                <w:color w:val="000000"/>
                <w:sz w:val="20"/>
              </w:rPr>
              <w:t>ONUDI</w:t>
            </w:r>
          </w:p>
        </w:tc>
        <w:tc>
          <w:tcPr>
            <w:tcW w:w="1286" w:type="pct"/>
            <w:shd w:val="clear" w:color="auto" w:fill="auto"/>
            <w:noWrap/>
            <w:hideMark/>
          </w:tcPr>
          <w:p w14:paraId="509039C3" w14:textId="2FDDF808" w:rsidR="00283E24" w:rsidRPr="00215346" w:rsidRDefault="00283E24" w:rsidP="00283E24">
            <w:pPr>
              <w:keepNext/>
              <w:jc w:val="right"/>
              <w:rPr>
                <w:color w:val="000000"/>
                <w:sz w:val="20"/>
                <w:szCs w:val="20"/>
              </w:rPr>
            </w:pPr>
            <w:r>
              <w:rPr>
                <w:i/>
                <w:sz w:val="18"/>
              </w:rPr>
              <w:t>À compléter</w:t>
            </w:r>
          </w:p>
        </w:tc>
        <w:tc>
          <w:tcPr>
            <w:tcW w:w="1518" w:type="pct"/>
            <w:shd w:val="clear" w:color="auto" w:fill="auto"/>
            <w:noWrap/>
            <w:hideMark/>
          </w:tcPr>
          <w:p w14:paraId="4804BFE3" w14:textId="7309B739" w:rsidR="00283E24" w:rsidRPr="00215346" w:rsidRDefault="00283E24" w:rsidP="00283E24">
            <w:pPr>
              <w:keepNext/>
              <w:jc w:val="right"/>
              <w:rPr>
                <w:color w:val="000000"/>
                <w:sz w:val="20"/>
                <w:szCs w:val="20"/>
              </w:rPr>
            </w:pPr>
            <w:r>
              <w:rPr>
                <w:i/>
                <w:sz w:val="18"/>
              </w:rPr>
              <w:t>À compléter</w:t>
            </w:r>
          </w:p>
        </w:tc>
        <w:tc>
          <w:tcPr>
            <w:tcW w:w="1002" w:type="pct"/>
            <w:shd w:val="clear" w:color="auto" w:fill="auto"/>
            <w:noWrap/>
            <w:hideMark/>
          </w:tcPr>
          <w:p w14:paraId="79423D54" w14:textId="7DDF2C5C" w:rsidR="00283E24" w:rsidRPr="00215346" w:rsidRDefault="00283E24" w:rsidP="00283E24">
            <w:pPr>
              <w:keepNext/>
              <w:jc w:val="right"/>
              <w:rPr>
                <w:color w:val="000000"/>
                <w:sz w:val="20"/>
                <w:szCs w:val="20"/>
              </w:rPr>
            </w:pPr>
            <w:r>
              <w:rPr>
                <w:i/>
                <w:sz w:val="18"/>
              </w:rPr>
              <w:t>À compléter</w:t>
            </w:r>
          </w:p>
        </w:tc>
      </w:tr>
      <w:tr w:rsidR="00283E24" w:rsidRPr="00215346" w14:paraId="7C822852" w14:textId="77777777" w:rsidTr="00700B55">
        <w:trPr>
          <w:trHeight w:val="98"/>
        </w:trPr>
        <w:tc>
          <w:tcPr>
            <w:tcW w:w="1194" w:type="pct"/>
            <w:shd w:val="clear" w:color="auto" w:fill="auto"/>
            <w:noWrap/>
            <w:hideMark/>
          </w:tcPr>
          <w:p w14:paraId="5FAE7CFC" w14:textId="77777777" w:rsidR="00283E24" w:rsidRPr="00215346" w:rsidRDefault="00283E24" w:rsidP="00283E24">
            <w:pPr>
              <w:keepNext/>
              <w:jc w:val="left"/>
              <w:rPr>
                <w:color w:val="000000"/>
                <w:sz w:val="20"/>
                <w:szCs w:val="20"/>
              </w:rPr>
            </w:pPr>
            <w:r>
              <w:rPr>
                <w:color w:val="000000"/>
                <w:sz w:val="20"/>
              </w:rPr>
              <w:t>Banque mondiale</w:t>
            </w:r>
          </w:p>
        </w:tc>
        <w:tc>
          <w:tcPr>
            <w:tcW w:w="1286" w:type="pct"/>
            <w:shd w:val="clear" w:color="auto" w:fill="auto"/>
            <w:noWrap/>
            <w:hideMark/>
          </w:tcPr>
          <w:p w14:paraId="43FDB753" w14:textId="7F57E87E" w:rsidR="00283E24" w:rsidRPr="00215346" w:rsidRDefault="00283E24" w:rsidP="00283E24">
            <w:pPr>
              <w:keepNext/>
              <w:jc w:val="right"/>
              <w:rPr>
                <w:color w:val="000000"/>
                <w:sz w:val="20"/>
                <w:szCs w:val="20"/>
              </w:rPr>
            </w:pPr>
            <w:r>
              <w:rPr>
                <w:i/>
                <w:sz w:val="18"/>
              </w:rPr>
              <w:t>À compléter</w:t>
            </w:r>
          </w:p>
        </w:tc>
        <w:tc>
          <w:tcPr>
            <w:tcW w:w="1518" w:type="pct"/>
            <w:shd w:val="clear" w:color="auto" w:fill="auto"/>
            <w:noWrap/>
            <w:hideMark/>
          </w:tcPr>
          <w:p w14:paraId="776EB494" w14:textId="27EABF0E" w:rsidR="00283E24" w:rsidRPr="00215346" w:rsidRDefault="00283E24" w:rsidP="00283E24">
            <w:pPr>
              <w:keepNext/>
              <w:jc w:val="right"/>
              <w:rPr>
                <w:color w:val="000000"/>
                <w:sz w:val="20"/>
                <w:szCs w:val="20"/>
              </w:rPr>
            </w:pPr>
            <w:r>
              <w:rPr>
                <w:i/>
                <w:sz w:val="18"/>
              </w:rPr>
              <w:t>À compléter</w:t>
            </w:r>
          </w:p>
        </w:tc>
        <w:tc>
          <w:tcPr>
            <w:tcW w:w="1002" w:type="pct"/>
            <w:shd w:val="clear" w:color="auto" w:fill="auto"/>
            <w:noWrap/>
            <w:hideMark/>
          </w:tcPr>
          <w:p w14:paraId="6D129244" w14:textId="5AF24B48" w:rsidR="00283E24" w:rsidRPr="00215346" w:rsidRDefault="00283E24" w:rsidP="00283E24">
            <w:pPr>
              <w:keepNext/>
              <w:jc w:val="right"/>
              <w:rPr>
                <w:color w:val="000000"/>
                <w:sz w:val="20"/>
                <w:szCs w:val="20"/>
              </w:rPr>
            </w:pPr>
            <w:r>
              <w:rPr>
                <w:i/>
                <w:sz w:val="18"/>
              </w:rPr>
              <w:t>À compléter</w:t>
            </w:r>
          </w:p>
        </w:tc>
      </w:tr>
      <w:tr w:rsidR="00283E24" w:rsidRPr="006B3B98" w14:paraId="1DBB3490" w14:textId="77777777" w:rsidTr="00700B55">
        <w:trPr>
          <w:trHeight w:val="107"/>
        </w:trPr>
        <w:tc>
          <w:tcPr>
            <w:tcW w:w="1194" w:type="pct"/>
            <w:shd w:val="clear" w:color="auto" w:fill="auto"/>
            <w:noWrap/>
            <w:hideMark/>
          </w:tcPr>
          <w:p w14:paraId="2851C81A" w14:textId="77777777" w:rsidR="00283E24" w:rsidRPr="00215346" w:rsidRDefault="00283E24" w:rsidP="00283E24">
            <w:pPr>
              <w:keepNext/>
              <w:jc w:val="left"/>
              <w:rPr>
                <w:b/>
                <w:bCs/>
                <w:color w:val="000000"/>
                <w:sz w:val="20"/>
                <w:szCs w:val="20"/>
              </w:rPr>
            </w:pPr>
            <w:r>
              <w:rPr>
                <w:b/>
                <w:color w:val="000000"/>
                <w:sz w:val="20"/>
              </w:rPr>
              <w:t>Total global</w:t>
            </w:r>
          </w:p>
        </w:tc>
        <w:tc>
          <w:tcPr>
            <w:tcW w:w="1286" w:type="pct"/>
            <w:shd w:val="clear" w:color="auto" w:fill="auto"/>
            <w:noWrap/>
            <w:hideMark/>
          </w:tcPr>
          <w:p w14:paraId="64766017" w14:textId="282753D9" w:rsidR="00283E24" w:rsidRPr="00215346" w:rsidRDefault="00283E24" w:rsidP="00283E24">
            <w:pPr>
              <w:keepNext/>
              <w:jc w:val="right"/>
              <w:rPr>
                <w:b/>
                <w:bCs/>
                <w:color w:val="000000"/>
                <w:sz w:val="20"/>
                <w:szCs w:val="20"/>
              </w:rPr>
            </w:pPr>
            <w:r>
              <w:rPr>
                <w:i/>
                <w:sz w:val="18"/>
              </w:rPr>
              <w:t>À compléter</w:t>
            </w:r>
          </w:p>
        </w:tc>
        <w:tc>
          <w:tcPr>
            <w:tcW w:w="1518" w:type="pct"/>
            <w:shd w:val="clear" w:color="auto" w:fill="auto"/>
            <w:noWrap/>
            <w:hideMark/>
          </w:tcPr>
          <w:p w14:paraId="2C51399C" w14:textId="4B877D2E" w:rsidR="00283E24" w:rsidRPr="00215346" w:rsidRDefault="00283E24" w:rsidP="00283E24">
            <w:pPr>
              <w:keepNext/>
              <w:jc w:val="right"/>
              <w:rPr>
                <w:b/>
                <w:bCs/>
                <w:color w:val="000000"/>
                <w:sz w:val="20"/>
                <w:szCs w:val="20"/>
              </w:rPr>
            </w:pPr>
            <w:r>
              <w:rPr>
                <w:i/>
                <w:sz w:val="18"/>
              </w:rPr>
              <w:t>À compléter</w:t>
            </w:r>
          </w:p>
        </w:tc>
        <w:tc>
          <w:tcPr>
            <w:tcW w:w="1002" w:type="pct"/>
            <w:shd w:val="clear" w:color="auto" w:fill="auto"/>
            <w:noWrap/>
            <w:hideMark/>
          </w:tcPr>
          <w:p w14:paraId="431BD4B0" w14:textId="36D2FD10" w:rsidR="00283E24" w:rsidRPr="00215346" w:rsidRDefault="00283E24" w:rsidP="00283E24">
            <w:pPr>
              <w:keepNext/>
              <w:jc w:val="right"/>
              <w:rPr>
                <w:b/>
                <w:bCs/>
                <w:color w:val="000000"/>
                <w:sz w:val="20"/>
                <w:szCs w:val="20"/>
              </w:rPr>
            </w:pPr>
            <w:r>
              <w:rPr>
                <w:i/>
                <w:sz w:val="18"/>
              </w:rPr>
              <w:t>À compléter</w:t>
            </w:r>
          </w:p>
        </w:tc>
      </w:tr>
    </w:tbl>
    <w:p w14:paraId="31DC3CE0" w14:textId="77777777" w:rsidR="00282EB1" w:rsidRDefault="00282EB1" w:rsidP="00282EB1">
      <w:pPr>
        <w:rPr>
          <w:sz w:val="20"/>
          <w:szCs w:val="20"/>
          <w:highlight w:val="yellow"/>
          <w:lang w:val="en-GB"/>
        </w:rPr>
      </w:pPr>
    </w:p>
    <w:p w14:paraId="177A1304" w14:textId="353DB3F0" w:rsidR="00894520" w:rsidRPr="00B26559" w:rsidRDefault="00894520" w:rsidP="006C751F">
      <w:pPr>
        <w:pStyle w:val="Heading1"/>
        <w:numPr>
          <w:ilvl w:val="0"/>
          <w:numId w:val="6"/>
        </w:numPr>
        <w:rPr>
          <w:b/>
          <w:bCs/>
          <w:iCs/>
        </w:rPr>
      </w:pPr>
      <w:r>
        <w:t>À la 95</w:t>
      </w:r>
      <w:r>
        <w:rPr>
          <w:vertAlign w:val="superscript"/>
        </w:rPr>
        <w:t>e</w:t>
      </w:r>
      <w:r>
        <w:t xml:space="preserve"> [</w:t>
      </w:r>
      <w:r>
        <w:rPr>
          <w:highlight w:val="yellow"/>
        </w:rPr>
        <w:t>et la 96</w:t>
      </w:r>
      <w:r>
        <w:rPr>
          <w:highlight w:val="yellow"/>
          <w:vertAlign w:val="superscript"/>
        </w:rPr>
        <w:t>e</w:t>
      </w:r>
      <w:r>
        <w:rPr>
          <w:highlight w:val="yellow"/>
        </w:rPr>
        <w:t>]</w:t>
      </w:r>
      <w:r>
        <w:t> réunion, après examen des documents relatifs aux projets recommandés pour une approbation globale </w:t>
      </w:r>
      <w:r w:rsidRPr="00B26559">
        <w:rPr>
          <w:rStyle w:val="FootnoteReference"/>
        </w:rPr>
        <w:footnoteReference w:id="17"/>
      </w:r>
      <w:r>
        <w:t xml:space="preserve"> et des documents relatifs aux projets recommandés pour un examen individuel </w:t>
      </w:r>
      <w:r w:rsidRPr="00B26559">
        <w:rPr>
          <w:rStyle w:val="FootnoteReference"/>
        </w:rPr>
        <w:footnoteReference w:id="18"/>
      </w:r>
      <w:r>
        <w:t>, le Comité exécutif a approuvé les projets et activités récapitulés ci-dessous.</w:t>
      </w:r>
    </w:p>
    <w:p w14:paraId="69181891" w14:textId="43D051C4" w:rsidR="00282EB1" w:rsidRPr="00F85E86" w:rsidRDefault="00A64715" w:rsidP="002766BB">
      <w:pPr>
        <w:pStyle w:val="Heading3"/>
        <w:keepNext/>
        <w:keepLines/>
        <w:widowControl/>
        <w:rPr>
          <w:b/>
          <w:bCs/>
          <w:iCs/>
        </w:rPr>
      </w:pPr>
      <w:r>
        <w:rPr>
          <w:b/>
        </w:rPr>
        <w:t>a)</w:t>
      </w:r>
      <w:r>
        <w:rPr>
          <w:b/>
        </w:rPr>
        <w:tab/>
        <w:t>Projets d’investissement</w:t>
      </w:r>
    </w:p>
    <w:p w14:paraId="5C735F8C" w14:textId="68B11CAB" w:rsidR="00282EB1" w:rsidRPr="006C751F" w:rsidRDefault="00282EB1" w:rsidP="009F2DD1">
      <w:pPr>
        <w:keepNext/>
        <w:keepLines/>
        <w:spacing w:after="240"/>
        <w:rPr>
          <w:iCs/>
          <w:u w:val="single"/>
        </w:rPr>
      </w:pPr>
      <w:r>
        <w:rPr>
          <w:u w:val="single"/>
        </w:rPr>
        <w:t>PGEH et PGEPH</w:t>
      </w:r>
    </w:p>
    <w:p w14:paraId="1B0C500C" w14:textId="13C39D04" w:rsidR="00BC0545" w:rsidRDefault="00282EB1" w:rsidP="00434B2D">
      <w:pPr>
        <w:pStyle w:val="Heading1"/>
        <w:numPr>
          <w:ilvl w:val="0"/>
          <w:numId w:val="6"/>
        </w:numPr>
      </w:pPr>
      <w:r>
        <w:t>À la 95</w:t>
      </w:r>
      <w:r>
        <w:rPr>
          <w:vertAlign w:val="superscript"/>
        </w:rPr>
        <w:t>e</w:t>
      </w:r>
      <w:r>
        <w:t> réunion, le Comité exécutif a approuvé les tranches des PGEH de 17 pays individuels et d’un groupe de 12 pays (décisions 95/34, 95/40, 95/44 à 95/47, 95/49, 95/51, 95/52 et 95/55), la première tranche de la phase II des PGEH de cinq pays (décisions 95/41, 95/42, 95/48, 95/50 et 95/57) et la première tranche de la phase III des PGEH de trois pays (décisions 95/53, 95/54 et 95/56). Comme mentionné ci-dessus au titre du rapport du sous-groupe sur le secteur de la production, le Comité a également approuvé une tranche du PGEPH pour un pays (décision 95/94).</w:t>
      </w:r>
    </w:p>
    <w:p w14:paraId="4468FD2E" w14:textId="520B01CC" w:rsidR="00DB395E" w:rsidRPr="00DB395E" w:rsidRDefault="00DB395E" w:rsidP="00434B2D">
      <w:pPr>
        <w:pStyle w:val="Heading1"/>
        <w:numPr>
          <w:ilvl w:val="0"/>
          <w:numId w:val="6"/>
        </w:numPr>
      </w:pPr>
      <w:r>
        <w:t xml:space="preserve">Le Comité exécutif a approuvé une proposition de projet individuel portant sur des activités supplémentaires en lien avec l’adoption de substances de remplacement des HCFC à potentiel de </w:t>
      </w:r>
      <w:r>
        <w:lastRenderedPageBreak/>
        <w:t>réchauffement de la planète (PRP) faible ou nul et visant à maintenir l’efficacité énergétique dans le secteur de l’entretien des équipements de réfrigération d’un pays (décision 95/34).</w:t>
      </w:r>
    </w:p>
    <w:p w14:paraId="44549230" w14:textId="6B03501B" w:rsidR="00282EB1" w:rsidRPr="00DB395E" w:rsidRDefault="00B87C1A" w:rsidP="00DB395E">
      <w:pPr>
        <w:pStyle w:val="ListParagraph"/>
        <w:numPr>
          <w:ilvl w:val="0"/>
          <w:numId w:val="6"/>
        </w:numPr>
      </w:pPr>
      <w:r>
        <w:rPr>
          <w:highlight w:val="yellow"/>
        </w:rPr>
        <w:t>[À la 96</w:t>
      </w:r>
      <w:r>
        <w:rPr>
          <w:highlight w:val="yellow"/>
          <w:vertAlign w:val="superscript"/>
        </w:rPr>
        <w:t>e</w:t>
      </w:r>
      <w:r>
        <w:rPr>
          <w:highlight w:val="yellow"/>
        </w:rPr>
        <w:t xml:space="preserve"> réunion…] </w:t>
      </w:r>
    </w:p>
    <w:p w14:paraId="1DC0ED57" w14:textId="77777777" w:rsidR="00DB395E" w:rsidRDefault="00DB395E" w:rsidP="00B87C1A">
      <w:pPr>
        <w:jc w:val="left"/>
        <w:rPr>
          <w:iCs/>
          <w:u w:val="single"/>
          <w:lang w:val="en-GB"/>
        </w:rPr>
      </w:pPr>
    </w:p>
    <w:p w14:paraId="7B791D71" w14:textId="19E2681D" w:rsidR="00282EB1" w:rsidRPr="00582F00" w:rsidRDefault="00282EB1" w:rsidP="00434B2D">
      <w:pPr>
        <w:spacing w:after="240"/>
        <w:jc w:val="left"/>
        <w:rPr>
          <w:iCs/>
          <w:u w:val="single"/>
        </w:rPr>
      </w:pPr>
      <w:r>
        <w:rPr>
          <w:u w:val="single"/>
        </w:rPr>
        <w:t>Projets liés aux HFC</w:t>
      </w:r>
    </w:p>
    <w:p w14:paraId="55EF310F" w14:textId="30D57949" w:rsidR="00875F82" w:rsidRDefault="00282EB1" w:rsidP="00582F00">
      <w:pPr>
        <w:pStyle w:val="Heading1"/>
        <w:numPr>
          <w:ilvl w:val="0"/>
          <w:numId w:val="6"/>
        </w:numPr>
      </w:pPr>
      <w:r>
        <w:t>À la 95</w:t>
      </w:r>
      <w:r>
        <w:rPr>
          <w:vertAlign w:val="superscript"/>
        </w:rPr>
        <w:t>e</w:t>
      </w:r>
      <w:r>
        <w:t> réunion, le Comité exécutif a approuvé, en principe, la phase I des plans de mise en œuvre de l’Amendement de Kigali de 14 pays individuels et d’un groupe de 12 pays, approuvant également la première tranche de financement de chacun d’eux (décisions 95/59 à 95/61, 95/63, 95/65 à 95/67, 95/69 à 95/75 et 95/77). Le Comité a également approuvé, pour trois des pays, un projet pilote, au titre de la décision 91/65, chacun associé au maintien ou à l’amélioration de l’efficacité énergétique des technologies de remplacement et de l’équipement dans le contexte de la réduction progressive des HFC (décisions 95/62, 95/64 et 95/76). Pour deux pays, le Comité a approuvé des projets d’investissement en lien avec les HFC devant être inclus dans les futurs plans de mise en œuvre de l’Amendement de Kigali de ces pays (décisions 95/58 et 95/68).</w:t>
      </w:r>
    </w:p>
    <w:p w14:paraId="0DA18E7F" w14:textId="1A5C977B" w:rsidR="005C4889" w:rsidRPr="005C4889" w:rsidRDefault="002C7667" w:rsidP="00582F00">
      <w:pPr>
        <w:pStyle w:val="Heading1"/>
        <w:numPr>
          <w:ilvl w:val="0"/>
          <w:numId w:val="6"/>
        </w:numPr>
      </w:pPr>
      <w:r>
        <w:t>Toujours à la 95</w:t>
      </w:r>
      <w:r>
        <w:rPr>
          <w:vertAlign w:val="superscript"/>
        </w:rPr>
        <w:t>e</w:t>
      </w:r>
      <w:r>
        <w:t> réunion, en termes de projets pilotes autonomes associés au maintien ou à l’amélioration de l’efficacité énergétique dans le contexte de la réduction progressive des HFC, le Comité a approuvé, pour un pays, un projet mêlant activités d’investissement et ne portant pas sur des investissements au titre des décisions 91/65 et 94/60 et, pour quatre pays, quatre projets ne portant pas sur des investissements au titre de la décision 91/65 (décisions 95/78 à 95/82). Le Comité a convenu de ne pas examiner une sixième proposition de projet.</w:t>
      </w:r>
    </w:p>
    <w:p w14:paraId="40236B78" w14:textId="3689B362" w:rsidR="00D34038" w:rsidRPr="006B3B98" w:rsidRDefault="00D34038" w:rsidP="00582F00">
      <w:pPr>
        <w:pStyle w:val="Heading1"/>
        <w:numPr>
          <w:ilvl w:val="0"/>
          <w:numId w:val="6"/>
        </w:numPr>
        <w:rPr>
          <w:highlight w:val="yellow"/>
        </w:rPr>
      </w:pPr>
      <w:r>
        <w:rPr>
          <w:sz w:val="20"/>
          <w:highlight w:val="yellow"/>
        </w:rPr>
        <w:t>[À</w:t>
      </w:r>
      <w:r>
        <w:rPr>
          <w:highlight w:val="yellow"/>
        </w:rPr>
        <w:t xml:space="preserve"> la 96</w:t>
      </w:r>
      <w:r>
        <w:rPr>
          <w:highlight w:val="yellow"/>
          <w:vertAlign w:val="superscript"/>
        </w:rPr>
        <w:t>e</w:t>
      </w:r>
      <w:r>
        <w:rPr>
          <w:highlight w:val="yellow"/>
        </w:rPr>
        <w:t xml:space="preserve"> réunion] </w:t>
      </w:r>
    </w:p>
    <w:p w14:paraId="2F95C497" w14:textId="793153A0" w:rsidR="00282EB1" w:rsidRPr="00EC0DE1" w:rsidRDefault="00D97D57" w:rsidP="007B01A7">
      <w:pPr>
        <w:pStyle w:val="Heading3"/>
        <w:keepNext/>
        <w:widowControl/>
        <w:jc w:val="left"/>
        <w:rPr>
          <w:b/>
          <w:bCs/>
        </w:rPr>
      </w:pPr>
      <w:r>
        <w:rPr>
          <w:b/>
        </w:rPr>
        <w:t>b)</w:t>
      </w:r>
      <w:r>
        <w:rPr>
          <w:b/>
        </w:rPr>
        <w:tab/>
        <w:t>Activités ne portant pas sur des investissements</w:t>
      </w:r>
    </w:p>
    <w:p w14:paraId="6863FD10" w14:textId="763DD23B" w:rsidR="003C60C8" w:rsidRPr="0002401E" w:rsidRDefault="003C60C8" w:rsidP="00582F00">
      <w:pPr>
        <w:pStyle w:val="Heading1"/>
        <w:numPr>
          <w:ilvl w:val="0"/>
          <w:numId w:val="6"/>
        </w:numPr>
      </w:pPr>
      <w:r>
        <w:t>À la 95</w:t>
      </w:r>
      <w:r>
        <w:rPr>
          <w:vertAlign w:val="superscript"/>
        </w:rPr>
        <w:t>e</w:t>
      </w:r>
      <w:r>
        <w:t> réunion, le Comité exécutif a approuvé toutes les demandes de financement ne portant pas sur des investissements sauf une. Les demandes concernaient le financement en vue de la préparation des phases II, III et IV de PGEH, la préparation des plans de mise en œuvre de l’Amendement de Kigali et/ou des activités d’investissement, des projets de prorogation des institutions, des activités habilitantes pour la réduction progressive des HFC, la préparation de projets pilotes d’investissement pour l’efficacité énergétique et la préparation d’inventaires nationaux des stocks de déchets de substances réglementées et d’élaboration de plans pour leur gestion. Les demandes ont été présentées dans les documents relatifs à la coopération bilatérale </w:t>
      </w:r>
      <w:r w:rsidR="00E81293" w:rsidRPr="0002401E">
        <w:rPr>
          <w:vertAlign w:val="superscript"/>
        </w:rPr>
        <w:footnoteReference w:id="19"/>
      </w:r>
      <w:r>
        <w:t xml:space="preserve"> et les amendements du programme de travail de 2024 du PNUD </w:t>
      </w:r>
      <w:r w:rsidR="00E81293" w:rsidRPr="0002401E">
        <w:rPr>
          <w:vertAlign w:val="superscript"/>
        </w:rPr>
        <w:footnoteReference w:id="20"/>
      </w:r>
      <w:r>
        <w:t>, du PNUE </w:t>
      </w:r>
      <w:r w:rsidR="00E81293" w:rsidRPr="0002401E">
        <w:rPr>
          <w:vertAlign w:val="superscript"/>
        </w:rPr>
        <w:footnoteReference w:id="21"/>
      </w:r>
      <w:r>
        <w:t>, de l’ONUDI </w:t>
      </w:r>
      <w:r w:rsidR="00E81293" w:rsidRPr="0002401E">
        <w:rPr>
          <w:vertAlign w:val="superscript"/>
        </w:rPr>
        <w:footnoteReference w:id="22"/>
      </w:r>
      <w:r>
        <w:t xml:space="preserve"> et de la Banque mondiale </w:t>
      </w:r>
      <w:r w:rsidR="00E81293" w:rsidRPr="0002401E">
        <w:rPr>
          <w:vertAlign w:val="superscript"/>
        </w:rPr>
        <w:footnoteReference w:id="23"/>
      </w:r>
      <w:r>
        <w:t xml:space="preserve"> (décisions 95/34 et 95/35 à 95/39). La demande, dont il a été convenu que l’examen serait reporté à une réunion ultérieure, concernait la préparation de la phase I d’un plan de mise en œuvre de l’Amendement de Kigali pour un pays.</w:t>
      </w:r>
    </w:p>
    <w:p w14:paraId="15E75D3E" w14:textId="2D98D9D3" w:rsidR="00282EB1" w:rsidRPr="0002401E" w:rsidRDefault="00120937" w:rsidP="00CC2EB9">
      <w:pPr>
        <w:pStyle w:val="Heading1"/>
        <w:numPr>
          <w:ilvl w:val="0"/>
          <w:numId w:val="6"/>
        </w:numPr>
        <w:tabs>
          <w:tab w:val="clear" w:pos="0"/>
          <w:tab w:val="num" w:pos="720"/>
          <w:tab w:val="num" w:pos="1080"/>
        </w:tabs>
        <w:rPr>
          <w:highlight w:val="yellow"/>
        </w:rPr>
      </w:pPr>
      <w:r>
        <w:rPr>
          <w:highlight w:val="yellow"/>
        </w:rPr>
        <w:t>[À la 96</w:t>
      </w:r>
      <w:r>
        <w:rPr>
          <w:highlight w:val="yellow"/>
          <w:vertAlign w:val="superscript"/>
        </w:rPr>
        <w:t>e</w:t>
      </w:r>
      <w:r>
        <w:rPr>
          <w:highlight w:val="yellow"/>
        </w:rPr>
        <w:t> réunion]</w:t>
      </w:r>
    </w:p>
    <w:p w14:paraId="67F0E259" w14:textId="64ABAFE9" w:rsidR="00282EB1" w:rsidRPr="00EC0DE1" w:rsidRDefault="00282EB1" w:rsidP="009529EE">
      <w:pPr>
        <w:pStyle w:val="Heading3"/>
        <w:keepNext/>
        <w:widowControl/>
        <w:jc w:val="left"/>
        <w:rPr>
          <w:b/>
          <w:color w:val="000000"/>
        </w:rPr>
      </w:pPr>
      <w:r>
        <w:rPr>
          <w:b/>
        </w:rPr>
        <w:t>c)</w:t>
      </w:r>
      <w:r>
        <w:rPr>
          <w:b/>
        </w:rPr>
        <w:tab/>
        <w:t xml:space="preserve">Budget du Programme d’aide à la conformité du PNUE pour l’année 2025 </w:t>
      </w:r>
    </w:p>
    <w:p w14:paraId="1F284D78" w14:textId="29DCC5C3" w:rsidR="00282EB1" w:rsidRPr="00EC0DE1" w:rsidRDefault="00282EB1" w:rsidP="00582F00">
      <w:pPr>
        <w:pStyle w:val="Heading1"/>
        <w:numPr>
          <w:ilvl w:val="0"/>
          <w:numId w:val="6"/>
        </w:numPr>
      </w:pPr>
      <w:r>
        <w:t>À la 95</w:t>
      </w:r>
      <w:r>
        <w:rPr>
          <w:vertAlign w:val="superscript"/>
        </w:rPr>
        <w:t>e</w:t>
      </w:r>
      <w:r>
        <w:t> réunion, le Comité exécuti</w:t>
      </w:r>
      <w:bookmarkStart w:id="0" w:name="_Hlk120870422"/>
      <w:r>
        <w:t>f</w:t>
      </w:r>
      <w:bookmarkEnd w:id="0"/>
      <w:r>
        <w:t xml:space="preserve"> a pris note du rapport périodique de 2024 et du plan de travail et du budget de 2025 pour le Programme d’aide à la conformité (PAC) du PNUE </w:t>
      </w:r>
      <w:r w:rsidRPr="00EC0DE1">
        <w:rPr>
          <w:vertAlign w:val="superscript"/>
          <w:lang w:val="en-GB"/>
        </w:rPr>
        <w:footnoteReference w:id="24"/>
      </w:r>
      <w:r>
        <w:t xml:space="preserve">. Le Comité exécutif a approuvé, de manière exceptionnelle, les activités du PAC et le budget de 2025 joints en annexe au rapport </w:t>
      </w:r>
      <w:r>
        <w:lastRenderedPageBreak/>
        <w:t>de la réunion en question </w:t>
      </w:r>
      <w:r w:rsidRPr="00EC0DE1">
        <w:rPr>
          <w:vertAlign w:val="superscript"/>
          <w:lang w:val="en-GB"/>
        </w:rPr>
        <w:footnoteReference w:id="25"/>
      </w:r>
      <w:r>
        <w:t>, pour la somme de 11 191 331 $US, plus des coûts d’appui d’agence de 8 pour cent s’élevant à 895 306 $US, étant entendu que les futures augmentations du budget du PAC resteraient inférieures à 3 pour cent conformément à la décision 47/24. Le Comité exécutif a chargé le PNUE de présenter un rapport final détaillant les enseignements tirés de la mise en œuvre de la première phase du projet mondial d’assistance technique pour le jumelage des administrateurs nationaux de l'ozone et des décideurs nationaux en matière d’efficacité énergétique afin d’appuyer les objectifs de l’Amendement de Kigali à la soumission de la deuxième phase du projet lors de la première réunion en 2025 (décision 95/83).</w:t>
      </w:r>
    </w:p>
    <w:p w14:paraId="6830C5F7" w14:textId="02E3B844" w:rsidR="00282EB1" w:rsidRPr="00EC0DE1" w:rsidRDefault="00282EB1" w:rsidP="009529EE">
      <w:pPr>
        <w:pStyle w:val="Heading3"/>
        <w:jc w:val="left"/>
        <w:rPr>
          <w:b/>
        </w:rPr>
      </w:pPr>
      <w:r>
        <w:rPr>
          <w:b/>
        </w:rPr>
        <w:t>d)</w:t>
      </w:r>
      <w:r>
        <w:rPr>
          <w:b/>
        </w:rPr>
        <w:tab/>
        <w:t>Coûts de base du PNUD, de l’ONUDI et de la Banque mondiale</w:t>
      </w:r>
    </w:p>
    <w:p w14:paraId="28E39772" w14:textId="14322BD1" w:rsidR="00D97D57" w:rsidRPr="00EC0DE1" w:rsidRDefault="00282EB1" w:rsidP="00582F00">
      <w:pPr>
        <w:pStyle w:val="Heading1"/>
        <w:numPr>
          <w:ilvl w:val="0"/>
          <w:numId w:val="6"/>
        </w:numPr>
      </w:pPr>
      <w:r>
        <w:t>À la 95</w:t>
      </w:r>
      <w:r>
        <w:rPr>
          <w:vertAlign w:val="superscript"/>
        </w:rPr>
        <w:t>e</w:t>
      </w:r>
      <w:r>
        <w:t> réunion, le Comité exécutif a approuvé les budgets de base pour 2025 du PNUD, de l’ONUDI et de la Banque mondiale, conformément à la demande </w:t>
      </w:r>
      <w:r w:rsidRPr="00EC0DE1">
        <w:rPr>
          <w:vertAlign w:val="superscript"/>
          <w:lang w:val="en-GB"/>
        </w:rPr>
        <w:footnoteReference w:id="26"/>
      </w:r>
      <w:r>
        <w:t xml:space="preserve"> (décision 95/84).</w:t>
      </w:r>
    </w:p>
    <w:p w14:paraId="2F4AD762" w14:textId="1A23F079" w:rsidR="00282EB1" w:rsidRPr="00EC0DE1" w:rsidRDefault="00282EB1" w:rsidP="009529EE">
      <w:pPr>
        <w:keepNext/>
        <w:spacing w:after="240"/>
        <w:jc w:val="left"/>
        <w:outlineLvl w:val="1"/>
        <w:rPr>
          <w:b/>
        </w:rPr>
      </w:pPr>
      <w:r>
        <w:rPr>
          <w:b/>
        </w:rPr>
        <w:t>2.</w:t>
      </w:r>
      <w:r>
        <w:rPr>
          <w:b/>
        </w:rPr>
        <w:tab/>
        <w:t>Mise en œuvre et établissement de rapports</w:t>
      </w:r>
    </w:p>
    <w:p w14:paraId="653594DB" w14:textId="56D618F3" w:rsidR="00282EB1" w:rsidRPr="00EC0DE1" w:rsidRDefault="00282EB1" w:rsidP="009529EE">
      <w:pPr>
        <w:pStyle w:val="Heading3"/>
        <w:jc w:val="left"/>
        <w:rPr>
          <w:b/>
          <w:bCs/>
        </w:rPr>
      </w:pPr>
      <w:r>
        <w:rPr>
          <w:b/>
        </w:rPr>
        <w:t>a)</w:t>
      </w:r>
      <w:r>
        <w:rPr>
          <w:b/>
        </w:rPr>
        <w:tab/>
        <w:t>Données relatives aux programmes de pays et perspectives de conformité</w:t>
      </w:r>
    </w:p>
    <w:p w14:paraId="539C6F9F" w14:textId="62C84E6A" w:rsidR="00282EB1" w:rsidRPr="000B0F69" w:rsidRDefault="00282EB1" w:rsidP="00582F00">
      <w:pPr>
        <w:pStyle w:val="Heading1"/>
        <w:numPr>
          <w:ilvl w:val="0"/>
          <w:numId w:val="6"/>
        </w:numPr>
      </w:pPr>
      <w:r>
        <w:t>À la 95</w:t>
      </w:r>
      <w:r>
        <w:rPr>
          <w:vertAlign w:val="superscript"/>
        </w:rPr>
        <w:t>e</w:t>
      </w:r>
      <w:r>
        <w:t> réunion </w:t>
      </w:r>
      <w:r w:rsidRPr="00EC0DE1">
        <w:rPr>
          <w:vertAlign w:val="superscript"/>
          <w:lang w:val="en-GB"/>
        </w:rPr>
        <w:footnoteReference w:id="27"/>
      </w:r>
      <w:r>
        <w:t xml:space="preserve"> </w:t>
      </w:r>
      <w:r>
        <w:rPr>
          <w:highlight w:val="yellow"/>
        </w:rPr>
        <w:t>[et la 96</w:t>
      </w:r>
      <w:r>
        <w:rPr>
          <w:highlight w:val="yellow"/>
          <w:vertAlign w:val="superscript"/>
        </w:rPr>
        <w:t>e</w:t>
      </w:r>
      <w:r>
        <w:rPr>
          <w:highlight w:val="yellow"/>
        </w:rPr>
        <w:t> réunion </w:t>
      </w:r>
      <w:r w:rsidR="000B0F69" w:rsidRPr="00223465">
        <w:rPr>
          <w:rStyle w:val="FootnoteReference"/>
          <w:highlight w:val="yellow"/>
          <w:lang w:val="en-GB"/>
        </w:rPr>
        <w:footnoteReference w:id="28"/>
      </w:r>
      <w:r>
        <w:rPr>
          <w:highlight w:val="yellow"/>
        </w:rPr>
        <w:t>]</w:t>
      </w:r>
      <w:r>
        <w:t>, le Comité exécutif a examiné des documents sur les données relatives aux programmes de pays et les perspectives de conformité. À la 95</w:t>
      </w:r>
      <w:r>
        <w:rPr>
          <w:vertAlign w:val="superscript"/>
        </w:rPr>
        <w:t>e</w:t>
      </w:r>
      <w:r>
        <w:t> réunion, il a prié les agences d’exécution concernées de continuer à fournir leur assistance aux gouvernements respectifs, en vue de clarifier les écarts entre les données des programmes de pays et celles communiquées en vertu de l’article 7 pour 2023. Il a été demandé au secrétariat d’envoyer une lettre à six pays au sujet du rapport de données du programme de pays en souffrance (décision 95/6).</w:t>
      </w:r>
    </w:p>
    <w:p w14:paraId="695E7D16" w14:textId="56996D4C" w:rsidR="009529EE" w:rsidRPr="00F5295E" w:rsidRDefault="009529EE" w:rsidP="00582F00">
      <w:pPr>
        <w:pStyle w:val="Heading1"/>
        <w:numPr>
          <w:ilvl w:val="0"/>
          <w:numId w:val="6"/>
        </w:numPr>
        <w:tabs>
          <w:tab w:val="clear" w:pos="0"/>
          <w:tab w:val="left" w:pos="720"/>
          <w:tab w:val="num" w:pos="1080"/>
        </w:tabs>
      </w:pPr>
      <w:r>
        <w:rPr>
          <w:highlight w:val="yellow"/>
        </w:rPr>
        <w:t>[À la 96</w:t>
      </w:r>
      <w:r>
        <w:rPr>
          <w:highlight w:val="yellow"/>
          <w:vertAlign w:val="superscript"/>
        </w:rPr>
        <w:t>e</w:t>
      </w:r>
      <w:r>
        <w:rPr>
          <w:highlight w:val="yellow"/>
        </w:rPr>
        <w:t xml:space="preserve"> réunion…] </w:t>
      </w:r>
    </w:p>
    <w:p w14:paraId="5FD38FA1" w14:textId="5AE34662" w:rsidR="00282EB1" w:rsidRPr="00F5295E" w:rsidRDefault="00282EB1" w:rsidP="00A34AAD">
      <w:pPr>
        <w:pStyle w:val="Heading3"/>
        <w:jc w:val="left"/>
        <w:rPr>
          <w:b/>
          <w:color w:val="000000"/>
        </w:rPr>
      </w:pPr>
      <w:r>
        <w:rPr>
          <w:b/>
          <w:color w:val="000000"/>
        </w:rPr>
        <w:t>b)</w:t>
      </w:r>
      <w:r>
        <w:rPr>
          <w:b/>
          <w:color w:val="000000"/>
        </w:rPr>
        <w:tab/>
        <w:t>Retards dans la soumission des tranches</w:t>
      </w:r>
    </w:p>
    <w:p w14:paraId="523A0933" w14:textId="749B3242" w:rsidR="00282EB1" w:rsidRPr="00582F00" w:rsidRDefault="00282EB1" w:rsidP="00582F00">
      <w:pPr>
        <w:pStyle w:val="Heading1"/>
        <w:numPr>
          <w:ilvl w:val="0"/>
          <w:numId w:val="6"/>
        </w:numPr>
        <w:tabs>
          <w:tab w:val="clear" w:pos="0"/>
          <w:tab w:val="num" w:pos="810"/>
        </w:tabs>
      </w:pPr>
      <w:r>
        <w:t>À la 95</w:t>
      </w:r>
      <w:r>
        <w:rPr>
          <w:vertAlign w:val="superscript"/>
        </w:rPr>
        <w:t>e</w:t>
      </w:r>
      <w:r>
        <w:t> réunion </w:t>
      </w:r>
      <w:r w:rsidRPr="00F5295E">
        <w:rPr>
          <w:vertAlign w:val="superscript"/>
          <w:lang w:val="en-GB"/>
        </w:rPr>
        <w:footnoteReference w:id="29"/>
      </w:r>
      <w:r>
        <w:t xml:space="preserve"> </w:t>
      </w:r>
      <w:r>
        <w:rPr>
          <w:highlight w:val="yellow"/>
        </w:rPr>
        <w:t>[et la 96</w:t>
      </w:r>
      <w:r>
        <w:rPr>
          <w:highlight w:val="yellow"/>
          <w:vertAlign w:val="superscript"/>
        </w:rPr>
        <w:t>e</w:t>
      </w:r>
      <w:r>
        <w:rPr>
          <w:highlight w:val="yellow"/>
        </w:rPr>
        <w:t> réunion </w:t>
      </w:r>
      <w:r w:rsidR="00F5295E" w:rsidRPr="00F5295E">
        <w:rPr>
          <w:rStyle w:val="FootnoteReference"/>
          <w:highlight w:val="yellow"/>
          <w:lang w:val="en-GB"/>
        </w:rPr>
        <w:footnoteReference w:id="30"/>
      </w:r>
      <w:r>
        <w:rPr>
          <w:highlight w:val="yellow"/>
        </w:rPr>
        <w:t>]</w:t>
      </w:r>
      <w:r>
        <w:t>, le Comité exécutif a examiné des rapports sur les retards dans la soumission des tranches et a chargé le secrétariat d’envoyer des lettres aux gouvernements concernés au sujet des décisions prises en lien avec les retards dans la soumission des tranches, jointes en annexe aux rapports des réunions en question </w:t>
      </w:r>
      <w:r w:rsidRPr="00F5295E">
        <w:rPr>
          <w:vertAlign w:val="superscript"/>
          <w:lang w:val="en-GB"/>
        </w:rPr>
        <w:footnoteReference w:id="31"/>
      </w:r>
      <w:r>
        <w:t>. Il a toutefois noté que les agences d’exécution concernées avaient indiqué que la soumission tardive des tranches de PGEH n’aurait aucune incidence sur la conformité des pays au Protocole de Montréal et que rien n’indiquait que les pays concernés ne respectaient pas les mesures de réglementation du Protocole de Montréal (décisions 95/26 [</w:t>
      </w:r>
      <w:r>
        <w:rPr>
          <w:highlight w:val="yellow"/>
        </w:rPr>
        <w:t>et 96/???</w:t>
      </w:r>
      <w:r>
        <w:t>]).</w:t>
      </w:r>
    </w:p>
    <w:p w14:paraId="177FD115" w14:textId="77777777" w:rsidR="00282EB1" w:rsidRPr="00F5295E" w:rsidRDefault="00282EB1" w:rsidP="0082580B">
      <w:pPr>
        <w:pStyle w:val="Heading3"/>
        <w:keepNext/>
        <w:widowControl/>
        <w:jc w:val="left"/>
        <w:rPr>
          <w:b/>
          <w:color w:val="000000"/>
        </w:rPr>
      </w:pPr>
      <w:r>
        <w:rPr>
          <w:b/>
          <w:color w:val="000000"/>
        </w:rPr>
        <w:t>c)</w:t>
      </w:r>
      <w:r>
        <w:rPr>
          <w:b/>
          <w:color w:val="000000"/>
        </w:rPr>
        <w:tab/>
        <w:t>Rapports périodiques</w:t>
      </w:r>
    </w:p>
    <w:p w14:paraId="1D84C728" w14:textId="3FB38579" w:rsidR="00282EB1" w:rsidRDefault="00282EB1" w:rsidP="0082580B">
      <w:pPr>
        <w:pStyle w:val="Heading1"/>
        <w:keepNext/>
        <w:numPr>
          <w:ilvl w:val="0"/>
          <w:numId w:val="6"/>
        </w:numPr>
        <w:tabs>
          <w:tab w:val="clear" w:pos="0"/>
          <w:tab w:val="num" w:pos="810"/>
        </w:tabs>
      </w:pPr>
      <w:r>
        <w:t>À la 95</w:t>
      </w:r>
      <w:r>
        <w:rPr>
          <w:vertAlign w:val="superscript"/>
        </w:rPr>
        <w:t>e</w:t>
      </w:r>
      <w:r>
        <w:t> réunion, le Comité exécutif a pris note du rapport périodique global du Fonds multilatéral au 31 décembre 2023 </w:t>
      </w:r>
      <w:r w:rsidRPr="003C5297">
        <w:rPr>
          <w:vertAlign w:val="superscript"/>
          <w:lang w:val="en-GB"/>
        </w:rPr>
        <w:footnoteReference w:id="32"/>
      </w:r>
      <w:r>
        <w:t>. Il a aussi pris note des rapports périodiques des agences bilatérales </w:t>
      </w:r>
      <w:r w:rsidRPr="003C5297">
        <w:rPr>
          <w:vertAlign w:val="superscript"/>
          <w:lang w:val="en-GB"/>
        </w:rPr>
        <w:footnoteReference w:id="33"/>
      </w:r>
      <w:r>
        <w:t xml:space="preserve"> (pour les Gouvernements de l’Allemagne, de l’Australie, du Canada, de l’Espagne, de la France, de l’Italie et du </w:t>
      </w:r>
      <w:r>
        <w:lastRenderedPageBreak/>
        <w:t>Japon), du PNUD </w:t>
      </w:r>
      <w:r w:rsidRPr="003C5297">
        <w:rPr>
          <w:vertAlign w:val="superscript"/>
          <w:lang w:val="en-GB"/>
        </w:rPr>
        <w:footnoteReference w:id="34"/>
      </w:r>
      <w:r>
        <w:t>, du PNUE </w:t>
      </w:r>
      <w:r w:rsidRPr="003C5297">
        <w:rPr>
          <w:vertAlign w:val="superscript"/>
          <w:lang w:val="en-GB"/>
        </w:rPr>
        <w:footnoteReference w:id="35"/>
      </w:r>
      <w:r>
        <w:t>, de l’ONUDI </w:t>
      </w:r>
      <w:r w:rsidRPr="003C5297">
        <w:rPr>
          <w:vertAlign w:val="superscript"/>
          <w:lang w:val="en-GB"/>
        </w:rPr>
        <w:footnoteReference w:id="36"/>
      </w:r>
      <w:r>
        <w:t xml:space="preserve"> et de la Banque mondiale </w:t>
      </w:r>
      <w:r w:rsidRPr="003C5297">
        <w:rPr>
          <w:vertAlign w:val="superscript"/>
          <w:lang w:val="en-GB"/>
        </w:rPr>
        <w:footnoteReference w:id="37"/>
      </w:r>
      <w:r>
        <w:t xml:space="preserve"> au 31 décembre 2023. Pour tous les rapports périodiques, le Comité a approuvé les recommandations liées aux projets en cours comportant des questions particulières qui figuraient dans les annexes pertinentes au rapport de la réunion </w:t>
      </w:r>
      <w:r w:rsidRPr="000D1EA8">
        <w:rPr>
          <w:vertAlign w:val="superscript"/>
          <w:lang w:val="en-GB"/>
        </w:rPr>
        <w:footnoteReference w:id="38"/>
      </w:r>
      <w:r>
        <w:t>. Il a également pris un certain nombre d’autres mesures, telles que la prorogation des dates d’achèvement de deux projets et l’annulation d’un projet ; il a demandé aux agences bilatérales et d’exécution de fournir une mise à jour, avant la dernière réunion de chaque année, sur les pays pour lesquels des demandes de prorogation des institutions n’avaient pas été soumises pendant trois ans, et il a demandé au secrétariat de fournir, dans le rapport périodique global au 31 décembre 2024, un rapport final sur les réalisations des six projets d’investissement financés en utilisant les contributions volontaires supplémentaires pour un soutien de démarrage rapide pour la réduction progressive des HFC (décisions 95/12 à 9</w:t>
      </w:r>
      <w:r w:rsidR="009E7A5A">
        <w:t>5</w:t>
      </w:r>
      <w:r>
        <w:t>/17).</w:t>
      </w:r>
    </w:p>
    <w:p w14:paraId="164176B4" w14:textId="59B86F16" w:rsidR="000D1EA8" w:rsidRPr="00F13167" w:rsidRDefault="000D1EA8" w:rsidP="000D1EA8">
      <w:pPr>
        <w:pStyle w:val="Heading1"/>
        <w:numPr>
          <w:ilvl w:val="0"/>
          <w:numId w:val="6"/>
        </w:numPr>
        <w:tabs>
          <w:tab w:val="clear" w:pos="0"/>
          <w:tab w:val="num" w:pos="1080"/>
        </w:tabs>
      </w:pPr>
      <w:r>
        <w:rPr>
          <w:highlight w:val="yellow"/>
        </w:rPr>
        <w:t>[À la 96</w:t>
      </w:r>
      <w:r>
        <w:rPr>
          <w:highlight w:val="yellow"/>
          <w:vertAlign w:val="superscript"/>
        </w:rPr>
        <w:t>e</w:t>
      </w:r>
      <w:r>
        <w:rPr>
          <w:highlight w:val="yellow"/>
        </w:rPr>
        <w:t> réunion…]</w:t>
      </w:r>
    </w:p>
    <w:p w14:paraId="09D909AC" w14:textId="67BE08E7" w:rsidR="00282EB1" w:rsidRPr="006B3B98" w:rsidRDefault="00282EB1" w:rsidP="00A34AAD">
      <w:pPr>
        <w:pStyle w:val="Heading3"/>
        <w:jc w:val="left"/>
        <w:rPr>
          <w:b/>
          <w:highlight w:val="yellow"/>
        </w:rPr>
      </w:pPr>
      <w:r>
        <w:rPr>
          <w:b/>
        </w:rPr>
        <w:t>d)</w:t>
      </w:r>
      <w:r>
        <w:rPr>
          <w:b/>
        </w:rPr>
        <w:tab/>
        <w:t>Rapports de situation et rapports sur les projets comportant des exigences particulières de remise de rapports</w:t>
      </w:r>
    </w:p>
    <w:p w14:paraId="6654D18A" w14:textId="121934B4" w:rsidR="00282EB1" w:rsidRPr="00F13167" w:rsidRDefault="00282EB1" w:rsidP="00582F00">
      <w:pPr>
        <w:pStyle w:val="Heading1"/>
        <w:numPr>
          <w:ilvl w:val="0"/>
          <w:numId w:val="6"/>
        </w:numPr>
        <w:tabs>
          <w:tab w:val="clear" w:pos="0"/>
          <w:tab w:val="num" w:pos="810"/>
        </w:tabs>
      </w:pPr>
      <w:r>
        <w:t>À la 95</w:t>
      </w:r>
      <w:r>
        <w:rPr>
          <w:vertAlign w:val="superscript"/>
        </w:rPr>
        <w:t>e</w:t>
      </w:r>
      <w:r>
        <w:t> réunion </w:t>
      </w:r>
      <w:r w:rsidRPr="000D1EA8">
        <w:rPr>
          <w:vertAlign w:val="superscript"/>
          <w:lang w:val="en-GB"/>
        </w:rPr>
        <w:footnoteReference w:id="39"/>
      </w:r>
      <w:r>
        <w:t xml:space="preserve"> </w:t>
      </w:r>
      <w:r>
        <w:rPr>
          <w:highlight w:val="yellow"/>
        </w:rPr>
        <w:t>[et la 96</w:t>
      </w:r>
      <w:r>
        <w:rPr>
          <w:highlight w:val="yellow"/>
          <w:vertAlign w:val="superscript"/>
        </w:rPr>
        <w:t>e</w:t>
      </w:r>
      <w:r>
        <w:rPr>
          <w:highlight w:val="yellow"/>
        </w:rPr>
        <w:t> réunion </w:t>
      </w:r>
      <w:r w:rsidR="000D1EA8">
        <w:rPr>
          <w:rStyle w:val="FootnoteReference"/>
          <w:highlight w:val="yellow"/>
          <w:lang w:val="en-GB"/>
        </w:rPr>
        <w:footnoteReference w:id="40"/>
      </w:r>
      <w:r>
        <w:rPr>
          <w:highlight w:val="yellow"/>
        </w:rPr>
        <w:t>]</w:t>
      </w:r>
      <w:r>
        <w:t>, le Comité exécutif a examiné des documents comprenant des rapports de situation et des rapports sur les projets comportant des exigences particulières de remise de rapports.</w:t>
      </w:r>
    </w:p>
    <w:p w14:paraId="5EF794F7" w14:textId="53E7A168" w:rsidR="00282EB1" w:rsidRPr="006B3B98" w:rsidRDefault="00282EB1" w:rsidP="00582F00">
      <w:pPr>
        <w:pStyle w:val="Heading1"/>
        <w:numPr>
          <w:ilvl w:val="0"/>
          <w:numId w:val="6"/>
        </w:numPr>
        <w:tabs>
          <w:tab w:val="clear" w:pos="0"/>
          <w:tab w:val="num" w:pos="810"/>
        </w:tabs>
        <w:rPr>
          <w:highlight w:val="yellow"/>
        </w:rPr>
      </w:pPr>
      <w:r>
        <w:t>À la 95</w:t>
      </w:r>
      <w:r>
        <w:rPr>
          <w:vertAlign w:val="superscript"/>
        </w:rPr>
        <w:t>e</w:t>
      </w:r>
      <w:r>
        <w:t xml:space="preserve"> réunion, pour les projets pour lesquels il n’existe pas de politique, de coût ou d’autre questions en suspens en ce qui concerne les PGEH pour six pays, les activités supplémentaires pour le maintien de l’efficacité énergétique pour un pays et une demande de changement de technologie dans un projet approuvé dans un pays, et </w:t>
      </w:r>
      <w:r>
        <w:rPr>
          <w:highlight w:val="yellow"/>
        </w:rPr>
        <w:t>[à la 96</w:t>
      </w:r>
      <w:r>
        <w:rPr>
          <w:highlight w:val="yellow"/>
          <w:vertAlign w:val="superscript"/>
        </w:rPr>
        <w:t>e</w:t>
      </w:r>
      <w:r>
        <w:rPr>
          <w:highlight w:val="yellow"/>
        </w:rPr>
        <w:t xml:space="preserve"> réunion, pour les projets…], </w:t>
      </w:r>
      <w:r>
        <w:t>le Comité a pris note des rapports et des informations fournies et a convenu d’un certain nombre de mesures, y compris le transfert de la mise en œuvre de certaines tranches de PGEH d’une agence d’exécution à une autre, l’extension de la période de mise en œuvre de certaines tranches du PGEH et un changement de technologie au sein d’un projet. Il a également demandé d’autres mesures aux pays et agences d'exécution (décisions 95/18 à 9</w:t>
      </w:r>
      <w:r w:rsidR="009E7A5A">
        <w:t>5</w:t>
      </w:r>
      <w:r>
        <w:t>/21</w:t>
      </w:r>
      <w:r>
        <w:rPr>
          <w:highlight w:val="yellow"/>
        </w:rPr>
        <w:t xml:space="preserve"> [et 96/…]). </w:t>
      </w:r>
    </w:p>
    <w:p w14:paraId="12491E58" w14:textId="5A7B56C5" w:rsidR="00D9668F" w:rsidRDefault="00282EB1" w:rsidP="00D9668F">
      <w:pPr>
        <w:pStyle w:val="Heading1"/>
        <w:numPr>
          <w:ilvl w:val="0"/>
          <w:numId w:val="6"/>
        </w:numPr>
        <w:tabs>
          <w:tab w:val="clear" w:pos="0"/>
          <w:tab w:val="num" w:pos="792"/>
        </w:tabs>
        <w:spacing w:before="240"/>
      </w:pPr>
      <w:r>
        <w:t>À la 95</w:t>
      </w:r>
      <w:r>
        <w:rPr>
          <w:vertAlign w:val="superscript"/>
        </w:rPr>
        <w:t>e</w:t>
      </w:r>
      <w:r>
        <w:t> réunion, la phase I du plan de mise en œuvre de l’Amendement de Kigali pour le Burkina Faso et un projet pour la conversion du HFC au propane d’une installation fabriquant de grandes unités de climatisation de toiture commerciales chez Petra Engineering Industries Co., en Jordanie, ont été examinés individuellement. Prenant note des rapports, le Comité exécutif a approuvé la demande du Gouvernement du Burkina Faso de remplacement de l’établissement d’un centre de distribution de frigorigène pour les hydrocarbures par l’établissement d’un centre de récupération, recyclage et régénération pour les HCFC, les HFC et les frigorigènes mélangés, à un coût identique (décision 95/22) ; il a également invité l’ONUDI, au nom du Gouvernement de la Jordanie, à soumettre une proposition à la 96</w:t>
      </w:r>
      <w:r>
        <w:rPr>
          <w:vertAlign w:val="superscript"/>
        </w:rPr>
        <w:t>e</w:t>
      </w:r>
      <w:r>
        <w:t> réunion pour Petra Engineering Industries Co. en vue d’utiliser l’équipement fourni au titre du projet pour fabriquer des refroidisseurs au R-290, étant entendu qu’aucun financement supplémentaire ne serait approuvé pour le projet et que le Comité demandait également à l’entreprise de prendre d’autres mesures (décision 95/23).</w:t>
      </w:r>
    </w:p>
    <w:p w14:paraId="1EC72768" w14:textId="753EEC34" w:rsidR="00263184" w:rsidRPr="00741C98" w:rsidRDefault="00263184" w:rsidP="00BD5F53">
      <w:pPr>
        <w:pStyle w:val="Heading1"/>
        <w:numPr>
          <w:ilvl w:val="0"/>
          <w:numId w:val="6"/>
        </w:numPr>
        <w:tabs>
          <w:tab w:val="clear" w:pos="0"/>
          <w:tab w:val="num" w:pos="792"/>
        </w:tabs>
        <w:spacing w:before="240"/>
      </w:pPr>
      <w:r>
        <w:t>À la 95</w:t>
      </w:r>
      <w:r>
        <w:rPr>
          <w:vertAlign w:val="superscript"/>
        </w:rPr>
        <w:t>e</w:t>
      </w:r>
      <w:r>
        <w:t> réunion, le Comité exécutif a également examiné un rapport, demandé par la décision 94/11, sur la manière de mettre en œuvre les principes généraux pour gérer les fonds transférés des agences d’exécution au Bureau de coopération économique extérieure de la Chine, pour la phase II du PGEH du pays </w:t>
      </w:r>
      <w:r w:rsidRPr="007D2F52">
        <w:rPr>
          <w:vertAlign w:val="superscript"/>
        </w:rPr>
        <w:footnoteReference w:id="41"/>
      </w:r>
      <w:r>
        <w:t xml:space="preserve">. Le Comité a demandé au PNUD, à l’ONUDI et au PNUE, en tant qu’agences principales </w:t>
      </w:r>
      <w:r>
        <w:lastRenderedPageBreak/>
        <w:t xml:space="preserve">des plans sectoriels pertinents, d’appliquer, à titre d’essai, les principes généraux établis dans l’annexe III au document UNEP/OzL.Pro/ExCom/95/47 au plan sectoriel de la réfrigération et de la climatisation industrielles et commerciales, au plan sectoriel des solvants, au plan sectoriel de la mousse de polystyrène extrudée, au plan sectoriel de la fabrication de climatiseurs résidentiels et des chauffe-eau à pompe à chaleur, et au plan sectoriel de l’entretien de l’équipement de réfrigération et de climatisation, et au programme national d’habilitation, au titre de la phase II du PGEH de la Chine (décision 95/43). </w:t>
      </w:r>
    </w:p>
    <w:p w14:paraId="7E014683" w14:textId="282B1F2D" w:rsidR="00282EB1" w:rsidRPr="00836A3F" w:rsidRDefault="00282EB1" w:rsidP="00921E23">
      <w:pPr>
        <w:pStyle w:val="Heading3"/>
        <w:jc w:val="left"/>
        <w:rPr>
          <w:b/>
        </w:rPr>
      </w:pPr>
      <w:r>
        <w:rPr>
          <w:b/>
        </w:rPr>
        <w:t>e)</w:t>
      </w:r>
      <w:r>
        <w:rPr>
          <w:b/>
        </w:rPr>
        <w:tab/>
        <w:t>Rapports globaux d’achèvement de projets</w:t>
      </w:r>
    </w:p>
    <w:p w14:paraId="11FB0B00" w14:textId="4C26EBE8" w:rsidR="00282EB1" w:rsidRPr="00836A3F" w:rsidRDefault="00282EB1" w:rsidP="00582F00">
      <w:pPr>
        <w:pStyle w:val="Heading1"/>
        <w:numPr>
          <w:ilvl w:val="0"/>
          <w:numId w:val="6"/>
        </w:numPr>
        <w:tabs>
          <w:tab w:val="clear" w:pos="0"/>
          <w:tab w:val="num" w:pos="792"/>
        </w:tabs>
        <w:spacing w:before="240"/>
        <w:rPr>
          <w:bCs/>
        </w:rPr>
      </w:pPr>
      <w:r>
        <w:t>À la 95</w:t>
      </w:r>
      <w:r>
        <w:rPr>
          <w:vertAlign w:val="superscript"/>
        </w:rPr>
        <w:t>e</w:t>
      </w:r>
      <w:r>
        <w:t> réunion, le Comité exécutif a examiné le RAP 2024 (partie II) </w:t>
      </w:r>
      <w:r w:rsidRPr="00836A3F">
        <w:rPr>
          <w:rStyle w:val="FootnoteReference"/>
          <w:bCs/>
          <w:lang w:val="en-GB"/>
        </w:rPr>
        <w:footnoteReference w:id="42"/>
      </w:r>
      <w:r>
        <w:t xml:space="preserve">, </w:t>
      </w:r>
      <w:r>
        <w:rPr>
          <w:highlight w:val="yellow"/>
        </w:rPr>
        <w:t>[et à la 96</w:t>
      </w:r>
      <w:r>
        <w:rPr>
          <w:highlight w:val="yellow"/>
          <w:vertAlign w:val="superscript"/>
        </w:rPr>
        <w:t>e</w:t>
      </w:r>
      <w:r>
        <w:rPr>
          <w:highlight w:val="yellow"/>
        </w:rPr>
        <w:t xml:space="preserve"> réunion...] [À chaque réunion,] </w:t>
      </w:r>
      <w:r>
        <w:t xml:space="preserve">il a demandé aux agences bilatérales et d’exécution de soumettre, à la réunion suivante, les RAP en souffrance relatifs aux accords pluriannuels et aux projets individuels, ou d’exposer les raisons pour lesquelles ces rapports n’ont pu être soumis. Les agences d’exécution principales et coopérantes ont été invitées à continuer à coordonner étroitement leurs travaux pour mettre la dernière main aux parties des RAP qui les concernent, l’objectif étant de faciliter la remise des rapports par l’agence d’exécution principale en temps utile, et les agences bilatérales et d’exécution ont été priées de veiller à inclure les informations pertinentes et utiles, notamment celles relatives aux questions de genre, et à communiquer les enseignements tirés et les raisons des retards de mise en œuvre des projets en vue de les utiliser pour améliorer à l’avenir la conception et la mise en œuvre des projets. Toutes les parties impliquées dans la préparation et la mise en œuvre des accords pluriannuels et des projets individuels ont également été invitées à tenir compte des enseignements tirés des RAP, le cas échéant (décisions 95/24 [et </w:t>
      </w:r>
      <w:r>
        <w:rPr>
          <w:highlight w:val="yellow"/>
        </w:rPr>
        <w:t>96/???</w:t>
      </w:r>
      <w:r>
        <w:t>]).</w:t>
      </w:r>
    </w:p>
    <w:p w14:paraId="7C7A3920" w14:textId="10E39808" w:rsidR="00282EB1" w:rsidRPr="00836A3F" w:rsidRDefault="00282EB1" w:rsidP="004F5052">
      <w:pPr>
        <w:pStyle w:val="Heading1"/>
        <w:keepNext/>
        <w:spacing w:before="240"/>
        <w:jc w:val="left"/>
        <w:rPr>
          <w:b/>
          <w:bCs/>
        </w:rPr>
      </w:pPr>
      <w:r>
        <w:rPr>
          <w:b/>
        </w:rPr>
        <w:t>f)</w:t>
      </w:r>
      <w:r>
        <w:rPr>
          <w:b/>
        </w:rPr>
        <w:tab/>
        <w:t>Efficacité des agences d’exécution</w:t>
      </w:r>
    </w:p>
    <w:p w14:paraId="22A0C102" w14:textId="5CBFB14A" w:rsidR="00CE0454" w:rsidRPr="00836A3F" w:rsidRDefault="00282EB1" w:rsidP="00582F00">
      <w:pPr>
        <w:pStyle w:val="Heading1"/>
        <w:numPr>
          <w:ilvl w:val="0"/>
          <w:numId w:val="6"/>
        </w:numPr>
        <w:tabs>
          <w:tab w:val="clear" w:pos="0"/>
          <w:tab w:val="num" w:pos="792"/>
        </w:tabs>
        <w:spacing w:before="240"/>
        <w:rPr>
          <w:bCs/>
        </w:rPr>
      </w:pPr>
      <w:r>
        <w:t>À la 95</w:t>
      </w:r>
      <w:r>
        <w:rPr>
          <w:vertAlign w:val="superscript"/>
        </w:rPr>
        <w:t>e</w:t>
      </w:r>
      <w:r>
        <w:t> réunion, le Comité exécutif a pris note de l’évaluation de l’efficacité des agences d’exécution par rapport à leurs plans d’activités de 2023 </w:t>
      </w:r>
      <w:r w:rsidRPr="00836A3F">
        <w:rPr>
          <w:bCs/>
          <w:vertAlign w:val="superscript"/>
          <w:lang w:val="en-GB"/>
        </w:rPr>
        <w:footnoteReference w:id="43"/>
      </w:r>
      <w:r>
        <w:t xml:space="preserve">. Toutes les agences d’exécution ont reçu une évaluation quantitative de leur efficacité pour 2023 d’au moins 80 sur une échelle de 100, et l’efficacité quantitative du PNUD, de l’ONUDI et de la Banque mondiale en 2023 s’est améliorée par rapport à 2022. </w:t>
      </w:r>
      <w:bookmarkStart w:id="1" w:name="_Hlk162872086"/>
      <w:r>
        <w:t xml:space="preserve">L’analyse des tendances a cependant révélé qu’en 2023, l’efficacité des agences d’exécution ne s’était pas améliorée pour certains indicateurs par rapport à 2022. Le Comité a pris note, avec satisfaction, </w:t>
      </w:r>
      <w:bookmarkEnd w:id="1"/>
      <w:r>
        <w:t xml:space="preserve">des efforts entrepris par les agences bilatérales et d’exécution pour mener à bien des échanges ouverts et constructifs avec les Unités nationales de l’ozone (UNO) concernées sur les domaines dans lesquels leurs services ont été jugés peu satisfaisants et que l’issue de leurs consultations avec les UNO concernées avait été satisfaisante. Le Comité exécutif a encouragé les UNO à remettre, chaque année et dans les délais prescrits, leurs évaluations de l’efficacité qualitative des agences bilatérales et d’exécution sur le plan de l’aide apportée à leurs gouvernements (décision 95/7). </w:t>
      </w:r>
    </w:p>
    <w:p w14:paraId="2237D2E8" w14:textId="77777777" w:rsidR="005D6A0F" w:rsidRPr="00836A3F" w:rsidRDefault="005D6A0F" w:rsidP="005D6A0F">
      <w:pPr>
        <w:pStyle w:val="Heading2"/>
        <w:keepNext/>
        <w:widowControl/>
        <w:jc w:val="left"/>
        <w:rPr>
          <w:b/>
          <w:bCs/>
          <w:sz w:val="24"/>
          <w:szCs w:val="24"/>
        </w:rPr>
      </w:pPr>
      <w:r>
        <w:rPr>
          <w:b/>
          <w:sz w:val="24"/>
        </w:rPr>
        <w:t>D.</w:t>
      </w:r>
      <w:r>
        <w:rPr>
          <w:b/>
          <w:sz w:val="24"/>
        </w:rPr>
        <w:tab/>
        <w:t>Évaluation</w:t>
      </w:r>
    </w:p>
    <w:p w14:paraId="465F71BD" w14:textId="35146EEA" w:rsidR="0071746D" w:rsidRPr="0071746D" w:rsidRDefault="00150136" w:rsidP="00700B55">
      <w:pPr>
        <w:pStyle w:val="Heading1"/>
        <w:numPr>
          <w:ilvl w:val="0"/>
          <w:numId w:val="6"/>
        </w:numPr>
        <w:spacing w:before="240"/>
      </w:pPr>
      <w:r>
        <w:t>À la 95</w:t>
      </w:r>
      <w:r>
        <w:rPr>
          <w:vertAlign w:val="superscript"/>
        </w:rPr>
        <w:t>e</w:t>
      </w:r>
      <w:r>
        <w:t> réunion, le Comité exécutif a examiné le rapport annuel sur la mise en œuvre du programme de suivi et d’évaluation pour 2024 </w:t>
      </w:r>
      <w:r w:rsidR="003E01C4">
        <w:rPr>
          <w:rStyle w:val="FootnoteReference"/>
          <w:lang w:val="en-GB"/>
        </w:rPr>
        <w:footnoteReference w:id="44"/>
      </w:r>
      <w:r>
        <w:t xml:space="preserve"> et a approuvé le programme de travail de suivi et évaluation révisé pour 2025 </w:t>
      </w:r>
      <w:r w:rsidR="0071746D" w:rsidRPr="0071746D">
        <w:rPr>
          <w:rStyle w:val="FootnoteReference"/>
          <w:lang w:val="en-GB"/>
        </w:rPr>
        <w:footnoteReference w:id="45"/>
      </w:r>
      <w:r>
        <w:t>, en prenant note que le RAP global serait présenté annuellement, à partir de la première réunion de 2025 (décision 95/11).</w:t>
      </w:r>
    </w:p>
    <w:p w14:paraId="53DADFE7" w14:textId="45614488" w:rsidR="0071746D" w:rsidRPr="00AE0739" w:rsidRDefault="00E04B32" w:rsidP="00700B55">
      <w:pPr>
        <w:pStyle w:val="Heading1"/>
        <w:numPr>
          <w:ilvl w:val="0"/>
          <w:numId w:val="6"/>
        </w:numPr>
        <w:spacing w:before="240"/>
      </w:pPr>
      <w:r>
        <w:t>Le Comité a également pris note à la 95</w:t>
      </w:r>
      <w:r>
        <w:rPr>
          <w:vertAlign w:val="superscript"/>
        </w:rPr>
        <w:t>e</w:t>
      </w:r>
      <w:r>
        <w:t> réunion du rapport final sur l’évaluation externe de la fonction d’évaluation du Fonds multilatéral </w:t>
      </w:r>
      <w:r w:rsidR="0071746D" w:rsidRPr="0071746D">
        <w:rPr>
          <w:rStyle w:val="FootnoteReference"/>
          <w:lang w:val="en-GB"/>
        </w:rPr>
        <w:footnoteReference w:id="46"/>
      </w:r>
      <w:r>
        <w:t xml:space="preserve"> et a demandé à l’Administratrice principale, Surveillance et évaluation, de préparer, pour examen à la 96</w:t>
      </w:r>
      <w:r>
        <w:rPr>
          <w:vertAlign w:val="superscript"/>
        </w:rPr>
        <w:t>e</w:t>
      </w:r>
      <w:r>
        <w:t xml:space="preserve"> réunion, une réponse de gestion potentielle à l’évaluation, incluant une politique d’évaluation pour le Fonds multilatéral, tenant compte des suggestions des membres </w:t>
      </w:r>
      <w:r>
        <w:lastRenderedPageBreak/>
        <w:t>du Comité exécutif à la 95</w:t>
      </w:r>
      <w:r>
        <w:rPr>
          <w:vertAlign w:val="superscript"/>
        </w:rPr>
        <w:t>e</w:t>
      </w:r>
      <w:r>
        <w:t> réunion </w:t>
      </w:r>
      <w:r w:rsidR="00C55B2A">
        <w:rPr>
          <w:rStyle w:val="FootnoteReference"/>
        </w:rPr>
        <w:footnoteReference w:id="47"/>
      </w:r>
      <w:r>
        <w:t>, le projet de plan pour une telle politique</w:t>
      </w:r>
      <w:r w:rsidR="0071746D" w:rsidRPr="0071746D">
        <w:rPr>
          <w:rStyle w:val="FootnoteReference"/>
        </w:rPr>
        <w:footnoteReference w:id="48"/>
      </w:r>
      <w:r>
        <w:t xml:space="preserve"> et les recommandations dans le rapport final sur l’évaluation externe (décision 95/8).</w:t>
      </w:r>
    </w:p>
    <w:p w14:paraId="7780AC9E" w14:textId="418092A7" w:rsidR="00C55B2A" w:rsidRPr="00C55B2A" w:rsidRDefault="00E52A3D" w:rsidP="00700B55">
      <w:pPr>
        <w:pStyle w:val="Heading1"/>
        <w:numPr>
          <w:ilvl w:val="0"/>
          <w:numId w:val="6"/>
        </w:numPr>
        <w:spacing w:before="240"/>
        <w:rPr>
          <w:b/>
          <w:bCs/>
        </w:rPr>
      </w:pPr>
      <w:r>
        <w:t>À la même réunion, le Comité exécutif a examiné l’étude théorique pour l’évaluation du PAC du PNUE </w:t>
      </w:r>
      <w:r w:rsidR="00AE0739" w:rsidRPr="00AE0739">
        <w:rPr>
          <w:rStyle w:val="FootnoteReference"/>
          <w:lang w:val="en-GB"/>
        </w:rPr>
        <w:footnoteReference w:id="49"/>
      </w:r>
      <w:r>
        <w:t xml:space="preserve"> et demandé à l’Administratrice principale, Surveillance et évaluation, de présenter à la 97</w:t>
      </w:r>
      <w:r>
        <w:rPr>
          <w:vertAlign w:val="superscript"/>
        </w:rPr>
        <w:t>e</w:t>
      </w:r>
      <w:r>
        <w:t> réunion un mandat actualisé relatif à une évaluation complète approfondie du PAC, en tenant compte des suggestions des membres du Comité exécutif à la 95</w:t>
      </w:r>
      <w:r>
        <w:rPr>
          <w:vertAlign w:val="superscript"/>
        </w:rPr>
        <w:t>e</w:t>
      </w:r>
      <w:r>
        <w:t> réunion </w:t>
      </w:r>
      <w:r>
        <w:rPr>
          <w:rStyle w:val="FootnoteReference"/>
        </w:rPr>
        <w:footnoteReference w:id="50"/>
      </w:r>
      <w:r>
        <w:t xml:space="preserve"> et des rapports devant être soumis par le programme ActionOzone et l’Administratrice principale, Surveillance et évaluation aux 96</w:t>
      </w:r>
      <w:r>
        <w:rPr>
          <w:vertAlign w:val="superscript"/>
        </w:rPr>
        <w:t>e</w:t>
      </w:r>
      <w:r>
        <w:t> </w:t>
      </w:r>
      <w:r w:rsidR="00C55B2A">
        <w:rPr>
          <w:rStyle w:val="FootnoteReference"/>
        </w:rPr>
        <w:footnoteReference w:id="51"/>
      </w:r>
      <w:r>
        <w:t xml:space="preserve"> et 97</w:t>
      </w:r>
      <w:r>
        <w:rPr>
          <w:vertAlign w:val="superscript"/>
        </w:rPr>
        <w:t>e</w:t>
      </w:r>
      <w:r>
        <w:t> réunions, respectivement, et les discussions et décisions y afférant (décision 95/9). Le Comité exécutif a également pris note du mandat de l’étude théorique pour l’évaluation des projets de récupération, de recyclage et de régénération </w:t>
      </w:r>
      <w:r w:rsidR="00C55B2A" w:rsidRPr="00C55B2A">
        <w:rPr>
          <w:rStyle w:val="FootnoteReference"/>
        </w:rPr>
        <w:footnoteReference w:id="52"/>
      </w:r>
      <w:r>
        <w:t xml:space="preserve"> et a demandé à l’Administratrice principale, Surveillance et évaluation, lors de la réalisation de l’évaluation des projets de récupération, recyclage et régénération, de prendre en considération les commentaires faits à ce sujet par les membres du Comité exécutif à la 95</w:t>
      </w:r>
      <w:r>
        <w:rPr>
          <w:vertAlign w:val="superscript"/>
        </w:rPr>
        <w:t>e</w:t>
      </w:r>
      <w:r>
        <w:t> réunion </w:t>
      </w:r>
      <w:r w:rsidR="00C55B2A">
        <w:rPr>
          <w:rStyle w:val="FootnoteReference"/>
        </w:rPr>
        <w:footnoteReference w:id="53"/>
      </w:r>
      <w:r>
        <w:t xml:space="preserve"> (décision 95/10).</w:t>
      </w:r>
    </w:p>
    <w:p w14:paraId="6452F084" w14:textId="397332C2" w:rsidR="00C55B2A" w:rsidRPr="00C55B2A" w:rsidRDefault="002022D6" w:rsidP="00700B55">
      <w:pPr>
        <w:pStyle w:val="Heading1"/>
        <w:numPr>
          <w:ilvl w:val="0"/>
          <w:numId w:val="6"/>
        </w:numPr>
        <w:spacing w:before="240"/>
        <w:rPr>
          <w:bCs/>
          <w:highlight w:val="yellow"/>
        </w:rPr>
      </w:pPr>
      <w:r>
        <w:rPr>
          <w:highlight w:val="yellow"/>
        </w:rPr>
        <w:t>[À la 96</w:t>
      </w:r>
      <w:r>
        <w:rPr>
          <w:highlight w:val="yellow"/>
          <w:vertAlign w:val="superscript"/>
        </w:rPr>
        <w:t>e</w:t>
      </w:r>
      <w:r>
        <w:rPr>
          <w:highlight w:val="yellow"/>
        </w:rPr>
        <w:t> réunion…]</w:t>
      </w:r>
    </w:p>
    <w:p w14:paraId="1D0CEE79" w14:textId="23049962" w:rsidR="00282EB1" w:rsidRPr="00C55B2A" w:rsidRDefault="00282EB1" w:rsidP="00EB2FF6">
      <w:pPr>
        <w:pStyle w:val="Heading2"/>
        <w:widowControl/>
        <w:spacing w:after="120"/>
        <w:jc w:val="left"/>
        <w:rPr>
          <w:b/>
          <w:bCs/>
          <w:sz w:val="24"/>
          <w:szCs w:val="24"/>
        </w:rPr>
      </w:pPr>
      <w:r>
        <w:rPr>
          <w:b/>
          <w:sz w:val="24"/>
        </w:rPr>
        <w:t>E.</w:t>
      </w:r>
      <w:r>
        <w:rPr>
          <w:b/>
          <w:sz w:val="24"/>
        </w:rPr>
        <w:tab/>
        <w:t>Établissement des plans d’activités et questions financières</w:t>
      </w:r>
    </w:p>
    <w:p w14:paraId="14254E5C" w14:textId="77777777" w:rsidR="00282EB1" w:rsidRPr="00C55B2A" w:rsidRDefault="00282EB1" w:rsidP="00EB2FF6">
      <w:pPr>
        <w:pStyle w:val="Heading2"/>
        <w:widowControl/>
        <w:spacing w:after="120"/>
        <w:jc w:val="left"/>
        <w:rPr>
          <w:b/>
        </w:rPr>
      </w:pPr>
      <w:r>
        <w:rPr>
          <w:b/>
        </w:rPr>
        <w:t>1.</w:t>
      </w:r>
      <w:r>
        <w:rPr>
          <w:b/>
        </w:rPr>
        <w:tab/>
        <w:t>Établissement des plans d’activités</w:t>
      </w:r>
    </w:p>
    <w:p w14:paraId="6CA1E9D8" w14:textId="72DBE3E9" w:rsidR="0073289B" w:rsidRPr="00C55B2A" w:rsidRDefault="00282EB1" w:rsidP="00EB2FF6">
      <w:pPr>
        <w:pStyle w:val="Heading1"/>
        <w:numPr>
          <w:ilvl w:val="0"/>
          <w:numId w:val="6"/>
        </w:numPr>
        <w:tabs>
          <w:tab w:val="clear" w:pos="0"/>
          <w:tab w:val="left" w:pos="720"/>
          <w:tab w:val="num" w:pos="1080"/>
        </w:tabs>
        <w:spacing w:after="120"/>
        <w:rPr>
          <w:bCs/>
        </w:rPr>
      </w:pPr>
      <w:r>
        <w:t>À la 95</w:t>
      </w:r>
      <w:r>
        <w:rPr>
          <w:vertAlign w:val="superscript"/>
        </w:rPr>
        <w:t>e</w:t>
      </w:r>
      <w:r>
        <w:t> réunion, le Comité exécutif a examiné une mise à jour sur l’état de la mise en œuvre du plan d’activités général du Fonds multilatéral pour la période 2024-2026 </w:t>
      </w:r>
      <w:r w:rsidRPr="00C55B2A">
        <w:rPr>
          <w:bCs/>
          <w:vertAlign w:val="superscript"/>
          <w:lang w:val="en-GB"/>
        </w:rPr>
        <w:footnoteReference w:id="54"/>
      </w:r>
      <w:r>
        <w:t>, en prenant note de la valeur totale des activités proposées à la 95</w:t>
      </w:r>
      <w:r>
        <w:rPr>
          <w:vertAlign w:val="superscript"/>
        </w:rPr>
        <w:t>e</w:t>
      </w:r>
      <w:r>
        <w:t> réunion (décision 95/25).</w:t>
      </w:r>
    </w:p>
    <w:p w14:paraId="6F58DBC2" w14:textId="389C7BDE" w:rsidR="00282EB1" w:rsidRPr="00894520" w:rsidRDefault="00A80AA9" w:rsidP="00EB2FF6">
      <w:pPr>
        <w:pStyle w:val="Heading1"/>
        <w:numPr>
          <w:ilvl w:val="0"/>
          <w:numId w:val="6"/>
        </w:numPr>
        <w:tabs>
          <w:tab w:val="clear" w:pos="0"/>
          <w:tab w:val="left" w:pos="720"/>
          <w:tab w:val="num" w:pos="1080"/>
        </w:tabs>
        <w:spacing w:after="120"/>
        <w:rPr>
          <w:bCs/>
        </w:rPr>
      </w:pPr>
      <w:r>
        <w:t>À la 95</w:t>
      </w:r>
      <w:r>
        <w:rPr>
          <w:vertAlign w:val="superscript"/>
        </w:rPr>
        <w:t>e</w:t>
      </w:r>
      <w:r>
        <w:t> réunion, le Comité exécutif a également examiné le plan d’activités général du Fonds multilatéral pour la période 2025–2027 </w:t>
      </w:r>
      <w:r w:rsidR="00282EB1" w:rsidRPr="00894520">
        <w:rPr>
          <w:bCs/>
          <w:vertAlign w:val="superscript"/>
          <w:lang w:val="en-GB"/>
        </w:rPr>
        <w:footnoteReference w:id="55"/>
      </w:r>
      <w:r>
        <w:t>. Après y avoir apporté certaines modifications, il a appuyé le plan, en précisant que l’appui ne signifiait pas l’approbation des projets contenus ni de leur financement ou des tonnages (décision 95/27). Le Comité a également examiné les plans d’activités pour 2025–2027 des agences bilatérales (Gouvernements de l’Allemagne, l’Australie, la France, la République tchèque et le Royaume-Uni de Grande-Bretagne et d’Irlande du Nord) </w:t>
      </w:r>
      <w:r w:rsidR="00282EB1" w:rsidRPr="00894520">
        <w:rPr>
          <w:bCs/>
          <w:vertAlign w:val="superscript"/>
          <w:lang w:val="en-GB"/>
        </w:rPr>
        <w:footnoteReference w:id="56"/>
      </w:r>
      <w:r>
        <w:t>, le PNUD </w:t>
      </w:r>
      <w:r w:rsidR="00282EB1" w:rsidRPr="00894520">
        <w:rPr>
          <w:bCs/>
          <w:vertAlign w:val="superscript"/>
          <w:lang w:val="en-GB"/>
        </w:rPr>
        <w:footnoteReference w:id="57"/>
      </w:r>
      <w:r>
        <w:t>, le PNUE </w:t>
      </w:r>
      <w:r w:rsidR="00282EB1" w:rsidRPr="00894520">
        <w:rPr>
          <w:bCs/>
          <w:vertAlign w:val="superscript"/>
          <w:lang w:val="en-GB"/>
        </w:rPr>
        <w:footnoteReference w:id="58"/>
      </w:r>
      <w:r>
        <w:t>, l’ONUDI </w:t>
      </w:r>
      <w:r w:rsidR="00282EB1" w:rsidRPr="00894520">
        <w:rPr>
          <w:bCs/>
          <w:vertAlign w:val="superscript"/>
          <w:lang w:val="en-GB"/>
        </w:rPr>
        <w:footnoteReference w:id="59"/>
      </w:r>
      <w:r>
        <w:t xml:space="preserve"> et la Banque mondiale </w:t>
      </w:r>
      <w:r w:rsidR="00282EB1" w:rsidRPr="00894520">
        <w:rPr>
          <w:bCs/>
          <w:vertAlign w:val="superscript"/>
          <w:lang w:val="en-GB"/>
        </w:rPr>
        <w:footnoteReference w:id="60"/>
      </w:r>
      <w:r>
        <w:t>. Prenant note des plans, il a approuvé les indicateurs d’efficacité du PNUD, du PNUE, de l’ONUDI et de la Banque mondiale présentés dans les annexes correspondantes du rapport de la réunion concernée </w:t>
      </w:r>
      <w:r w:rsidR="00282EB1" w:rsidRPr="00894520">
        <w:rPr>
          <w:bCs/>
          <w:vertAlign w:val="superscript"/>
          <w:lang w:val="en-GB"/>
        </w:rPr>
        <w:footnoteReference w:id="61"/>
      </w:r>
      <w:r>
        <w:t xml:space="preserve"> (décisions 95/28 à 95/32).</w:t>
      </w:r>
    </w:p>
    <w:p w14:paraId="66B382F4" w14:textId="0FB879E0" w:rsidR="0073289B" w:rsidRPr="006B3B98" w:rsidRDefault="0073289B" w:rsidP="00EB2FF6">
      <w:pPr>
        <w:pStyle w:val="Heading1"/>
        <w:numPr>
          <w:ilvl w:val="0"/>
          <w:numId w:val="6"/>
        </w:numPr>
        <w:tabs>
          <w:tab w:val="clear" w:pos="0"/>
          <w:tab w:val="num" w:pos="1080"/>
        </w:tabs>
        <w:spacing w:after="120"/>
        <w:rPr>
          <w:bCs/>
          <w:highlight w:val="yellow"/>
        </w:rPr>
      </w:pPr>
      <w:r>
        <w:rPr>
          <w:highlight w:val="yellow"/>
        </w:rPr>
        <w:t>[À la 96</w:t>
      </w:r>
      <w:r>
        <w:rPr>
          <w:highlight w:val="yellow"/>
          <w:vertAlign w:val="superscript"/>
        </w:rPr>
        <w:t>e</w:t>
      </w:r>
      <w:r>
        <w:rPr>
          <w:highlight w:val="yellow"/>
        </w:rPr>
        <w:t xml:space="preserve"> réunion…] </w:t>
      </w:r>
    </w:p>
    <w:p w14:paraId="24015CC9" w14:textId="77777777" w:rsidR="00282EB1" w:rsidRPr="00CC76A4" w:rsidRDefault="00282EB1" w:rsidP="00EB2FF6">
      <w:pPr>
        <w:pStyle w:val="Heading1"/>
        <w:spacing w:after="120"/>
        <w:jc w:val="left"/>
        <w:rPr>
          <w:b/>
          <w:bCs/>
        </w:rPr>
      </w:pPr>
      <w:r>
        <w:rPr>
          <w:b/>
        </w:rPr>
        <w:t>2.</w:t>
      </w:r>
      <w:r>
        <w:rPr>
          <w:b/>
        </w:rPr>
        <w:tab/>
        <w:t>Questions financières</w:t>
      </w:r>
    </w:p>
    <w:p w14:paraId="63515FFD" w14:textId="77777777" w:rsidR="00282EB1" w:rsidRPr="004D2C45" w:rsidRDefault="00282EB1" w:rsidP="00EB2FF6">
      <w:pPr>
        <w:pStyle w:val="Heading1"/>
        <w:spacing w:after="120"/>
        <w:jc w:val="left"/>
        <w:rPr>
          <w:b/>
        </w:rPr>
      </w:pPr>
      <w:r>
        <w:rPr>
          <w:b/>
        </w:rPr>
        <w:t>a)</w:t>
      </w:r>
      <w:r>
        <w:rPr>
          <w:b/>
        </w:rPr>
        <w:tab/>
        <w:t>État du Fonds multilatéral</w:t>
      </w:r>
    </w:p>
    <w:p w14:paraId="43DC4600" w14:textId="29395F09" w:rsidR="00282EB1" w:rsidRPr="00CC76A4" w:rsidRDefault="00282EB1" w:rsidP="00EB2FF6">
      <w:pPr>
        <w:pStyle w:val="Heading1"/>
        <w:numPr>
          <w:ilvl w:val="0"/>
          <w:numId w:val="6"/>
        </w:numPr>
        <w:tabs>
          <w:tab w:val="clear" w:pos="0"/>
          <w:tab w:val="num" w:pos="720"/>
        </w:tabs>
        <w:spacing w:after="120"/>
        <w:rPr>
          <w:bCs/>
        </w:rPr>
      </w:pPr>
      <w:r>
        <w:t xml:space="preserve">Au </w:t>
      </w:r>
      <w:r>
        <w:rPr>
          <w:highlight w:val="yellow"/>
        </w:rPr>
        <w:t>[?? mai 2025]</w:t>
      </w:r>
      <w:r>
        <w:t xml:space="preserve">, le revenu total du Fonds multilatéral, comprenant les paiements comptants, les billets à ordre détenus, les contributions bilatérales, les intérêts créditeurs et les revenus divers, s’élevait à </w:t>
      </w:r>
      <w:r>
        <w:rPr>
          <w:highlight w:val="yellow"/>
        </w:rPr>
        <w:lastRenderedPageBreak/>
        <w:t>???</w:t>
      </w:r>
      <w:r>
        <w:t xml:space="preserve"> $US, et le total des affectations, comprenant les réserves, à </w:t>
      </w:r>
      <w:r>
        <w:rPr>
          <w:highlight w:val="yellow"/>
        </w:rPr>
        <w:t>???</w:t>
      </w:r>
      <w:r>
        <w:t> $US.</w:t>
      </w:r>
      <w:r>
        <w:rPr>
          <w:highlight w:val="yellow"/>
        </w:rPr>
        <w:t xml:space="preserve"> </w:t>
      </w:r>
      <w:r>
        <w:t xml:space="preserve">Le solde disponible était donc de </w:t>
      </w:r>
      <w:r>
        <w:rPr>
          <w:highlight w:val="yellow"/>
        </w:rPr>
        <w:t>???</w:t>
      </w:r>
      <w:r>
        <w:t> $US</w:t>
      </w:r>
      <w:r w:rsidRPr="00CC76A4">
        <w:rPr>
          <w:rStyle w:val="FootnoteReference"/>
          <w:bCs/>
          <w:lang w:val="en-GB"/>
        </w:rPr>
        <w:footnoteReference w:id="62"/>
      </w:r>
      <w:r>
        <w:t>.</w:t>
      </w:r>
    </w:p>
    <w:p w14:paraId="747646B6" w14:textId="77777777" w:rsidR="00282EB1" w:rsidRPr="009D5B90" w:rsidRDefault="00282EB1" w:rsidP="00746978">
      <w:pPr>
        <w:pStyle w:val="Heading1"/>
        <w:keepNext/>
        <w:spacing w:before="240"/>
        <w:jc w:val="left"/>
        <w:rPr>
          <w:b/>
        </w:rPr>
      </w:pPr>
      <w:r>
        <w:rPr>
          <w:b/>
        </w:rPr>
        <w:t>b)</w:t>
      </w:r>
      <w:r>
        <w:rPr>
          <w:b/>
        </w:rPr>
        <w:tab/>
        <w:t>Contributions, décaissements, soldes, ressources, comptes et budgets</w:t>
      </w:r>
    </w:p>
    <w:p w14:paraId="7883B6B7" w14:textId="69452ACD" w:rsidR="00282EB1" w:rsidRPr="000B0F69" w:rsidRDefault="00282EB1" w:rsidP="000947A6">
      <w:pPr>
        <w:pStyle w:val="Heading1"/>
        <w:numPr>
          <w:ilvl w:val="0"/>
          <w:numId w:val="6"/>
        </w:numPr>
        <w:tabs>
          <w:tab w:val="clear" w:pos="0"/>
          <w:tab w:val="num" w:pos="720"/>
          <w:tab w:val="num" w:pos="1080"/>
        </w:tabs>
        <w:rPr>
          <w:sz w:val="20"/>
          <w:szCs w:val="20"/>
        </w:rPr>
      </w:pPr>
      <w:r>
        <w:t>À la 95</w:t>
      </w:r>
      <w:r>
        <w:rPr>
          <w:vertAlign w:val="superscript"/>
        </w:rPr>
        <w:t>e</w:t>
      </w:r>
      <w:r>
        <w:t> réunion, le Comité exécutif a examiné le rapport du trésorier sur l’état des contributions et des décaissements </w:t>
      </w:r>
      <w:r w:rsidRPr="009D5B90">
        <w:rPr>
          <w:bCs/>
          <w:vertAlign w:val="superscript"/>
          <w:lang w:val="en-GB"/>
        </w:rPr>
        <w:footnoteReference w:id="63"/>
      </w:r>
      <w:r>
        <w:t>, le rapport sur les soldes et la disponibilité des ressources </w:t>
      </w:r>
      <w:r w:rsidRPr="009D5B90">
        <w:rPr>
          <w:bCs/>
          <w:vertAlign w:val="superscript"/>
          <w:lang w:val="en-GB"/>
        </w:rPr>
        <w:footnoteReference w:id="64"/>
      </w:r>
      <w:r>
        <w:t>, les comptes finaux du Fonds multilatéral pour 2023 </w:t>
      </w:r>
      <w:r w:rsidRPr="009D5B90">
        <w:rPr>
          <w:bCs/>
          <w:vertAlign w:val="superscript"/>
          <w:lang w:val="en-GB"/>
        </w:rPr>
        <w:footnoteReference w:id="65"/>
      </w:r>
      <w:r>
        <w:t xml:space="preserve"> et le rapprochement des comptes de 2023 </w:t>
      </w:r>
      <w:r w:rsidRPr="009D5B90">
        <w:rPr>
          <w:bCs/>
          <w:vertAlign w:val="superscript"/>
          <w:lang w:val="en-GB"/>
        </w:rPr>
        <w:footnoteReference w:id="66"/>
      </w:r>
      <w:r>
        <w:t>, et a demandé des mesures correspondantes de la part des Parties, des agences bilatérales et d’exécution, du trésorier et de la Chef du secrétariat (décisions 95/1 à 95/4). Il a également examiné </w:t>
      </w:r>
      <w:r w:rsidR="004D4543" w:rsidRPr="000B0F69">
        <w:rPr>
          <w:bCs/>
          <w:vertAlign w:val="superscript"/>
          <w:lang w:val="en-GB"/>
        </w:rPr>
        <w:footnoteReference w:id="67"/>
      </w:r>
      <w:r>
        <w:t xml:space="preserve"> les budgets approuvés pour 2025 et 2026 ainsi que les budgets proposés pour 2027 du secrétariat et a approuvé un budget rectifié pour 2025, un budget rectifié pour 2026 et la proposition de budget pour 2027 du secrétariat (décision 95/5).</w:t>
      </w:r>
    </w:p>
    <w:p w14:paraId="4D8F4B5E" w14:textId="058E4AFE" w:rsidR="00746978" w:rsidRPr="006B3B98" w:rsidRDefault="00746978" w:rsidP="000947A6">
      <w:pPr>
        <w:pStyle w:val="Heading1"/>
        <w:numPr>
          <w:ilvl w:val="0"/>
          <w:numId w:val="6"/>
        </w:numPr>
        <w:tabs>
          <w:tab w:val="clear" w:pos="0"/>
          <w:tab w:val="num" w:pos="720"/>
        </w:tabs>
        <w:rPr>
          <w:highlight w:val="yellow"/>
        </w:rPr>
      </w:pPr>
      <w:r>
        <w:rPr>
          <w:highlight w:val="yellow"/>
        </w:rPr>
        <w:t>[À la 96</w:t>
      </w:r>
      <w:r>
        <w:rPr>
          <w:highlight w:val="yellow"/>
          <w:vertAlign w:val="superscript"/>
        </w:rPr>
        <w:t>e</w:t>
      </w:r>
      <w:r>
        <w:rPr>
          <w:highlight w:val="yellow"/>
        </w:rPr>
        <w:t> réunion…]</w:t>
      </w:r>
    </w:p>
    <w:p w14:paraId="1D5BC7B5" w14:textId="029951AA" w:rsidR="00282EB1" w:rsidRPr="006B3B98" w:rsidRDefault="00282EB1" w:rsidP="000947A6">
      <w:pPr>
        <w:pStyle w:val="Heading1"/>
        <w:numPr>
          <w:ilvl w:val="0"/>
          <w:numId w:val="6"/>
        </w:numPr>
        <w:tabs>
          <w:tab w:val="clear" w:pos="0"/>
          <w:tab w:val="left" w:pos="720"/>
          <w:tab w:val="num" w:pos="1080"/>
        </w:tabs>
        <w:rPr>
          <w:highlight w:val="yellow"/>
        </w:rPr>
      </w:pPr>
      <w:r>
        <w:t>Aux 95</w:t>
      </w:r>
      <w:r>
        <w:rPr>
          <w:vertAlign w:val="superscript"/>
        </w:rPr>
        <w:t>e</w:t>
      </w:r>
      <w:r>
        <w:t xml:space="preserve"> </w:t>
      </w:r>
      <w:r>
        <w:rPr>
          <w:highlight w:val="yellow"/>
        </w:rPr>
        <w:t>[et 96</w:t>
      </w:r>
      <w:r>
        <w:rPr>
          <w:highlight w:val="yellow"/>
          <w:vertAlign w:val="superscript"/>
        </w:rPr>
        <w:t>e</w:t>
      </w:r>
      <w:r>
        <w:rPr>
          <w:highlight w:val="yellow"/>
        </w:rPr>
        <w:t>]</w:t>
      </w:r>
      <w:r>
        <w:t> réunions, le Comité exécutif a prié le trésorier de déduire les coûts des projets bilatéraux approuvés à la réunion en question des contributions bilatérales des gouvernements concernés (décisions 95/33 et [</w:t>
      </w:r>
      <w:r>
        <w:rPr>
          <w:highlight w:val="yellow"/>
        </w:rPr>
        <w:t>96/??]</w:t>
      </w:r>
      <w:r>
        <w:t>).</w:t>
      </w:r>
    </w:p>
    <w:p w14:paraId="2EB7B3AD" w14:textId="2B6E1B15" w:rsidR="00282EB1" w:rsidRPr="00DB1333" w:rsidRDefault="00DB1333" w:rsidP="00607753">
      <w:pPr>
        <w:pStyle w:val="Heading1"/>
        <w:jc w:val="left"/>
        <w:rPr>
          <w:b/>
          <w:bCs/>
          <w:sz w:val="24"/>
          <w:szCs w:val="24"/>
        </w:rPr>
      </w:pPr>
      <w:r>
        <w:rPr>
          <w:b/>
          <w:sz w:val="24"/>
        </w:rPr>
        <w:t>F.</w:t>
      </w:r>
      <w:r>
        <w:rPr>
          <w:b/>
          <w:sz w:val="24"/>
        </w:rPr>
        <w:tab/>
        <w:t>Activités du secrétariat du Fonds</w:t>
      </w:r>
    </w:p>
    <w:p w14:paraId="11ADC583" w14:textId="322A8CBA" w:rsidR="00282EB1" w:rsidRPr="006B3B98" w:rsidRDefault="00282EB1" w:rsidP="00404938">
      <w:pPr>
        <w:pStyle w:val="Heading1"/>
        <w:numPr>
          <w:ilvl w:val="0"/>
          <w:numId w:val="6"/>
        </w:numPr>
        <w:tabs>
          <w:tab w:val="clear" w:pos="0"/>
          <w:tab w:val="num" w:pos="720"/>
        </w:tabs>
        <w:rPr>
          <w:highlight w:val="yellow"/>
        </w:rPr>
      </w:pPr>
      <w:r>
        <w:t>À la 95</w:t>
      </w:r>
      <w:r>
        <w:rPr>
          <w:vertAlign w:val="superscript"/>
        </w:rPr>
        <w:t>e</w:t>
      </w:r>
      <w:r>
        <w:t> réunion </w:t>
      </w:r>
      <w:r w:rsidRPr="00DB1333">
        <w:rPr>
          <w:vertAlign w:val="superscript"/>
          <w:lang w:val="en-GB"/>
        </w:rPr>
        <w:footnoteReference w:id="68"/>
      </w:r>
      <w:r>
        <w:t xml:space="preserve"> [</w:t>
      </w:r>
      <w:r>
        <w:rPr>
          <w:highlight w:val="yellow"/>
        </w:rPr>
        <w:t>et la 96</w:t>
      </w:r>
      <w:r>
        <w:rPr>
          <w:highlight w:val="yellow"/>
          <w:vertAlign w:val="superscript"/>
        </w:rPr>
        <w:t>e</w:t>
      </w:r>
      <w:r>
        <w:rPr>
          <w:highlight w:val="yellow"/>
        </w:rPr>
        <w:t> réunion </w:t>
      </w:r>
      <w:r w:rsidRPr="001F4416">
        <w:rPr>
          <w:highlight w:val="yellow"/>
          <w:vertAlign w:val="superscript"/>
          <w:lang w:val="en-GB"/>
        </w:rPr>
        <w:footnoteReference w:id="69"/>
      </w:r>
      <w:r>
        <w:rPr>
          <w:highlight w:val="yellow"/>
        </w:rPr>
        <w:t>]</w:t>
      </w:r>
      <w:r>
        <w:t xml:space="preserve">, le Comité exécutif a pris note, avec appréciation, d’un rapport sur les activités entreprises par le secrétariat depuis la réunion précédente. </w:t>
      </w:r>
      <w:r>
        <w:rPr>
          <w:highlight w:val="yellow"/>
        </w:rPr>
        <w:t>[Aux deux réunions, le Comité a été informé des avancées dans l’élaboration des systèmes de gestion des connaissances…]</w:t>
      </w:r>
    </w:p>
    <w:p w14:paraId="7E522F73" w14:textId="77777777" w:rsidR="00715C02" w:rsidRPr="0009213A" w:rsidRDefault="00715C02" w:rsidP="000947A6">
      <w:pPr>
        <w:pStyle w:val="StyleHeader4Para4Left0Firstline0"/>
        <w:keepNext/>
        <w:widowControl/>
        <w:numPr>
          <w:ilvl w:val="0"/>
          <w:numId w:val="7"/>
        </w:numPr>
        <w:tabs>
          <w:tab w:val="left" w:pos="720"/>
        </w:tabs>
        <w:ind w:left="720"/>
        <w:jc w:val="left"/>
        <w:rPr>
          <w:b/>
          <w:sz w:val="22"/>
        </w:rPr>
      </w:pPr>
      <w:r>
        <w:rPr>
          <w:b/>
          <w:sz w:val="24"/>
        </w:rPr>
        <w:t>Réalisations du Fonds multilatéral depuis sa création </w:t>
      </w:r>
      <w:r w:rsidRPr="0009213A">
        <w:rPr>
          <w:rStyle w:val="FootnoteReference"/>
          <w:b/>
          <w:lang w:val="en-GB"/>
        </w:rPr>
        <w:footnoteReference w:id="70"/>
      </w:r>
    </w:p>
    <w:p w14:paraId="5C20823F" w14:textId="418EDCF9" w:rsidR="00715C02" w:rsidRPr="00CF2192" w:rsidRDefault="00715C02" w:rsidP="00CC2EB9">
      <w:pPr>
        <w:pStyle w:val="Heading1"/>
        <w:numPr>
          <w:ilvl w:val="0"/>
          <w:numId w:val="14"/>
        </w:numPr>
      </w:pPr>
      <w:r>
        <w:t>En date de la 96</w:t>
      </w:r>
      <w:r>
        <w:rPr>
          <w:vertAlign w:val="superscript"/>
        </w:rPr>
        <w:t>e</w:t>
      </w:r>
      <w:r>
        <w:t xml:space="preserve"> réunion, depuis 1991, </w:t>
      </w:r>
      <w:r>
        <w:rPr>
          <w:color w:val="000000"/>
          <w:highlight w:val="yellow"/>
        </w:rPr>
        <w:t>???</w:t>
      </w:r>
      <w:r>
        <w:rPr>
          <w:highlight w:val="yellow"/>
        </w:rPr>
        <w:t xml:space="preserve"> </w:t>
      </w:r>
      <w:r>
        <w:t xml:space="preserve">projets et activités (à l’exception des projets annulés et transférés) avaient été approuvés. La quantité totale de SAO dont l’élimination a été prévue par la mise en œuvre de ces projets s’élève à </w:t>
      </w:r>
      <w:r>
        <w:rPr>
          <w:color w:val="000000"/>
          <w:highlight w:val="yellow"/>
        </w:rPr>
        <w:t>???</w:t>
      </w:r>
      <w:r>
        <w:t xml:space="preserve"> tonnes PAO. Cependant, le nombre de tonnes PAO réellement éliminées était de </w:t>
      </w:r>
      <w:r>
        <w:rPr>
          <w:color w:val="000000"/>
          <w:highlight w:val="yellow"/>
        </w:rPr>
        <w:t>???</w:t>
      </w:r>
      <w:r>
        <w:t xml:space="preserve"> tonnes PAO (en intégrant la consommation et la production), indiquant que l’élimination réalisée à travers les projets achevés à ce jour dépasse de loin la quantité attendue. De plus, à la même date, </w:t>
      </w:r>
      <w:r>
        <w:rPr>
          <w:color w:val="000000"/>
          <w:highlight w:val="yellow"/>
        </w:rPr>
        <w:t>???</w:t>
      </w:r>
      <w:r>
        <w:t xml:space="preserve"> tonnes métriques (</w:t>
      </w:r>
      <w:r>
        <w:rPr>
          <w:color w:val="000000"/>
          <w:highlight w:val="yellow"/>
        </w:rPr>
        <w:t>???</w:t>
      </w:r>
      <w:r>
        <w:t xml:space="preserve"> tonnes équivalent dioxyde de carbone) de consommation de HFC avaient été approuvées pour réduction et </w:t>
      </w:r>
      <w:r>
        <w:rPr>
          <w:color w:val="000000"/>
          <w:highlight w:val="yellow"/>
        </w:rPr>
        <w:t>???</w:t>
      </w:r>
      <w:r>
        <w:t> tonnes métriques (</w:t>
      </w:r>
      <w:r>
        <w:rPr>
          <w:color w:val="000000"/>
          <w:highlight w:val="yellow"/>
        </w:rPr>
        <w:t>???</w:t>
      </w:r>
      <w:r>
        <w:rPr>
          <w:color w:val="000000"/>
        </w:rPr>
        <w:t> tonnes équivalent dioxyde de carbone</w:t>
      </w:r>
      <w:r>
        <w:t>) avaient en réalité été éliminées. La répartition géographique et sectorielle de l’élimination mise en œuvre au travers de tous les projets et activités approuvés et des financements approuvés depuis la création est indiquée dans le tableau 5 ci-dessous.</w:t>
      </w:r>
    </w:p>
    <w:p w14:paraId="72165D28" w14:textId="77777777" w:rsidR="00F94F7F" w:rsidRPr="00BC750B" w:rsidRDefault="00F94F7F" w:rsidP="00EB2FF6">
      <w:pPr>
        <w:pStyle w:val="Heading1"/>
        <w:keepNext/>
        <w:keepLines/>
        <w:widowControl w:val="0"/>
        <w:spacing w:after="0"/>
        <w:rPr>
          <w:color w:val="000000"/>
        </w:rPr>
      </w:pPr>
      <w:r>
        <w:lastRenderedPageBreak/>
        <w:t>Tableau 5</w:t>
      </w:r>
    </w:p>
    <w:p w14:paraId="5F00CBEE" w14:textId="77777777" w:rsidR="00F94F7F" w:rsidRDefault="00F94F7F" w:rsidP="00EB2FF6">
      <w:pPr>
        <w:pStyle w:val="Heading1"/>
        <w:keepNext/>
        <w:keepLines/>
        <w:widowControl w:val="0"/>
        <w:spacing w:after="0"/>
        <w:rPr>
          <w:b/>
          <w:bCs/>
        </w:rPr>
      </w:pPr>
      <w:r>
        <w:rPr>
          <w:b/>
        </w:rPr>
        <w:t>Élimination et financements approuvés par région et par secteur depuis la création du Fonds multilatéral</w:t>
      </w:r>
    </w:p>
    <w:tbl>
      <w:tblPr>
        <w:tblW w:w="58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967"/>
        <w:gridCol w:w="1296"/>
        <w:gridCol w:w="1275"/>
        <w:gridCol w:w="1275"/>
        <w:gridCol w:w="1275"/>
        <w:gridCol w:w="993"/>
        <w:gridCol w:w="993"/>
        <w:gridCol w:w="1419"/>
      </w:tblGrid>
      <w:tr w:rsidR="00F94F7F" w:rsidRPr="00D03284" w14:paraId="442A54F9" w14:textId="77777777" w:rsidTr="00685136">
        <w:trPr>
          <w:trHeight w:val="769"/>
          <w:tblHeader/>
          <w:jc w:val="center"/>
        </w:trPr>
        <w:tc>
          <w:tcPr>
            <w:tcW w:w="651" w:type="pct"/>
            <w:shd w:val="clear" w:color="auto" w:fill="auto"/>
            <w:hideMark/>
          </w:tcPr>
          <w:p w14:paraId="3C9C41CD" w14:textId="77777777" w:rsidR="00F94F7F" w:rsidRPr="00D03284" w:rsidRDefault="00F94F7F" w:rsidP="00EB2FF6">
            <w:pPr>
              <w:keepNext/>
              <w:keepLines/>
              <w:widowControl w:val="0"/>
              <w:jc w:val="center"/>
              <w:rPr>
                <w:b/>
                <w:bCs/>
                <w:color w:val="000000"/>
                <w:sz w:val="18"/>
                <w:szCs w:val="18"/>
              </w:rPr>
            </w:pPr>
            <w:r>
              <w:rPr>
                <w:b/>
                <w:color w:val="000000"/>
                <w:sz w:val="18"/>
              </w:rPr>
              <w:t>Description</w:t>
            </w:r>
          </w:p>
        </w:tc>
        <w:tc>
          <w:tcPr>
            <w:tcW w:w="443" w:type="pct"/>
            <w:shd w:val="clear" w:color="auto" w:fill="auto"/>
            <w:hideMark/>
          </w:tcPr>
          <w:p w14:paraId="5195353B" w14:textId="77777777" w:rsidR="00F94F7F" w:rsidRPr="00D03284" w:rsidRDefault="00F94F7F" w:rsidP="00EB2FF6">
            <w:pPr>
              <w:keepNext/>
              <w:keepLines/>
              <w:widowControl w:val="0"/>
              <w:ind w:left="-104" w:right="-104"/>
              <w:jc w:val="center"/>
              <w:rPr>
                <w:b/>
                <w:bCs/>
                <w:color w:val="000000"/>
                <w:sz w:val="18"/>
                <w:szCs w:val="18"/>
              </w:rPr>
            </w:pPr>
            <w:r>
              <w:rPr>
                <w:b/>
                <w:color w:val="000000"/>
                <w:sz w:val="18"/>
              </w:rPr>
              <w:t>Nombre de projets</w:t>
            </w:r>
          </w:p>
          <w:p w14:paraId="6427F784" w14:textId="77777777" w:rsidR="00F94F7F" w:rsidRPr="00D03284" w:rsidRDefault="00F94F7F" w:rsidP="00EB2FF6">
            <w:pPr>
              <w:keepNext/>
              <w:keepLines/>
              <w:widowControl w:val="0"/>
              <w:ind w:left="-104" w:right="-104"/>
              <w:jc w:val="center"/>
              <w:rPr>
                <w:b/>
                <w:bCs/>
                <w:color w:val="000000"/>
                <w:sz w:val="18"/>
                <w:szCs w:val="18"/>
              </w:rPr>
            </w:pPr>
          </w:p>
        </w:tc>
        <w:tc>
          <w:tcPr>
            <w:tcW w:w="594" w:type="pct"/>
            <w:shd w:val="clear" w:color="auto" w:fill="auto"/>
            <w:hideMark/>
          </w:tcPr>
          <w:p w14:paraId="6C4F700C" w14:textId="77777777" w:rsidR="00F94F7F" w:rsidRDefault="00F94F7F" w:rsidP="00EB2FF6">
            <w:pPr>
              <w:keepNext/>
              <w:keepLines/>
              <w:widowControl w:val="0"/>
              <w:ind w:left="-178" w:right="-167"/>
              <w:jc w:val="center"/>
              <w:rPr>
                <w:b/>
                <w:color w:val="000000"/>
                <w:sz w:val="18"/>
              </w:rPr>
            </w:pPr>
            <w:r>
              <w:rPr>
                <w:b/>
                <w:color w:val="000000"/>
                <w:sz w:val="18"/>
              </w:rPr>
              <w:t>Tonnes PAO</w:t>
            </w:r>
          </w:p>
          <w:p w14:paraId="3E8A682E" w14:textId="77777777" w:rsidR="00F94F7F" w:rsidRDefault="00F94F7F" w:rsidP="00EB2FF6">
            <w:pPr>
              <w:keepNext/>
              <w:keepLines/>
              <w:widowControl w:val="0"/>
              <w:ind w:left="-178" w:right="-167"/>
              <w:jc w:val="center"/>
              <w:rPr>
                <w:b/>
                <w:color w:val="000000"/>
                <w:sz w:val="18"/>
              </w:rPr>
            </w:pPr>
            <w:r>
              <w:rPr>
                <w:b/>
                <w:color w:val="000000"/>
                <w:sz w:val="18"/>
              </w:rPr>
              <w:t>de</w:t>
            </w:r>
          </w:p>
          <w:p w14:paraId="5ECB953C" w14:textId="77777777" w:rsidR="00F94F7F" w:rsidRDefault="00F94F7F" w:rsidP="00EB2FF6">
            <w:pPr>
              <w:keepNext/>
              <w:keepLines/>
              <w:widowControl w:val="0"/>
              <w:ind w:left="-178" w:right="-167"/>
              <w:jc w:val="center"/>
              <w:rPr>
                <w:b/>
                <w:color w:val="000000"/>
                <w:sz w:val="18"/>
              </w:rPr>
            </w:pPr>
            <w:r>
              <w:rPr>
                <w:b/>
                <w:color w:val="000000"/>
                <w:sz w:val="18"/>
              </w:rPr>
              <w:t>consommation approuvées</w:t>
            </w:r>
          </w:p>
          <w:p w14:paraId="4329078C" w14:textId="77777777" w:rsidR="00F94F7F" w:rsidRPr="00D03284" w:rsidRDefault="00F94F7F" w:rsidP="00EB2FF6">
            <w:pPr>
              <w:keepNext/>
              <w:keepLines/>
              <w:widowControl w:val="0"/>
              <w:ind w:left="-178" w:right="-167"/>
              <w:jc w:val="center"/>
              <w:rPr>
                <w:b/>
                <w:bCs/>
                <w:color w:val="000000"/>
                <w:sz w:val="18"/>
                <w:szCs w:val="18"/>
              </w:rPr>
            </w:pPr>
            <w:r>
              <w:rPr>
                <w:b/>
                <w:color w:val="000000"/>
                <w:sz w:val="18"/>
              </w:rPr>
              <w:t>pour les projets liés aux SAO*</w:t>
            </w:r>
          </w:p>
        </w:tc>
        <w:tc>
          <w:tcPr>
            <w:tcW w:w="584" w:type="pct"/>
            <w:shd w:val="clear" w:color="auto" w:fill="auto"/>
            <w:hideMark/>
          </w:tcPr>
          <w:p w14:paraId="18135D27" w14:textId="77777777" w:rsidR="00F94F7F" w:rsidRDefault="00F94F7F" w:rsidP="00EB2FF6">
            <w:pPr>
              <w:keepNext/>
              <w:keepLines/>
              <w:widowControl w:val="0"/>
              <w:ind w:left="-188" w:right="-192"/>
              <w:jc w:val="center"/>
              <w:rPr>
                <w:b/>
                <w:color w:val="000000"/>
                <w:sz w:val="18"/>
              </w:rPr>
            </w:pPr>
            <w:r>
              <w:rPr>
                <w:b/>
                <w:color w:val="000000"/>
                <w:sz w:val="18"/>
              </w:rPr>
              <w:t>Tonnes PAO</w:t>
            </w:r>
          </w:p>
          <w:p w14:paraId="39E96C19" w14:textId="77777777" w:rsidR="00F94F7F" w:rsidRDefault="00F94F7F" w:rsidP="00EB2FF6">
            <w:pPr>
              <w:keepNext/>
              <w:keepLines/>
              <w:widowControl w:val="0"/>
              <w:ind w:left="-188" w:right="-192"/>
              <w:jc w:val="center"/>
              <w:rPr>
                <w:b/>
                <w:color w:val="000000"/>
                <w:sz w:val="18"/>
              </w:rPr>
            </w:pPr>
            <w:r>
              <w:rPr>
                <w:b/>
                <w:color w:val="000000"/>
                <w:sz w:val="18"/>
              </w:rPr>
              <w:t>de</w:t>
            </w:r>
          </w:p>
          <w:p w14:paraId="4AE4C722" w14:textId="77777777" w:rsidR="00F94F7F" w:rsidRDefault="00F94F7F" w:rsidP="00EB2FF6">
            <w:pPr>
              <w:keepNext/>
              <w:keepLines/>
              <w:widowControl w:val="0"/>
              <w:ind w:left="-188" w:right="-192"/>
              <w:jc w:val="center"/>
              <w:rPr>
                <w:b/>
                <w:color w:val="000000"/>
                <w:sz w:val="18"/>
              </w:rPr>
            </w:pPr>
            <w:r>
              <w:rPr>
                <w:b/>
                <w:color w:val="000000"/>
                <w:sz w:val="18"/>
              </w:rPr>
              <w:t>consommation éliminées</w:t>
            </w:r>
          </w:p>
          <w:p w14:paraId="45B84B34" w14:textId="77777777" w:rsidR="00F94F7F" w:rsidRPr="00D03284" w:rsidRDefault="00F94F7F" w:rsidP="00EB2FF6">
            <w:pPr>
              <w:keepNext/>
              <w:keepLines/>
              <w:widowControl w:val="0"/>
              <w:ind w:left="-188" w:right="-192"/>
              <w:jc w:val="center"/>
              <w:rPr>
                <w:b/>
                <w:bCs/>
                <w:color w:val="000000"/>
                <w:sz w:val="18"/>
                <w:szCs w:val="18"/>
              </w:rPr>
            </w:pPr>
            <w:r>
              <w:rPr>
                <w:b/>
                <w:color w:val="000000"/>
                <w:sz w:val="18"/>
              </w:rPr>
              <w:t>pour les projets liés aux SAO*</w:t>
            </w:r>
          </w:p>
        </w:tc>
        <w:tc>
          <w:tcPr>
            <w:tcW w:w="584" w:type="pct"/>
            <w:shd w:val="clear" w:color="auto" w:fill="auto"/>
            <w:hideMark/>
          </w:tcPr>
          <w:p w14:paraId="4A29DA4A" w14:textId="77777777" w:rsidR="00F94F7F" w:rsidRDefault="00F94F7F" w:rsidP="00EB2FF6">
            <w:pPr>
              <w:keepNext/>
              <w:keepLines/>
              <w:widowControl w:val="0"/>
              <w:ind w:left="-190" w:right="-189"/>
              <w:jc w:val="center"/>
              <w:rPr>
                <w:b/>
                <w:color w:val="000000"/>
                <w:sz w:val="18"/>
              </w:rPr>
            </w:pPr>
            <w:r>
              <w:rPr>
                <w:b/>
                <w:color w:val="000000"/>
                <w:sz w:val="18"/>
              </w:rPr>
              <w:t>Tonnes</w:t>
            </w:r>
          </w:p>
          <w:p w14:paraId="42A81EE7" w14:textId="77777777" w:rsidR="00F94F7F" w:rsidRDefault="00F94F7F" w:rsidP="00EB2FF6">
            <w:pPr>
              <w:keepNext/>
              <w:keepLines/>
              <w:widowControl w:val="0"/>
              <w:ind w:left="-190" w:right="-189"/>
              <w:jc w:val="center"/>
              <w:rPr>
                <w:b/>
                <w:color w:val="000000"/>
                <w:sz w:val="18"/>
              </w:rPr>
            </w:pPr>
            <w:r>
              <w:rPr>
                <w:b/>
                <w:color w:val="000000"/>
                <w:sz w:val="18"/>
              </w:rPr>
              <w:t>métriques de</w:t>
            </w:r>
          </w:p>
          <w:p w14:paraId="46B64B79" w14:textId="77777777" w:rsidR="00F94F7F" w:rsidRDefault="00F94F7F" w:rsidP="00EB2FF6">
            <w:pPr>
              <w:keepNext/>
              <w:keepLines/>
              <w:widowControl w:val="0"/>
              <w:ind w:left="-190" w:right="-189"/>
              <w:jc w:val="center"/>
              <w:rPr>
                <w:b/>
                <w:color w:val="000000"/>
                <w:sz w:val="18"/>
              </w:rPr>
            </w:pPr>
            <w:r>
              <w:rPr>
                <w:b/>
                <w:color w:val="000000"/>
                <w:sz w:val="18"/>
              </w:rPr>
              <w:t>consommation approuvées</w:t>
            </w:r>
          </w:p>
          <w:p w14:paraId="5A7A4CB4" w14:textId="77777777" w:rsidR="00F94F7F" w:rsidRPr="00D03284" w:rsidRDefault="00F94F7F" w:rsidP="00EB2FF6">
            <w:pPr>
              <w:keepNext/>
              <w:keepLines/>
              <w:widowControl w:val="0"/>
              <w:ind w:left="-190" w:right="-189"/>
              <w:jc w:val="center"/>
              <w:rPr>
                <w:b/>
                <w:bCs/>
                <w:color w:val="000000"/>
                <w:sz w:val="18"/>
                <w:szCs w:val="18"/>
              </w:rPr>
            </w:pPr>
            <w:r>
              <w:rPr>
                <w:b/>
                <w:color w:val="000000"/>
                <w:sz w:val="18"/>
              </w:rPr>
              <w:t>pour les projets liés aux HFC**</w:t>
            </w:r>
          </w:p>
        </w:tc>
        <w:tc>
          <w:tcPr>
            <w:tcW w:w="584" w:type="pct"/>
            <w:shd w:val="clear" w:color="auto" w:fill="auto"/>
            <w:hideMark/>
          </w:tcPr>
          <w:p w14:paraId="20DD76E0" w14:textId="77777777" w:rsidR="00F94F7F" w:rsidRPr="00D03284" w:rsidRDefault="00F94F7F" w:rsidP="00EB2FF6">
            <w:pPr>
              <w:keepNext/>
              <w:keepLines/>
              <w:widowControl w:val="0"/>
              <w:ind w:left="-148" w:right="-90"/>
              <w:jc w:val="center"/>
              <w:rPr>
                <w:b/>
                <w:bCs/>
                <w:color w:val="000000"/>
                <w:sz w:val="18"/>
                <w:szCs w:val="18"/>
              </w:rPr>
            </w:pPr>
            <w:r>
              <w:rPr>
                <w:b/>
                <w:color w:val="000000"/>
                <w:sz w:val="18"/>
              </w:rPr>
              <w:t>Tonnes métriques de consommation éliminées pour les projets liés aux HFC**</w:t>
            </w:r>
          </w:p>
        </w:tc>
        <w:tc>
          <w:tcPr>
            <w:tcW w:w="455" w:type="pct"/>
            <w:shd w:val="clear" w:color="auto" w:fill="auto"/>
            <w:hideMark/>
          </w:tcPr>
          <w:p w14:paraId="6B262EE9" w14:textId="77777777" w:rsidR="00F94F7F" w:rsidRPr="00D03284" w:rsidRDefault="00F94F7F" w:rsidP="00EB2FF6">
            <w:pPr>
              <w:keepNext/>
              <w:keepLines/>
              <w:widowControl w:val="0"/>
              <w:ind w:left="-156" w:right="-103"/>
              <w:jc w:val="center"/>
              <w:rPr>
                <w:b/>
                <w:bCs/>
                <w:color w:val="000000"/>
                <w:sz w:val="18"/>
                <w:szCs w:val="18"/>
              </w:rPr>
            </w:pPr>
            <w:r>
              <w:rPr>
                <w:b/>
                <w:color w:val="000000"/>
                <w:sz w:val="18"/>
              </w:rPr>
              <w:t>Tonnes PAO de production approuvées*</w:t>
            </w:r>
          </w:p>
        </w:tc>
        <w:tc>
          <w:tcPr>
            <w:tcW w:w="455" w:type="pct"/>
            <w:shd w:val="clear" w:color="auto" w:fill="auto"/>
            <w:hideMark/>
          </w:tcPr>
          <w:p w14:paraId="32E2A20C" w14:textId="77777777" w:rsidR="00F94F7F" w:rsidRPr="00D03284" w:rsidRDefault="00F94F7F" w:rsidP="00EB2FF6">
            <w:pPr>
              <w:keepNext/>
              <w:keepLines/>
              <w:widowControl w:val="0"/>
              <w:ind w:left="-105" w:right="-106"/>
              <w:jc w:val="center"/>
              <w:rPr>
                <w:b/>
                <w:bCs/>
                <w:color w:val="000000"/>
                <w:sz w:val="18"/>
                <w:szCs w:val="18"/>
              </w:rPr>
            </w:pPr>
            <w:r>
              <w:rPr>
                <w:b/>
                <w:color w:val="000000"/>
                <w:sz w:val="18"/>
              </w:rPr>
              <w:t>Tonnes PAO de production éliminées*</w:t>
            </w:r>
          </w:p>
        </w:tc>
        <w:tc>
          <w:tcPr>
            <w:tcW w:w="650" w:type="pct"/>
            <w:shd w:val="clear" w:color="auto" w:fill="auto"/>
            <w:hideMark/>
          </w:tcPr>
          <w:p w14:paraId="3B6F7483" w14:textId="77777777" w:rsidR="00F94F7F" w:rsidRPr="00D03284" w:rsidRDefault="00F94F7F" w:rsidP="00EB2FF6">
            <w:pPr>
              <w:keepNext/>
              <w:keepLines/>
              <w:widowControl w:val="0"/>
              <w:jc w:val="center"/>
              <w:rPr>
                <w:b/>
                <w:bCs/>
                <w:color w:val="000000"/>
                <w:sz w:val="18"/>
                <w:szCs w:val="18"/>
              </w:rPr>
            </w:pPr>
            <w:r>
              <w:rPr>
                <w:b/>
                <w:color w:val="000000"/>
                <w:sz w:val="18"/>
              </w:rPr>
              <w:t>Financements approuvés*</w:t>
            </w:r>
          </w:p>
          <w:p w14:paraId="3DD58A60" w14:textId="77777777" w:rsidR="00F94F7F" w:rsidRPr="00D03284" w:rsidRDefault="00F94F7F" w:rsidP="00EB2FF6">
            <w:pPr>
              <w:keepNext/>
              <w:keepLines/>
              <w:widowControl w:val="0"/>
              <w:jc w:val="center"/>
              <w:rPr>
                <w:b/>
                <w:bCs/>
                <w:color w:val="000000"/>
                <w:sz w:val="18"/>
                <w:szCs w:val="18"/>
              </w:rPr>
            </w:pPr>
            <w:r>
              <w:rPr>
                <w:b/>
                <w:color w:val="000000"/>
                <w:sz w:val="18"/>
              </w:rPr>
              <w:t>($ US)</w:t>
            </w:r>
          </w:p>
        </w:tc>
      </w:tr>
      <w:tr w:rsidR="00F94F7F" w:rsidRPr="00D03284" w14:paraId="60CD3FC5" w14:textId="77777777" w:rsidTr="00685136">
        <w:trPr>
          <w:trHeight w:val="44"/>
          <w:jc w:val="center"/>
        </w:trPr>
        <w:tc>
          <w:tcPr>
            <w:tcW w:w="5000" w:type="pct"/>
            <w:gridSpan w:val="9"/>
            <w:shd w:val="clear" w:color="auto" w:fill="auto"/>
            <w:hideMark/>
          </w:tcPr>
          <w:p w14:paraId="270AB4F7" w14:textId="77777777" w:rsidR="00F94F7F" w:rsidRPr="00D03284" w:rsidRDefault="00F94F7F" w:rsidP="00685136">
            <w:pPr>
              <w:jc w:val="left"/>
              <w:rPr>
                <w:b/>
                <w:bCs/>
                <w:color w:val="000000"/>
                <w:sz w:val="18"/>
                <w:szCs w:val="18"/>
              </w:rPr>
            </w:pPr>
            <w:r>
              <w:rPr>
                <w:b/>
                <w:color w:val="000000"/>
                <w:sz w:val="18"/>
              </w:rPr>
              <w:t>Région </w:t>
            </w:r>
          </w:p>
        </w:tc>
      </w:tr>
      <w:tr w:rsidR="00F94F7F" w:rsidRPr="00D03284" w14:paraId="05F06D93" w14:textId="77777777" w:rsidTr="00685136">
        <w:trPr>
          <w:trHeight w:val="65"/>
          <w:jc w:val="center"/>
        </w:trPr>
        <w:tc>
          <w:tcPr>
            <w:tcW w:w="651" w:type="pct"/>
            <w:shd w:val="clear" w:color="auto" w:fill="auto"/>
            <w:noWrap/>
            <w:hideMark/>
          </w:tcPr>
          <w:p w14:paraId="3D1452D1" w14:textId="77777777" w:rsidR="00F94F7F" w:rsidRPr="00D03284" w:rsidRDefault="00F94F7F" w:rsidP="00685136">
            <w:pPr>
              <w:jc w:val="left"/>
              <w:rPr>
                <w:color w:val="000000"/>
                <w:sz w:val="18"/>
                <w:szCs w:val="18"/>
              </w:rPr>
            </w:pPr>
            <w:r>
              <w:rPr>
                <w:color w:val="000000"/>
                <w:sz w:val="18"/>
              </w:rPr>
              <w:t>Afrique</w:t>
            </w:r>
          </w:p>
        </w:tc>
        <w:tc>
          <w:tcPr>
            <w:tcW w:w="443" w:type="pct"/>
            <w:shd w:val="clear" w:color="auto" w:fill="auto"/>
            <w:noWrap/>
            <w:hideMark/>
          </w:tcPr>
          <w:p w14:paraId="4FB9E521"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hideMark/>
          </w:tcPr>
          <w:p w14:paraId="29980E96"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49746409"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112E9B6B"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440D0BCC" w14:textId="77777777" w:rsidR="00F94F7F" w:rsidRPr="00D03284" w:rsidRDefault="00F94F7F" w:rsidP="00685136">
            <w:pPr>
              <w:jc w:val="center"/>
              <w:rPr>
                <w:color w:val="000000"/>
                <w:sz w:val="16"/>
                <w:szCs w:val="16"/>
              </w:rPr>
            </w:pPr>
            <w:r>
              <w:rPr>
                <w:i/>
                <w:sz w:val="16"/>
              </w:rPr>
              <w:t>À compléter</w:t>
            </w:r>
          </w:p>
        </w:tc>
        <w:tc>
          <w:tcPr>
            <w:tcW w:w="455" w:type="pct"/>
            <w:shd w:val="clear" w:color="auto" w:fill="auto"/>
            <w:noWrap/>
            <w:hideMark/>
          </w:tcPr>
          <w:p w14:paraId="438A663A" w14:textId="77777777" w:rsidR="00F94F7F" w:rsidRPr="00D03284" w:rsidRDefault="00F94F7F" w:rsidP="00685136">
            <w:pPr>
              <w:jc w:val="center"/>
              <w:rPr>
                <w:color w:val="000000"/>
                <w:sz w:val="16"/>
                <w:szCs w:val="16"/>
              </w:rPr>
            </w:pPr>
            <w:r>
              <w:rPr>
                <w:i/>
                <w:sz w:val="16"/>
              </w:rPr>
              <w:t>À compléter</w:t>
            </w:r>
          </w:p>
        </w:tc>
        <w:tc>
          <w:tcPr>
            <w:tcW w:w="455" w:type="pct"/>
            <w:shd w:val="clear" w:color="auto" w:fill="auto"/>
            <w:noWrap/>
            <w:hideMark/>
          </w:tcPr>
          <w:p w14:paraId="2F80A619" w14:textId="77777777" w:rsidR="00F94F7F" w:rsidRPr="00D03284" w:rsidRDefault="00F94F7F" w:rsidP="00685136">
            <w:pPr>
              <w:jc w:val="center"/>
              <w:rPr>
                <w:color w:val="000000"/>
                <w:sz w:val="16"/>
                <w:szCs w:val="16"/>
              </w:rPr>
            </w:pPr>
            <w:r>
              <w:rPr>
                <w:i/>
                <w:sz w:val="16"/>
              </w:rPr>
              <w:t>À compléter</w:t>
            </w:r>
          </w:p>
        </w:tc>
        <w:tc>
          <w:tcPr>
            <w:tcW w:w="650" w:type="pct"/>
            <w:shd w:val="clear" w:color="auto" w:fill="auto"/>
            <w:noWrap/>
            <w:hideMark/>
          </w:tcPr>
          <w:p w14:paraId="7570DD8D" w14:textId="77777777" w:rsidR="00F94F7F" w:rsidRPr="00D03284" w:rsidRDefault="00F94F7F" w:rsidP="00685136">
            <w:pPr>
              <w:jc w:val="center"/>
              <w:rPr>
                <w:color w:val="000000"/>
                <w:sz w:val="16"/>
                <w:szCs w:val="16"/>
              </w:rPr>
            </w:pPr>
            <w:r>
              <w:rPr>
                <w:i/>
                <w:sz w:val="16"/>
              </w:rPr>
              <w:t>À compléter</w:t>
            </w:r>
          </w:p>
        </w:tc>
      </w:tr>
      <w:tr w:rsidR="00F94F7F" w:rsidRPr="00D03284" w14:paraId="2F4A8F05" w14:textId="77777777" w:rsidTr="00685136">
        <w:trPr>
          <w:trHeight w:val="124"/>
          <w:jc w:val="center"/>
        </w:trPr>
        <w:tc>
          <w:tcPr>
            <w:tcW w:w="651" w:type="pct"/>
            <w:shd w:val="clear" w:color="auto" w:fill="auto"/>
            <w:noWrap/>
            <w:hideMark/>
          </w:tcPr>
          <w:p w14:paraId="73A863E9" w14:textId="77777777" w:rsidR="00F94F7F" w:rsidRPr="00D03284" w:rsidRDefault="00F94F7F" w:rsidP="00685136">
            <w:pPr>
              <w:ind w:right="-110"/>
              <w:jc w:val="left"/>
              <w:rPr>
                <w:color w:val="000000"/>
                <w:sz w:val="18"/>
                <w:szCs w:val="18"/>
              </w:rPr>
            </w:pPr>
            <w:r>
              <w:rPr>
                <w:color w:val="000000"/>
                <w:sz w:val="18"/>
              </w:rPr>
              <w:t>Asie et Pacifique</w:t>
            </w:r>
          </w:p>
        </w:tc>
        <w:tc>
          <w:tcPr>
            <w:tcW w:w="443" w:type="pct"/>
            <w:shd w:val="clear" w:color="auto" w:fill="auto"/>
            <w:noWrap/>
            <w:hideMark/>
          </w:tcPr>
          <w:p w14:paraId="1E0DD4BD" w14:textId="77777777" w:rsidR="00F94F7F" w:rsidRPr="00D03284" w:rsidRDefault="00F94F7F" w:rsidP="00685136">
            <w:pPr>
              <w:jc w:val="center"/>
              <w:rPr>
                <w:color w:val="000000"/>
                <w:sz w:val="16"/>
                <w:szCs w:val="16"/>
              </w:rPr>
            </w:pPr>
            <w:r>
              <w:rPr>
                <w:i/>
                <w:sz w:val="16"/>
              </w:rPr>
              <w:t>À compléter</w:t>
            </w:r>
          </w:p>
        </w:tc>
        <w:tc>
          <w:tcPr>
            <w:tcW w:w="594" w:type="pct"/>
            <w:shd w:val="clear" w:color="auto" w:fill="auto"/>
            <w:noWrap/>
            <w:hideMark/>
          </w:tcPr>
          <w:p w14:paraId="13A70A24"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0A3CB264"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5594595A"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3734C649" w14:textId="77777777" w:rsidR="00F94F7F" w:rsidRPr="00D03284" w:rsidRDefault="00F94F7F" w:rsidP="00685136">
            <w:pPr>
              <w:jc w:val="center"/>
              <w:rPr>
                <w:color w:val="000000"/>
                <w:sz w:val="16"/>
                <w:szCs w:val="16"/>
              </w:rPr>
            </w:pPr>
            <w:r>
              <w:rPr>
                <w:i/>
                <w:sz w:val="16"/>
              </w:rPr>
              <w:t>À compléter</w:t>
            </w:r>
          </w:p>
        </w:tc>
        <w:tc>
          <w:tcPr>
            <w:tcW w:w="455" w:type="pct"/>
            <w:shd w:val="clear" w:color="auto" w:fill="auto"/>
            <w:noWrap/>
            <w:hideMark/>
          </w:tcPr>
          <w:p w14:paraId="7EA7AA45" w14:textId="77777777" w:rsidR="00F94F7F" w:rsidRPr="00D03284" w:rsidRDefault="00F94F7F" w:rsidP="00685136">
            <w:pPr>
              <w:jc w:val="center"/>
              <w:rPr>
                <w:color w:val="000000"/>
                <w:sz w:val="16"/>
                <w:szCs w:val="16"/>
              </w:rPr>
            </w:pPr>
            <w:r>
              <w:rPr>
                <w:i/>
                <w:sz w:val="16"/>
              </w:rPr>
              <w:t>À compléter</w:t>
            </w:r>
          </w:p>
        </w:tc>
        <w:tc>
          <w:tcPr>
            <w:tcW w:w="455" w:type="pct"/>
            <w:shd w:val="clear" w:color="auto" w:fill="auto"/>
            <w:noWrap/>
            <w:hideMark/>
          </w:tcPr>
          <w:p w14:paraId="013C0B69" w14:textId="77777777" w:rsidR="00F94F7F" w:rsidRPr="00D03284" w:rsidRDefault="00F94F7F" w:rsidP="00685136">
            <w:pPr>
              <w:jc w:val="center"/>
              <w:rPr>
                <w:color w:val="000000"/>
                <w:sz w:val="16"/>
                <w:szCs w:val="16"/>
              </w:rPr>
            </w:pPr>
            <w:r>
              <w:rPr>
                <w:i/>
                <w:sz w:val="16"/>
              </w:rPr>
              <w:t>À compléter</w:t>
            </w:r>
          </w:p>
        </w:tc>
        <w:tc>
          <w:tcPr>
            <w:tcW w:w="650" w:type="pct"/>
            <w:shd w:val="clear" w:color="auto" w:fill="auto"/>
            <w:noWrap/>
            <w:hideMark/>
          </w:tcPr>
          <w:p w14:paraId="778E75CF" w14:textId="77777777" w:rsidR="00F94F7F" w:rsidRPr="00D03284" w:rsidRDefault="00F94F7F" w:rsidP="00685136">
            <w:pPr>
              <w:jc w:val="center"/>
              <w:rPr>
                <w:color w:val="000000"/>
                <w:sz w:val="16"/>
                <w:szCs w:val="16"/>
              </w:rPr>
            </w:pPr>
            <w:r>
              <w:rPr>
                <w:i/>
                <w:sz w:val="16"/>
              </w:rPr>
              <w:t>À compléter</w:t>
            </w:r>
          </w:p>
        </w:tc>
      </w:tr>
      <w:tr w:rsidR="00F94F7F" w:rsidRPr="00D03284" w14:paraId="1C3A2D01" w14:textId="77777777" w:rsidTr="00685136">
        <w:trPr>
          <w:trHeight w:val="56"/>
          <w:jc w:val="center"/>
        </w:trPr>
        <w:tc>
          <w:tcPr>
            <w:tcW w:w="651" w:type="pct"/>
            <w:shd w:val="clear" w:color="auto" w:fill="auto"/>
            <w:noWrap/>
            <w:hideMark/>
          </w:tcPr>
          <w:p w14:paraId="5A5D8BC1" w14:textId="77777777" w:rsidR="00F94F7F" w:rsidRPr="00D03284" w:rsidRDefault="00F94F7F" w:rsidP="00685136">
            <w:pPr>
              <w:jc w:val="left"/>
              <w:rPr>
                <w:color w:val="000000"/>
                <w:sz w:val="18"/>
                <w:szCs w:val="18"/>
              </w:rPr>
            </w:pPr>
            <w:r>
              <w:rPr>
                <w:color w:val="000000"/>
                <w:sz w:val="18"/>
              </w:rPr>
              <w:t>Europe</w:t>
            </w:r>
          </w:p>
        </w:tc>
        <w:tc>
          <w:tcPr>
            <w:tcW w:w="443" w:type="pct"/>
            <w:shd w:val="clear" w:color="auto" w:fill="auto"/>
            <w:noWrap/>
            <w:hideMark/>
          </w:tcPr>
          <w:p w14:paraId="51C75C41" w14:textId="77777777" w:rsidR="00F94F7F" w:rsidRPr="00D03284" w:rsidRDefault="00F94F7F" w:rsidP="00685136">
            <w:pPr>
              <w:jc w:val="center"/>
              <w:rPr>
                <w:color w:val="000000"/>
                <w:sz w:val="16"/>
                <w:szCs w:val="16"/>
              </w:rPr>
            </w:pPr>
            <w:r>
              <w:rPr>
                <w:i/>
                <w:sz w:val="16"/>
              </w:rPr>
              <w:t>À compléter</w:t>
            </w:r>
          </w:p>
        </w:tc>
        <w:tc>
          <w:tcPr>
            <w:tcW w:w="594" w:type="pct"/>
            <w:shd w:val="clear" w:color="auto" w:fill="auto"/>
            <w:noWrap/>
            <w:hideMark/>
          </w:tcPr>
          <w:p w14:paraId="682B0E17"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56C87872"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63C1A36D"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16A769A9" w14:textId="77777777" w:rsidR="00F94F7F" w:rsidRPr="00D03284" w:rsidRDefault="00F94F7F" w:rsidP="00685136">
            <w:pPr>
              <w:jc w:val="center"/>
              <w:rPr>
                <w:color w:val="000000"/>
                <w:sz w:val="16"/>
                <w:szCs w:val="16"/>
              </w:rPr>
            </w:pPr>
            <w:r>
              <w:rPr>
                <w:i/>
                <w:sz w:val="16"/>
              </w:rPr>
              <w:t>À compléter</w:t>
            </w:r>
          </w:p>
        </w:tc>
        <w:tc>
          <w:tcPr>
            <w:tcW w:w="455" w:type="pct"/>
            <w:shd w:val="clear" w:color="auto" w:fill="auto"/>
            <w:noWrap/>
            <w:hideMark/>
          </w:tcPr>
          <w:p w14:paraId="2F8D42CD" w14:textId="77777777" w:rsidR="00F94F7F" w:rsidRPr="00D03284" w:rsidRDefault="00F94F7F" w:rsidP="00685136">
            <w:pPr>
              <w:jc w:val="center"/>
              <w:rPr>
                <w:color w:val="000000"/>
                <w:sz w:val="16"/>
                <w:szCs w:val="16"/>
              </w:rPr>
            </w:pPr>
            <w:r>
              <w:rPr>
                <w:i/>
                <w:sz w:val="16"/>
              </w:rPr>
              <w:t>À compléter</w:t>
            </w:r>
          </w:p>
        </w:tc>
        <w:tc>
          <w:tcPr>
            <w:tcW w:w="455" w:type="pct"/>
            <w:shd w:val="clear" w:color="auto" w:fill="auto"/>
            <w:noWrap/>
            <w:hideMark/>
          </w:tcPr>
          <w:p w14:paraId="5948741C" w14:textId="77777777" w:rsidR="00F94F7F" w:rsidRPr="00D03284" w:rsidRDefault="00F94F7F" w:rsidP="00685136">
            <w:pPr>
              <w:jc w:val="center"/>
              <w:rPr>
                <w:color w:val="000000"/>
                <w:sz w:val="16"/>
                <w:szCs w:val="16"/>
              </w:rPr>
            </w:pPr>
            <w:r>
              <w:rPr>
                <w:i/>
                <w:sz w:val="16"/>
              </w:rPr>
              <w:t>À compléter</w:t>
            </w:r>
          </w:p>
        </w:tc>
        <w:tc>
          <w:tcPr>
            <w:tcW w:w="650" w:type="pct"/>
            <w:shd w:val="clear" w:color="auto" w:fill="auto"/>
            <w:noWrap/>
            <w:hideMark/>
          </w:tcPr>
          <w:p w14:paraId="4B9B3482" w14:textId="77777777" w:rsidR="00F94F7F" w:rsidRPr="00D03284" w:rsidRDefault="00F94F7F" w:rsidP="00685136">
            <w:pPr>
              <w:jc w:val="center"/>
              <w:rPr>
                <w:color w:val="000000"/>
                <w:sz w:val="16"/>
                <w:szCs w:val="16"/>
              </w:rPr>
            </w:pPr>
            <w:r>
              <w:rPr>
                <w:i/>
                <w:sz w:val="16"/>
              </w:rPr>
              <w:t>À compléter</w:t>
            </w:r>
          </w:p>
        </w:tc>
      </w:tr>
      <w:tr w:rsidR="00F94F7F" w:rsidRPr="00D03284" w14:paraId="167CDBD3" w14:textId="77777777" w:rsidTr="00685136">
        <w:trPr>
          <w:trHeight w:val="273"/>
          <w:jc w:val="center"/>
        </w:trPr>
        <w:tc>
          <w:tcPr>
            <w:tcW w:w="651" w:type="pct"/>
            <w:shd w:val="clear" w:color="auto" w:fill="auto"/>
            <w:noWrap/>
            <w:hideMark/>
          </w:tcPr>
          <w:p w14:paraId="7EDD47AA" w14:textId="77777777" w:rsidR="00F94F7F" w:rsidRPr="00D03284" w:rsidRDefault="00F94F7F" w:rsidP="00685136">
            <w:pPr>
              <w:jc w:val="left"/>
              <w:rPr>
                <w:color w:val="000000"/>
                <w:sz w:val="18"/>
                <w:szCs w:val="18"/>
              </w:rPr>
            </w:pPr>
            <w:r>
              <w:rPr>
                <w:color w:val="000000"/>
                <w:sz w:val="18"/>
              </w:rPr>
              <w:t>Amérique latine et Caraïbes</w:t>
            </w:r>
          </w:p>
        </w:tc>
        <w:tc>
          <w:tcPr>
            <w:tcW w:w="443" w:type="pct"/>
            <w:shd w:val="clear" w:color="auto" w:fill="auto"/>
            <w:noWrap/>
            <w:hideMark/>
          </w:tcPr>
          <w:p w14:paraId="0A134FD4" w14:textId="77777777" w:rsidR="00F94F7F" w:rsidRPr="00D03284" w:rsidRDefault="00F94F7F" w:rsidP="00685136">
            <w:pPr>
              <w:jc w:val="center"/>
              <w:rPr>
                <w:color w:val="000000"/>
                <w:sz w:val="16"/>
                <w:szCs w:val="16"/>
              </w:rPr>
            </w:pPr>
            <w:r>
              <w:rPr>
                <w:i/>
                <w:sz w:val="16"/>
              </w:rPr>
              <w:t>À compléter</w:t>
            </w:r>
          </w:p>
        </w:tc>
        <w:tc>
          <w:tcPr>
            <w:tcW w:w="594" w:type="pct"/>
            <w:shd w:val="clear" w:color="auto" w:fill="auto"/>
            <w:noWrap/>
            <w:hideMark/>
          </w:tcPr>
          <w:p w14:paraId="21EA304A"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304B4A2B"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536931CE"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05A8920B" w14:textId="77777777" w:rsidR="00F94F7F" w:rsidRPr="00D03284" w:rsidRDefault="00F94F7F" w:rsidP="00685136">
            <w:pPr>
              <w:jc w:val="center"/>
              <w:rPr>
                <w:color w:val="000000"/>
                <w:sz w:val="16"/>
                <w:szCs w:val="16"/>
              </w:rPr>
            </w:pPr>
            <w:r>
              <w:rPr>
                <w:i/>
                <w:sz w:val="16"/>
              </w:rPr>
              <w:t>À compléter</w:t>
            </w:r>
          </w:p>
        </w:tc>
        <w:tc>
          <w:tcPr>
            <w:tcW w:w="455" w:type="pct"/>
            <w:shd w:val="clear" w:color="auto" w:fill="auto"/>
            <w:noWrap/>
            <w:hideMark/>
          </w:tcPr>
          <w:p w14:paraId="2EF75A2F" w14:textId="77777777" w:rsidR="00F94F7F" w:rsidRPr="00D03284" w:rsidRDefault="00F94F7F" w:rsidP="00685136">
            <w:pPr>
              <w:jc w:val="center"/>
              <w:rPr>
                <w:color w:val="000000"/>
                <w:sz w:val="16"/>
                <w:szCs w:val="16"/>
              </w:rPr>
            </w:pPr>
            <w:r>
              <w:rPr>
                <w:i/>
                <w:sz w:val="16"/>
              </w:rPr>
              <w:t>À compléter</w:t>
            </w:r>
          </w:p>
        </w:tc>
        <w:tc>
          <w:tcPr>
            <w:tcW w:w="455" w:type="pct"/>
            <w:shd w:val="clear" w:color="auto" w:fill="auto"/>
            <w:noWrap/>
            <w:hideMark/>
          </w:tcPr>
          <w:p w14:paraId="624B7AAA" w14:textId="77777777" w:rsidR="00F94F7F" w:rsidRPr="00D03284" w:rsidRDefault="00F94F7F" w:rsidP="00685136">
            <w:pPr>
              <w:jc w:val="center"/>
              <w:rPr>
                <w:color w:val="000000"/>
                <w:sz w:val="16"/>
                <w:szCs w:val="16"/>
              </w:rPr>
            </w:pPr>
            <w:r>
              <w:rPr>
                <w:i/>
                <w:sz w:val="16"/>
              </w:rPr>
              <w:t>À compléter</w:t>
            </w:r>
          </w:p>
        </w:tc>
        <w:tc>
          <w:tcPr>
            <w:tcW w:w="650" w:type="pct"/>
            <w:shd w:val="clear" w:color="auto" w:fill="auto"/>
            <w:noWrap/>
            <w:hideMark/>
          </w:tcPr>
          <w:p w14:paraId="04ADB170" w14:textId="77777777" w:rsidR="00F94F7F" w:rsidRPr="00D03284" w:rsidRDefault="00F94F7F" w:rsidP="00685136">
            <w:pPr>
              <w:jc w:val="center"/>
              <w:rPr>
                <w:color w:val="000000"/>
                <w:sz w:val="16"/>
                <w:szCs w:val="16"/>
              </w:rPr>
            </w:pPr>
            <w:r>
              <w:rPr>
                <w:i/>
                <w:sz w:val="16"/>
              </w:rPr>
              <w:t>À compléter</w:t>
            </w:r>
          </w:p>
        </w:tc>
      </w:tr>
      <w:tr w:rsidR="00F94F7F" w:rsidRPr="00D03284" w14:paraId="0EECA77D" w14:textId="77777777" w:rsidTr="00685136">
        <w:trPr>
          <w:trHeight w:val="122"/>
          <w:jc w:val="center"/>
        </w:trPr>
        <w:tc>
          <w:tcPr>
            <w:tcW w:w="651" w:type="pct"/>
            <w:shd w:val="clear" w:color="auto" w:fill="auto"/>
            <w:noWrap/>
            <w:hideMark/>
          </w:tcPr>
          <w:p w14:paraId="4F09E1BA" w14:textId="77777777" w:rsidR="00F94F7F" w:rsidRPr="00D03284" w:rsidRDefault="00F94F7F" w:rsidP="00685136">
            <w:pPr>
              <w:jc w:val="left"/>
              <w:rPr>
                <w:color w:val="000000"/>
                <w:sz w:val="18"/>
                <w:szCs w:val="18"/>
              </w:rPr>
            </w:pPr>
            <w:r>
              <w:rPr>
                <w:color w:val="000000"/>
                <w:sz w:val="18"/>
              </w:rPr>
              <w:t>Monde</w:t>
            </w:r>
          </w:p>
        </w:tc>
        <w:tc>
          <w:tcPr>
            <w:tcW w:w="443" w:type="pct"/>
            <w:shd w:val="clear" w:color="auto" w:fill="auto"/>
            <w:noWrap/>
            <w:hideMark/>
          </w:tcPr>
          <w:p w14:paraId="49257FA0" w14:textId="77777777" w:rsidR="00F94F7F" w:rsidRPr="00D03284" w:rsidRDefault="00F94F7F" w:rsidP="00685136">
            <w:pPr>
              <w:jc w:val="center"/>
              <w:rPr>
                <w:color w:val="000000"/>
                <w:sz w:val="16"/>
                <w:szCs w:val="16"/>
              </w:rPr>
            </w:pPr>
            <w:r>
              <w:rPr>
                <w:i/>
                <w:sz w:val="16"/>
              </w:rPr>
              <w:t>À compléter</w:t>
            </w:r>
          </w:p>
        </w:tc>
        <w:tc>
          <w:tcPr>
            <w:tcW w:w="594" w:type="pct"/>
            <w:shd w:val="clear" w:color="auto" w:fill="auto"/>
            <w:noWrap/>
            <w:hideMark/>
          </w:tcPr>
          <w:p w14:paraId="3E9DFBE9"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4DD5EADE"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22A01C98" w14:textId="77777777" w:rsidR="00F94F7F" w:rsidRPr="00D03284" w:rsidRDefault="00F94F7F" w:rsidP="00685136">
            <w:pPr>
              <w:jc w:val="center"/>
              <w:rPr>
                <w:color w:val="000000"/>
                <w:sz w:val="16"/>
                <w:szCs w:val="16"/>
              </w:rPr>
            </w:pPr>
            <w:r>
              <w:rPr>
                <w:i/>
                <w:sz w:val="16"/>
              </w:rPr>
              <w:t>À compléter</w:t>
            </w:r>
          </w:p>
        </w:tc>
        <w:tc>
          <w:tcPr>
            <w:tcW w:w="584" w:type="pct"/>
            <w:shd w:val="clear" w:color="auto" w:fill="auto"/>
            <w:noWrap/>
            <w:hideMark/>
          </w:tcPr>
          <w:p w14:paraId="7375B3CE" w14:textId="77777777" w:rsidR="00F94F7F" w:rsidRPr="00D03284" w:rsidRDefault="00F94F7F" w:rsidP="00685136">
            <w:pPr>
              <w:jc w:val="center"/>
              <w:rPr>
                <w:color w:val="000000"/>
                <w:sz w:val="16"/>
                <w:szCs w:val="16"/>
              </w:rPr>
            </w:pPr>
            <w:r>
              <w:rPr>
                <w:i/>
                <w:sz w:val="16"/>
              </w:rPr>
              <w:t>À compléter</w:t>
            </w:r>
          </w:p>
        </w:tc>
        <w:tc>
          <w:tcPr>
            <w:tcW w:w="455" w:type="pct"/>
            <w:shd w:val="clear" w:color="auto" w:fill="auto"/>
            <w:noWrap/>
            <w:hideMark/>
          </w:tcPr>
          <w:p w14:paraId="057FD5B5" w14:textId="77777777" w:rsidR="00F94F7F" w:rsidRPr="00D03284" w:rsidRDefault="00F94F7F" w:rsidP="00685136">
            <w:pPr>
              <w:jc w:val="center"/>
              <w:rPr>
                <w:color w:val="000000"/>
                <w:sz w:val="16"/>
                <w:szCs w:val="16"/>
              </w:rPr>
            </w:pPr>
            <w:r>
              <w:rPr>
                <w:i/>
                <w:sz w:val="16"/>
              </w:rPr>
              <w:t>À compléter</w:t>
            </w:r>
          </w:p>
        </w:tc>
        <w:tc>
          <w:tcPr>
            <w:tcW w:w="455" w:type="pct"/>
            <w:shd w:val="clear" w:color="auto" w:fill="auto"/>
            <w:noWrap/>
            <w:hideMark/>
          </w:tcPr>
          <w:p w14:paraId="14363B93" w14:textId="77777777" w:rsidR="00F94F7F" w:rsidRPr="00D03284" w:rsidRDefault="00F94F7F" w:rsidP="00685136">
            <w:pPr>
              <w:jc w:val="center"/>
              <w:rPr>
                <w:color w:val="000000"/>
                <w:sz w:val="16"/>
                <w:szCs w:val="16"/>
              </w:rPr>
            </w:pPr>
            <w:r>
              <w:rPr>
                <w:i/>
                <w:sz w:val="16"/>
              </w:rPr>
              <w:t>À compléter</w:t>
            </w:r>
          </w:p>
        </w:tc>
        <w:tc>
          <w:tcPr>
            <w:tcW w:w="650" w:type="pct"/>
            <w:shd w:val="clear" w:color="auto" w:fill="auto"/>
            <w:noWrap/>
            <w:hideMark/>
          </w:tcPr>
          <w:p w14:paraId="7F98406E" w14:textId="77777777" w:rsidR="00F94F7F" w:rsidRPr="00D03284" w:rsidRDefault="00F94F7F" w:rsidP="00685136">
            <w:pPr>
              <w:jc w:val="center"/>
              <w:rPr>
                <w:color w:val="000000"/>
                <w:sz w:val="16"/>
                <w:szCs w:val="16"/>
              </w:rPr>
            </w:pPr>
            <w:r>
              <w:rPr>
                <w:i/>
                <w:sz w:val="16"/>
              </w:rPr>
              <w:t>À compléter</w:t>
            </w:r>
          </w:p>
        </w:tc>
      </w:tr>
      <w:tr w:rsidR="00F94F7F" w:rsidRPr="00D03284" w14:paraId="260E01E6" w14:textId="77777777" w:rsidTr="0065769A">
        <w:trPr>
          <w:trHeight w:val="287"/>
          <w:jc w:val="center"/>
        </w:trPr>
        <w:tc>
          <w:tcPr>
            <w:tcW w:w="5000" w:type="pct"/>
            <w:gridSpan w:val="9"/>
            <w:shd w:val="clear" w:color="auto" w:fill="auto"/>
            <w:noWrap/>
            <w:hideMark/>
          </w:tcPr>
          <w:p w14:paraId="27E20CB3" w14:textId="77777777" w:rsidR="00F94F7F" w:rsidRPr="00D03284" w:rsidRDefault="00F94F7F" w:rsidP="00685136">
            <w:pPr>
              <w:jc w:val="left"/>
              <w:rPr>
                <w:color w:val="000000"/>
                <w:sz w:val="16"/>
                <w:szCs w:val="16"/>
              </w:rPr>
            </w:pPr>
          </w:p>
        </w:tc>
      </w:tr>
      <w:tr w:rsidR="00F94F7F" w:rsidRPr="00D03284" w14:paraId="5B4BBE2C" w14:textId="77777777" w:rsidTr="00685136">
        <w:trPr>
          <w:trHeight w:val="44"/>
          <w:jc w:val="center"/>
        </w:trPr>
        <w:tc>
          <w:tcPr>
            <w:tcW w:w="651" w:type="pct"/>
            <w:shd w:val="clear" w:color="auto" w:fill="auto"/>
            <w:noWrap/>
            <w:hideMark/>
          </w:tcPr>
          <w:p w14:paraId="026BAA5A" w14:textId="77777777" w:rsidR="00F94F7F" w:rsidRPr="00D03284" w:rsidRDefault="00F94F7F" w:rsidP="00685136">
            <w:pPr>
              <w:jc w:val="left"/>
              <w:rPr>
                <w:color w:val="000000"/>
                <w:sz w:val="18"/>
                <w:szCs w:val="18"/>
              </w:rPr>
            </w:pPr>
            <w:r>
              <w:rPr>
                <w:color w:val="000000"/>
                <w:sz w:val="18"/>
              </w:rPr>
              <w:t>Aérosols</w:t>
            </w:r>
          </w:p>
        </w:tc>
        <w:tc>
          <w:tcPr>
            <w:tcW w:w="443" w:type="pct"/>
            <w:shd w:val="clear" w:color="auto" w:fill="auto"/>
            <w:noWrap/>
          </w:tcPr>
          <w:p w14:paraId="7772F158"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0FA1B516"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49ACB7A0"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020D5C88"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55A373FE"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7AA5C604"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44AA8A21"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5D81E56F" w14:textId="77777777" w:rsidR="00F94F7F" w:rsidRPr="00D03284" w:rsidRDefault="00F94F7F" w:rsidP="00685136">
            <w:pPr>
              <w:jc w:val="center"/>
              <w:rPr>
                <w:i/>
                <w:iCs/>
                <w:color w:val="000000"/>
                <w:sz w:val="16"/>
                <w:szCs w:val="16"/>
              </w:rPr>
            </w:pPr>
            <w:r>
              <w:rPr>
                <w:i/>
                <w:sz w:val="16"/>
              </w:rPr>
              <w:t>À compléter</w:t>
            </w:r>
          </w:p>
        </w:tc>
      </w:tr>
      <w:tr w:rsidR="00F94F7F" w:rsidRPr="00D03284" w14:paraId="3D841B75" w14:textId="77777777" w:rsidTr="00685136">
        <w:trPr>
          <w:trHeight w:val="44"/>
          <w:jc w:val="center"/>
        </w:trPr>
        <w:tc>
          <w:tcPr>
            <w:tcW w:w="651" w:type="pct"/>
            <w:shd w:val="clear" w:color="auto" w:fill="auto"/>
            <w:noWrap/>
            <w:hideMark/>
          </w:tcPr>
          <w:p w14:paraId="03CB7894" w14:textId="77777777" w:rsidR="00F94F7F" w:rsidRPr="00D03284" w:rsidRDefault="00F94F7F" w:rsidP="00685136">
            <w:pPr>
              <w:jc w:val="left"/>
              <w:rPr>
                <w:color w:val="000000"/>
                <w:sz w:val="18"/>
                <w:szCs w:val="18"/>
              </w:rPr>
            </w:pPr>
            <w:r>
              <w:rPr>
                <w:color w:val="000000"/>
                <w:sz w:val="18"/>
              </w:rPr>
              <w:t>Destruction</w:t>
            </w:r>
          </w:p>
        </w:tc>
        <w:tc>
          <w:tcPr>
            <w:tcW w:w="443" w:type="pct"/>
            <w:shd w:val="clear" w:color="auto" w:fill="auto"/>
            <w:noWrap/>
          </w:tcPr>
          <w:p w14:paraId="2FDD6A08"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5C398B72"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26A78CC0"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04CF70A7"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25217469"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0F7BAD66"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16B7DFF3"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2717221B" w14:textId="77777777" w:rsidR="00F94F7F" w:rsidRPr="00D03284" w:rsidRDefault="00F94F7F" w:rsidP="00685136">
            <w:pPr>
              <w:jc w:val="center"/>
              <w:rPr>
                <w:i/>
                <w:iCs/>
                <w:color w:val="000000"/>
                <w:sz w:val="16"/>
                <w:szCs w:val="16"/>
              </w:rPr>
            </w:pPr>
            <w:r>
              <w:rPr>
                <w:i/>
                <w:sz w:val="16"/>
              </w:rPr>
              <w:t>À compléter</w:t>
            </w:r>
          </w:p>
        </w:tc>
      </w:tr>
      <w:tr w:rsidR="00F94F7F" w:rsidRPr="00D03284" w14:paraId="1A0FE131" w14:textId="77777777" w:rsidTr="00685136">
        <w:trPr>
          <w:trHeight w:val="107"/>
          <w:jc w:val="center"/>
        </w:trPr>
        <w:tc>
          <w:tcPr>
            <w:tcW w:w="651" w:type="pct"/>
            <w:shd w:val="clear" w:color="auto" w:fill="auto"/>
            <w:noWrap/>
            <w:hideMark/>
          </w:tcPr>
          <w:p w14:paraId="101E3372" w14:textId="77777777" w:rsidR="00F94F7F" w:rsidRPr="00D03284" w:rsidRDefault="00F94F7F" w:rsidP="00685136">
            <w:pPr>
              <w:jc w:val="left"/>
              <w:rPr>
                <w:color w:val="000000"/>
                <w:sz w:val="18"/>
                <w:szCs w:val="18"/>
              </w:rPr>
            </w:pPr>
            <w:r>
              <w:rPr>
                <w:color w:val="000000"/>
                <w:sz w:val="18"/>
              </w:rPr>
              <w:t>Mousses</w:t>
            </w:r>
          </w:p>
        </w:tc>
        <w:tc>
          <w:tcPr>
            <w:tcW w:w="443" w:type="pct"/>
            <w:shd w:val="clear" w:color="auto" w:fill="auto"/>
            <w:noWrap/>
          </w:tcPr>
          <w:p w14:paraId="71A84B04"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6052D7E8"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6531B812"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3F6F6DBF"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30D1FEBF"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0326AE5F"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7DFC22D6"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4CD17204" w14:textId="77777777" w:rsidR="00F94F7F" w:rsidRPr="00D03284" w:rsidRDefault="00F94F7F" w:rsidP="00685136">
            <w:pPr>
              <w:jc w:val="center"/>
              <w:rPr>
                <w:i/>
                <w:iCs/>
                <w:color w:val="000000"/>
                <w:sz w:val="16"/>
                <w:szCs w:val="16"/>
              </w:rPr>
            </w:pPr>
            <w:r>
              <w:rPr>
                <w:i/>
                <w:sz w:val="16"/>
              </w:rPr>
              <w:t>À compléter</w:t>
            </w:r>
          </w:p>
        </w:tc>
      </w:tr>
      <w:tr w:rsidR="00F94F7F" w:rsidRPr="00D03284" w14:paraId="5A4DC0FE" w14:textId="77777777" w:rsidTr="00685136">
        <w:trPr>
          <w:trHeight w:val="44"/>
          <w:jc w:val="center"/>
        </w:trPr>
        <w:tc>
          <w:tcPr>
            <w:tcW w:w="651" w:type="pct"/>
            <w:shd w:val="clear" w:color="auto" w:fill="auto"/>
            <w:noWrap/>
            <w:hideMark/>
          </w:tcPr>
          <w:p w14:paraId="6E3ED131" w14:textId="77777777" w:rsidR="00F94F7F" w:rsidRPr="00D03284" w:rsidRDefault="00F94F7F" w:rsidP="00685136">
            <w:pPr>
              <w:jc w:val="left"/>
              <w:rPr>
                <w:color w:val="000000"/>
                <w:sz w:val="18"/>
                <w:szCs w:val="18"/>
              </w:rPr>
            </w:pPr>
            <w:r>
              <w:rPr>
                <w:color w:val="000000"/>
                <w:sz w:val="18"/>
              </w:rPr>
              <w:t>Fumigènes</w:t>
            </w:r>
          </w:p>
        </w:tc>
        <w:tc>
          <w:tcPr>
            <w:tcW w:w="443" w:type="pct"/>
            <w:shd w:val="clear" w:color="auto" w:fill="auto"/>
            <w:noWrap/>
          </w:tcPr>
          <w:p w14:paraId="7AEC2E12"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51B070AF"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78DFC50F"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3B97C856"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48ED56B2"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5423C121"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7AB5005A"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0CDB7615" w14:textId="77777777" w:rsidR="00F94F7F" w:rsidRPr="00D03284" w:rsidRDefault="00F94F7F" w:rsidP="00685136">
            <w:pPr>
              <w:jc w:val="center"/>
              <w:rPr>
                <w:i/>
                <w:iCs/>
                <w:color w:val="000000"/>
                <w:sz w:val="16"/>
                <w:szCs w:val="16"/>
              </w:rPr>
            </w:pPr>
            <w:r>
              <w:rPr>
                <w:i/>
                <w:sz w:val="16"/>
              </w:rPr>
              <w:t>À compléter</w:t>
            </w:r>
          </w:p>
        </w:tc>
      </w:tr>
      <w:tr w:rsidR="00F94F7F" w:rsidRPr="00D03284" w14:paraId="2667C5E5" w14:textId="77777777" w:rsidTr="00685136">
        <w:trPr>
          <w:trHeight w:val="44"/>
          <w:jc w:val="center"/>
        </w:trPr>
        <w:tc>
          <w:tcPr>
            <w:tcW w:w="651" w:type="pct"/>
            <w:shd w:val="clear" w:color="auto" w:fill="auto"/>
            <w:noWrap/>
            <w:hideMark/>
          </w:tcPr>
          <w:p w14:paraId="73F1C768" w14:textId="77777777" w:rsidR="00F94F7F" w:rsidRPr="00D03284" w:rsidRDefault="00F94F7F" w:rsidP="00685136">
            <w:pPr>
              <w:jc w:val="left"/>
              <w:rPr>
                <w:color w:val="000000"/>
                <w:sz w:val="18"/>
                <w:szCs w:val="18"/>
              </w:rPr>
            </w:pPr>
            <w:r>
              <w:rPr>
                <w:color w:val="000000"/>
                <w:sz w:val="18"/>
              </w:rPr>
              <w:t>Halons</w:t>
            </w:r>
          </w:p>
        </w:tc>
        <w:tc>
          <w:tcPr>
            <w:tcW w:w="443" w:type="pct"/>
            <w:shd w:val="clear" w:color="auto" w:fill="auto"/>
            <w:noWrap/>
          </w:tcPr>
          <w:p w14:paraId="1D7BD9A5"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335941F8"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02449553"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1C21368B"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41363E7A"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59079FD7"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148BECED"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570CF033" w14:textId="77777777" w:rsidR="00F94F7F" w:rsidRPr="00D03284" w:rsidRDefault="00F94F7F" w:rsidP="00685136">
            <w:pPr>
              <w:jc w:val="center"/>
              <w:rPr>
                <w:i/>
                <w:iCs/>
                <w:color w:val="000000"/>
                <w:sz w:val="16"/>
                <w:szCs w:val="16"/>
              </w:rPr>
            </w:pPr>
            <w:r>
              <w:rPr>
                <w:i/>
                <w:sz w:val="16"/>
              </w:rPr>
              <w:t>À compléter</w:t>
            </w:r>
          </w:p>
        </w:tc>
      </w:tr>
      <w:tr w:rsidR="00F94F7F" w:rsidRPr="00D03284" w14:paraId="2187E23F" w14:textId="77777777" w:rsidTr="00685136">
        <w:trPr>
          <w:trHeight w:val="44"/>
          <w:jc w:val="center"/>
        </w:trPr>
        <w:tc>
          <w:tcPr>
            <w:tcW w:w="651" w:type="pct"/>
            <w:shd w:val="clear" w:color="auto" w:fill="auto"/>
            <w:noWrap/>
            <w:hideMark/>
          </w:tcPr>
          <w:p w14:paraId="761FB535" w14:textId="77777777" w:rsidR="00F94F7F" w:rsidRPr="00D03284" w:rsidRDefault="00F94F7F" w:rsidP="00685136">
            <w:pPr>
              <w:jc w:val="left"/>
              <w:rPr>
                <w:color w:val="000000"/>
                <w:sz w:val="18"/>
                <w:szCs w:val="18"/>
              </w:rPr>
            </w:pPr>
            <w:r>
              <w:rPr>
                <w:color w:val="000000"/>
                <w:sz w:val="18"/>
              </w:rPr>
              <w:t>KIP</w:t>
            </w:r>
          </w:p>
        </w:tc>
        <w:tc>
          <w:tcPr>
            <w:tcW w:w="443" w:type="pct"/>
            <w:shd w:val="clear" w:color="auto" w:fill="auto"/>
            <w:noWrap/>
          </w:tcPr>
          <w:p w14:paraId="3977BC59"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4181732E"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1E2C852D"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2CFDE48B"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23357021"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541B6E57"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3B64DCF7"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277DD602" w14:textId="77777777" w:rsidR="00F94F7F" w:rsidRPr="00D03284" w:rsidRDefault="00F94F7F" w:rsidP="00685136">
            <w:pPr>
              <w:jc w:val="center"/>
              <w:rPr>
                <w:i/>
                <w:iCs/>
                <w:color w:val="000000"/>
                <w:sz w:val="16"/>
                <w:szCs w:val="16"/>
              </w:rPr>
            </w:pPr>
            <w:r>
              <w:rPr>
                <w:i/>
                <w:sz w:val="16"/>
              </w:rPr>
              <w:t>À compléter</w:t>
            </w:r>
          </w:p>
        </w:tc>
      </w:tr>
      <w:tr w:rsidR="00F94F7F" w:rsidRPr="00D03284" w14:paraId="196EA32D" w14:textId="77777777" w:rsidTr="00685136">
        <w:trPr>
          <w:trHeight w:val="44"/>
          <w:jc w:val="center"/>
        </w:trPr>
        <w:tc>
          <w:tcPr>
            <w:tcW w:w="651" w:type="pct"/>
            <w:shd w:val="clear" w:color="auto" w:fill="auto"/>
            <w:noWrap/>
            <w:hideMark/>
          </w:tcPr>
          <w:p w14:paraId="74FF445B" w14:textId="77777777" w:rsidR="00F94F7F" w:rsidRPr="00D03284" w:rsidRDefault="00F94F7F" w:rsidP="00685136">
            <w:pPr>
              <w:jc w:val="left"/>
              <w:rPr>
                <w:color w:val="000000"/>
                <w:sz w:val="18"/>
                <w:szCs w:val="18"/>
              </w:rPr>
            </w:pPr>
            <w:r>
              <w:rPr>
                <w:color w:val="000000"/>
                <w:sz w:val="18"/>
              </w:rPr>
              <w:t>Multi-sectoriel</w:t>
            </w:r>
          </w:p>
        </w:tc>
        <w:tc>
          <w:tcPr>
            <w:tcW w:w="443" w:type="pct"/>
            <w:shd w:val="clear" w:color="auto" w:fill="auto"/>
            <w:noWrap/>
          </w:tcPr>
          <w:p w14:paraId="7FEE3D1B"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71AB444B"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5267EB74"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77C0A4DE"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3481CFC9"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730D24AA"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5A447502"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0F49B342" w14:textId="77777777" w:rsidR="00F94F7F" w:rsidRPr="00D03284" w:rsidRDefault="00F94F7F" w:rsidP="00685136">
            <w:pPr>
              <w:jc w:val="center"/>
              <w:rPr>
                <w:i/>
                <w:iCs/>
                <w:color w:val="000000"/>
                <w:sz w:val="16"/>
                <w:szCs w:val="16"/>
              </w:rPr>
            </w:pPr>
            <w:r>
              <w:rPr>
                <w:i/>
                <w:sz w:val="16"/>
              </w:rPr>
              <w:t>À compléter</w:t>
            </w:r>
          </w:p>
        </w:tc>
      </w:tr>
      <w:tr w:rsidR="00F94F7F" w:rsidRPr="00D03284" w14:paraId="788E232B" w14:textId="77777777" w:rsidTr="00685136">
        <w:trPr>
          <w:trHeight w:val="44"/>
          <w:jc w:val="center"/>
        </w:trPr>
        <w:tc>
          <w:tcPr>
            <w:tcW w:w="651" w:type="pct"/>
            <w:shd w:val="clear" w:color="auto" w:fill="auto"/>
            <w:noWrap/>
            <w:hideMark/>
          </w:tcPr>
          <w:p w14:paraId="4476B1AA" w14:textId="77777777" w:rsidR="00F94F7F" w:rsidRPr="00D03284" w:rsidRDefault="00F94F7F" w:rsidP="00685136">
            <w:pPr>
              <w:jc w:val="left"/>
              <w:rPr>
                <w:color w:val="000000"/>
                <w:sz w:val="18"/>
                <w:szCs w:val="18"/>
              </w:rPr>
            </w:pPr>
            <w:r>
              <w:rPr>
                <w:color w:val="000000"/>
                <w:sz w:val="18"/>
              </w:rPr>
              <w:t>Autres</w:t>
            </w:r>
          </w:p>
        </w:tc>
        <w:tc>
          <w:tcPr>
            <w:tcW w:w="443" w:type="pct"/>
            <w:shd w:val="clear" w:color="auto" w:fill="auto"/>
            <w:noWrap/>
          </w:tcPr>
          <w:p w14:paraId="188AA911"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1A84B0A5"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6F7957A5"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1D244D81"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14BE0B62"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59C766F2"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51C54288"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17963579" w14:textId="77777777" w:rsidR="00F94F7F" w:rsidRPr="00D03284" w:rsidRDefault="00F94F7F" w:rsidP="00685136">
            <w:pPr>
              <w:jc w:val="center"/>
              <w:rPr>
                <w:i/>
                <w:iCs/>
                <w:color w:val="000000"/>
                <w:sz w:val="16"/>
                <w:szCs w:val="16"/>
              </w:rPr>
            </w:pPr>
            <w:r>
              <w:rPr>
                <w:i/>
                <w:sz w:val="16"/>
              </w:rPr>
              <w:t>À compléter</w:t>
            </w:r>
          </w:p>
        </w:tc>
      </w:tr>
      <w:tr w:rsidR="00F94F7F" w:rsidRPr="00D03284" w14:paraId="2C4C6313" w14:textId="77777777" w:rsidTr="00685136">
        <w:trPr>
          <w:trHeight w:val="44"/>
          <w:jc w:val="center"/>
        </w:trPr>
        <w:tc>
          <w:tcPr>
            <w:tcW w:w="651" w:type="pct"/>
            <w:shd w:val="clear" w:color="auto" w:fill="auto"/>
            <w:noWrap/>
            <w:hideMark/>
          </w:tcPr>
          <w:p w14:paraId="7FE81C02" w14:textId="77777777" w:rsidR="00F94F7F" w:rsidRPr="00D03284" w:rsidRDefault="00F94F7F" w:rsidP="00685136">
            <w:pPr>
              <w:jc w:val="left"/>
              <w:rPr>
                <w:color w:val="000000"/>
                <w:sz w:val="18"/>
                <w:szCs w:val="18"/>
              </w:rPr>
            </w:pPr>
            <w:r>
              <w:rPr>
                <w:color w:val="000000"/>
                <w:sz w:val="18"/>
              </w:rPr>
              <w:t>Agents de transformation</w:t>
            </w:r>
          </w:p>
        </w:tc>
        <w:tc>
          <w:tcPr>
            <w:tcW w:w="443" w:type="pct"/>
            <w:shd w:val="clear" w:color="auto" w:fill="auto"/>
            <w:noWrap/>
          </w:tcPr>
          <w:p w14:paraId="06876E71"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14A4A651"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0B8D2CEC"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420115C1"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3EAC538C"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740DF1CE"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560264C5"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34E0BA00" w14:textId="77777777" w:rsidR="00F94F7F" w:rsidRPr="00D03284" w:rsidRDefault="00F94F7F" w:rsidP="00685136">
            <w:pPr>
              <w:jc w:val="center"/>
              <w:rPr>
                <w:i/>
                <w:iCs/>
                <w:color w:val="000000"/>
                <w:sz w:val="16"/>
                <w:szCs w:val="16"/>
              </w:rPr>
            </w:pPr>
            <w:r>
              <w:rPr>
                <w:i/>
                <w:sz w:val="16"/>
              </w:rPr>
              <w:t>À compléter</w:t>
            </w:r>
          </w:p>
        </w:tc>
      </w:tr>
      <w:tr w:rsidR="00F94F7F" w:rsidRPr="00D03284" w14:paraId="6088ED4D" w14:textId="77777777" w:rsidTr="00685136">
        <w:trPr>
          <w:trHeight w:val="44"/>
          <w:jc w:val="center"/>
        </w:trPr>
        <w:tc>
          <w:tcPr>
            <w:tcW w:w="651" w:type="pct"/>
            <w:shd w:val="clear" w:color="auto" w:fill="auto"/>
            <w:noWrap/>
            <w:hideMark/>
          </w:tcPr>
          <w:p w14:paraId="098197E9" w14:textId="77777777" w:rsidR="00F94F7F" w:rsidRPr="00D03284" w:rsidRDefault="00F94F7F" w:rsidP="00685136">
            <w:pPr>
              <w:jc w:val="left"/>
              <w:rPr>
                <w:color w:val="000000"/>
                <w:sz w:val="18"/>
                <w:szCs w:val="18"/>
              </w:rPr>
            </w:pPr>
            <w:r>
              <w:rPr>
                <w:color w:val="000000"/>
                <w:sz w:val="18"/>
              </w:rPr>
              <w:t>Plan d’élimination</w:t>
            </w:r>
          </w:p>
        </w:tc>
        <w:tc>
          <w:tcPr>
            <w:tcW w:w="443" w:type="pct"/>
            <w:shd w:val="clear" w:color="auto" w:fill="auto"/>
            <w:noWrap/>
          </w:tcPr>
          <w:p w14:paraId="4BAD8E79"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5C3FA713"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10F96C0E"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4BB31AFE"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311F6E2C"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1DD2570B"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2961F84B"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2E7F3109" w14:textId="77777777" w:rsidR="00F94F7F" w:rsidRPr="00D03284" w:rsidRDefault="00F94F7F" w:rsidP="00685136">
            <w:pPr>
              <w:jc w:val="center"/>
              <w:rPr>
                <w:i/>
                <w:iCs/>
                <w:color w:val="000000"/>
                <w:sz w:val="16"/>
                <w:szCs w:val="16"/>
              </w:rPr>
            </w:pPr>
            <w:r>
              <w:rPr>
                <w:i/>
                <w:sz w:val="16"/>
              </w:rPr>
              <w:t>À compléter</w:t>
            </w:r>
          </w:p>
        </w:tc>
      </w:tr>
      <w:tr w:rsidR="00F94F7F" w:rsidRPr="00D03284" w14:paraId="5F9BC542" w14:textId="77777777" w:rsidTr="00685136">
        <w:trPr>
          <w:trHeight w:val="44"/>
          <w:jc w:val="center"/>
        </w:trPr>
        <w:tc>
          <w:tcPr>
            <w:tcW w:w="651" w:type="pct"/>
            <w:shd w:val="clear" w:color="auto" w:fill="auto"/>
            <w:noWrap/>
            <w:hideMark/>
          </w:tcPr>
          <w:p w14:paraId="0004844F" w14:textId="77777777" w:rsidR="00F94F7F" w:rsidRPr="00D03284" w:rsidRDefault="00F94F7F" w:rsidP="00685136">
            <w:pPr>
              <w:jc w:val="left"/>
              <w:rPr>
                <w:color w:val="000000"/>
                <w:sz w:val="18"/>
                <w:szCs w:val="18"/>
              </w:rPr>
            </w:pPr>
            <w:r>
              <w:rPr>
                <w:color w:val="000000"/>
                <w:sz w:val="18"/>
              </w:rPr>
              <w:t>Production</w:t>
            </w:r>
          </w:p>
        </w:tc>
        <w:tc>
          <w:tcPr>
            <w:tcW w:w="443" w:type="pct"/>
            <w:shd w:val="clear" w:color="auto" w:fill="auto"/>
            <w:noWrap/>
          </w:tcPr>
          <w:p w14:paraId="48547C4D"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6C317940"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41058DCD"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0D1DCD90"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4B63C9DB"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4E43A768"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147A1A40"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2B4DB815" w14:textId="77777777" w:rsidR="00F94F7F" w:rsidRPr="00D03284" w:rsidRDefault="00F94F7F" w:rsidP="00685136">
            <w:pPr>
              <w:jc w:val="center"/>
              <w:rPr>
                <w:i/>
                <w:iCs/>
                <w:color w:val="000000"/>
                <w:sz w:val="16"/>
                <w:szCs w:val="16"/>
              </w:rPr>
            </w:pPr>
            <w:r>
              <w:rPr>
                <w:i/>
                <w:sz w:val="16"/>
              </w:rPr>
              <w:t>À compléter</w:t>
            </w:r>
          </w:p>
        </w:tc>
      </w:tr>
      <w:tr w:rsidR="00F94F7F" w:rsidRPr="00D03284" w14:paraId="0D3B9EA9" w14:textId="77777777" w:rsidTr="00685136">
        <w:trPr>
          <w:trHeight w:val="44"/>
          <w:jc w:val="center"/>
        </w:trPr>
        <w:tc>
          <w:tcPr>
            <w:tcW w:w="651" w:type="pct"/>
            <w:shd w:val="clear" w:color="auto" w:fill="auto"/>
            <w:noWrap/>
            <w:hideMark/>
          </w:tcPr>
          <w:p w14:paraId="75EB67B0" w14:textId="77777777" w:rsidR="00F94F7F" w:rsidRPr="00D03284" w:rsidRDefault="00F94F7F" w:rsidP="00685136">
            <w:pPr>
              <w:jc w:val="left"/>
              <w:rPr>
                <w:color w:val="000000"/>
                <w:sz w:val="18"/>
                <w:szCs w:val="18"/>
              </w:rPr>
            </w:pPr>
            <w:r>
              <w:rPr>
                <w:color w:val="000000"/>
                <w:sz w:val="18"/>
              </w:rPr>
              <w:t>Réfrigération</w:t>
            </w:r>
          </w:p>
        </w:tc>
        <w:tc>
          <w:tcPr>
            <w:tcW w:w="443" w:type="pct"/>
            <w:shd w:val="clear" w:color="auto" w:fill="auto"/>
            <w:noWrap/>
          </w:tcPr>
          <w:p w14:paraId="62F5CEA9"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0B060FD3"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0299D0BF"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61E9E09D"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645ACDD6"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0A9783AE"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71A36421"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24452F7D" w14:textId="77777777" w:rsidR="00F94F7F" w:rsidRPr="00D03284" w:rsidRDefault="00F94F7F" w:rsidP="00685136">
            <w:pPr>
              <w:jc w:val="center"/>
              <w:rPr>
                <w:i/>
                <w:iCs/>
                <w:color w:val="000000"/>
                <w:sz w:val="16"/>
                <w:szCs w:val="16"/>
              </w:rPr>
            </w:pPr>
            <w:r>
              <w:rPr>
                <w:i/>
                <w:sz w:val="16"/>
              </w:rPr>
              <w:t>À compléter</w:t>
            </w:r>
          </w:p>
        </w:tc>
      </w:tr>
      <w:tr w:rsidR="00F94F7F" w:rsidRPr="00D03284" w14:paraId="77238C4C" w14:textId="77777777" w:rsidTr="00685136">
        <w:trPr>
          <w:trHeight w:val="95"/>
          <w:jc w:val="center"/>
        </w:trPr>
        <w:tc>
          <w:tcPr>
            <w:tcW w:w="651" w:type="pct"/>
            <w:shd w:val="clear" w:color="auto" w:fill="auto"/>
            <w:noWrap/>
            <w:hideMark/>
          </w:tcPr>
          <w:p w14:paraId="4342817A" w14:textId="77777777" w:rsidR="00F94F7F" w:rsidRPr="00D03284" w:rsidRDefault="00F94F7F" w:rsidP="00685136">
            <w:pPr>
              <w:jc w:val="left"/>
              <w:rPr>
                <w:color w:val="000000"/>
                <w:sz w:val="18"/>
                <w:szCs w:val="18"/>
              </w:rPr>
            </w:pPr>
            <w:r>
              <w:rPr>
                <w:color w:val="000000"/>
                <w:sz w:val="18"/>
              </w:rPr>
              <w:t>Multiple</w:t>
            </w:r>
          </w:p>
        </w:tc>
        <w:tc>
          <w:tcPr>
            <w:tcW w:w="443" w:type="pct"/>
            <w:shd w:val="clear" w:color="auto" w:fill="auto"/>
            <w:noWrap/>
          </w:tcPr>
          <w:p w14:paraId="696DF51E"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3A616AE6"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464EBBB7"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5584443B"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4E3A62B9"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30EA4480"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2652AE8E"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4CFF3F13" w14:textId="77777777" w:rsidR="00F94F7F" w:rsidRPr="00D03284" w:rsidRDefault="00F94F7F" w:rsidP="00685136">
            <w:pPr>
              <w:jc w:val="center"/>
              <w:rPr>
                <w:i/>
                <w:iCs/>
                <w:color w:val="000000"/>
                <w:sz w:val="16"/>
                <w:szCs w:val="16"/>
              </w:rPr>
            </w:pPr>
            <w:r>
              <w:rPr>
                <w:i/>
                <w:sz w:val="16"/>
              </w:rPr>
              <w:t>À compléter</w:t>
            </w:r>
          </w:p>
        </w:tc>
      </w:tr>
      <w:tr w:rsidR="00F94F7F" w:rsidRPr="00D03284" w14:paraId="70EC20EF" w14:textId="77777777" w:rsidTr="00685136">
        <w:trPr>
          <w:trHeight w:val="44"/>
          <w:jc w:val="center"/>
        </w:trPr>
        <w:tc>
          <w:tcPr>
            <w:tcW w:w="651" w:type="pct"/>
            <w:shd w:val="clear" w:color="auto" w:fill="auto"/>
            <w:noWrap/>
            <w:hideMark/>
          </w:tcPr>
          <w:p w14:paraId="29CA3BFE" w14:textId="77777777" w:rsidR="00F94F7F" w:rsidRPr="00D03284" w:rsidRDefault="00F94F7F" w:rsidP="00685136">
            <w:pPr>
              <w:jc w:val="left"/>
              <w:rPr>
                <w:color w:val="000000"/>
                <w:sz w:val="18"/>
                <w:szCs w:val="18"/>
              </w:rPr>
            </w:pPr>
            <w:r>
              <w:rPr>
                <w:color w:val="000000"/>
                <w:sz w:val="18"/>
              </w:rPr>
              <w:t>Solvants</w:t>
            </w:r>
          </w:p>
        </w:tc>
        <w:tc>
          <w:tcPr>
            <w:tcW w:w="443" w:type="pct"/>
            <w:shd w:val="clear" w:color="auto" w:fill="auto"/>
            <w:noWrap/>
          </w:tcPr>
          <w:p w14:paraId="4E6C46D4"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2AE61EC4"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59370052"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2E142FB1"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57767456"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7659FBAE"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75192663"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60E29E9F" w14:textId="77777777" w:rsidR="00F94F7F" w:rsidRPr="00D03284" w:rsidRDefault="00F94F7F" w:rsidP="00685136">
            <w:pPr>
              <w:jc w:val="center"/>
              <w:rPr>
                <w:i/>
                <w:iCs/>
                <w:color w:val="000000"/>
                <w:sz w:val="16"/>
                <w:szCs w:val="16"/>
              </w:rPr>
            </w:pPr>
            <w:r>
              <w:rPr>
                <w:i/>
                <w:sz w:val="16"/>
              </w:rPr>
              <w:t>À compléter</w:t>
            </w:r>
          </w:p>
        </w:tc>
      </w:tr>
      <w:tr w:rsidR="00F94F7F" w:rsidRPr="00D03284" w14:paraId="1BC339E1" w14:textId="77777777" w:rsidTr="00685136">
        <w:trPr>
          <w:trHeight w:val="44"/>
          <w:jc w:val="center"/>
        </w:trPr>
        <w:tc>
          <w:tcPr>
            <w:tcW w:w="651" w:type="pct"/>
            <w:shd w:val="clear" w:color="auto" w:fill="auto"/>
            <w:noWrap/>
            <w:hideMark/>
          </w:tcPr>
          <w:p w14:paraId="2DB87599" w14:textId="77777777" w:rsidR="00F94F7F" w:rsidRPr="00D03284" w:rsidRDefault="00F94F7F" w:rsidP="00685136">
            <w:pPr>
              <w:jc w:val="left"/>
              <w:rPr>
                <w:color w:val="000000"/>
                <w:sz w:val="18"/>
                <w:szCs w:val="18"/>
              </w:rPr>
            </w:pPr>
            <w:r>
              <w:rPr>
                <w:color w:val="000000"/>
                <w:sz w:val="18"/>
              </w:rPr>
              <w:t>Agents de stérilisation</w:t>
            </w:r>
          </w:p>
        </w:tc>
        <w:tc>
          <w:tcPr>
            <w:tcW w:w="443" w:type="pct"/>
            <w:shd w:val="clear" w:color="auto" w:fill="auto"/>
            <w:noWrap/>
          </w:tcPr>
          <w:p w14:paraId="18844354" w14:textId="77777777" w:rsidR="00F94F7F" w:rsidRPr="00D03284" w:rsidRDefault="00F94F7F" w:rsidP="00685136">
            <w:pPr>
              <w:jc w:val="center"/>
              <w:rPr>
                <w:i/>
                <w:iCs/>
                <w:color w:val="000000"/>
                <w:sz w:val="16"/>
                <w:szCs w:val="16"/>
              </w:rPr>
            </w:pPr>
            <w:r>
              <w:rPr>
                <w:i/>
                <w:sz w:val="16"/>
              </w:rPr>
              <w:t>À compléter</w:t>
            </w:r>
          </w:p>
        </w:tc>
        <w:tc>
          <w:tcPr>
            <w:tcW w:w="594" w:type="pct"/>
            <w:shd w:val="clear" w:color="auto" w:fill="auto"/>
            <w:noWrap/>
          </w:tcPr>
          <w:p w14:paraId="2517B1B4"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1909051C"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0A15B7ED" w14:textId="77777777" w:rsidR="00F94F7F" w:rsidRPr="00D03284" w:rsidRDefault="00F94F7F" w:rsidP="00685136">
            <w:pPr>
              <w:jc w:val="center"/>
              <w:rPr>
                <w:i/>
                <w:iCs/>
                <w:color w:val="000000"/>
                <w:sz w:val="16"/>
                <w:szCs w:val="16"/>
              </w:rPr>
            </w:pPr>
            <w:r>
              <w:rPr>
                <w:i/>
                <w:sz w:val="16"/>
              </w:rPr>
              <w:t>À compléter</w:t>
            </w:r>
          </w:p>
        </w:tc>
        <w:tc>
          <w:tcPr>
            <w:tcW w:w="584" w:type="pct"/>
            <w:shd w:val="clear" w:color="auto" w:fill="auto"/>
            <w:noWrap/>
          </w:tcPr>
          <w:p w14:paraId="7E3DADC6"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1F408B5A" w14:textId="77777777" w:rsidR="00F94F7F" w:rsidRPr="00D03284" w:rsidRDefault="00F94F7F" w:rsidP="00685136">
            <w:pPr>
              <w:jc w:val="center"/>
              <w:rPr>
                <w:i/>
                <w:iCs/>
                <w:color w:val="000000"/>
                <w:sz w:val="16"/>
                <w:szCs w:val="16"/>
              </w:rPr>
            </w:pPr>
            <w:r>
              <w:rPr>
                <w:i/>
                <w:sz w:val="16"/>
              </w:rPr>
              <w:t>À compléter</w:t>
            </w:r>
          </w:p>
        </w:tc>
        <w:tc>
          <w:tcPr>
            <w:tcW w:w="455" w:type="pct"/>
            <w:shd w:val="clear" w:color="auto" w:fill="auto"/>
            <w:noWrap/>
          </w:tcPr>
          <w:p w14:paraId="0A2ED071" w14:textId="77777777" w:rsidR="00F94F7F" w:rsidRPr="00D03284" w:rsidRDefault="00F94F7F" w:rsidP="00685136">
            <w:pPr>
              <w:jc w:val="center"/>
              <w:rPr>
                <w:i/>
                <w:iCs/>
                <w:color w:val="000000"/>
                <w:sz w:val="16"/>
                <w:szCs w:val="16"/>
              </w:rPr>
            </w:pPr>
            <w:r>
              <w:rPr>
                <w:i/>
                <w:sz w:val="16"/>
              </w:rPr>
              <w:t>À compléter</w:t>
            </w:r>
          </w:p>
        </w:tc>
        <w:tc>
          <w:tcPr>
            <w:tcW w:w="650" w:type="pct"/>
            <w:shd w:val="clear" w:color="auto" w:fill="auto"/>
            <w:noWrap/>
          </w:tcPr>
          <w:p w14:paraId="40FF433C" w14:textId="77777777" w:rsidR="00F94F7F" w:rsidRPr="00D03284" w:rsidRDefault="00F94F7F" w:rsidP="00685136">
            <w:pPr>
              <w:jc w:val="center"/>
              <w:rPr>
                <w:i/>
                <w:iCs/>
                <w:color w:val="000000"/>
                <w:sz w:val="16"/>
                <w:szCs w:val="16"/>
              </w:rPr>
            </w:pPr>
            <w:r>
              <w:rPr>
                <w:i/>
                <w:sz w:val="16"/>
              </w:rPr>
              <w:t>À compléter</w:t>
            </w:r>
          </w:p>
        </w:tc>
      </w:tr>
      <w:tr w:rsidR="00F94F7F" w:rsidRPr="00D03284" w14:paraId="32D44B9D" w14:textId="77777777" w:rsidTr="00685136">
        <w:trPr>
          <w:trHeight w:val="44"/>
          <w:jc w:val="center"/>
        </w:trPr>
        <w:tc>
          <w:tcPr>
            <w:tcW w:w="651" w:type="pct"/>
            <w:shd w:val="clear" w:color="auto" w:fill="auto"/>
            <w:noWrap/>
            <w:hideMark/>
          </w:tcPr>
          <w:p w14:paraId="2B90217D" w14:textId="77777777" w:rsidR="00F94F7F" w:rsidRPr="00D03284" w:rsidRDefault="00F94F7F" w:rsidP="00685136">
            <w:pPr>
              <w:jc w:val="left"/>
              <w:rPr>
                <w:b/>
                <w:bCs/>
                <w:color w:val="000000"/>
                <w:sz w:val="18"/>
                <w:szCs w:val="18"/>
              </w:rPr>
            </w:pPr>
            <w:r>
              <w:rPr>
                <w:b/>
                <w:color w:val="000000"/>
                <w:sz w:val="18"/>
              </w:rPr>
              <w:t>Total</w:t>
            </w:r>
          </w:p>
        </w:tc>
        <w:tc>
          <w:tcPr>
            <w:tcW w:w="443" w:type="pct"/>
            <w:shd w:val="clear" w:color="auto" w:fill="auto"/>
            <w:noWrap/>
          </w:tcPr>
          <w:p w14:paraId="53618D74" w14:textId="77777777" w:rsidR="00F94F7F" w:rsidRPr="00D03284" w:rsidRDefault="00F94F7F" w:rsidP="00685136">
            <w:pPr>
              <w:jc w:val="center"/>
              <w:rPr>
                <w:b/>
                <w:bCs/>
                <w:i/>
                <w:iCs/>
                <w:color w:val="000000"/>
                <w:sz w:val="16"/>
                <w:szCs w:val="16"/>
              </w:rPr>
            </w:pPr>
            <w:r>
              <w:rPr>
                <w:i/>
                <w:sz w:val="16"/>
              </w:rPr>
              <w:t>À compléter</w:t>
            </w:r>
          </w:p>
        </w:tc>
        <w:tc>
          <w:tcPr>
            <w:tcW w:w="594" w:type="pct"/>
            <w:shd w:val="clear" w:color="auto" w:fill="auto"/>
            <w:noWrap/>
          </w:tcPr>
          <w:p w14:paraId="607C7B32" w14:textId="77777777" w:rsidR="00F94F7F" w:rsidRPr="00D03284" w:rsidRDefault="00F94F7F" w:rsidP="00685136">
            <w:pPr>
              <w:jc w:val="center"/>
              <w:rPr>
                <w:b/>
                <w:bCs/>
                <w:i/>
                <w:iCs/>
                <w:color w:val="000000"/>
                <w:sz w:val="16"/>
                <w:szCs w:val="16"/>
              </w:rPr>
            </w:pPr>
            <w:r>
              <w:rPr>
                <w:i/>
                <w:sz w:val="16"/>
              </w:rPr>
              <w:t>À compléter</w:t>
            </w:r>
          </w:p>
        </w:tc>
        <w:tc>
          <w:tcPr>
            <w:tcW w:w="584" w:type="pct"/>
            <w:shd w:val="clear" w:color="auto" w:fill="auto"/>
            <w:noWrap/>
          </w:tcPr>
          <w:p w14:paraId="228F2820" w14:textId="77777777" w:rsidR="00F94F7F" w:rsidRPr="00D03284" w:rsidRDefault="00F94F7F" w:rsidP="00685136">
            <w:pPr>
              <w:jc w:val="center"/>
              <w:rPr>
                <w:b/>
                <w:bCs/>
                <w:i/>
                <w:iCs/>
                <w:color w:val="000000"/>
                <w:sz w:val="16"/>
                <w:szCs w:val="16"/>
              </w:rPr>
            </w:pPr>
            <w:r>
              <w:rPr>
                <w:i/>
                <w:sz w:val="16"/>
              </w:rPr>
              <w:t>À compléter</w:t>
            </w:r>
          </w:p>
        </w:tc>
        <w:tc>
          <w:tcPr>
            <w:tcW w:w="584" w:type="pct"/>
            <w:shd w:val="clear" w:color="auto" w:fill="auto"/>
            <w:noWrap/>
          </w:tcPr>
          <w:p w14:paraId="690309DF" w14:textId="77777777" w:rsidR="00F94F7F" w:rsidRPr="00D03284" w:rsidRDefault="00F94F7F" w:rsidP="00685136">
            <w:pPr>
              <w:jc w:val="center"/>
              <w:rPr>
                <w:b/>
                <w:bCs/>
                <w:i/>
                <w:iCs/>
                <w:color w:val="000000"/>
                <w:sz w:val="16"/>
                <w:szCs w:val="16"/>
              </w:rPr>
            </w:pPr>
            <w:r>
              <w:rPr>
                <w:i/>
                <w:sz w:val="16"/>
              </w:rPr>
              <w:t>À compléter</w:t>
            </w:r>
          </w:p>
        </w:tc>
        <w:tc>
          <w:tcPr>
            <w:tcW w:w="584" w:type="pct"/>
            <w:shd w:val="clear" w:color="auto" w:fill="auto"/>
            <w:noWrap/>
          </w:tcPr>
          <w:p w14:paraId="349E9D55" w14:textId="77777777" w:rsidR="00F94F7F" w:rsidRPr="00D03284" w:rsidRDefault="00F94F7F" w:rsidP="00685136">
            <w:pPr>
              <w:jc w:val="center"/>
              <w:rPr>
                <w:b/>
                <w:bCs/>
                <w:i/>
                <w:iCs/>
                <w:color w:val="000000"/>
                <w:sz w:val="16"/>
                <w:szCs w:val="16"/>
              </w:rPr>
            </w:pPr>
            <w:r>
              <w:rPr>
                <w:i/>
                <w:sz w:val="16"/>
              </w:rPr>
              <w:t>À compléter</w:t>
            </w:r>
          </w:p>
        </w:tc>
        <w:tc>
          <w:tcPr>
            <w:tcW w:w="455" w:type="pct"/>
            <w:shd w:val="clear" w:color="auto" w:fill="auto"/>
            <w:noWrap/>
          </w:tcPr>
          <w:p w14:paraId="4406A03E" w14:textId="77777777" w:rsidR="00F94F7F" w:rsidRPr="00D03284" w:rsidRDefault="00F94F7F" w:rsidP="00685136">
            <w:pPr>
              <w:jc w:val="center"/>
              <w:rPr>
                <w:b/>
                <w:bCs/>
                <w:i/>
                <w:iCs/>
                <w:color w:val="000000"/>
                <w:sz w:val="16"/>
                <w:szCs w:val="16"/>
              </w:rPr>
            </w:pPr>
            <w:r>
              <w:rPr>
                <w:i/>
                <w:sz w:val="16"/>
              </w:rPr>
              <w:t>À compléter</w:t>
            </w:r>
          </w:p>
        </w:tc>
        <w:tc>
          <w:tcPr>
            <w:tcW w:w="455" w:type="pct"/>
            <w:shd w:val="clear" w:color="auto" w:fill="auto"/>
            <w:noWrap/>
          </w:tcPr>
          <w:p w14:paraId="4D3E469C" w14:textId="77777777" w:rsidR="00F94F7F" w:rsidRPr="00D03284" w:rsidRDefault="00F94F7F" w:rsidP="00685136">
            <w:pPr>
              <w:jc w:val="center"/>
              <w:rPr>
                <w:b/>
                <w:bCs/>
                <w:i/>
                <w:iCs/>
                <w:color w:val="000000"/>
                <w:sz w:val="16"/>
                <w:szCs w:val="16"/>
              </w:rPr>
            </w:pPr>
            <w:r>
              <w:rPr>
                <w:i/>
                <w:sz w:val="16"/>
              </w:rPr>
              <w:t>À compléter</w:t>
            </w:r>
          </w:p>
        </w:tc>
        <w:tc>
          <w:tcPr>
            <w:tcW w:w="650" w:type="pct"/>
            <w:shd w:val="clear" w:color="auto" w:fill="auto"/>
            <w:noWrap/>
          </w:tcPr>
          <w:p w14:paraId="6927B193" w14:textId="77777777" w:rsidR="00F94F7F" w:rsidRPr="00D03284" w:rsidRDefault="00F94F7F" w:rsidP="00685136">
            <w:pPr>
              <w:jc w:val="center"/>
              <w:rPr>
                <w:b/>
                <w:bCs/>
                <w:i/>
                <w:iCs/>
                <w:color w:val="000000"/>
                <w:sz w:val="16"/>
                <w:szCs w:val="16"/>
              </w:rPr>
            </w:pPr>
            <w:r>
              <w:rPr>
                <w:i/>
                <w:sz w:val="16"/>
              </w:rPr>
              <w:t>À compléter</w:t>
            </w:r>
          </w:p>
        </w:tc>
      </w:tr>
    </w:tbl>
    <w:p w14:paraId="15659F81" w14:textId="77777777" w:rsidR="00F94F7F" w:rsidRPr="001927CD" w:rsidRDefault="00F94F7F" w:rsidP="00F94F7F">
      <w:pPr>
        <w:ind w:hanging="810"/>
        <w:rPr>
          <w:sz w:val="16"/>
          <w:szCs w:val="16"/>
        </w:rPr>
      </w:pPr>
      <w:r>
        <w:rPr>
          <w:sz w:val="16"/>
        </w:rPr>
        <w:t>* Ne comprend pas les projets annulés et transférés et comprend les coûts d’appui d’agence, le cas échéant.</w:t>
      </w:r>
    </w:p>
    <w:p w14:paraId="76A4C6B1" w14:textId="77777777" w:rsidR="00F94F7F" w:rsidRPr="001927CD" w:rsidRDefault="00F94F7F" w:rsidP="00F94F7F">
      <w:pPr>
        <w:ind w:hanging="810"/>
        <w:rPr>
          <w:sz w:val="16"/>
          <w:szCs w:val="16"/>
        </w:rPr>
      </w:pPr>
      <w:r>
        <w:rPr>
          <w:sz w:val="16"/>
        </w:rPr>
        <w:t xml:space="preserve">** L’élimination de </w:t>
      </w:r>
      <w:r>
        <w:rPr>
          <w:color w:val="000000"/>
          <w:sz w:val="16"/>
          <w:highlight w:val="yellow"/>
        </w:rPr>
        <w:t>???</w:t>
      </w:r>
      <w:r>
        <w:rPr>
          <w:sz w:val="16"/>
        </w:rPr>
        <w:t xml:space="preserve"> tonnes d’équivalent de la consommation de </w:t>
      </w:r>
      <w:r w:rsidRPr="00060AEC">
        <w:rPr>
          <w:sz w:val="16"/>
        </w:rPr>
        <w:t xml:space="preserve">dioxyde de carbone </w:t>
      </w:r>
      <w:r>
        <w:rPr>
          <w:sz w:val="16"/>
        </w:rPr>
        <w:t xml:space="preserve">a été approuvée et </w:t>
      </w:r>
      <w:r>
        <w:rPr>
          <w:color w:val="000000"/>
          <w:sz w:val="16"/>
          <w:highlight w:val="yellow"/>
        </w:rPr>
        <w:t>???</w:t>
      </w:r>
      <w:r>
        <w:rPr>
          <w:sz w:val="16"/>
        </w:rPr>
        <w:t xml:space="preserve"> tonnes d’équivalent de la consommation de </w:t>
      </w:r>
      <w:r w:rsidRPr="00060AEC">
        <w:rPr>
          <w:sz w:val="16"/>
        </w:rPr>
        <w:t xml:space="preserve">dioxyde de carbone </w:t>
      </w:r>
      <w:r>
        <w:rPr>
          <w:sz w:val="16"/>
        </w:rPr>
        <w:t>ont été éliminées.</w:t>
      </w:r>
    </w:p>
    <w:p w14:paraId="2A67624C" w14:textId="77777777" w:rsidR="00F94F7F" w:rsidRPr="00193CCD" w:rsidRDefault="00F94F7F" w:rsidP="00F94F7F">
      <w:pPr>
        <w:rPr>
          <w:sz w:val="20"/>
          <w:szCs w:val="20"/>
        </w:rPr>
      </w:pPr>
    </w:p>
    <w:p w14:paraId="5B32C9F6" w14:textId="3307B549" w:rsidR="00F94F7F" w:rsidRPr="00BC750B" w:rsidRDefault="00F94F7F" w:rsidP="00332CB1">
      <w:pPr>
        <w:pStyle w:val="Heading1"/>
        <w:numPr>
          <w:ilvl w:val="0"/>
          <w:numId w:val="14"/>
        </w:numPr>
      </w:pPr>
      <w:r>
        <w:t xml:space="preserve">Le financement total approuvé par le Comité exécutif depuis 1991 pour parvenir à l’élimination des SAO et à la réduction progressive des HFC s’élève à </w:t>
      </w:r>
      <w:r>
        <w:rPr>
          <w:color w:val="000000"/>
          <w:highlight w:val="yellow"/>
        </w:rPr>
        <w:t>???</w:t>
      </w:r>
      <w:r>
        <w:t xml:space="preserve"> $US, dont </w:t>
      </w:r>
      <w:r>
        <w:rPr>
          <w:color w:val="000000"/>
          <w:highlight w:val="yellow"/>
        </w:rPr>
        <w:t>???</w:t>
      </w:r>
      <w:r>
        <w:t> $US de coûts d’appui d’agence (projets annulés et transférés exclus). Sur l’ensemble des financements de projet approuvés, les sommes allouées aux agences bilatérales et à chacune des agences d’exécution et décaissées par celles-ci sont indiquées dans le tableau 6 ci-dessous.</w:t>
      </w:r>
    </w:p>
    <w:p w14:paraId="467ABFBA" w14:textId="77777777" w:rsidR="00F94F7F" w:rsidRDefault="00F94F7F" w:rsidP="00F94F7F">
      <w:pPr>
        <w:jc w:val="left"/>
      </w:pPr>
      <w:r>
        <w:br w:type="page"/>
      </w:r>
    </w:p>
    <w:p w14:paraId="6E1A28D8" w14:textId="77777777" w:rsidR="00F94F7F" w:rsidRPr="00BC750B" w:rsidRDefault="00F94F7F" w:rsidP="00F94F7F">
      <w:r>
        <w:lastRenderedPageBreak/>
        <w:t>Tableau 6</w:t>
      </w:r>
    </w:p>
    <w:p w14:paraId="7C9DE458" w14:textId="77777777" w:rsidR="00F94F7F" w:rsidRPr="00BC750B" w:rsidRDefault="00F94F7F" w:rsidP="00F94F7F">
      <w:pPr>
        <w:rPr>
          <w:b/>
          <w:bCs/>
        </w:rPr>
      </w:pPr>
      <w:r>
        <w:rPr>
          <w:b/>
        </w:rPr>
        <w:t>Sommes approuvées et décaissées par agence depuis la création du Fonds multilatéral</w:t>
      </w:r>
    </w:p>
    <w:tbl>
      <w:tblPr>
        <w:tblW w:w="5000" w:type="pct"/>
        <w:jc w:val="center"/>
        <w:tblLook w:val="04A0" w:firstRow="1" w:lastRow="0" w:firstColumn="1" w:lastColumn="0" w:noHBand="0" w:noVBand="1"/>
      </w:tblPr>
      <w:tblGrid>
        <w:gridCol w:w="1833"/>
        <w:gridCol w:w="2594"/>
        <w:gridCol w:w="2351"/>
        <w:gridCol w:w="2572"/>
      </w:tblGrid>
      <w:tr w:rsidR="00F94F7F" w:rsidRPr="00270A31" w14:paraId="64C3086A" w14:textId="77777777" w:rsidTr="00685136">
        <w:trPr>
          <w:trHeight w:val="292"/>
          <w:jc w:val="center"/>
        </w:trPr>
        <w:tc>
          <w:tcPr>
            <w:tcW w:w="1035" w:type="pct"/>
            <w:tcBorders>
              <w:top w:val="single" w:sz="4" w:space="0" w:color="auto"/>
              <w:left w:val="single" w:sz="4" w:space="0" w:color="auto"/>
              <w:bottom w:val="single" w:sz="4" w:space="0" w:color="auto"/>
              <w:right w:val="single" w:sz="4" w:space="0" w:color="auto"/>
            </w:tcBorders>
            <w:shd w:val="clear" w:color="auto" w:fill="auto"/>
            <w:noWrap/>
            <w:hideMark/>
          </w:tcPr>
          <w:p w14:paraId="504E0A2A" w14:textId="77777777" w:rsidR="00F94F7F" w:rsidRPr="00270A31" w:rsidRDefault="00F94F7F" w:rsidP="00685136">
            <w:pPr>
              <w:jc w:val="center"/>
              <w:rPr>
                <w:b/>
                <w:bCs/>
                <w:color w:val="000000"/>
                <w:sz w:val="20"/>
                <w:szCs w:val="20"/>
              </w:rPr>
            </w:pPr>
            <w:r>
              <w:rPr>
                <w:b/>
                <w:color w:val="000000"/>
                <w:sz w:val="20"/>
              </w:rPr>
              <w:t>Agence</w:t>
            </w:r>
          </w:p>
        </w:tc>
        <w:tc>
          <w:tcPr>
            <w:tcW w:w="1230" w:type="pct"/>
            <w:tcBorders>
              <w:top w:val="single" w:sz="4" w:space="0" w:color="auto"/>
              <w:left w:val="nil"/>
              <w:bottom w:val="single" w:sz="4" w:space="0" w:color="auto"/>
              <w:right w:val="single" w:sz="4" w:space="0" w:color="auto"/>
            </w:tcBorders>
            <w:shd w:val="clear" w:color="auto" w:fill="auto"/>
            <w:noWrap/>
            <w:hideMark/>
          </w:tcPr>
          <w:p w14:paraId="5CE8D362" w14:textId="30006BEE" w:rsidR="00F94F7F" w:rsidRPr="00270A31" w:rsidRDefault="00F94F7F" w:rsidP="00685136">
            <w:pPr>
              <w:jc w:val="center"/>
              <w:rPr>
                <w:b/>
                <w:bCs/>
                <w:color w:val="000000"/>
                <w:sz w:val="20"/>
                <w:szCs w:val="20"/>
              </w:rPr>
            </w:pPr>
            <w:r>
              <w:rPr>
                <w:b/>
                <w:color w:val="000000"/>
                <w:sz w:val="20"/>
              </w:rPr>
              <w:t>Sommes approuvées* ($US)</w:t>
            </w:r>
          </w:p>
        </w:tc>
        <w:tc>
          <w:tcPr>
            <w:tcW w:w="1312" w:type="pct"/>
            <w:tcBorders>
              <w:top w:val="single" w:sz="4" w:space="0" w:color="auto"/>
              <w:left w:val="nil"/>
              <w:bottom w:val="single" w:sz="4" w:space="0" w:color="auto"/>
              <w:right w:val="single" w:sz="4" w:space="0" w:color="auto"/>
            </w:tcBorders>
            <w:shd w:val="clear" w:color="auto" w:fill="auto"/>
            <w:hideMark/>
          </w:tcPr>
          <w:p w14:paraId="6B02468B" w14:textId="1B3957EA" w:rsidR="00F94F7F" w:rsidRPr="00270A31" w:rsidRDefault="00F94F7F" w:rsidP="00685136">
            <w:pPr>
              <w:jc w:val="center"/>
              <w:rPr>
                <w:b/>
                <w:bCs/>
                <w:color w:val="000000"/>
                <w:sz w:val="20"/>
                <w:szCs w:val="20"/>
              </w:rPr>
            </w:pPr>
            <w:r>
              <w:rPr>
                <w:b/>
                <w:color w:val="000000"/>
                <w:sz w:val="20"/>
              </w:rPr>
              <w:t>Coûts d’appui d’agence* ($US)</w:t>
            </w:r>
          </w:p>
        </w:tc>
        <w:tc>
          <w:tcPr>
            <w:tcW w:w="1423" w:type="pct"/>
            <w:tcBorders>
              <w:top w:val="single" w:sz="4" w:space="0" w:color="auto"/>
              <w:left w:val="nil"/>
              <w:bottom w:val="single" w:sz="4" w:space="0" w:color="auto"/>
              <w:right w:val="single" w:sz="4" w:space="0" w:color="auto"/>
            </w:tcBorders>
            <w:shd w:val="clear" w:color="auto" w:fill="auto"/>
            <w:noWrap/>
            <w:hideMark/>
          </w:tcPr>
          <w:p w14:paraId="51592A92" w14:textId="01EE664E" w:rsidR="00F94F7F" w:rsidRPr="00270A31" w:rsidRDefault="00F94F7F" w:rsidP="00685136">
            <w:pPr>
              <w:jc w:val="center"/>
              <w:rPr>
                <w:b/>
                <w:bCs/>
                <w:color w:val="000000"/>
                <w:sz w:val="20"/>
                <w:szCs w:val="20"/>
              </w:rPr>
            </w:pPr>
            <w:r>
              <w:rPr>
                <w:b/>
                <w:color w:val="000000"/>
                <w:sz w:val="20"/>
              </w:rPr>
              <w:t>Sommes décaissées** ($US)</w:t>
            </w:r>
          </w:p>
        </w:tc>
      </w:tr>
      <w:tr w:rsidR="00F94F7F" w:rsidRPr="00270A31" w14:paraId="67078CE5" w14:textId="77777777" w:rsidTr="00685136">
        <w:trPr>
          <w:trHeight w:val="80"/>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2926C17F" w14:textId="77777777" w:rsidR="00F94F7F" w:rsidRPr="00270A31" w:rsidRDefault="00F94F7F" w:rsidP="00685136">
            <w:pPr>
              <w:jc w:val="center"/>
              <w:rPr>
                <w:color w:val="000000"/>
                <w:sz w:val="20"/>
                <w:szCs w:val="20"/>
              </w:rPr>
            </w:pPr>
            <w:r>
              <w:rPr>
                <w:color w:val="000000"/>
                <w:sz w:val="20"/>
              </w:rPr>
              <w:t>Agences bilatérales</w:t>
            </w:r>
          </w:p>
        </w:tc>
        <w:tc>
          <w:tcPr>
            <w:tcW w:w="1230" w:type="pct"/>
            <w:tcBorders>
              <w:top w:val="nil"/>
              <w:left w:val="nil"/>
              <w:bottom w:val="single" w:sz="4" w:space="0" w:color="auto"/>
              <w:right w:val="single" w:sz="4" w:space="0" w:color="auto"/>
            </w:tcBorders>
            <w:shd w:val="clear" w:color="auto" w:fill="auto"/>
            <w:noWrap/>
          </w:tcPr>
          <w:p w14:paraId="4ED9E9B2" w14:textId="77777777" w:rsidR="00F94F7F" w:rsidRPr="001927CD" w:rsidRDefault="00F94F7F" w:rsidP="00685136">
            <w:pPr>
              <w:jc w:val="center"/>
              <w:rPr>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18E73339" w14:textId="77777777" w:rsidR="00F94F7F" w:rsidRPr="001927CD" w:rsidRDefault="00F94F7F" w:rsidP="00685136">
            <w:pPr>
              <w:jc w:val="center"/>
              <w:rPr>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78A4D836" w14:textId="77777777" w:rsidR="00F94F7F" w:rsidRPr="001927CD" w:rsidRDefault="00F94F7F" w:rsidP="00685136">
            <w:pPr>
              <w:jc w:val="center"/>
              <w:rPr>
                <w:i/>
                <w:iCs/>
                <w:color w:val="000000"/>
                <w:sz w:val="20"/>
                <w:szCs w:val="20"/>
              </w:rPr>
            </w:pPr>
            <w:r>
              <w:rPr>
                <w:i/>
                <w:sz w:val="20"/>
              </w:rPr>
              <w:t>À compléter</w:t>
            </w:r>
          </w:p>
        </w:tc>
      </w:tr>
      <w:tr w:rsidR="00F94F7F" w:rsidRPr="00270A31" w14:paraId="582500F0" w14:textId="77777777" w:rsidTr="00685136">
        <w:trPr>
          <w:trHeight w:val="107"/>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27B52202" w14:textId="77777777" w:rsidR="00F94F7F" w:rsidRPr="00270A31" w:rsidRDefault="00F94F7F" w:rsidP="00685136">
            <w:pPr>
              <w:jc w:val="center"/>
              <w:rPr>
                <w:color w:val="000000"/>
                <w:sz w:val="20"/>
                <w:szCs w:val="20"/>
              </w:rPr>
            </w:pPr>
            <w:r>
              <w:rPr>
                <w:color w:val="000000"/>
                <w:sz w:val="20"/>
              </w:rPr>
              <w:t>PNUD</w:t>
            </w:r>
          </w:p>
        </w:tc>
        <w:tc>
          <w:tcPr>
            <w:tcW w:w="1230" w:type="pct"/>
            <w:tcBorders>
              <w:top w:val="nil"/>
              <w:left w:val="nil"/>
              <w:bottom w:val="single" w:sz="4" w:space="0" w:color="auto"/>
              <w:right w:val="single" w:sz="4" w:space="0" w:color="auto"/>
            </w:tcBorders>
            <w:shd w:val="clear" w:color="auto" w:fill="auto"/>
            <w:noWrap/>
          </w:tcPr>
          <w:p w14:paraId="6AE66105" w14:textId="77777777" w:rsidR="00F94F7F" w:rsidRPr="001927CD" w:rsidRDefault="00F94F7F" w:rsidP="00685136">
            <w:pPr>
              <w:jc w:val="center"/>
              <w:rPr>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2324E2CC" w14:textId="77777777" w:rsidR="00F94F7F" w:rsidRPr="001927CD" w:rsidRDefault="00F94F7F" w:rsidP="00685136">
            <w:pPr>
              <w:jc w:val="center"/>
              <w:rPr>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591D67D3" w14:textId="77777777" w:rsidR="00F94F7F" w:rsidRPr="001927CD" w:rsidRDefault="00F94F7F" w:rsidP="00685136">
            <w:pPr>
              <w:jc w:val="center"/>
              <w:rPr>
                <w:i/>
                <w:iCs/>
                <w:color w:val="000000"/>
                <w:sz w:val="20"/>
                <w:szCs w:val="20"/>
              </w:rPr>
            </w:pPr>
            <w:r>
              <w:rPr>
                <w:i/>
                <w:sz w:val="20"/>
              </w:rPr>
              <w:t>À compléter</w:t>
            </w:r>
          </w:p>
        </w:tc>
      </w:tr>
      <w:tr w:rsidR="00F94F7F" w:rsidRPr="00270A31" w14:paraId="5133CEE2" w14:textId="77777777" w:rsidTr="00685136">
        <w:trPr>
          <w:trHeight w:val="143"/>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1EA1D79F" w14:textId="77777777" w:rsidR="00F94F7F" w:rsidRPr="00270A31" w:rsidRDefault="00F94F7F" w:rsidP="00685136">
            <w:pPr>
              <w:jc w:val="center"/>
              <w:rPr>
                <w:color w:val="000000"/>
                <w:sz w:val="20"/>
                <w:szCs w:val="20"/>
              </w:rPr>
            </w:pPr>
            <w:r>
              <w:rPr>
                <w:color w:val="000000"/>
                <w:sz w:val="20"/>
              </w:rPr>
              <w:t>PNUE</w:t>
            </w:r>
          </w:p>
        </w:tc>
        <w:tc>
          <w:tcPr>
            <w:tcW w:w="1230" w:type="pct"/>
            <w:tcBorders>
              <w:top w:val="nil"/>
              <w:left w:val="nil"/>
              <w:bottom w:val="single" w:sz="4" w:space="0" w:color="auto"/>
              <w:right w:val="single" w:sz="4" w:space="0" w:color="auto"/>
            </w:tcBorders>
            <w:shd w:val="clear" w:color="auto" w:fill="auto"/>
            <w:noWrap/>
          </w:tcPr>
          <w:p w14:paraId="41D9BFD6" w14:textId="77777777" w:rsidR="00F94F7F" w:rsidRPr="001927CD" w:rsidRDefault="00F94F7F" w:rsidP="00685136">
            <w:pPr>
              <w:jc w:val="center"/>
              <w:rPr>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59A13CBF" w14:textId="77777777" w:rsidR="00F94F7F" w:rsidRPr="001927CD" w:rsidRDefault="00F94F7F" w:rsidP="00685136">
            <w:pPr>
              <w:jc w:val="center"/>
              <w:rPr>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19A45A95" w14:textId="77777777" w:rsidR="00F94F7F" w:rsidRPr="001927CD" w:rsidRDefault="00F94F7F" w:rsidP="00685136">
            <w:pPr>
              <w:jc w:val="center"/>
              <w:rPr>
                <w:i/>
                <w:iCs/>
                <w:color w:val="000000"/>
                <w:sz w:val="20"/>
                <w:szCs w:val="20"/>
              </w:rPr>
            </w:pPr>
            <w:r>
              <w:rPr>
                <w:i/>
                <w:sz w:val="20"/>
              </w:rPr>
              <w:t>À compléter</w:t>
            </w:r>
          </w:p>
        </w:tc>
      </w:tr>
      <w:tr w:rsidR="00F94F7F" w:rsidRPr="00270A31" w14:paraId="5A58D6EE" w14:textId="77777777" w:rsidTr="00685136">
        <w:trPr>
          <w:trHeight w:val="170"/>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4B949C40" w14:textId="77777777" w:rsidR="00F94F7F" w:rsidRPr="00270A31" w:rsidRDefault="00F94F7F" w:rsidP="00685136">
            <w:pPr>
              <w:jc w:val="center"/>
              <w:rPr>
                <w:color w:val="000000"/>
                <w:sz w:val="20"/>
                <w:szCs w:val="20"/>
              </w:rPr>
            </w:pPr>
            <w:r>
              <w:rPr>
                <w:color w:val="000000"/>
                <w:sz w:val="20"/>
              </w:rPr>
              <w:t>ONUDI</w:t>
            </w:r>
          </w:p>
        </w:tc>
        <w:tc>
          <w:tcPr>
            <w:tcW w:w="1230" w:type="pct"/>
            <w:tcBorders>
              <w:top w:val="nil"/>
              <w:left w:val="nil"/>
              <w:bottom w:val="single" w:sz="4" w:space="0" w:color="auto"/>
              <w:right w:val="single" w:sz="4" w:space="0" w:color="auto"/>
            </w:tcBorders>
            <w:shd w:val="clear" w:color="auto" w:fill="auto"/>
            <w:noWrap/>
          </w:tcPr>
          <w:p w14:paraId="1F3B2F86" w14:textId="77777777" w:rsidR="00F94F7F" w:rsidRPr="001927CD" w:rsidRDefault="00F94F7F" w:rsidP="00685136">
            <w:pPr>
              <w:jc w:val="center"/>
              <w:rPr>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3C9AED37" w14:textId="77777777" w:rsidR="00F94F7F" w:rsidRPr="001927CD" w:rsidRDefault="00F94F7F" w:rsidP="00685136">
            <w:pPr>
              <w:jc w:val="center"/>
              <w:rPr>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1E8B200A" w14:textId="77777777" w:rsidR="00F94F7F" w:rsidRPr="001927CD" w:rsidRDefault="00F94F7F" w:rsidP="00685136">
            <w:pPr>
              <w:jc w:val="center"/>
              <w:rPr>
                <w:i/>
                <w:iCs/>
                <w:color w:val="000000"/>
                <w:sz w:val="20"/>
                <w:szCs w:val="20"/>
              </w:rPr>
            </w:pPr>
            <w:r>
              <w:rPr>
                <w:i/>
                <w:sz w:val="20"/>
              </w:rPr>
              <w:t>À compléter</w:t>
            </w:r>
          </w:p>
        </w:tc>
      </w:tr>
      <w:tr w:rsidR="00F94F7F" w:rsidRPr="00270A31" w14:paraId="42074A4E" w14:textId="77777777" w:rsidTr="00685136">
        <w:trPr>
          <w:trHeight w:val="116"/>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1D3A4440" w14:textId="77777777" w:rsidR="00F94F7F" w:rsidRPr="00270A31" w:rsidRDefault="00F94F7F" w:rsidP="00685136">
            <w:pPr>
              <w:jc w:val="center"/>
              <w:rPr>
                <w:color w:val="000000"/>
                <w:sz w:val="20"/>
                <w:szCs w:val="20"/>
              </w:rPr>
            </w:pPr>
            <w:r>
              <w:rPr>
                <w:color w:val="000000"/>
                <w:sz w:val="20"/>
              </w:rPr>
              <w:t>Banque mondiale</w:t>
            </w:r>
          </w:p>
        </w:tc>
        <w:tc>
          <w:tcPr>
            <w:tcW w:w="1230" w:type="pct"/>
            <w:tcBorders>
              <w:top w:val="nil"/>
              <w:left w:val="nil"/>
              <w:bottom w:val="single" w:sz="4" w:space="0" w:color="auto"/>
              <w:right w:val="single" w:sz="4" w:space="0" w:color="auto"/>
            </w:tcBorders>
            <w:shd w:val="clear" w:color="auto" w:fill="auto"/>
            <w:noWrap/>
          </w:tcPr>
          <w:p w14:paraId="5F591248" w14:textId="77777777" w:rsidR="00F94F7F" w:rsidRPr="001927CD" w:rsidRDefault="00F94F7F" w:rsidP="00685136">
            <w:pPr>
              <w:jc w:val="center"/>
              <w:rPr>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771F357C" w14:textId="77777777" w:rsidR="00F94F7F" w:rsidRPr="001927CD" w:rsidRDefault="00F94F7F" w:rsidP="00685136">
            <w:pPr>
              <w:jc w:val="center"/>
              <w:rPr>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0353D461" w14:textId="77777777" w:rsidR="00F94F7F" w:rsidRPr="001927CD" w:rsidRDefault="00F94F7F" w:rsidP="00685136">
            <w:pPr>
              <w:jc w:val="center"/>
              <w:rPr>
                <w:i/>
                <w:iCs/>
                <w:color w:val="000000"/>
                <w:sz w:val="20"/>
                <w:szCs w:val="20"/>
              </w:rPr>
            </w:pPr>
            <w:r>
              <w:rPr>
                <w:i/>
                <w:sz w:val="20"/>
              </w:rPr>
              <w:t>À compléter</w:t>
            </w:r>
          </w:p>
        </w:tc>
      </w:tr>
      <w:tr w:rsidR="00F94F7F" w:rsidRPr="00270A31" w14:paraId="6CA0E4B2" w14:textId="77777777" w:rsidTr="00685136">
        <w:trPr>
          <w:trHeight w:val="143"/>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2CBA6D9A" w14:textId="77777777" w:rsidR="00F94F7F" w:rsidRPr="00270A31" w:rsidRDefault="00F94F7F" w:rsidP="00685136">
            <w:pPr>
              <w:jc w:val="center"/>
              <w:rPr>
                <w:b/>
                <w:bCs/>
                <w:color w:val="000000"/>
                <w:sz w:val="20"/>
                <w:szCs w:val="20"/>
              </w:rPr>
            </w:pPr>
            <w:r>
              <w:rPr>
                <w:b/>
                <w:color w:val="000000"/>
                <w:sz w:val="20"/>
              </w:rPr>
              <w:t>Total</w:t>
            </w:r>
          </w:p>
        </w:tc>
        <w:tc>
          <w:tcPr>
            <w:tcW w:w="1230" w:type="pct"/>
            <w:tcBorders>
              <w:top w:val="nil"/>
              <w:left w:val="nil"/>
              <w:bottom w:val="single" w:sz="4" w:space="0" w:color="auto"/>
              <w:right w:val="single" w:sz="4" w:space="0" w:color="auto"/>
            </w:tcBorders>
            <w:shd w:val="clear" w:color="auto" w:fill="auto"/>
            <w:noWrap/>
          </w:tcPr>
          <w:p w14:paraId="070B8092" w14:textId="77777777" w:rsidR="00F94F7F" w:rsidRPr="001927CD" w:rsidRDefault="00F94F7F" w:rsidP="00685136">
            <w:pPr>
              <w:jc w:val="center"/>
              <w:rPr>
                <w:b/>
                <w:bCs/>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5F50096D" w14:textId="77777777" w:rsidR="00F94F7F" w:rsidRPr="001927CD" w:rsidRDefault="00F94F7F" w:rsidP="00685136">
            <w:pPr>
              <w:jc w:val="center"/>
              <w:rPr>
                <w:b/>
                <w:bCs/>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1C8670C5" w14:textId="77777777" w:rsidR="00F94F7F" w:rsidRPr="001927CD" w:rsidRDefault="00F94F7F" w:rsidP="00685136">
            <w:pPr>
              <w:jc w:val="center"/>
              <w:rPr>
                <w:b/>
                <w:bCs/>
                <w:i/>
                <w:iCs/>
                <w:color w:val="000000"/>
                <w:sz w:val="20"/>
                <w:szCs w:val="20"/>
              </w:rPr>
            </w:pPr>
            <w:r>
              <w:rPr>
                <w:i/>
                <w:sz w:val="20"/>
              </w:rPr>
              <w:t>À compléter</w:t>
            </w:r>
          </w:p>
        </w:tc>
      </w:tr>
    </w:tbl>
    <w:p w14:paraId="7372642B" w14:textId="77777777" w:rsidR="00F94F7F" w:rsidRPr="00A87595" w:rsidRDefault="00F94F7F" w:rsidP="00F94F7F">
      <w:pPr>
        <w:pStyle w:val="CM28"/>
        <w:spacing w:after="0"/>
        <w:rPr>
          <w:sz w:val="18"/>
          <w:szCs w:val="18"/>
        </w:rPr>
      </w:pPr>
      <w:r>
        <w:rPr>
          <w:sz w:val="18"/>
        </w:rPr>
        <w:t xml:space="preserve">* Au </w:t>
      </w:r>
      <w:r>
        <w:rPr>
          <w:color w:val="000000"/>
          <w:sz w:val="18"/>
          <w:highlight w:val="yellow"/>
        </w:rPr>
        <w:t>???</w:t>
      </w:r>
      <w:r>
        <w:rPr>
          <w:sz w:val="18"/>
        </w:rPr>
        <w:t xml:space="preserve"> (ne comprend pas les projets annulés et transférés).</w:t>
      </w:r>
    </w:p>
    <w:p w14:paraId="0679A7DB" w14:textId="77777777" w:rsidR="00F94F7F" w:rsidRPr="00A87595" w:rsidRDefault="00F94F7F" w:rsidP="00F94F7F">
      <w:pPr>
        <w:pStyle w:val="CM28"/>
        <w:spacing w:after="240"/>
        <w:rPr>
          <w:sz w:val="18"/>
          <w:szCs w:val="18"/>
        </w:rPr>
      </w:pPr>
      <w:r>
        <w:rPr>
          <w:sz w:val="18"/>
        </w:rPr>
        <w:t xml:space="preserve">** Au </w:t>
      </w:r>
      <w:r>
        <w:rPr>
          <w:color w:val="000000"/>
          <w:sz w:val="18"/>
          <w:highlight w:val="yellow"/>
        </w:rPr>
        <w:t>???</w:t>
      </w:r>
      <w:r>
        <w:rPr>
          <w:sz w:val="18"/>
        </w:rPr>
        <w:t xml:space="preserve"> (ne comprend pas les projets annulés et transférés).</w:t>
      </w:r>
    </w:p>
    <w:p w14:paraId="04293522" w14:textId="77777777" w:rsidR="00F94F7F" w:rsidRDefault="00F94F7F" w:rsidP="00F94F7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94F7F" w:rsidRPr="009B0D30" w14:paraId="5D12F37F" w14:textId="77777777" w:rsidTr="00685136">
        <w:tc>
          <w:tcPr>
            <w:tcW w:w="1871" w:type="dxa"/>
          </w:tcPr>
          <w:p w14:paraId="3BE81226" w14:textId="77777777" w:rsidR="00F94F7F" w:rsidRPr="009B0D30" w:rsidRDefault="00F94F7F" w:rsidP="00685136"/>
        </w:tc>
        <w:tc>
          <w:tcPr>
            <w:tcW w:w="1872" w:type="dxa"/>
          </w:tcPr>
          <w:p w14:paraId="510D0981" w14:textId="77777777" w:rsidR="00F94F7F" w:rsidRPr="009B0D30" w:rsidRDefault="00F94F7F" w:rsidP="00685136"/>
        </w:tc>
        <w:tc>
          <w:tcPr>
            <w:tcW w:w="1872" w:type="dxa"/>
            <w:tcBorders>
              <w:bottom w:val="single" w:sz="4" w:space="0" w:color="auto"/>
            </w:tcBorders>
          </w:tcPr>
          <w:p w14:paraId="7C328190" w14:textId="77777777" w:rsidR="00F94F7F" w:rsidRPr="009B0D30" w:rsidRDefault="00F94F7F" w:rsidP="00685136"/>
        </w:tc>
        <w:tc>
          <w:tcPr>
            <w:tcW w:w="1872" w:type="dxa"/>
          </w:tcPr>
          <w:p w14:paraId="38A15A23" w14:textId="77777777" w:rsidR="00F94F7F" w:rsidRPr="009B0D30" w:rsidRDefault="00F94F7F" w:rsidP="00685136"/>
        </w:tc>
        <w:tc>
          <w:tcPr>
            <w:tcW w:w="1873" w:type="dxa"/>
          </w:tcPr>
          <w:p w14:paraId="210BCF0D" w14:textId="77777777" w:rsidR="00F94F7F" w:rsidRPr="009B0D30" w:rsidRDefault="00F94F7F" w:rsidP="00685136"/>
        </w:tc>
      </w:tr>
    </w:tbl>
    <w:p w14:paraId="3B143DCE" w14:textId="77777777" w:rsidR="00F94F7F" w:rsidRPr="009B0D30" w:rsidRDefault="00F94F7F" w:rsidP="00F94F7F"/>
    <w:p w14:paraId="60F73189" w14:textId="77777777" w:rsidR="00C4587E" w:rsidRPr="00F94F7F" w:rsidRDefault="00C4587E" w:rsidP="00C4587E"/>
    <w:p w14:paraId="66493ECB" w14:textId="77777777" w:rsidR="00C4587E" w:rsidRPr="00F94F7F" w:rsidRDefault="00C4587E" w:rsidP="00BC750B"/>
    <w:sectPr w:rsidR="00C4587E" w:rsidRPr="00F94F7F" w:rsidSect="00715B7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24D62" w14:textId="77777777" w:rsidR="00E67C76" w:rsidRDefault="00E67C76" w:rsidP="004A504B">
      <w:r>
        <w:separator/>
      </w:r>
    </w:p>
  </w:endnote>
  <w:endnote w:type="continuationSeparator" w:id="0">
    <w:p w14:paraId="2739BE7E" w14:textId="77777777" w:rsidR="00E67C76" w:rsidRDefault="00E67C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panose1 w:val="02000000000000000000"/>
    <w:charset w:val="00"/>
    <w:family w:val="auto"/>
    <w:pitch w:val="variable"/>
    <w:sig w:usb0="E0000AFF" w:usb1="5000217F" w:usb2="0000002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A26C"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5FB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183B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7C8751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46C3E" w14:textId="77777777" w:rsidR="00E67C76" w:rsidRDefault="00E67C76" w:rsidP="004A504B">
      <w:r>
        <w:separator/>
      </w:r>
    </w:p>
  </w:footnote>
  <w:footnote w:type="continuationSeparator" w:id="0">
    <w:p w14:paraId="1BCCEE05" w14:textId="77777777" w:rsidR="00E67C76" w:rsidRDefault="00E67C76" w:rsidP="004A504B">
      <w:r>
        <w:continuationSeparator/>
      </w:r>
    </w:p>
  </w:footnote>
  <w:footnote w:id="1">
    <w:p w14:paraId="527927D3" w14:textId="4FA4D24D" w:rsidR="0079781A" w:rsidRPr="001D12EF" w:rsidRDefault="0079781A" w:rsidP="0079781A">
      <w:pPr>
        <w:pStyle w:val="FootnoteText"/>
        <w:rPr>
          <w:sz w:val="18"/>
          <w:szCs w:val="18"/>
        </w:rPr>
      </w:pPr>
      <w:r>
        <w:rPr>
          <w:rStyle w:val="FootnoteReference"/>
          <w:sz w:val="18"/>
          <w:szCs w:val="18"/>
        </w:rPr>
        <w:footnoteRef/>
      </w:r>
      <w:r>
        <w:rPr>
          <w:sz w:val="18"/>
        </w:rPr>
        <w:t xml:space="preserve"> UNEP/OzL.Pro/ExCom/96/1</w:t>
      </w:r>
    </w:p>
  </w:footnote>
  <w:footnote w:id="2">
    <w:p w14:paraId="0298CC89" w14:textId="351CCE80" w:rsidR="005A5255" w:rsidRPr="000567B4" w:rsidRDefault="005A5255" w:rsidP="009D65ED">
      <w:pPr>
        <w:pStyle w:val="FootnoteText"/>
        <w:rPr>
          <w:sz w:val="18"/>
          <w:szCs w:val="18"/>
        </w:rPr>
      </w:pPr>
      <w:r>
        <w:rPr>
          <w:rStyle w:val="FootnoteReference"/>
          <w:sz w:val="18"/>
          <w:szCs w:val="18"/>
        </w:rPr>
        <w:footnoteRef/>
      </w:r>
      <w:r>
        <w:rPr>
          <w:sz w:val="18"/>
        </w:rPr>
        <w:t> UNEP/OzL.Pro/ExCom/95/94 [</w:t>
      </w:r>
      <w:r>
        <w:rPr>
          <w:sz w:val="18"/>
          <w:highlight w:val="yellow"/>
        </w:rPr>
        <w:t>et UNEP/OzL.Pro/ExCom/96/??]</w:t>
      </w:r>
      <w:r>
        <w:rPr>
          <w:sz w:val="18"/>
        </w:rPr>
        <w:t>.</w:t>
      </w:r>
    </w:p>
  </w:footnote>
  <w:footnote w:id="3">
    <w:p w14:paraId="20C21B8A" w14:textId="3436A831" w:rsidR="005A5255" w:rsidRPr="00ED4B12" w:rsidRDefault="005A5255" w:rsidP="005A5255">
      <w:pPr>
        <w:pStyle w:val="FootnoteText"/>
        <w:rPr>
          <w:sz w:val="18"/>
          <w:szCs w:val="18"/>
        </w:rPr>
      </w:pPr>
      <w:r>
        <w:rPr>
          <w:rStyle w:val="FootnoteReference"/>
          <w:sz w:val="18"/>
          <w:szCs w:val="18"/>
        </w:rPr>
        <w:footnoteRef/>
      </w:r>
      <w:r>
        <w:rPr>
          <w:sz w:val="18"/>
        </w:rPr>
        <w:t> UNEP/OzL.Pro/ExCom/95/86 et document de contexte UNEP/OzL.Pro/ExCom/93/97.</w:t>
      </w:r>
    </w:p>
  </w:footnote>
  <w:footnote w:id="4">
    <w:p w14:paraId="1E457578" w14:textId="00FD59FC" w:rsidR="009E6F8D" w:rsidRPr="009E6F8D" w:rsidRDefault="009E6F8D">
      <w:pPr>
        <w:pStyle w:val="FootnoteText"/>
      </w:pPr>
      <w:r>
        <w:rPr>
          <w:rStyle w:val="FootnoteReference"/>
        </w:rPr>
        <w:footnoteRef/>
      </w:r>
      <w:r>
        <w:t xml:space="preserve"> De prier le Comité exécutif d’élaborer, dans un délai de deux ans à compter de l’adoption de l’Amendement, des directives concernant le financement de la réduction progressive de la consommation et de la production de HFC, y compris des seuils de coût-efficacité, et de présenter ces directives à la Réunion des Parties avant que le Comité exécutif n’en mette au point la version définitive, afin que les Parties puissent présenter leurs vues et leurs suggestions.</w:t>
      </w:r>
    </w:p>
  </w:footnote>
  <w:footnote w:id="5">
    <w:p w14:paraId="4FAF1E8A" w14:textId="77777777" w:rsidR="008C4D34" w:rsidRPr="0096750B" w:rsidRDefault="008C4D34" w:rsidP="008C4D34">
      <w:pPr>
        <w:pStyle w:val="FootnoteText"/>
      </w:pPr>
      <w:r>
        <w:rPr>
          <w:rStyle w:val="FootnoteReference"/>
        </w:rPr>
        <w:footnoteRef/>
      </w:r>
      <w:r>
        <w:t> </w:t>
      </w:r>
      <w:r>
        <w:rPr>
          <w:sz w:val="18"/>
        </w:rPr>
        <w:t>UNEP/OzL.Pro/ExCom/95/94, annexes LIV et LV.</w:t>
      </w:r>
    </w:p>
  </w:footnote>
  <w:footnote w:id="6">
    <w:p w14:paraId="4E47BA97" w14:textId="77777777" w:rsidR="00282EB1" w:rsidRPr="0096750B" w:rsidRDefault="00282EB1" w:rsidP="00282EB1">
      <w:pPr>
        <w:pStyle w:val="FootnoteText"/>
        <w:tabs>
          <w:tab w:val="left" w:pos="5670"/>
        </w:tabs>
        <w:rPr>
          <w:sz w:val="18"/>
          <w:szCs w:val="18"/>
        </w:rPr>
      </w:pPr>
      <w:r>
        <w:rPr>
          <w:sz w:val="18"/>
          <w:szCs w:val="18"/>
          <w:vertAlign w:val="superscript"/>
        </w:rPr>
        <w:footnoteRef/>
      </w:r>
      <w:r>
        <w:rPr>
          <w:sz w:val="18"/>
        </w:rPr>
        <w:t> UNEP/OzL.Pro/ExCom/82/65 et Add.1.</w:t>
      </w:r>
    </w:p>
  </w:footnote>
  <w:footnote w:id="7">
    <w:p w14:paraId="19AB5103" w14:textId="713B90CF" w:rsidR="007E0207" w:rsidRPr="0096750B" w:rsidRDefault="007E0207" w:rsidP="007E0207">
      <w:pPr>
        <w:pStyle w:val="FootnoteText"/>
      </w:pPr>
      <w:r>
        <w:rPr>
          <w:rStyle w:val="FootnoteReference"/>
        </w:rPr>
        <w:footnoteRef/>
      </w:r>
      <w:r>
        <w:t> </w:t>
      </w:r>
      <w:r>
        <w:rPr>
          <w:sz w:val="18"/>
        </w:rPr>
        <w:t>UNEP/OzL.Pro/ExCom/95/87.</w:t>
      </w:r>
    </w:p>
  </w:footnote>
  <w:footnote w:id="8">
    <w:p w14:paraId="117224A2" w14:textId="43AE1BE0" w:rsidR="00832193" w:rsidRPr="00907630" w:rsidRDefault="00832193" w:rsidP="00832193">
      <w:pPr>
        <w:pStyle w:val="FootnoteText"/>
        <w:rPr>
          <w:sz w:val="18"/>
          <w:szCs w:val="18"/>
        </w:rPr>
      </w:pPr>
      <w:r>
        <w:rPr>
          <w:sz w:val="18"/>
          <w:szCs w:val="18"/>
          <w:vertAlign w:val="superscript"/>
        </w:rPr>
        <w:footnoteRef/>
      </w:r>
      <w:r>
        <w:rPr>
          <w:sz w:val="18"/>
        </w:rPr>
        <w:t> Dans de tels cas, il est attendu que le processus de préparation du plan de mise en œuvre de l’Amendement de Kigali soit en cours. Des activités préparatoires peuvent être planifiées de manière à inclure des activités liées à la préparation de projets au titre de la composante d’efficacité énergétique.</w:t>
      </w:r>
    </w:p>
  </w:footnote>
  <w:footnote w:id="9">
    <w:p w14:paraId="4740E6C6" w14:textId="77777777" w:rsidR="00BF3A1E" w:rsidRPr="00907630" w:rsidRDefault="00BF3A1E" w:rsidP="00BF3A1E">
      <w:pPr>
        <w:pStyle w:val="FootnoteText"/>
        <w:rPr>
          <w:sz w:val="18"/>
          <w:szCs w:val="18"/>
        </w:rPr>
      </w:pPr>
      <w:r>
        <w:rPr>
          <w:rStyle w:val="FootnoteReference"/>
          <w:sz w:val="18"/>
          <w:szCs w:val="18"/>
        </w:rPr>
        <w:footnoteRef/>
      </w:r>
      <w:r>
        <w:rPr>
          <w:sz w:val="18"/>
        </w:rPr>
        <w:t> UNEP/OzL.Pro/ExCom/95/88.</w:t>
      </w:r>
    </w:p>
  </w:footnote>
  <w:footnote w:id="10">
    <w:p w14:paraId="7C43170A" w14:textId="7B550ABA" w:rsidR="0089471D" w:rsidRPr="00907630" w:rsidRDefault="0089471D">
      <w:pPr>
        <w:pStyle w:val="FootnoteText"/>
        <w:rPr>
          <w:sz w:val="18"/>
          <w:szCs w:val="18"/>
        </w:rPr>
      </w:pPr>
      <w:r>
        <w:rPr>
          <w:rStyle w:val="FootnoteReference"/>
          <w:sz w:val="18"/>
          <w:szCs w:val="18"/>
        </w:rPr>
        <w:footnoteRef/>
      </w:r>
      <w:r>
        <w:rPr>
          <w:sz w:val="18"/>
        </w:rPr>
        <w:t> UNEP/OzL.Pro/ExCom/95/89.</w:t>
      </w:r>
    </w:p>
  </w:footnote>
  <w:footnote w:id="11">
    <w:p w14:paraId="56D8F9E6" w14:textId="77777777" w:rsidR="00BF3A1E" w:rsidRPr="004937C5" w:rsidRDefault="00BF3A1E" w:rsidP="00BF3A1E">
      <w:pPr>
        <w:pStyle w:val="FootnoteText"/>
        <w:rPr>
          <w:sz w:val="18"/>
          <w:szCs w:val="18"/>
        </w:rPr>
      </w:pPr>
      <w:r>
        <w:rPr>
          <w:sz w:val="18"/>
          <w:szCs w:val="18"/>
          <w:vertAlign w:val="superscript"/>
        </w:rPr>
        <w:footnoteRef/>
      </w:r>
      <w:r>
        <w:rPr>
          <w:sz w:val="18"/>
        </w:rPr>
        <w:t> UNEP/OzL.Pro/ExCom/95/90.</w:t>
      </w:r>
    </w:p>
  </w:footnote>
  <w:footnote w:id="12">
    <w:p w14:paraId="5CF7CB1D" w14:textId="77777777" w:rsidR="00BF3A1E" w:rsidRPr="00907630" w:rsidRDefault="00BF3A1E" w:rsidP="00BF3A1E">
      <w:pPr>
        <w:pStyle w:val="FootnoteText"/>
        <w:rPr>
          <w:sz w:val="18"/>
          <w:szCs w:val="18"/>
        </w:rPr>
      </w:pPr>
      <w:r>
        <w:rPr>
          <w:rStyle w:val="FootnoteReference"/>
          <w:sz w:val="18"/>
          <w:szCs w:val="18"/>
        </w:rPr>
        <w:footnoteRef/>
      </w:r>
      <w:r>
        <w:rPr>
          <w:sz w:val="18"/>
        </w:rPr>
        <w:t> UNEP/OzL.Pro/ExCom/95/94, annexe LVII.</w:t>
      </w:r>
    </w:p>
  </w:footnote>
  <w:footnote w:id="13">
    <w:p w14:paraId="599EB1F2" w14:textId="77777777" w:rsidR="00DC76E7" w:rsidRPr="005117F2" w:rsidRDefault="00DC76E7" w:rsidP="00DC76E7">
      <w:pPr>
        <w:pStyle w:val="FootnoteText"/>
        <w:rPr>
          <w:sz w:val="18"/>
          <w:szCs w:val="18"/>
        </w:rPr>
      </w:pPr>
      <w:r>
        <w:rPr>
          <w:sz w:val="18"/>
          <w:szCs w:val="18"/>
          <w:vertAlign w:val="superscript"/>
          <w:lang w:val="en-GB"/>
        </w:rPr>
        <w:footnoteRef/>
      </w:r>
      <w:r>
        <w:rPr>
          <w:sz w:val="18"/>
        </w:rPr>
        <w:t> UNEP/OzL.Pro/ExCom/95/85.</w:t>
      </w:r>
    </w:p>
  </w:footnote>
  <w:footnote w:id="14">
    <w:p w14:paraId="7FD88FDF" w14:textId="29BA0B90" w:rsidR="003E62FA" w:rsidRPr="003E62FA" w:rsidRDefault="003E62FA">
      <w:pPr>
        <w:pStyle w:val="FootnoteText"/>
        <w:rPr>
          <w:sz w:val="18"/>
          <w:szCs w:val="18"/>
        </w:rPr>
      </w:pPr>
      <w:r>
        <w:rPr>
          <w:rStyle w:val="FootnoteReference"/>
          <w:sz w:val="18"/>
          <w:szCs w:val="18"/>
        </w:rPr>
        <w:footnoteRef/>
      </w:r>
      <w:r>
        <w:rPr>
          <w:sz w:val="18"/>
        </w:rPr>
        <w:t> UNEP/OzL.Pro/ExCom/95/91.</w:t>
      </w:r>
    </w:p>
  </w:footnote>
  <w:footnote w:id="15">
    <w:p w14:paraId="752A46CA" w14:textId="6217E57F" w:rsidR="00A87D47" w:rsidRPr="00A87D47" w:rsidRDefault="00A87D47" w:rsidP="00A87D47">
      <w:pPr>
        <w:pStyle w:val="FootnoteText"/>
      </w:pPr>
      <w:r>
        <w:rPr>
          <w:rStyle w:val="FootnoteReference"/>
          <w:sz w:val="18"/>
          <w:szCs w:val="18"/>
        </w:rPr>
        <w:footnoteRef/>
      </w:r>
      <w:r>
        <w:t> </w:t>
      </w:r>
      <w:r>
        <w:rPr>
          <w:sz w:val="18"/>
        </w:rPr>
        <w:t>UNEP/OzL.Pro/ExCom/95/92.</w:t>
      </w:r>
    </w:p>
  </w:footnote>
  <w:footnote w:id="16">
    <w:p w14:paraId="747D7567" w14:textId="53DEA438" w:rsidR="00282EB1" w:rsidRDefault="00282EB1" w:rsidP="00282EB1">
      <w:pPr>
        <w:pStyle w:val="FootnoteText"/>
      </w:pPr>
      <w:r>
        <w:rPr>
          <w:sz w:val="18"/>
          <w:szCs w:val="18"/>
          <w:vertAlign w:val="superscript"/>
          <w:lang w:val="en-GB"/>
        </w:rPr>
        <w:footnoteRef/>
      </w:r>
      <w:r>
        <w:rPr>
          <w:sz w:val="18"/>
        </w:rPr>
        <w:t> UNEP/OzL.Pro/ExCom/95/93 [</w:t>
      </w:r>
      <w:r>
        <w:rPr>
          <w:sz w:val="18"/>
          <w:highlight w:val="yellow"/>
        </w:rPr>
        <w:t>et UNEP/OzL.Pro/ExCom/96/??].</w:t>
      </w:r>
    </w:p>
  </w:footnote>
  <w:footnote w:id="17">
    <w:p w14:paraId="41383FC5" w14:textId="4AB4B0AB" w:rsidR="00894520" w:rsidRPr="00CD0314" w:rsidRDefault="00894520" w:rsidP="003C5297">
      <w:pPr>
        <w:pStyle w:val="FootnoteText"/>
        <w:rPr>
          <w:sz w:val="18"/>
          <w:szCs w:val="18"/>
        </w:rPr>
      </w:pPr>
      <w:r>
        <w:rPr>
          <w:rStyle w:val="FootnoteReference"/>
          <w:sz w:val="18"/>
          <w:szCs w:val="18"/>
        </w:rPr>
        <w:footnoteRef/>
      </w:r>
      <w:r>
        <w:rPr>
          <w:sz w:val="18"/>
        </w:rPr>
        <w:t> UNEP/OzL.Pro/ExCom/95/33 [</w:t>
      </w:r>
      <w:r>
        <w:rPr>
          <w:sz w:val="18"/>
          <w:highlight w:val="yellow"/>
        </w:rPr>
        <w:t>et UNEP/OzL.Pro/ExCom/96/??].</w:t>
      </w:r>
    </w:p>
  </w:footnote>
  <w:footnote w:id="18">
    <w:p w14:paraId="25F32EB4" w14:textId="1BF4B414" w:rsidR="00894520" w:rsidRPr="00CD0314" w:rsidRDefault="00894520" w:rsidP="003C5297">
      <w:pPr>
        <w:pStyle w:val="FootnoteText"/>
        <w:rPr>
          <w:sz w:val="18"/>
          <w:szCs w:val="18"/>
        </w:rPr>
      </w:pPr>
      <w:r>
        <w:rPr>
          <w:rStyle w:val="FootnoteReference"/>
          <w:sz w:val="18"/>
          <w:szCs w:val="18"/>
        </w:rPr>
        <w:footnoteRef/>
      </w:r>
      <w:r>
        <w:rPr>
          <w:sz w:val="18"/>
        </w:rPr>
        <w:t> UNEP/OzL.Pro/ExCom/95/34 [</w:t>
      </w:r>
      <w:r>
        <w:rPr>
          <w:sz w:val="18"/>
          <w:highlight w:val="yellow"/>
        </w:rPr>
        <w:t>et UNEP/OzL.Pro/ExCom/96/??</w:t>
      </w:r>
      <w:r>
        <w:rPr>
          <w:sz w:val="18"/>
        </w:rPr>
        <w:t>].</w:t>
      </w:r>
    </w:p>
  </w:footnote>
  <w:footnote w:id="19">
    <w:p w14:paraId="54B3ECAA" w14:textId="60CE8434" w:rsidR="00E81293" w:rsidRPr="00FE5373" w:rsidRDefault="00E81293" w:rsidP="00E81293">
      <w:pPr>
        <w:pStyle w:val="FootnoteText"/>
        <w:rPr>
          <w:sz w:val="18"/>
          <w:szCs w:val="18"/>
        </w:rPr>
      </w:pPr>
      <w:r>
        <w:rPr>
          <w:rStyle w:val="FootnoteReference"/>
          <w:sz w:val="18"/>
          <w:szCs w:val="18"/>
        </w:rPr>
        <w:footnoteRef/>
      </w:r>
      <w:r>
        <w:rPr>
          <w:sz w:val="18"/>
        </w:rPr>
        <w:t xml:space="preserve"> UNEP/OzL.Pro/ExCom/95/32. </w:t>
      </w:r>
    </w:p>
  </w:footnote>
  <w:footnote w:id="20">
    <w:p w14:paraId="158B08EE" w14:textId="606165BC" w:rsidR="00E81293" w:rsidRPr="00FE5373" w:rsidRDefault="00E81293" w:rsidP="00E81293">
      <w:pPr>
        <w:pStyle w:val="FootnoteText"/>
        <w:widowControl w:val="0"/>
        <w:rPr>
          <w:sz w:val="18"/>
          <w:szCs w:val="18"/>
        </w:rPr>
      </w:pPr>
      <w:r>
        <w:rPr>
          <w:rStyle w:val="FootnoteReference"/>
          <w:sz w:val="18"/>
          <w:szCs w:val="18"/>
        </w:rPr>
        <w:footnoteRef/>
      </w:r>
      <w:r>
        <w:rPr>
          <w:sz w:val="18"/>
        </w:rPr>
        <w:t> UNEP/OzL.Pro/ExCom/95/35.</w:t>
      </w:r>
    </w:p>
  </w:footnote>
  <w:footnote w:id="21">
    <w:p w14:paraId="11E25DC4" w14:textId="01536F75" w:rsidR="00E81293" w:rsidRPr="00FE5373" w:rsidRDefault="00E81293" w:rsidP="0002401E">
      <w:pPr>
        <w:pStyle w:val="FootnoteText"/>
        <w:widowControl w:val="0"/>
        <w:rPr>
          <w:sz w:val="18"/>
          <w:szCs w:val="18"/>
        </w:rPr>
      </w:pPr>
      <w:r>
        <w:rPr>
          <w:rStyle w:val="FootnoteReference"/>
          <w:sz w:val="18"/>
          <w:szCs w:val="18"/>
        </w:rPr>
        <w:footnoteRef/>
      </w:r>
      <w:r>
        <w:rPr>
          <w:sz w:val="18"/>
        </w:rPr>
        <w:t> UNEP/OzL.Pro/ExCom/95/36.</w:t>
      </w:r>
    </w:p>
  </w:footnote>
  <w:footnote w:id="22">
    <w:p w14:paraId="3433F0BC" w14:textId="6528D315" w:rsidR="00E81293" w:rsidRPr="00FE5373" w:rsidRDefault="00E81293" w:rsidP="0002401E">
      <w:pPr>
        <w:pStyle w:val="FootnoteText"/>
        <w:widowControl w:val="0"/>
        <w:rPr>
          <w:sz w:val="18"/>
          <w:szCs w:val="18"/>
        </w:rPr>
      </w:pPr>
      <w:r>
        <w:rPr>
          <w:rStyle w:val="FootnoteReference"/>
          <w:sz w:val="18"/>
          <w:szCs w:val="18"/>
        </w:rPr>
        <w:footnoteRef/>
      </w:r>
      <w:r>
        <w:rPr>
          <w:sz w:val="18"/>
        </w:rPr>
        <w:t> UNEP/OzL.Pro/ExCom/95/37.</w:t>
      </w:r>
    </w:p>
  </w:footnote>
  <w:footnote w:id="23">
    <w:p w14:paraId="47A72F8B" w14:textId="4E385448" w:rsidR="00E81293" w:rsidRPr="00FE5373" w:rsidRDefault="00E81293" w:rsidP="0002401E">
      <w:pPr>
        <w:pStyle w:val="FootnoteText"/>
        <w:rPr>
          <w:sz w:val="18"/>
          <w:szCs w:val="18"/>
        </w:rPr>
      </w:pPr>
      <w:r>
        <w:rPr>
          <w:rStyle w:val="FootnoteReference"/>
          <w:sz w:val="18"/>
          <w:szCs w:val="18"/>
        </w:rPr>
        <w:footnoteRef/>
      </w:r>
      <w:r>
        <w:rPr>
          <w:sz w:val="18"/>
        </w:rPr>
        <w:t> UNEP/OzL.Pro/ExCom/95/38.</w:t>
      </w:r>
    </w:p>
  </w:footnote>
  <w:footnote w:id="24">
    <w:p w14:paraId="58C3EC78" w14:textId="184F561D" w:rsidR="00282EB1" w:rsidRDefault="00282EB1" w:rsidP="00282EB1">
      <w:pPr>
        <w:pStyle w:val="FootnoteText"/>
      </w:pPr>
      <w:r>
        <w:rPr>
          <w:rStyle w:val="FootnoteReference"/>
          <w:sz w:val="18"/>
          <w:szCs w:val="18"/>
        </w:rPr>
        <w:footnoteRef/>
      </w:r>
      <w:r>
        <w:t> </w:t>
      </w:r>
      <w:r>
        <w:rPr>
          <w:sz w:val="18"/>
        </w:rPr>
        <w:t>UNEP/OzL.Pro/ExCom/95/83.</w:t>
      </w:r>
    </w:p>
  </w:footnote>
  <w:footnote w:id="25">
    <w:p w14:paraId="6F53A343" w14:textId="11D96B37" w:rsidR="00282EB1" w:rsidRPr="00F147EC" w:rsidRDefault="00282EB1" w:rsidP="00282EB1">
      <w:pPr>
        <w:pStyle w:val="FootnoteText"/>
        <w:rPr>
          <w:lang w:val="en-US"/>
        </w:rPr>
      </w:pPr>
      <w:r>
        <w:rPr>
          <w:rStyle w:val="FootnoteReference"/>
          <w:sz w:val="18"/>
          <w:szCs w:val="18"/>
        </w:rPr>
        <w:footnoteRef/>
      </w:r>
      <w:r w:rsidRPr="00F147EC">
        <w:rPr>
          <w:sz w:val="18"/>
          <w:lang w:val="en-US"/>
        </w:rPr>
        <w:t> UNEP/OzL.Pro/ExCom/95/94, annexe LIII.</w:t>
      </w:r>
    </w:p>
  </w:footnote>
  <w:footnote w:id="26">
    <w:p w14:paraId="76AB4237" w14:textId="5338790C"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UNEP/OzL.Pro/ExCom/95/84.</w:t>
      </w:r>
    </w:p>
  </w:footnote>
  <w:footnote w:id="27">
    <w:p w14:paraId="23182202" w14:textId="2354AB14"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UNEP/OzL.Pro/ExCom/95/8.</w:t>
      </w:r>
    </w:p>
  </w:footnote>
  <w:footnote w:id="28">
    <w:p w14:paraId="1B639C48" w14:textId="4BA7F84D" w:rsidR="000B0F69" w:rsidRPr="00F147EC" w:rsidRDefault="000B0F69">
      <w:pPr>
        <w:pStyle w:val="FootnoteText"/>
        <w:rPr>
          <w:lang w:val="en-US"/>
        </w:rPr>
      </w:pPr>
      <w:r>
        <w:rPr>
          <w:rStyle w:val="FootnoteReference"/>
          <w:highlight w:val="yellow"/>
        </w:rPr>
        <w:footnoteRef/>
      </w:r>
      <w:r w:rsidRPr="00F147EC">
        <w:rPr>
          <w:highlight w:val="yellow"/>
          <w:lang w:val="en-US"/>
        </w:rPr>
        <w:t> </w:t>
      </w:r>
      <w:r w:rsidRPr="00F147EC">
        <w:rPr>
          <w:sz w:val="18"/>
          <w:highlight w:val="yellow"/>
          <w:lang w:val="en-US"/>
        </w:rPr>
        <w:t>[UNEP/OzL.Pro/ExCom/96/??</w:t>
      </w:r>
      <w:r w:rsidRPr="00F147EC">
        <w:rPr>
          <w:sz w:val="18"/>
          <w:lang w:val="en-US"/>
        </w:rPr>
        <w:t>].</w:t>
      </w:r>
    </w:p>
  </w:footnote>
  <w:footnote w:id="29">
    <w:p w14:paraId="1251BA8B" w14:textId="0D206D85" w:rsidR="00282EB1" w:rsidRPr="00F147EC" w:rsidRDefault="00282EB1" w:rsidP="00282EB1">
      <w:pPr>
        <w:pStyle w:val="FootnoteText"/>
        <w:rPr>
          <w:sz w:val="18"/>
          <w:szCs w:val="18"/>
          <w:lang w:val="en-US"/>
        </w:rPr>
      </w:pPr>
      <w:r>
        <w:rPr>
          <w:sz w:val="18"/>
          <w:szCs w:val="18"/>
          <w:vertAlign w:val="superscript"/>
          <w:lang w:val="en-GB"/>
        </w:rPr>
        <w:footnoteRef/>
      </w:r>
      <w:r w:rsidRPr="00F147EC">
        <w:rPr>
          <w:sz w:val="18"/>
          <w:lang w:val="en-US"/>
        </w:rPr>
        <w:t> UNEP/OzL.Pro/ExCom/95/24.</w:t>
      </w:r>
    </w:p>
  </w:footnote>
  <w:footnote w:id="30">
    <w:p w14:paraId="6BD5FD55" w14:textId="03CD5F90" w:rsidR="00F5295E" w:rsidRPr="00F147EC" w:rsidRDefault="00F5295E">
      <w:pPr>
        <w:pStyle w:val="FootnoteText"/>
        <w:rPr>
          <w:lang w:val="en-US"/>
        </w:rPr>
      </w:pPr>
      <w:r>
        <w:rPr>
          <w:rStyle w:val="FootnoteReference"/>
        </w:rPr>
        <w:footnoteRef/>
      </w:r>
      <w:r w:rsidRPr="00F147EC">
        <w:rPr>
          <w:lang w:val="en-US"/>
        </w:rPr>
        <w:t> </w:t>
      </w:r>
      <w:r w:rsidRPr="00F147EC">
        <w:rPr>
          <w:sz w:val="18"/>
          <w:highlight w:val="yellow"/>
          <w:lang w:val="en-US"/>
        </w:rPr>
        <w:t>[UNEP/OzL.Pro/ExCom/96/??</w:t>
      </w:r>
      <w:r w:rsidRPr="00F147EC">
        <w:rPr>
          <w:sz w:val="18"/>
          <w:lang w:val="en-US"/>
        </w:rPr>
        <w:t>]</w:t>
      </w:r>
    </w:p>
  </w:footnote>
  <w:footnote w:id="31">
    <w:p w14:paraId="6FECCB5C" w14:textId="3326A538"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UNEP/OzL.Pro/ExCom/95/94, annexe XII, [</w:t>
      </w:r>
      <w:r w:rsidRPr="00F147EC">
        <w:rPr>
          <w:sz w:val="18"/>
          <w:highlight w:val="yellow"/>
          <w:lang w:val="en-US"/>
        </w:rPr>
        <w:t>et UNEP/OzL.Pro/ExCom/96/???, annexe ???</w:t>
      </w:r>
      <w:r w:rsidRPr="00F147EC">
        <w:rPr>
          <w:sz w:val="18"/>
          <w:lang w:val="en-US"/>
        </w:rPr>
        <w:t>].</w:t>
      </w:r>
    </w:p>
  </w:footnote>
  <w:footnote w:id="32">
    <w:p w14:paraId="6A426A6D" w14:textId="1CF922B6"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UNEP/OzL.Pro/ExCom/95/14.</w:t>
      </w:r>
    </w:p>
  </w:footnote>
  <w:footnote w:id="33">
    <w:p w14:paraId="10F9C7EB" w14:textId="7E5BAB0F" w:rsidR="00282EB1" w:rsidRPr="00F147EC" w:rsidRDefault="00282EB1" w:rsidP="00282EB1">
      <w:pPr>
        <w:pStyle w:val="FootnoteText"/>
        <w:rPr>
          <w:lang w:val="en-US"/>
        </w:rPr>
      </w:pPr>
      <w:r>
        <w:rPr>
          <w:rStyle w:val="FootnoteReference"/>
          <w:sz w:val="18"/>
          <w:szCs w:val="18"/>
        </w:rPr>
        <w:footnoteRef/>
      </w:r>
      <w:r w:rsidRPr="00F147EC">
        <w:rPr>
          <w:sz w:val="18"/>
          <w:lang w:val="en-US"/>
        </w:rPr>
        <w:t> UNEP/OzL.Pro/ExCom/95/15.</w:t>
      </w:r>
    </w:p>
  </w:footnote>
  <w:footnote w:id="34">
    <w:p w14:paraId="5977408F" w14:textId="2AA3E574"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UNEP/OzL.Pro/ExCom/95/16.</w:t>
      </w:r>
    </w:p>
  </w:footnote>
  <w:footnote w:id="35">
    <w:p w14:paraId="4EF4A502" w14:textId="471751B6"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UNEP/OzL.Pro/ExCom/95/17.</w:t>
      </w:r>
    </w:p>
  </w:footnote>
  <w:footnote w:id="36">
    <w:p w14:paraId="1A6B2F9F" w14:textId="62A8B9A0"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UNEP/OzL.Pro/ExCom/95/18.</w:t>
      </w:r>
    </w:p>
  </w:footnote>
  <w:footnote w:id="37">
    <w:p w14:paraId="1D0E9DD6" w14:textId="7F31A389"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UNEP/OzL.Pro/ExCom/95/19.</w:t>
      </w:r>
    </w:p>
  </w:footnote>
  <w:footnote w:id="38">
    <w:p w14:paraId="54C9E1A0" w14:textId="4138AD0F" w:rsidR="00282EB1" w:rsidRPr="00CA20B6" w:rsidRDefault="00282EB1" w:rsidP="00282EB1">
      <w:pPr>
        <w:pStyle w:val="FootnoteText"/>
        <w:rPr>
          <w:sz w:val="18"/>
          <w:szCs w:val="18"/>
        </w:rPr>
      </w:pPr>
      <w:r>
        <w:rPr>
          <w:rStyle w:val="FootnoteReference"/>
          <w:sz w:val="18"/>
          <w:szCs w:val="18"/>
        </w:rPr>
        <w:footnoteRef/>
      </w:r>
      <w:r>
        <w:rPr>
          <w:sz w:val="18"/>
        </w:rPr>
        <w:t> UNEP/OzL.Pro/ExCom/95/94, annexes V à IX.</w:t>
      </w:r>
    </w:p>
  </w:footnote>
  <w:footnote w:id="39">
    <w:p w14:paraId="5FE18A85" w14:textId="59954CDB" w:rsidR="00282EB1" w:rsidRPr="00845B13" w:rsidRDefault="00282EB1" w:rsidP="00282EB1">
      <w:pPr>
        <w:pStyle w:val="FootnoteText"/>
        <w:rPr>
          <w:sz w:val="18"/>
          <w:szCs w:val="18"/>
        </w:rPr>
      </w:pPr>
      <w:r>
        <w:rPr>
          <w:rStyle w:val="FootnoteReference"/>
          <w:sz w:val="18"/>
          <w:szCs w:val="18"/>
        </w:rPr>
        <w:footnoteRef/>
      </w:r>
      <w:r>
        <w:rPr>
          <w:sz w:val="18"/>
        </w:rPr>
        <w:t> UNEP/OzL.Pro/ExCom/95/20 et Add.1, et UNEP/OzL.Pro/ExCom/95/21.</w:t>
      </w:r>
    </w:p>
  </w:footnote>
  <w:footnote w:id="40">
    <w:p w14:paraId="30601E8B" w14:textId="0FBE264D" w:rsidR="000D1EA8" w:rsidRPr="000D1EA8" w:rsidRDefault="000D1EA8">
      <w:pPr>
        <w:pStyle w:val="FootnoteText"/>
      </w:pPr>
      <w:r>
        <w:rPr>
          <w:rStyle w:val="FootnoteReference"/>
          <w:sz w:val="18"/>
          <w:szCs w:val="18"/>
        </w:rPr>
        <w:footnoteRef/>
      </w:r>
      <w:r>
        <w:t> </w:t>
      </w:r>
      <w:r>
        <w:rPr>
          <w:sz w:val="18"/>
          <w:highlight w:val="yellow"/>
        </w:rPr>
        <w:t>UNEP/OzL.Pro/ExCom/96/??</w:t>
      </w:r>
    </w:p>
  </w:footnote>
  <w:footnote w:id="41">
    <w:p w14:paraId="593F7528" w14:textId="77777777" w:rsidR="00263184" w:rsidRPr="00AE0BA4" w:rsidRDefault="00263184" w:rsidP="00263184">
      <w:pPr>
        <w:pStyle w:val="FootnoteText"/>
        <w:rPr>
          <w:sz w:val="18"/>
          <w:szCs w:val="18"/>
        </w:rPr>
      </w:pPr>
      <w:r>
        <w:rPr>
          <w:sz w:val="18"/>
          <w:szCs w:val="18"/>
          <w:vertAlign w:val="superscript"/>
          <w:lang w:val="en-GB"/>
        </w:rPr>
        <w:footnoteRef/>
      </w:r>
      <w:r>
        <w:rPr>
          <w:sz w:val="18"/>
        </w:rPr>
        <w:t> UNEP/OzL.Pro/ExCom/95/47, annexe III.</w:t>
      </w:r>
    </w:p>
  </w:footnote>
  <w:footnote w:id="42">
    <w:p w14:paraId="3126AF9E" w14:textId="5CE1E56F" w:rsidR="00282EB1" w:rsidRPr="00845B13" w:rsidRDefault="00282EB1" w:rsidP="00282EB1">
      <w:pPr>
        <w:pStyle w:val="FootnoteText"/>
        <w:rPr>
          <w:sz w:val="18"/>
          <w:szCs w:val="18"/>
        </w:rPr>
      </w:pPr>
      <w:r>
        <w:rPr>
          <w:rStyle w:val="FootnoteReference"/>
          <w:sz w:val="18"/>
          <w:szCs w:val="18"/>
        </w:rPr>
        <w:footnoteRef/>
      </w:r>
      <w:r>
        <w:rPr>
          <w:sz w:val="18"/>
        </w:rPr>
        <w:t> UNEP/OzL.Pro/ExCom/95/22.</w:t>
      </w:r>
    </w:p>
  </w:footnote>
  <w:footnote w:id="43">
    <w:p w14:paraId="19FD5316" w14:textId="570EB6CF" w:rsidR="00282EB1" w:rsidRPr="00845B13" w:rsidRDefault="00282EB1" w:rsidP="00282EB1">
      <w:pPr>
        <w:pStyle w:val="FootnoteText"/>
        <w:rPr>
          <w:sz w:val="18"/>
          <w:szCs w:val="18"/>
        </w:rPr>
      </w:pPr>
      <w:r>
        <w:rPr>
          <w:rStyle w:val="FootnoteReference"/>
          <w:sz w:val="18"/>
          <w:szCs w:val="18"/>
        </w:rPr>
        <w:footnoteRef/>
      </w:r>
      <w:r>
        <w:rPr>
          <w:sz w:val="18"/>
        </w:rPr>
        <w:t> UNEP/OzL.Pro/ExCom/95/9.</w:t>
      </w:r>
    </w:p>
  </w:footnote>
  <w:footnote w:id="44">
    <w:p w14:paraId="6BEFE258" w14:textId="2315CB27" w:rsidR="003E01C4" w:rsidRPr="00F147EC" w:rsidRDefault="003E01C4">
      <w:pPr>
        <w:pStyle w:val="FootnoteText"/>
        <w:rPr>
          <w:lang w:val="en-US"/>
        </w:rPr>
      </w:pPr>
      <w:r>
        <w:rPr>
          <w:rStyle w:val="FootnoteReference"/>
        </w:rPr>
        <w:footnoteRef/>
      </w:r>
      <w:r w:rsidRPr="00F147EC">
        <w:rPr>
          <w:lang w:val="en-US"/>
        </w:rPr>
        <w:t> </w:t>
      </w:r>
      <w:r w:rsidRPr="00F147EC">
        <w:rPr>
          <w:sz w:val="18"/>
          <w:lang w:val="en-US"/>
        </w:rPr>
        <w:t>UNEP/OzL.Pro/ExCom/95/13/Rev.1.</w:t>
      </w:r>
    </w:p>
  </w:footnote>
  <w:footnote w:id="45">
    <w:p w14:paraId="72496115" w14:textId="607A8709" w:rsidR="0071746D" w:rsidRPr="00F147EC" w:rsidRDefault="0071746D">
      <w:pPr>
        <w:pStyle w:val="FootnoteText"/>
        <w:rPr>
          <w:lang w:val="en-US"/>
        </w:rPr>
      </w:pPr>
      <w:r>
        <w:rPr>
          <w:rStyle w:val="FootnoteReference"/>
        </w:rPr>
        <w:footnoteRef/>
      </w:r>
      <w:r w:rsidRPr="00F147EC">
        <w:rPr>
          <w:lang w:val="en-US"/>
        </w:rPr>
        <w:t> </w:t>
      </w:r>
      <w:r w:rsidRPr="00F147EC">
        <w:rPr>
          <w:sz w:val="18"/>
          <w:lang w:val="en-US"/>
        </w:rPr>
        <w:t>UNEP/OzL.Pro/ExCom/95/94, annexe IV.</w:t>
      </w:r>
    </w:p>
  </w:footnote>
  <w:footnote w:id="46">
    <w:p w14:paraId="3F109625" w14:textId="7EF18D0F" w:rsidR="0071746D" w:rsidRPr="00F147EC" w:rsidRDefault="0071746D">
      <w:pPr>
        <w:pStyle w:val="FootnoteText"/>
        <w:rPr>
          <w:lang w:val="en-US"/>
        </w:rPr>
      </w:pPr>
      <w:r>
        <w:rPr>
          <w:rStyle w:val="FootnoteReference"/>
        </w:rPr>
        <w:footnoteRef/>
      </w:r>
      <w:r w:rsidRPr="00F147EC">
        <w:rPr>
          <w:lang w:val="en-US"/>
        </w:rPr>
        <w:t> </w:t>
      </w:r>
      <w:r w:rsidRPr="00F147EC">
        <w:rPr>
          <w:sz w:val="18"/>
          <w:lang w:val="en-US"/>
        </w:rPr>
        <w:t>UNEP/OzL.Pro/ExCom/95/10.</w:t>
      </w:r>
    </w:p>
  </w:footnote>
  <w:footnote w:id="47">
    <w:p w14:paraId="774BBA2B" w14:textId="00F2B740" w:rsidR="00C55B2A" w:rsidRPr="00F147EC" w:rsidRDefault="00C55B2A">
      <w:pPr>
        <w:pStyle w:val="FootnoteText"/>
        <w:rPr>
          <w:lang w:val="en-US"/>
        </w:rPr>
      </w:pPr>
      <w:r>
        <w:rPr>
          <w:rStyle w:val="FootnoteReference"/>
        </w:rPr>
        <w:footnoteRef/>
      </w:r>
      <w:r w:rsidRPr="00F147EC">
        <w:rPr>
          <w:lang w:val="en-US"/>
        </w:rPr>
        <w:t> </w:t>
      </w:r>
      <w:r w:rsidRPr="00F147EC">
        <w:rPr>
          <w:sz w:val="18"/>
          <w:lang w:val="en-US"/>
        </w:rPr>
        <w:t>UNEP/OzL.Pro/ExCom/95/94.</w:t>
      </w:r>
    </w:p>
  </w:footnote>
  <w:footnote w:id="48">
    <w:p w14:paraId="1CD5FE5F" w14:textId="3C5CE60D" w:rsidR="0071746D" w:rsidRPr="00F147EC" w:rsidRDefault="0071746D">
      <w:pPr>
        <w:pStyle w:val="FootnoteText"/>
        <w:rPr>
          <w:lang w:val="en-US"/>
        </w:rPr>
      </w:pPr>
      <w:r>
        <w:rPr>
          <w:rStyle w:val="FootnoteReference"/>
        </w:rPr>
        <w:footnoteRef/>
      </w:r>
      <w:r w:rsidRPr="00F147EC">
        <w:rPr>
          <w:lang w:val="en-US"/>
        </w:rPr>
        <w:t> </w:t>
      </w:r>
      <w:r w:rsidRPr="00F147EC">
        <w:rPr>
          <w:sz w:val="18"/>
          <w:lang w:val="en-US"/>
        </w:rPr>
        <w:t>UNEP/OzL.Pro/ExCom/95/94, annexe III.</w:t>
      </w:r>
    </w:p>
  </w:footnote>
  <w:footnote w:id="49">
    <w:p w14:paraId="5BE0D0BB" w14:textId="35CB6085" w:rsidR="00AE0739" w:rsidRPr="00F147EC" w:rsidRDefault="00AE0739">
      <w:pPr>
        <w:pStyle w:val="FootnoteText"/>
        <w:rPr>
          <w:lang w:val="en-US"/>
        </w:rPr>
      </w:pPr>
      <w:r>
        <w:rPr>
          <w:rStyle w:val="FootnoteReference"/>
        </w:rPr>
        <w:footnoteRef/>
      </w:r>
      <w:r w:rsidRPr="00F147EC">
        <w:rPr>
          <w:lang w:val="en-US"/>
        </w:rPr>
        <w:t> </w:t>
      </w:r>
      <w:r w:rsidRPr="00F147EC">
        <w:rPr>
          <w:sz w:val="18"/>
          <w:lang w:val="en-US"/>
        </w:rPr>
        <w:t>UNEP/OzL.Pro/ExCom/95/11.</w:t>
      </w:r>
    </w:p>
  </w:footnote>
  <w:footnote w:id="50">
    <w:p w14:paraId="0A91AB24" w14:textId="56ACD307" w:rsidR="00E52A3D" w:rsidRPr="00F147EC" w:rsidRDefault="00E52A3D">
      <w:pPr>
        <w:pStyle w:val="FootnoteText"/>
        <w:rPr>
          <w:lang w:val="en-US"/>
        </w:rPr>
      </w:pPr>
      <w:r>
        <w:rPr>
          <w:rStyle w:val="FootnoteReference"/>
        </w:rPr>
        <w:footnoteRef/>
      </w:r>
      <w:r w:rsidRPr="00F147EC">
        <w:rPr>
          <w:lang w:val="en-US"/>
        </w:rPr>
        <w:t> </w:t>
      </w:r>
      <w:r w:rsidRPr="00F147EC">
        <w:rPr>
          <w:sz w:val="18"/>
          <w:lang w:val="en-US"/>
        </w:rPr>
        <w:t>UNEP/OzL.Pro/ExCom/95/94.</w:t>
      </w:r>
    </w:p>
  </w:footnote>
  <w:footnote w:id="51">
    <w:p w14:paraId="774923E5" w14:textId="41602D72" w:rsidR="00C55B2A" w:rsidRPr="00F147EC" w:rsidRDefault="00C55B2A">
      <w:pPr>
        <w:pStyle w:val="FootnoteText"/>
        <w:rPr>
          <w:lang w:val="en-US"/>
        </w:rPr>
      </w:pPr>
      <w:r>
        <w:rPr>
          <w:rStyle w:val="FootnoteReference"/>
        </w:rPr>
        <w:footnoteRef/>
      </w:r>
      <w:r w:rsidRPr="00F147EC">
        <w:rPr>
          <w:lang w:val="en-US"/>
        </w:rPr>
        <w:t> [</w:t>
      </w:r>
      <w:r w:rsidRPr="00F147EC">
        <w:rPr>
          <w:sz w:val="18"/>
          <w:highlight w:val="yellow"/>
          <w:lang w:val="en-US"/>
        </w:rPr>
        <w:t>UNEP/OzL.Pro/ExCom/96/??].</w:t>
      </w:r>
    </w:p>
  </w:footnote>
  <w:footnote w:id="52">
    <w:p w14:paraId="5BEF8525" w14:textId="4C38B94C" w:rsidR="00C55B2A" w:rsidRPr="00F147EC" w:rsidRDefault="00C55B2A">
      <w:pPr>
        <w:pStyle w:val="FootnoteText"/>
        <w:rPr>
          <w:lang w:val="en-US"/>
        </w:rPr>
      </w:pPr>
      <w:r>
        <w:rPr>
          <w:rStyle w:val="FootnoteReference"/>
        </w:rPr>
        <w:footnoteRef/>
      </w:r>
      <w:r w:rsidRPr="00F147EC">
        <w:rPr>
          <w:lang w:val="en-US"/>
        </w:rPr>
        <w:t> </w:t>
      </w:r>
      <w:r w:rsidRPr="00F147EC">
        <w:rPr>
          <w:sz w:val="18"/>
          <w:lang w:val="en-US"/>
        </w:rPr>
        <w:t>UNEP/OzL.Pro/ExCom/95/12.</w:t>
      </w:r>
    </w:p>
  </w:footnote>
  <w:footnote w:id="53">
    <w:p w14:paraId="4EB134CD" w14:textId="4D7A078B" w:rsidR="00C55B2A" w:rsidRPr="00F147EC" w:rsidRDefault="00C55B2A">
      <w:pPr>
        <w:pStyle w:val="FootnoteText"/>
        <w:rPr>
          <w:lang w:val="en-US"/>
        </w:rPr>
      </w:pPr>
      <w:r>
        <w:rPr>
          <w:rStyle w:val="FootnoteReference"/>
        </w:rPr>
        <w:footnoteRef/>
      </w:r>
      <w:r w:rsidRPr="00F147EC">
        <w:rPr>
          <w:lang w:val="en-US"/>
        </w:rPr>
        <w:t> </w:t>
      </w:r>
      <w:r w:rsidRPr="00F147EC">
        <w:rPr>
          <w:sz w:val="18"/>
          <w:lang w:val="en-US"/>
        </w:rPr>
        <w:t>UNEP/OzL.Pro/ExCom/95/94.</w:t>
      </w:r>
    </w:p>
  </w:footnote>
  <w:footnote w:id="54">
    <w:p w14:paraId="0316DAC5" w14:textId="28E2068E"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UNEP/OzL.Pro/ExCom/95/23.</w:t>
      </w:r>
    </w:p>
  </w:footnote>
  <w:footnote w:id="55">
    <w:p w14:paraId="1ED3631A" w14:textId="4223D924"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UNEP/OzL.Pro/ExCom/95/25.</w:t>
      </w:r>
    </w:p>
  </w:footnote>
  <w:footnote w:id="56">
    <w:p w14:paraId="2E8DA461" w14:textId="4BD16A54"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UNEP/OzL.Pro/ExCom/95/26.</w:t>
      </w:r>
    </w:p>
  </w:footnote>
  <w:footnote w:id="57">
    <w:p w14:paraId="0AE7F61B" w14:textId="07173507"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UNEP/OzL.Pro/ExCom/95/27.</w:t>
      </w:r>
    </w:p>
  </w:footnote>
  <w:footnote w:id="58">
    <w:p w14:paraId="7FD92D9D" w14:textId="3A27B47F"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UNEP/OzL.Pro/ExCom/95/28.</w:t>
      </w:r>
    </w:p>
  </w:footnote>
  <w:footnote w:id="59">
    <w:p w14:paraId="49B7EF00" w14:textId="72C52173"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UNEP/OzL.Pro/ExCom/95/29.</w:t>
      </w:r>
    </w:p>
  </w:footnote>
  <w:footnote w:id="60">
    <w:p w14:paraId="30589C5B" w14:textId="381F1AD4"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UNEP/OzL.Pro/ExCom/95/30.</w:t>
      </w:r>
    </w:p>
  </w:footnote>
  <w:footnote w:id="61">
    <w:p w14:paraId="5273223A" w14:textId="1B9196DC" w:rsidR="00282EB1" w:rsidRPr="00845B13" w:rsidRDefault="00282EB1" w:rsidP="00282EB1">
      <w:pPr>
        <w:pStyle w:val="FootnoteText"/>
        <w:rPr>
          <w:sz w:val="18"/>
          <w:szCs w:val="18"/>
        </w:rPr>
      </w:pPr>
      <w:r>
        <w:rPr>
          <w:rStyle w:val="FootnoteReference"/>
          <w:sz w:val="18"/>
          <w:szCs w:val="18"/>
        </w:rPr>
        <w:footnoteRef/>
      </w:r>
      <w:r>
        <w:rPr>
          <w:sz w:val="18"/>
        </w:rPr>
        <w:t> UNEP/OzL.Pro/ExCom/95/94, annexes XIII, XIV, XV et XVI.</w:t>
      </w:r>
    </w:p>
  </w:footnote>
  <w:footnote w:id="62">
    <w:p w14:paraId="4290A731" w14:textId="3DD2CB91"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w:t>
      </w:r>
      <w:r w:rsidRPr="00F147EC">
        <w:rPr>
          <w:sz w:val="18"/>
          <w:highlight w:val="yellow"/>
          <w:lang w:val="en-US"/>
        </w:rPr>
        <w:t>UNEP/OzL.Pro/ExCom/96/???, annexe ???.]</w:t>
      </w:r>
    </w:p>
  </w:footnote>
  <w:footnote w:id="63">
    <w:p w14:paraId="426AD60C" w14:textId="15E37876"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UNEP/OzL.Pro/ExCom/95/3 et UNEP/OzL.Pro/ExCom/95/94, annexe I.</w:t>
      </w:r>
    </w:p>
  </w:footnote>
  <w:footnote w:id="64">
    <w:p w14:paraId="17A25CA2" w14:textId="760E6F3B"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UNEP/OzL.Pro/ExCom/95/4.</w:t>
      </w:r>
    </w:p>
  </w:footnote>
  <w:footnote w:id="65">
    <w:p w14:paraId="4AC87743" w14:textId="17890819"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UNEP/OzL.Pro/ExCom/95/5.</w:t>
      </w:r>
    </w:p>
  </w:footnote>
  <w:footnote w:id="66">
    <w:p w14:paraId="079418F7" w14:textId="4FFFB231"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UNEP/OzL.Pro/ExCom/95/6.</w:t>
      </w:r>
    </w:p>
  </w:footnote>
  <w:footnote w:id="67">
    <w:p w14:paraId="553461B3" w14:textId="25942E32" w:rsidR="004D4543" w:rsidRPr="00F147EC" w:rsidRDefault="004D4543" w:rsidP="004D4543">
      <w:pPr>
        <w:pStyle w:val="FootnoteText"/>
        <w:rPr>
          <w:sz w:val="18"/>
          <w:szCs w:val="18"/>
          <w:lang w:val="en-US"/>
        </w:rPr>
      </w:pPr>
      <w:r>
        <w:rPr>
          <w:rStyle w:val="FootnoteReference"/>
          <w:sz w:val="18"/>
          <w:szCs w:val="18"/>
        </w:rPr>
        <w:footnoteRef/>
      </w:r>
      <w:r w:rsidRPr="00F147EC">
        <w:rPr>
          <w:sz w:val="18"/>
          <w:lang w:val="en-US"/>
        </w:rPr>
        <w:t> UNEP/OzL.Pro/ExCom/95/7.</w:t>
      </w:r>
    </w:p>
  </w:footnote>
  <w:footnote w:id="68">
    <w:p w14:paraId="4DA0DD90" w14:textId="5E7DBD00"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UNEP/OzL.Pro/ExCom/95/2.</w:t>
      </w:r>
    </w:p>
  </w:footnote>
  <w:footnote w:id="69">
    <w:p w14:paraId="2F60AF23" w14:textId="7DC5D41E" w:rsidR="00282EB1" w:rsidRPr="00F147EC" w:rsidRDefault="00282EB1" w:rsidP="00282EB1">
      <w:pPr>
        <w:pStyle w:val="FootnoteText"/>
        <w:rPr>
          <w:sz w:val="18"/>
          <w:szCs w:val="18"/>
          <w:lang w:val="en-US"/>
        </w:rPr>
      </w:pPr>
      <w:r>
        <w:rPr>
          <w:rStyle w:val="FootnoteReference"/>
          <w:sz w:val="18"/>
          <w:szCs w:val="18"/>
        </w:rPr>
        <w:footnoteRef/>
      </w:r>
      <w:r w:rsidRPr="00F147EC">
        <w:rPr>
          <w:sz w:val="18"/>
          <w:lang w:val="en-US"/>
        </w:rPr>
        <w:t> </w:t>
      </w:r>
      <w:r w:rsidRPr="00F147EC">
        <w:rPr>
          <w:sz w:val="16"/>
          <w:lang w:val="en-US"/>
        </w:rPr>
        <w:t>[</w:t>
      </w:r>
      <w:r w:rsidRPr="00F147EC">
        <w:rPr>
          <w:sz w:val="18"/>
          <w:highlight w:val="yellow"/>
          <w:lang w:val="en-US"/>
        </w:rPr>
        <w:t>UNEP/OzL.Pro/ExCom/96/??.]</w:t>
      </w:r>
    </w:p>
  </w:footnote>
  <w:footnote w:id="70">
    <w:p w14:paraId="3A3D5DB5" w14:textId="77777777" w:rsidR="00715C02" w:rsidRPr="00461D9A" w:rsidRDefault="00715C02" w:rsidP="00715C02">
      <w:pPr>
        <w:pStyle w:val="FootnoteText"/>
        <w:rPr>
          <w:sz w:val="18"/>
          <w:szCs w:val="18"/>
        </w:rPr>
      </w:pPr>
      <w:r>
        <w:rPr>
          <w:rStyle w:val="FootnoteReference"/>
          <w:sz w:val="18"/>
          <w:szCs w:val="18"/>
        </w:rPr>
        <w:footnoteRef/>
      </w:r>
      <w:r>
        <w:rPr>
          <w:sz w:val="18"/>
        </w:rPr>
        <w:t> Ne concerne que les projets approuvés et financés par des contributions régulières.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7651" w14:textId="102AE8CE" w:rsidR="00DC6A10" w:rsidRPr="0033525D" w:rsidRDefault="00E5322D">
    <w:fldSimple w:instr=" DOCPROPERTY &quot;Document number&quot;  \* MERGEFORMAT ">
      <w:r w:rsidR="00F147EC">
        <w:t>UNEP/OzL.Pro/ExCom/96/64</w:t>
      </w:r>
    </w:fldSimple>
  </w:p>
  <w:p w14:paraId="0240DD11" w14:textId="77777777" w:rsidR="00DC6A10" w:rsidRPr="0033525D" w:rsidRDefault="00DC6A10"/>
  <w:p w14:paraId="0D6D8E4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23FCC" w14:textId="4F4A3E2F" w:rsidR="00DC6A10" w:rsidRPr="0033525D" w:rsidRDefault="00E5322D">
    <w:pPr>
      <w:jc w:val="right"/>
    </w:pPr>
    <w:fldSimple w:instr=" DOCPROPERTY &quot;Document number&quot;  \* MERGEFORMAT ">
      <w:r w:rsidR="00F147EC">
        <w:t>UNEP/OzL.Pro/ExCom/96/64</w:t>
      </w:r>
    </w:fldSimple>
  </w:p>
  <w:p w14:paraId="1C86565E" w14:textId="77777777" w:rsidR="00DC6A10" w:rsidRPr="0033525D" w:rsidRDefault="00DC6A10"/>
  <w:p w14:paraId="68AC252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D084024"/>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Letter"/>
      <w:lvlText w:val="(%3)"/>
      <w:lvlJc w:val="left"/>
      <w:pPr>
        <w:tabs>
          <w:tab w:val="num" w:pos="0"/>
        </w:tabs>
        <w:ind w:left="2160" w:hanging="720"/>
      </w:pPr>
      <w:rPr>
        <w:rFonts w:ascii="Times New Roman" w:eastAsia="Times New Roman" w:hAnsi="Times New Roman" w:cs="Times New Roman"/>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2CF6C24"/>
    <w:multiLevelType w:val="hybridMultilevel"/>
    <w:tmpl w:val="AF189A5C"/>
    <w:lvl w:ilvl="0" w:tplc="5406BA9E">
      <w:start w:val="1"/>
      <w:numFmt w:val="upperRoman"/>
      <w:lvlText w:val="%1."/>
      <w:lvlJc w:val="left"/>
      <w:pPr>
        <w:ind w:left="1080" w:hanging="720"/>
      </w:pPr>
      <w:rPr>
        <w:sz w:val="24"/>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04A6125A"/>
    <w:multiLevelType w:val="hybridMultilevel"/>
    <w:tmpl w:val="7DD4C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6C38E8"/>
    <w:multiLevelType w:val="hybridMultilevel"/>
    <w:tmpl w:val="FFFFFFFF"/>
    <w:lvl w:ilvl="0" w:tplc="D4182744">
      <w:start w:val="1"/>
      <w:numFmt w:val="decimal"/>
      <w:lvlText w:val="%1."/>
      <w:lvlJc w:val="left"/>
      <w:pPr>
        <w:ind w:left="1429" w:hanging="360"/>
      </w:pPr>
      <w:rPr>
        <w:rFonts w:cs="Times New Roman"/>
        <w:b w:val="0"/>
        <w:bCs w:val="0"/>
        <w:sz w:val="22"/>
        <w:szCs w:val="22"/>
      </w:rPr>
    </w:lvl>
    <w:lvl w:ilvl="1" w:tplc="10090019">
      <w:start w:val="1"/>
      <w:numFmt w:val="lowerLetter"/>
      <w:lvlText w:val="%2."/>
      <w:lvlJc w:val="left"/>
      <w:pPr>
        <w:ind w:left="2149" w:hanging="360"/>
      </w:pPr>
      <w:rPr>
        <w:rFonts w:cs="Times New Roman"/>
      </w:rPr>
    </w:lvl>
    <w:lvl w:ilvl="2" w:tplc="1009001B" w:tentative="1">
      <w:start w:val="1"/>
      <w:numFmt w:val="lowerRoman"/>
      <w:lvlText w:val="%3."/>
      <w:lvlJc w:val="right"/>
      <w:pPr>
        <w:ind w:left="2869" w:hanging="180"/>
      </w:pPr>
      <w:rPr>
        <w:rFonts w:cs="Times New Roman"/>
      </w:rPr>
    </w:lvl>
    <w:lvl w:ilvl="3" w:tplc="1009000F" w:tentative="1">
      <w:start w:val="1"/>
      <w:numFmt w:val="decimal"/>
      <w:lvlText w:val="%4."/>
      <w:lvlJc w:val="left"/>
      <w:pPr>
        <w:ind w:left="3589" w:hanging="360"/>
      </w:pPr>
      <w:rPr>
        <w:rFonts w:cs="Times New Roman"/>
      </w:rPr>
    </w:lvl>
    <w:lvl w:ilvl="4" w:tplc="10090019" w:tentative="1">
      <w:start w:val="1"/>
      <w:numFmt w:val="lowerLetter"/>
      <w:lvlText w:val="%5."/>
      <w:lvlJc w:val="left"/>
      <w:pPr>
        <w:ind w:left="4309" w:hanging="360"/>
      </w:pPr>
      <w:rPr>
        <w:rFonts w:cs="Times New Roman"/>
      </w:rPr>
    </w:lvl>
    <w:lvl w:ilvl="5" w:tplc="1009001B" w:tentative="1">
      <w:start w:val="1"/>
      <w:numFmt w:val="lowerRoman"/>
      <w:lvlText w:val="%6."/>
      <w:lvlJc w:val="right"/>
      <w:pPr>
        <w:ind w:left="5029" w:hanging="180"/>
      </w:pPr>
      <w:rPr>
        <w:rFonts w:cs="Times New Roman"/>
      </w:rPr>
    </w:lvl>
    <w:lvl w:ilvl="6" w:tplc="1009000F" w:tentative="1">
      <w:start w:val="1"/>
      <w:numFmt w:val="decimal"/>
      <w:lvlText w:val="%7."/>
      <w:lvlJc w:val="left"/>
      <w:pPr>
        <w:ind w:left="5749" w:hanging="360"/>
      </w:pPr>
      <w:rPr>
        <w:rFonts w:cs="Times New Roman"/>
      </w:rPr>
    </w:lvl>
    <w:lvl w:ilvl="7" w:tplc="10090019" w:tentative="1">
      <w:start w:val="1"/>
      <w:numFmt w:val="lowerLetter"/>
      <w:lvlText w:val="%8."/>
      <w:lvlJc w:val="left"/>
      <w:pPr>
        <w:ind w:left="6469" w:hanging="360"/>
      </w:pPr>
      <w:rPr>
        <w:rFonts w:cs="Times New Roman"/>
      </w:rPr>
    </w:lvl>
    <w:lvl w:ilvl="8" w:tplc="1009001B" w:tentative="1">
      <w:start w:val="1"/>
      <w:numFmt w:val="lowerRoman"/>
      <w:lvlText w:val="%9."/>
      <w:lvlJc w:val="right"/>
      <w:pPr>
        <w:ind w:left="7189" w:hanging="180"/>
      </w:pPr>
      <w:rPr>
        <w:rFonts w:cs="Times New Roman"/>
      </w:rPr>
    </w:lvl>
  </w:abstractNum>
  <w:abstractNum w:abstractNumId="6"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5BE5DB0"/>
    <w:multiLevelType w:val="hybridMultilevel"/>
    <w:tmpl w:val="D884F542"/>
    <w:lvl w:ilvl="0" w:tplc="A7829212">
      <w:start w:val="1"/>
      <w:numFmt w:val="lowerRoman"/>
      <w:lvlText w:val="(%1)"/>
      <w:lvlJc w:val="right"/>
      <w:pPr>
        <w:ind w:left="1797" w:hanging="357"/>
      </w:pPr>
      <w:rPr>
        <w:rFonts w:hint="default"/>
      </w:rPr>
    </w:lvl>
    <w:lvl w:ilvl="1" w:tplc="08090019">
      <w:start w:val="1"/>
      <w:numFmt w:val="lowerLetter"/>
      <w:lvlText w:val="%2."/>
      <w:lvlJc w:val="left"/>
      <w:pPr>
        <w:ind w:left="1440" w:hanging="360"/>
      </w:pPr>
    </w:lvl>
    <w:lvl w:ilvl="2" w:tplc="D6D65802">
      <w:start w:val="1"/>
      <w:numFmt w:val="lowerRoman"/>
      <w:pStyle w:val="Listromannumerals"/>
      <w:lvlText w:val="(%3)"/>
      <w:lvlJc w:val="left"/>
      <w:pPr>
        <w:ind w:left="216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0F7064"/>
    <w:multiLevelType w:val="multilevel"/>
    <w:tmpl w:val="D5E2FDBE"/>
    <w:lvl w:ilvl="0">
      <w:start w:val="1"/>
      <w:numFmt w:val="decimal"/>
      <w:lvlText w:val="%1."/>
      <w:lvlJc w:val="left"/>
      <w:pPr>
        <w:ind w:left="0" w:firstLine="0"/>
      </w:pPr>
      <w:rPr>
        <w:rFonts w:hint="default"/>
        <w:color w:val="auto"/>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pStyle w:val="Listletteredthirdindent"/>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4" w15:restartNumberingAfterBreak="0">
    <w:nsid w:val="58EE6F10"/>
    <w:multiLevelType w:val="hybridMultilevel"/>
    <w:tmpl w:val="77A0BE68"/>
    <w:lvl w:ilvl="0" w:tplc="4268E54A">
      <w:start w:val="1"/>
      <w:numFmt w:val="lowerLetter"/>
      <w:pStyle w:val="Listlettered"/>
      <w:lvlText w:val="(%1)"/>
      <w:lvlJc w:val="left"/>
      <w:pPr>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6" w15:restartNumberingAfterBreak="0">
    <w:nsid w:val="704307B8"/>
    <w:multiLevelType w:val="hybridMultilevel"/>
    <w:tmpl w:val="90C44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9C7E42"/>
    <w:multiLevelType w:val="multilevel"/>
    <w:tmpl w:val="2A52F8DC"/>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0"/>
        <w:szCs w:val="20"/>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num w:numId="1" w16cid:durableId="462847601">
    <w:abstractNumId w:val="7"/>
  </w:num>
  <w:num w:numId="2" w16cid:durableId="299306927">
    <w:abstractNumId w:val="11"/>
  </w:num>
  <w:num w:numId="3" w16cid:durableId="559828470">
    <w:abstractNumId w:val="12"/>
  </w:num>
  <w:num w:numId="4" w16cid:durableId="1488010068">
    <w:abstractNumId w:val="18"/>
  </w:num>
  <w:num w:numId="5" w16cid:durableId="444007775">
    <w:abstractNumId w:val="8"/>
  </w:num>
  <w:num w:numId="6" w16cid:durableId="1248077553">
    <w:abstractNumId w:val="0"/>
  </w:num>
  <w:num w:numId="7" w16cid:durableId="19226418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5298131">
    <w:abstractNumId w:val="13"/>
  </w:num>
  <w:num w:numId="9" w16cid:durableId="969438327">
    <w:abstractNumId w:val="6"/>
  </w:num>
  <w:num w:numId="10" w16cid:durableId="292643302">
    <w:abstractNumId w:val="15"/>
  </w:num>
  <w:num w:numId="11" w16cid:durableId="668095613">
    <w:abstractNumId w:val="3"/>
  </w:num>
  <w:num w:numId="12" w16cid:durableId="1223829628">
    <w:abstractNumId w:val="4"/>
  </w:num>
  <w:num w:numId="13" w16cid:durableId="1182629551">
    <w:abstractNumId w:val="17"/>
  </w:num>
  <w:num w:numId="14" w16cid:durableId="760905644">
    <w:abstractNumId w:val="0"/>
    <w:lvlOverride w:ilvl="0">
      <w:lvl w:ilvl="0">
        <w:start w:val="1"/>
        <w:numFmt w:val="decimal"/>
        <w:lvlText w:val="%1."/>
        <w:lvlJc w:val="left"/>
        <w:pPr>
          <w:tabs>
            <w:tab w:val="num" w:pos="0"/>
          </w:tabs>
          <w:ind w:left="0" w:firstLine="0"/>
        </w:pPr>
        <w:rPr>
          <w:b w:val="0"/>
          <w:bCs/>
          <w:i w:val="0"/>
          <w:i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5" w16cid:durableId="409693997">
    <w:abstractNumId w:val="0"/>
  </w:num>
  <w:num w:numId="16" w16cid:durableId="1679964872">
    <w:abstractNumId w:val="14"/>
  </w:num>
  <w:num w:numId="17" w16cid:durableId="531191915">
    <w:abstractNumId w:val="9"/>
  </w:num>
  <w:num w:numId="18" w16cid:durableId="88543989">
    <w:abstractNumId w:val="10"/>
  </w:num>
  <w:num w:numId="19" w16cid:durableId="1782918223">
    <w:abstractNumId w:val="14"/>
    <w:lvlOverride w:ilvl="0">
      <w:startOverride w:val="1"/>
    </w:lvlOverride>
  </w:num>
  <w:num w:numId="20" w16cid:durableId="1913078684">
    <w:abstractNumId w:val="19"/>
  </w:num>
  <w:num w:numId="21" w16cid:durableId="197395756">
    <w:abstractNumId w:val="5"/>
  </w:num>
  <w:num w:numId="22" w16cid:durableId="604072189">
    <w:abstractNumId w:val="16"/>
  </w:num>
  <w:num w:numId="23" w16cid:durableId="996036482">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D2423"/>
    <w:rsid w:val="00000B9E"/>
    <w:rsid w:val="00000FED"/>
    <w:rsid w:val="00001487"/>
    <w:rsid w:val="00002B3E"/>
    <w:rsid w:val="0000434E"/>
    <w:rsid w:val="0000463B"/>
    <w:rsid w:val="00007B0F"/>
    <w:rsid w:val="00020638"/>
    <w:rsid w:val="000211A9"/>
    <w:rsid w:val="00021238"/>
    <w:rsid w:val="000219F5"/>
    <w:rsid w:val="00022071"/>
    <w:rsid w:val="0002401E"/>
    <w:rsid w:val="00024871"/>
    <w:rsid w:val="00025C67"/>
    <w:rsid w:val="00026B98"/>
    <w:rsid w:val="000270B4"/>
    <w:rsid w:val="00031260"/>
    <w:rsid w:val="00032C59"/>
    <w:rsid w:val="000333A6"/>
    <w:rsid w:val="0003681A"/>
    <w:rsid w:val="000372B7"/>
    <w:rsid w:val="000379DB"/>
    <w:rsid w:val="00037FE2"/>
    <w:rsid w:val="000400BD"/>
    <w:rsid w:val="00040977"/>
    <w:rsid w:val="00047220"/>
    <w:rsid w:val="000473FB"/>
    <w:rsid w:val="000509F9"/>
    <w:rsid w:val="00050F6E"/>
    <w:rsid w:val="00056685"/>
    <w:rsid w:val="00061EC2"/>
    <w:rsid w:val="00061F82"/>
    <w:rsid w:val="00066CE8"/>
    <w:rsid w:val="000671AC"/>
    <w:rsid w:val="000801D2"/>
    <w:rsid w:val="00080529"/>
    <w:rsid w:val="00080ED0"/>
    <w:rsid w:val="00085B8F"/>
    <w:rsid w:val="00090481"/>
    <w:rsid w:val="0009159E"/>
    <w:rsid w:val="0009213A"/>
    <w:rsid w:val="000947A6"/>
    <w:rsid w:val="000962A6"/>
    <w:rsid w:val="000A1023"/>
    <w:rsid w:val="000A2DC2"/>
    <w:rsid w:val="000A2F0B"/>
    <w:rsid w:val="000A30F1"/>
    <w:rsid w:val="000A3826"/>
    <w:rsid w:val="000A3D8E"/>
    <w:rsid w:val="000A6C26"/>
    <w:rsid w:val="000A7E31"/>
    <w:rsid w:val="000B0F69"/>
    <w:rsid w:val="000B22F4"/>
    <w:rsid w:val="000B36C8"/>
    <w:rsid w:val="000B4F05"/>
    <w:rsid w:val="000C29E3"/>
    <w:rsid w:val="000C3AE6"/>
    <w:rsid w:val="000C639F"/>
    <w:rsid w:val="000C7DDF"/>
    <w:rsid w:val="000D1EA8"/>
    <w:rsid w:val="000D48AC"/>
    <w:rsid w:val="000D48B3"/>
    <w:rsid w:val="000D52A4"/>
    <w:rsid w:val="000D5BCD"/>
    <w:rsid w:val="000E07BC"/>
    <w:rsid w:val="000E12C9"/>
    <w:rsid w:val="000E2E21"/>
    <w:rsid w:val="000E4D33"/>
    <w:rsid w:val="000F11ED"/>
    <w:rsid w:val="000F1CD4"/>
    <w:rsid w:val="000F2197"/>
    <w:rsid w:val="000F4103"/>
    <w:rsid w:val="000F5247"/>
    <w:rsid w:val="000F70A7"/>
    <w:rsid w:val="001013EA"/>
    <w:rsid w:val="00106CC5"/>
    <w:rsid w:val="00111702"/>
    <w:rsid w:val="00113CCA"/>
    <w:rsid w:val="0011418F"/>
    <w:rsid w:val="0011624E"/>
    <w:rsid w:val="00120937"/>
    <w:rsid w:val="001220DB"/>
    <w:rsid w:val="00122F25"/>
    <w:rsid w:val="001255CD"/>
    <w:rsid w:val="00130043"/>
    <w:rsid w:val="0013249A"/>
    <w:rsid w:val="00135980"/>
    <w:rsid w:val="0013786F"/>
    <w:rsid w:val="00137893"/>
    <w:rsid w:val="00140F1D"/>
    <w:rsid w:val="00146F02"/>
    <w:rsid w:val="0014789D"/>
    <w:rsid w:val="00147B96"/>
    <w:rsid w:val="00150136"/>
    <w:rsid w:val="001546E0"/>
    <w:rsid w:val="0015752E"/>
    <w:rsid w:val="00157A51"/>
    <w:rsid w:val="001605F8"/>
    <w:rsid w:val="001606A6"/>
    <w:rsid w:val="0016359B"/>
    <w:rsid w:val="00164719"/>
    <w:rsid w:val="00166FC4"/>
    <w:rsid w:val="001677AC"/>
    <w:rsid w:val="00167902"/>
    <w:rsid w:val="00170FE8"/>
    <w:rsid w:val="001728AE"/>
    <w:rsid w:val="001779F1"/>
    <w:rsid w:val="001804EA"/>
    <w:rsid w:val="0018228B"/>
    <w:rsid w:val="001851A4"/>
    <w:rsid w:val="00190A61"/>
    <w:rsid w:val="00194999"/>
    <w:rsid w:val="00197179"/>
    <w:rsid w:val="001A0ADF"/>
    <w:rsid w:val="001A113E"/>
    <w:rsid w:val="001A2215"/>
    <w:rsid w:val="001A3342"/>
    <w:rsid w:val="001A3E3D"/>
    <w:rsid w:val="001A7049"/>
    <w:rsid w:val="001B1E40"/>
    <w:rsid w:val="001B28C4"/>
    <w:rsid w:val="001C08A1"/>
    <w:rsid w:val="001C71EF"/>
    <w:rsid w:val="001C764E"/>
    <w:rsid w:val="001D12EF"/>
    <w:rsid w:val="001D47E7"/>
    <w:rsid w:val="001E1052"/>
    <w:rsid w:val="001E21B1"/>
    <w:rsid w:val="001E2F93"/>
    <w:rsid w:val="001E4554"/>
    <w:rsid w:val="001E61E5"/>
    <w:rsid w:val="001E7CA4"/>
    <w:rsid w:val="001F2159"/>
    <w:rsid w:val="001F4416"/>
    <w:rsid w:val="001F49E6"/>
    <w:rsid w:val="001F513E"/>
    <w:rsid w:val="001F53FD"/>
    <w:rsid w:val="002006C4"/>
    <w:rsid w:val="002013FB"/>
    <w:rsid w:val="002022D6"/>
    <w:rsid w:val="002029F5"/>
    <w:rsid w:val="00203E2D"/>
    <w:rsid w:val="00204898"/>
    <w:rsid w:val="00210B8B"/>
    <w:rsid w:val="00212B71"/>
    <w:rsid w:val="00214863"/>
    <w:rsid w:val="00215346"/>
    <w:rsid w:val="002156B4"/>
    <w:rsid w:val="002177FA"/>
    <w:rsid w:val="00220D92"/>
    <w:rsid w:val="00223465"/>
    <w:rsid w:val="00223DA9"/>
    <w:rsid w:val="00224FCD"/>
    <w:rsid w:val="00225E53"/>
    <w:rsid w:val="0023311F"/>
    <w:rsid w:val="00234B83"/>
    <w:rsid w:val="00244147"/>
    <w:rsid w:val="00250594"/>
    <w:rsid w:val="0025140F"/>
    <w:rsid w:val="00253222"/>
    <w:rsid w:val="00261C13"/>
    <w:rsid w:val="00262847"/>
    <w:rsid w:val="00262C85"/>
    <w:rsid w:val="00263184"/>
    <w:rsid w:val="002679D6"/>
    <w:rsid w:val="0027203A"/>
    <w:rsid w:val="00275413"/>
    <w:rsid w:val="002765C6"/>
    <w:rsid w:val="002766BB"/>
    <w:rsid w:val="002809B3"/>
    <w:rsid w:val="00281BB2"/>
    <w:rsid w:val="00282EB1"/>
    <w:rsid w:val="00283E24"/>
    <w:rsid w:val="00286092"/>
    <w:rsid w:val="00292550"/>
    <w:rsid w:val="00294117"/>
    <w:rsid w:val="00296CF0"/>
    <w:rsid w:val="002974E1"/>
    <w:rsid w:val="002A03C3"/>
    <w:rsid w:val="002A0B5D"/>
    <w:rsid w:val="002A3060"/>
    <w:rsid w:val="002A3D5C"/>
    <w:rsid w:val="002A44AD"/>
    <w:rsid w:val="002B07DD"/>
    <w:rsid w:val="002B254E"/>
    <w:rsid w:val="002B3C8B"/>
    <w:rsid w:val="002B4CE8"/>
    <w:rsid w:val="002B72E9"/>
    <w:rsid w:val="002C7667"/>
    <w:rsid w:val="002C7998"/>
    <w:rsid w:val="002C7AA3"/>
    <w:rsid w:val="002D22E4"/>
    <w:rsid w:val="002D6C83"/>
    <w:rsid w:val="002E44CC"/>
    <w:rsid w:val="002E5A1F"/>
    <w:rsid w:val="002E6BA7"/>
    <w:rsid w:val="002E6E66"/>
    <w:rsid w:val="002E73DB"/>
    <w:rsid w:val="002F1E53"/>
    <w:rsid w:val="002F2CAA"/>
    <w:rsid w:val="002F46B3"/>
    <w:rsid w:val="002F7A9F"/>
    <w:rsid w:val="0030052C"/>
    <w:rsid w:val="00301902"/>
    <w:rsid w:val="003020EF"/>
    <w:rsid w:val="00311587"/>
    <w:rsid w:val="0032019A"/>
    <w:rsid w:val="0032192B"/>
    <w:rsid w:val="00322369"/>
    <w:rsid w:val="0032292B"/>
    <w:rsid w:val="00324166"/>
    <w:rsid w:val="003306E1"/>
    <w:rsid w:val="00331990"/>
    <w:rsid w:val="003320E4"/>
    <w:rsid w:val="00332CB1"/>
    <w:rsid w:val="00333D2F"/>
    <w:rsid w:val="0033445E"/>
    <w:rsid w:val="0033525D"/>
    <w:rsid w:val="0033686D"/>
    <w:rsid w:val="00336C9A"/>
    <w:rsid w:val="003414F3"/>
    <w:rsid w:val="00346A93"/>
    <w:rsid w:val="00347347"/>
    <w:rsid w:val="0035613E"/>
    <w:rsid w:val="00357525"/>
    <w:rsid w:val="00361520"/>
    <w:rsid w:val="00363EE9"/>
    <w:rsid w:val="00372F9C"/>
    <w:rsid w:val="00376128"/>
    <w:rsid w:val="00376909"/>
    <w:rsid w:val="0037742E"/>
    <w:rsid w:val="00377D56"/>
    <w:rsid w:val="003811A6"/>
    <w:rsid w:val="0038245A"/>
    <w:rsid w:val="003835D5"/>
    <w:rsid w:val="003840E6"/>
    <w:rsid w:val="003848EB"/>
    <w:rsid w:val="00385CFC"/>
    <w:rsid w:val="00391D16"/>
    <w:rsid w:val="0039337A"/>
    <w:rsid w:val="00393BBD"/>
    <w:rsid w:val="00394B8D"/>
    <w:rsid w:val="00395A9F"/>
    <w:rsid w:val="00395E3E"/>
    <w:rsid w:val="003975CC"/>
    <w:rsid w:val="003A3189"/>
    <w:rsid w:val="003A3CA7"/>
    <w:rsid w:val="003A63B5"/>
    <w:rsid w:val="003B0020"/>
    <w:rsid w:val="003B1C65"/>
    <w:rsid w:val="003B33BD"/>
    <w:rsid w:val="003B4350"/>
    <w:rsid w:val="003B4B23"/>
    <w:rsid w:val="003B569D"/>
    <w:rsid w:val="003B62B2"/>
    <w:rsid w:val="003C3C0E"/>
    <w:rsid w:val="003C3C43"/>
    <w:rsid w:val="003C42D3"/>
    <w:rsid w:val="003C5297"/>
    <w:rsid w:val="003C60C8"/>
    <w:rsid w:val="003C7C6C"/>
    <w:rsid w:val="003D06EA"/>
    <w:rsid w:val="003D42A6"/>
    <w:rsid w:val="003D4F21"/>
    <w:rsid w:val="003D4FAC"/>
    <w:rsid w:val="003E01C4"/>
    <w:rsid w:val="003E1885"/>
    <w:rsid w:val="003E2274"/>
    <w:rsid w:val="003E28B1"/>
    <w:rsid w:val="003E4190"/>
    <w:rsid w:val="003E62FA"/>
    <w:rsid w:val="003E6AA7"/>
    <w:rsid w:val="003E73FF"/>
    <w:rsid w:val="003E7906"/>
    <w:rsid w:val="003E7BD2"/>
    <w:rsid w:val="003F000F"/>
    <w:rsid w:val="003F2369"/>
    <w:rsid w:val="003F3C50"/>
    <w:rsid w:val="003F5398"/>
    <w:rsid w:val="003F61ED"/>
    <w:rsid w:val="003F796D"/>
    <w:rsid w:val="00404938"/>
    <w:rsid w:val="00406101"/>
    <w:rsid w:val="00406202"/>
    <w:rsid w:val="00406A6A"/>
    <w:rsid w:val="00406B22"/>
    <w:rsid w:val="00407147"/>
    <w:rsid w:val="004078FA"/>
    <w:rsid w:val="0041254C"/>
    <w:rsid w:val="00413243"/>
    <w:rsid w:val="0041579F"/>
    <w:rsid w:val="00421E39"/>
    <w:rsid w:val="00422FE0"/>
    <w:rsid w:val="00425CF3"/>
    <w:rsid w:val="00431E08"/>
    <w:rsid w:val="004328A7"/>
    <w:rsid w:val="00432B40"/>
    <w:rsid w:val="0043416E"/>
    <w:rsid w:val="00434B2D"/>
    <w:rsid w:val="00434C74"/>
    <w:rsid w:val="0044086A"/>
    <w:rsid w:val="00450751"/>
    <w:rsid w:val="00450C82"/>
    <w:rsid w:val="004545DE"/>
    <w:rsid w:val="00455B2B"/>
    <w:rsid w:val="00455DBA"/>
    <w:rsid w:val="00456EB4"/>
    <w:rsid w:val="0045736A"/>
    <w:rsid w:val="00457827"/>
    <w:rsid w:val="00461D9A"/>
    <w:rsid w:val="00465750"/>
    <w:rsid w:val="004718F3"/>
    <w:rsid w:val="00473921"/>
    <w:rsid w:val="00473AFD"/>
    <w:rsid w:val="00475035"/>
    <w:rsid w:val="00475040"/>
    <w:rsid w:val="00482C2C"/>
    <w:rsid w:val="00490999"/>
    <w:rsid w:val="00490C06"/>
    <w:rsid w:val="004937C5"/>
    <w:rsid w:val="00493D40"/>
    <w:rsid w:val="00493EE3"/>
    <w:rsid w:val="00495C62"/>
    <w:rsid w:val="004967B6"/>
    <w:rsid w:val="004A504B"/>
    <w:rsid w:val="004A67C1"/>
    <w:rsid w:val="004A6911"/>
    <w:rsid w:val="004B25D9"/>
    <w:rsid w:val="004B3652"/>
    <w:rsid w:val="004B4464"/>
    <w:rsid w:val="004B54E0"/>
    <w:rsid w:val="004B6B25"/>
    <w:rsid w:val="004B7384"/>
    <w:rsid w:val="004C089F"/>
    <w:rsid w:val="004C181E"/>
    <w:rsid w:val="004C4269"/>
    <w:rsid w:val="004C6E46"/>
    <w:rsid w:val="004D102F"/>
    <w:rsid w:val="004D1804"/>
    <w:rsid w:val="004D2C45"/>
    <w:rsid w:val="004D4543"/>
    <w:rsid w:val="004D47FF"/>
    <w:rsid w:val="004D5095"/>
    <w:rsid w:val="004D5652"/>
    <w:rsid w:val="004D6236"/>
    <w:rsid w:val="004D6AAB"/>
    <w:rsid w:val="004D7F90"/>
    <w:rsid w:val="004E48E3"/>
    <w:rsid w:val="004E4DBB"/>
    <w:rsid w:val="004E4E41"/>
    <w:rsid w:val="004E73DB"/>
    <w:rsid w:val="004E7F9C"/>
    <w:rsid w:val="004F21E5"/>
    <w:rsid w:val="004F3493"/>
    <w:rsid w:val="004F5052"/>
    <w:rsid w:val="004F5143"/>
    <w:rsid w:val="005002EB"/>
    <w:rsid w:val="005039B9"/>
    <w:rsid w:val="005117F2"/>
    <w:rsid w:val="00512B09"/>
    <w:rsid w:val="005151FB"/>
    <w:rsid w:val="00516328"/>
    <w:rsid w:val="0051653D"/>
    <w:rsid w:val="00517CF8"/>
    <w:rsid w:val="005215C1"/>
    <w:rsid w:val="00521D53"/>
    <w:rsid w:val="005220ED"/>
    <w:rsid w:val="00525DC6"/>
    <w:rsid w:val="00531914"/>
    <w:rsid w:val="00533796"/>
    <w:rsid w:val="00535C19"/>
    <w:rsid w:val="00537343"/>
    <w:rsid w:val="0054123D"/>
    <w:rsid w:val="005445DF"/>
    <w:rsid w:val="00545E7E"/>
    <w:rsid w:val="005516F3"/>
    <w:rsid w:val="005519C2"/>
    <w:rsid w:val="00551BD6"/>
    <w:rsid w:val="005521E1"/>
    <w:rsid w:val="00553B81"/>
    <w:rsid w:val="00555D75"/>
    <w:rsid w:val="00556139"/>
    <w:rsid w:val="005561F7"/>
    <w:rsid w:val="00560DF0"/>
    <w:rsid w:val="0056271C"/>
    <w:rsid w:val="00563895"/>
    <w:rsid w:val="00565D06"/>
    <w:rsid w:val="0056739C"/>
    <w:rsid w:val="0056759C"/>
    <w:rsid w:val="005675A2"/>
    <w:rsid w:val="005709F6"/>
    <w:rsid w:val="00574345"/>
    <w:rsid w:val="00576BA1"/>
    <w:rsid w:val="00582F00"/>
    <w:rsid w:val="005872D6"/>
    <w:rsid w:val="00594288"/>
    <w:rsid w:val="0059513E"/>
    <w:rsid w:val="005979EE"/>
    <w:rsid w:val="005A4B4A"/>
    <w:rsid w:val="005A4DED"/>
    <w:rsid w:val="005A5255"/>
    <w:rsid w:val="005A6AA4"/>
    <w:rsid w:val="005A6D9F"/>
    <w:rsid w:val="005B1149"/>
    <w:rsid w:val="005B48FF"/>
    <w:rsid w:val="005C1690"/>
    <w:rsid w:val="005C1E32"/>
    <w:rsid w:val="005C4889"/>
    <w:rsid w:val="005C50AF"/>
    <w:rsid w:val="005C670D"/>
    <w:rsid w:val="005D363F"/>
    <w:rsid w:val="005D3FD4"/>
    <w:rsid w:val="005D4604"/>
    <w:rsid w:val="005D5DC8"/>
    <w:rsid w:val="005D648B"/>
    <w:rsid w:val="005D67AB"/>
    <w:rsid w:val="005D6A0F"/>
    <w:rsid w:val="005E0AE4"/>
    <w:rsid w:val="005F00B0"/>
    <w:rsid w:val="005F222D"/>
    <w:rsid w:val="005F24A3"/>
    <w:rsid w:val="00600111"/>
    <w:rsid w:val="00604C15"/>
    <w:rsid w:val="00607753"/>
    <w:rsid w:val="006126FB"/>
    <w:rsid w:val="006158D5"/>
    <w:rsid w:val="006201CF"/>
    <w:rsid w:val="00622BF8"/>
    <w:rsid w:val="00623CA8"/>
    <w:rsid w:val="006240C8"/>
    <w:rsid w:val="00625D83"/>
    <w:rsid w:val="00632393"/>
    <w:rsid w:val="00641EA9"/>
    <w:rsid w:val="00643B7B"/>
    <w:rsid w:val="00651984"/>
    <w:rsid w:val="00657105"/>
    <w:rsid w:val="0065769A"/>
    <w:rsid w:val="00661001"/>
    <w:rsid w:val="006623E7"/>
    <w:rsid w:val="00662B80"/>
    <w:rsid w:val="0066768F"/>
    <w:rsid w:val="00670F6C"/>
    <w:rsid w:val="006712F6"/>
    <w:rsid w:val="00671C98"/>
    <w:rsid w:val="00676D9D"/>
    <w:rsid w:val="00676E58"/>
    <w:rsid w:val="00677E56"/>
    <w:rsid w:val="006852C7"/>
    <w:rsid w:val="006852CE"/>
    <w:rsid w:val="006862FD"/>
    <w:rsid w:val="006873EF"/>
    <w:rsid w:val="00687DEC"/>
    <w:rsid w:val="00692D14"/>
    <w:rsid w:val="00693063"/>
    <w:rsid w:val="00694694"/>
    <w:rsid w:val="00694696"/>
    <w:rsid w:val="00696D1D"/>
    <w:rsid w:val="006A4A06"/>
    <w:rsid w:val="006A5514"/>
    <w:rsid w:val="006A57A5"/>
    <w:rsid w:val="006A7A3B"/>
    <w:rsid w:val="006B3B98"/>
    <w:rsid w:val="006B65C7"/>
    <w:rsid w:val="006B7C04"/>
    <w:rsid w:val="006C1727"/>
    <w:rsid w:val="006C31A8"/>
    <w:rsid w:val="006C32FD"/>
    <w:rsid w:val="006C39CE"/>
    <w:rsid w:val="006C751F"/>
    <w:rsid w:val="006D0FCC"/>
    <w:rsid w:val="006D21F5"/>
    <w:rsid w:val="006D2C0F"/>
    <w:rsid w:val="006D3089"/>
    <w:rsid w:val="006D4E77"/>
    <w:rsid w:val="006E126D"/>
    <w:rsid w:val="006E1FC3"/>
    <w:rsid w:val="006E41BB"/>
    <w:rsid w:val="006E54F7"/>
    <w:rsid w:val="006E5872"/>
    <w:rsid w:val="006F0CCF"/>
    <w:rsid w:val="006F398E"/>
    <w:rsid w:val="006F4132"/>
    <w:rsid w:val="006F4E81"/>
    <w:rsid w:val="007003F9"/>
    <w:rsid w:val="00700B55"/>
    <w:rsid w:val="00703DE1"/>
    <w:rsid w:val="00704CE9"/>
    <w:rsid w:val="00704D23"/>
    <w:rsid w:val="00704DBD"/>
    <w:rsid w:val="0070616B"/>
    <w:rsid w:val="00706295"/>
    <w:rsid w:val="00706FDA"/>
    <w:rsid w:val="007074D6"/>
    <w:rsid w:val="00711F9A"/>
    <w:rsid w:val="00713684"/>
    <w:rsid w:val="00713810"/>
    <w:rsid w:val="00713FE2"/>
    <w:rsid w:val="00715B77"/>
    <w:rsid w:val="00715C02"/>
    <w:rsid w:val="0071746D"/>
    <w:rsid w:val="00720981"/>
    <w:rsid w:val="00721E6C"/>
    <w:rsid w:val="00722AA6"/>
    <w:rsid w:val="007303A5"/>
    <w:rsid w:val="00730B3E"/>
    <w:rsid w:val="0073289B"/>
    <w:rsid w:val="00732CC8"/>
    <w:rsid w:val="0073420B"/>
    <w:rsid w:val="00736367"/>
    <w:rsid w:val="00740862"/>
    <w:rsid w:val="00741C98"/>
    <w:rsid w:val="00746978"/>
    <w:rsid w:val="0074760E"/>
    <w:rsid w:val="00752569"/>
    <w:rsid w:val="00754ABA"/>
    <w:rsid w:val="00756C47"/>
    <w:rsid w:val="00756CDF"/>
    <w:rsid w:val="0076138F"/>
    <w:rsid w:val="007637E2"/>
    <w:rsid w:val="007704C7"/>
    <w:rsid w:val="007714F8"/>
    <w:rsid w:val="00775A13"/>
    <w:rsid w:val="00780E7D"/>
    <w:rsid w:val="00782B0D"/>
    <w:rsid w:val="00794A19"/>
    <w:rsid w:val="00794FA6"/>
    <w:rsid w:val="00794FCD"/>
    <w:rsid w:val="0079781A"/>
    <w:rsid w:val="007A1546"/>
    <w:rsid w:val="007A1844"/>
    <w:rsid w:val="007A228C"/>
    <w:rsid w:val="007A368E"/>
    <w:rsid w:val="007A5868"/>
    <w:rsid w:val="007A59CA"/>
    <w:rsid w:val="007A62F3"/>
    <w:rsid w:val="007B01A7"/>
    <w:rsid w:val="007B04CE"/>
    <w:rsid w:val="007B07C2"/>
    <w:rsid w:val="007B3441"/>
    <w:rsid w:val="007B3F15"/>
    <w:rsid w:val="007B6871"/>
    <w:rsid w:val="007B6A8F"/>
    <w:rsid w:val="007B6D29"/>
    <w:rsid w:val="007B7A2F"/>
    <w:rsid w:val="007C24FE"/>
    <w:rsid w:val="007C32EE"/>
    <w:rsid w:val="007C3D33"/>
    <w:rsid w:val="007C6403"/>
    <w:rsid w:val="007D0B02"/>
    <w:rsid w:val="007D2423"/>
    <w:rsid w:val="007D294A"/>
    <w:rsid w:val="007D2F52"/>
    <w:rsid w:val="007D47D2"/>
    <w:rsid w:val="007D6EC0"/>
    <w:rsid w:val="007D7E1D"/>
    <w:rsid w:val="007E0207"/>
    <w:rsid w:val="007E16B3"/>
    <w:rsid w:val="007E367A"/>
    <w:rsid w:val="007E503C"/>
    <w:rsid w:val="007E6317"/>
    <w:rsid w:val="007E7ADA"/>
    <w:rsid w:val="007F30F7"/>
    <w:rsid w:val="007F71AB"/>
    <w:rsid w:val="00800B6E"/>
    <w:rsid w:val="00802CB5"/>
    <w:rsid w:val="0080345C"/>
    <w:rsid w:val="008042EA"/>
    <w:rsid w:val="0081016C"/>
    <w:rsid w:val="00810A8F"/>
    <w:rsid w:val="008112A8"/>
    <w:rsid w:val="00812BDD"/>
    <w:rsid w:val="00817C8B"/>
    <w:rsid w:val="00821719"/>
    <w:rsid w:val="00821C6B"/>
    <w:rsid w:val="00824546"/>
    <w:rsid w:val="0082522F"/>
    <w:rsid w:val="0082580B"/>
    <w:rsid w:val="0083015E"/>
    <w:rsid w:val="00831979"/>
    <w:rsid w:val="00832193"/>
    <w:rsid w:val="008362FF"/>
    <w:rsid w:val="00836A3F"/>
    <w:rsid w:val="00841E00"/>
    <w:rsid w:val="00845A64"/>
    <w:rsid w:val="00847E70"/>
    <w:rsid w:val="008506CA"/>
    <w:rsid w:val="00850D2E"/>
    <w:rsid w:val="00851352"/>
    <w:rsid w:val="00855D61"/>
    <w:rsid w:val="00857077"/>
    <w:rsid w:val="00863230"/>
    <w:rsid w:val="00865BD0"/>
    <w:rsid w:val="00865C77"/>
    <w:rsid w:val="00866D58"/>
    <w:rsid w:val="008717D8"/>
    <w:rsid w:val="0087215C"/>
    <w:rsid w:val="00872915"/>
    <w:rsid w:val="00872E4E"/>
    <w:rsid w:val="00875D25"/>
    <w:rsid w:val="00875EB4"/>
    <w:rsid w:val="00875F82"/>
    <w:rsid w:val="00880E35"/>
    <w:rsid w:val="008875FE"/>
    <w:rsid w:val="00887F8E"/>
    <w:rsid w:val="00890859"/>
    <w:rsid w:val="0089266F"/>
    <w:rsid w:val="00894520"/>
    <w:rsid w:val="0089471D"/>
    <w:rsid w:val="00896234"/>
    <w:rsid w:val="00897ABD"/>
    <w:rsid w:val="00897E43"/>
    <w:rsid w:val="008A31E6"/>
    <w:rsid w:val="008B1DAE"/>
    <w:rsid w:val="008B314D"/>
    <w:rsid w:val="008C1C4E"/>
    <w:rsid w:val="008C222B"/>
    <w:rsid w:val="008C4A1F"/>
    <w:rsid w:val="008C4D34"/>
    <w:rsid w:val="008C5738"/>
    <w:rsid w:val="008C5B50"/>
    <w:rsid w:val="008C7EAD"/>
    <w:rsid w:val="008D0904"/>
    <w:rsid w:val="008D0CFE"/>
    <w:rsid w:val="008D6152"/>
    <w:rsid w:val="008E1F26"/>
    <w:rsid w:val="008E5B92"/>
    <w:rsid w:val="008E7BA9"/>
    <w:rsid w:val="008F0F81"/>
    <w:rsid w:val="008F27BF"/>
    <w:rsid w:val="008F2E64"/>
    <w:rsid w:val="00902935"/>
    <w:rsid w:val="00902C6D"/>
    <w:rsid w:val="00907630"/>
    <w:rsid w:val="009108EE"/>
    <w:rsid w:val="0091147C"/>
    <w:rsid w:val="009137AC"/>
    <w:rsid w:val="009142EC"/>
    <w:rsid w:val="009145E4"/>
    <w:rsid w:val="009154C3"/>
    <w:rsid w:val="0092092F"/>
    <w:rsid w:val="00921E23"/>
    <w:rsid w:val="00923328"/>
    <w:rsid w:val="00923540"/>
    <w:rsid w:val="00926767"/>
    <w:rsid w:val="00930712"/>
    <w:rsid w:val="0093322B"/>
    <w:rsid w:val="009361D5"/>
    <w:rsid w:val="00937948"/>
    <w:rsid w:val="009428A4"/>
    <w:rsid w:val="00946423"/>
    <w:rsid w:val="009477E5"/>
    <w:rsid w:val="009529EE"/>
    <w:rsid w:val="0095672A"/>
    <w:rsid w:val="00963E83"/>
    <w:rsid w:val="00963F1D"/>
    <w:rsid w:val="00964BC6"/>
    <w:rsid w:val="009659F4"/>
    <w:rsid w:val="00965BA1"/>
    <w:rsid w:val="0096750B"/>
    <w:rsid w:val="00970D60"/>
    <w:rsid w:val="009763DA"/>
    <w:rsid w:val="009809FC"/>
    <w:rsid w:val="009865CA"/>
    <w:rsid w:val="0099236C"/>
    <w:rsid w:val="00992F23"/>
    <w:rsid w:val="0099390E"/>
    <w:rsid w:val="00994170"/>
    <w:rsid w:val="009960E5"/>
    <w:rsid w:val="009977D9"/>
    <w:rsid w:val="009A4053"/>
    <w:rsid w:val="009A7ADC"/>
    <w:rsid w:val="009A7B03"/>
    <w:rsid w:val="009B0D30"/>
    <w:rsid w:val="009B0FFD"/>
    <w:rsid w:val="009B2111"/>
    <w:rsid w:val="009B5286"/>
    <w:rsid w:val="009B6332"/>
    <w:rsid w:val="009B7EBF"/>
    <w:rsid w:val="009C19B7"/>
    <w:rsid w:val="009C1CD6"/>
    <w:rsid w:val="009C5ABB"/>
    <w:rsid w:val="009D0C7D"/>
    <w:rsid w:val="009D1106"/>
    <w:rsid w:val="009D5B90"/>
    <w:rsid w:val="009D64B5"/>
    <w:rsid w:val="009D65ED"/>
    <w:rsid w:val="009D7C51"/>
    <w:rsid w:val="009E196C"/>
    <w:rsid w:val="009E6A0A"/>
    <w:rsid w:val="009E6F8D"/>
    <w:rsid w:val="009E776C"/>
    <w:rsid w:val="009E7A5A"/>
    <w:rsid w:val="009F2DD1"/>
    <w:rsid w:val="009F36BF"/>
    <w:rsid w:val="009F3ACC"/>
    <w:rsid w:val="00A0337E"/>
    <w:rsid w:val="00A03476"/>
    <w:rsid w:val="00A071D1"/>
    <w:rsid w:val="00A111B6"/>
    <w:rsid w:val="00A145A7"/>
    <w:rsid w:val="00A147CA"/>
    <w:rsid w:val="00A15945"/>
    <w:rsid w:val="00A17CB4"/>
    <w:rsid w:val="00A20938"/>
    <w:rsid w:val="00A228AE"/>
    <w:rsid w:val="00A23F8D"/>
    <w:rsid w:val="00A25226"/>
    <w:rsid w:val="00A256C2"/>
    <w:rsid w:val="00A25FDF"/>
    <w:rsid w:val="00A26D27"/>
    <w:rsid w:val="00A27E8C"/>
    <w:rsid w:val="00A322CA"/>
    <w:rsid w:val="00A34AAD"/>
    <w:rsid w:val="00A36DBD"/>
    <w:rsid w:val="00A376EE"/>
    <w:rsid w:val="00A427AD"/>
    <w:rsid w:val="00A42A99"/>
    <w:rsid w:val="00A44C80"/>
    <w:rsid w:val="00A46890"/>
    <w:rsid w:val="00A5151A"/>
    <w:rsid w:val="00A5547C"/>
    <w:rsid w:val="00A57E0A"/>
    <w:rsid w:val="00A64715"/>
    <w:rsid w:val="00A67109"/>
    <w:rsid w:val="00A67C0D"/>
    <w:rsid w:val="00A77919"/>
    <w:rsid w:val="00A80AA9"/>
    <w:rsid w:val="00A823F6"/>
    <w:rsid w:val="00A834E1"/>
    <w:rsid w:val="00A84813"/>
    <w:rsid w:val="00A8719E"/>
    <w:rsid w:val="00A87595"/>
    <w:rsid w:val="00A87D47"/>
    <w:rsid w:val="00A922E7"/>
    <w:rsid w:val="00A9291C"/>
    <w:rsid w:val="00AA0A89"/>
    <w:rsid w:val="00AA242E"/>
    <w:rsid w:val="00AA24A7"/>
    <w:rsid w:val="00AA4CF3"/>
    <w:rsid w:val="00AA5007"/>
    <w:rsid w:val="00AA5368"/>
    <w:rsid w:val="00AA5526"/>
    <w:rsid w:val="00AA6429"/>
    <w:rsid w:val="00AB0B3A"/>
    <w:rsid w:val="00AB0B6F"/>
    <w:rsid w:val="00AB6936"/>
    <w:rsid w:val="00AC01AA"/>
    <w:rsid w:val="00AC0411"/>
    <w:rsid w:val="00AC144B"/>
    <w:rsid w:val="00AC15B1"/>
    <w:rsid w:val="00AC2334"/>
    <w:rsid w:val="00AC4F72"/>
    <w:rsid w:val="00AC5041"/>
    <w:rsid w:val="00AD0E9C"/>
    <w:rsid w:val="00AD5D3F"/>
    <w:rsid w:val="00AD6E6B"/>
    <w:rsid w:val="00AD7A2E"/>
    <w:rsid w:val="00AE0739"/>
    <w:rsid w:val="00AE0846"/>
    <w:rsid w:val="00AE0BA4"/>
    <w:rsid w:val="00AE1B6E"/>
    <w:rsid w:val="00AE2EBD"/>
    <w:rsid w:val="00AE3048"/>
    <w:rsid w:val="00AE4820"/>
    <w:rsid w:val="00AE482E"/>
    <w:rsid w:val="00AE6F35"/>
    <w:rsid w:val="00AF3717"/>
    <w:rsid w:val="00AF4346"/>
    <w:rsid w:val="00AF741A"/>
    <w:rsid w:val="00B01ADB"/>
    <w:rsid w:val="00B0414C"/>
    <w:rsid w:val="00B04161"/>
    <w:rsid w:val="00B04CA1"/>
    <w:rsid w:val="00B056F9"/>
    <w:rsid w:val="00B05DD2"/>
    <w:rsid w:val="00B06BB9"/>
    <w:rsid w:val="00B11E3D"/>
    <w:rsid w:val="00B14D2C"/>
    <w:rsid w:val="00B17E82"/>
    <w:rsid w:val="00B2036E"/>
    <w:rsid w:val="00B24856"/>
    <w:rsid w:val="00B2603B"/>
    <w:rsid w:val="00B26559"/>
    <w:rsid w:val="00B3351D"/>
    <w:rsid w:val="00B42644"/>
    <w:rsid w:val="00B4429A"/>
    <w:rsid w:val="00B443B8"/>
    <w:rsid w:val="00B4575A"/>
    <w:rsid w:val="00B47BA4"/>
    <w:rsid w:val="00B51060"/>
    <w:rsid w:val="00B548D6"/>
    <w:rsid w:val="00B550EC"/>
    <w:rsid w:val="00B575BA"/>
    <w:rsid w:val="00B65B19"/>
    <w:rsid w:val="00B67B13"/>
    <w:rsid w:val="00B71608"/>
    <w:rsid w:val="00B72BC1"/>
    <w:rsid w:val="00B741EB"/>
    <w:rsid w:val="00B76429"/>
    <w:rsid w:val="00B81525"/>
    <w:rsid w:val="00B84E63"/>
    <w:rsid w:val="00B86471"/>
    <w:rsid w:val="00B87412"/>
    <w:rsid w:val="00B87C1A"/>
    <w:rsid w:val="00B901AB"/>
    <w:rsid w:val="00B92317"/>
    <w:rsid w:val="00B93E88"/>
    <w:rsid w:val="00B956D4"/>
    <w:rsid w:val="00B97446"/>
    <w:rsid w:val="00B97F98"/>
    <w:rsid w:val="00BA4F0D"/>
    <w:rsid w:val="00BA7432"/>
    <w:rsid w:val="00BB2764"/>
    <w:rsid w:val="00BB65DB"/>
    <w:rsid w:val="00BC0545"/>
    <w:rsid w:val="00BC1AA0"/>
    <w:rsid w:val="00BC2495"/>
    <w:rsid w:val="00BC314A"/>
    <w:rsid w:val="00BC750B"/>
    <w:rsid w:val="00BC7EB9"/>
    <w:rsid w:val="00BD0E06"/>
    <w:rsid w:val="00BD2643"/>
    <w:rsid w:val="00BD56B1"/>
    <w:rsid w:val="00BD57EC"/>
    <w:rsid w:val="00BD5C34"/>
    <w:rsid w:val="00BD5F53"/>
    <w:rsid w:val="00BD6558"/>
    <w:rsid w:val="00BD7519"/>
    <w:rsid w:val="00BE1A7B"/>
    <w:rsid w:val="00BE2E88"/>
    <w:rsid w:val="00BE45EC"/>
    <w:rsid w:val="00BF2AD7"/>
    <w:rsid w:val="00BF2F76"/>
    <w:rsid w:val="00BF3022"/>
    <w:rsid w:val="00BF3214"/>
    <w:rsid w:val="00BF3A1E"/>
    <w:rsid w:val="00BF5573"/>
    <w:rsid w:val="00BF6EC2"/>
    <w:rsid w:val="00C05A3C"/>
    <w:rsid w:val="00C0608E"/>
    <w:rsid w:val="00C06FAE"/>
    <w:rsid w:val="00C11115"/>
    <w:rsid w:val="00C15867"/>
    <w:rsid w:val="00C2027D"/>
    <w:rsid w:val="00C22398"/>
    <w:rsid w:val="00C2251D"/>
    <w:rsid w:val="00C2296D"/>
    <w:rsid w:val="00C23155"/>
    <w:rsid w:val="00C24AB6"/>
    <w:rsid w:val="00C2596F"/>
    <w:rsid w:val="00C34968"/>
    <w:rsid w:val="00C3519B"/>
    <w:rsid w:val="00C35E6C"/>
    <w:rsid w:val="00C37B6A"/>
    <w:rsid w:val="00C40C41"/>
    <w:rsid w:val="00C42912"/>
    <w:rsid w:val="00C43221"/>
    <w:rsid w:val="00C436A7"/>
    <w:rsid w:val="00C4587E"/>
    <w:rsid w:val="00C45885"/>
    <w:rsid w:val="00C46063"/>
    <w:rsid w:val="00C47A76"/>
    <w:rsid w:val="00C50F22"/>
    <w:rsid w:val="00C54526"/>
    <w:rsid w:val="00C55B2A"/>
    <w:rsid w:val="00C56899"/>
    <w:rsid w:val="00C5705B"/>
    <w:rsid w:val="00C57971"/>
    <w:rsid w:val="00C60CB5"/>
    <w:rsid w:val="00C658FF"/>
    <w:rsid w:val="00C65BD7"/>
    <w:rsid w:val="00C66435"/>
    <w:rsid w:val="00C66FE8"/>
    <w:rsid w:val="00C70290"/>
    <w:rsid w:val="00C7235C"/>
    <w:rsid w:val="00C76BA4"/>
    <w:rsid w:val="00C824C1"/>
    <w:rsid w:val="00C83A48"/>
    <w:rsid w:val="00C85865"/>
    <w:rsid w:val="00C85E85"/>
    <w:rsid w:val="00C90779"/>
    <w:rsid w:val="00C93235"/>
    <w:rsid w:val="00CA1B0D"/>
    <w:rsid w:val="00CA20B6"/>
    <w:rsid w:val="00CA2A18"/>
    <w:rsid w:val="00CA2EAE"/>
    <w:rsid w:val="00CA3523"/>
    <w:rsid w:val="00CA4AC1"/>
    <w:rsid w:val="00CA59FB"/>
    <w:rsid w:val="00CB0316"/>
    <w:rsid w:val="00CB04EA"/>
    <w:rsid w:val="00CB0B11"/>
    <w:rsid w:val="00CB1D21"/>
    <w:rsid w:val="00CB1DBA"/>
    <w:rsid w:val="00CB426A"/>
    <w:rsid w:val="00CB5354"/>
    <w:rsid w:val="00CC2EB9"/>
    <w:rsid w:val="00CC3C9E"/>
    <w:rsid w:val="00CC6A14"/>
    <w:rsid w:val="00CC70A3"/>
    <w:rsid w:val="00CC76A4"/>
    <w:rsid w:val="00CD283E"/>
    <w:rsid w:val="00CD30CD"/>
    <w:rsid w:val="00CD4442"/>
    <w:rsid w:val="00CD4AFA"/>
    <w:rsid w:val="00CD53C3"/>
    <w:rsid w:val="00CD574E"/>
    <w:rsid w:val="00CD6F66"/>
    <w:rsid w:val="00CE0454"/>
    <w:rsid w:val="00CE2E61"/>
    <w:rsid w:val="00CE45E8"/>
    <w:rsid w:val="00CE4C22"/>
    <w:rsid w:val="00CE76E5"/>
    <w:rsid w:val="00CF2192"/>
    <w:rsid w:val="00CF41EC"/>
    <w:rsid w:val="00CF5D04"/>
    <w:rsid w:val="00CF63D5"/>
    <w:rsid w:val="00D02493"/>
    <w:rsid w:val="00D04DE4"/>
    <w:rsid w:val="00D055F7"/>
    <w:rsid w:val="00D063F1"/>
    <w:rsid w:val="00D10D06"/>
    <w:rsid w:val="00D149C0"/>
    <w:rsid w:val="00D14F22"/>
    <w:rsid w:val="00D1532C"/>
    <w:rsid w:val="00D16BD1"/>
    <w:rsid w:val="00D22942"/>
    <w:rsid w:val="00D23943"/>
    <w:rsid w:val="00D23BEC"/>
    <w:rsid w:val="00D25632"/>
    <w:rsid w:val="00D26936"/>
    <w:rsid w:val="00D31F4F"/>
    <w:rsid w:val="00D34038"/>
    <w:rsid w:val="00D37391"/>
    <w:rsid w:val="00D3754E"/>
    <w:rsid w:val="00D46E8C"/>
    <w:rsid w:val="00D4741C"/>
    <w:rsid w:val="00D47B99"/>
    <w:rsid w:val="00D47EA7"/>
    <w:rsid w:val="00D533CA"/>
    <w:rsid w:val="00D533D6"/>
    <w:rsid w:val="00D55D0D"/>
    <w:rsid w:val="00D57918"/>
    <w:rsid w:val="00D626A4"/>
    <w:rsid w:val="00D73DC6"/>
    <w:rsid w:val="00D74C1A"/>
    <w:rsid w:val="00D754C1"/>
    <w:rsid w:val="00D77393"/>
    <w:rsid w:val="00D77A35"/>
    <w:rsid w:val="00D81B3E"/>
    <w:rsid w:val="00D8321F"/>
    <w:rsid w:val="00D8378B"/>
    <w:rsid w:val="00D84219"/>
    <w:rsid w:val="00D8530A"/>
    <w:rsid w:val="00D8598F"/>
    <w:rsid w:val="00D8637B"/>
    <w:rsid w:val="00D90C70"/>
    <w:rsid w:val="00D90E49"/>
    <w:rsid w:val="00D91741"/>
    <w:rsid w:val="00D91D1B"/>
    <w:rsid w:val="00D9668F"/>
    <w:rsid w:val="00D96ADE"/>
    <w:rsid w:val="00D97D57"/>
    <w:rsid w:val="00DA0CE2"/>
    <w:rsid w:val="00DA2387"/>
    <w:rsid w:val="00DA2840"/>
    <w:rsid w:val="00DA66EA"/>
    <w:rsid w:val="00DA78CF"/>
    <w:rsid w:val="00DB1333"/>
    <w:rsid w:val="00DB2FF6"/>
    <w:rsid w:val="00DB395E"/>
    <w:rsid w:val="00DB3BD3"/>
    <w:rsid w:val="00DC223F"/>
    <w:rsid w:val="00DC2EA3"/>
    <w:rsid w:val="00DC6A10"/>
    <w:rsid w:val="00DC76E7"/>
    <w:rsid w:val="00DD2446"/>
    <w:rsid w:val="00DE271E"/>
    <w:rsid w:val="00DE657E"/>
    <w:rsid w:val="00DE7BC2"/>
    <w:rsid w:val="00DF0BE1"/>
    <w:rsid w:val="00DF278B"/>
    <w:rsid w:val="00DF4704"/>
    <w:rsid w:val="00E00648"/>
    <w:rsid w:val="00E024AA"/>
    <w:rsid w:val="00E04B32"/>
    <w:rsid w:val="00E076C8"/>
    <w:rsid w:val="00E148B8"/>
    <w:rsid w:val="00E15C77"/>
    <w:rsid w:val="00E173A4"/>
    <w:rsid w:val="00E21FE3"/>
    <w:rsid w:val="00E250F1"/>
    <w:rsid w:val="00E25995"/>
    <w:rsid w:val="00E3550D"/>
    <w:rsid w:val="00E4077E"/>
    <w:rsid w:val="00E4171A"/>
    <w:rsid w:val="00E45CAC"/>
    <w:rsid w:val="00E472E2"/>
    <w:rsid w:val="00E5088C"/>
    <w:rsid w:val="00E52838"/>
    <w:rsid w:val="00E52A3D"/>
    <w:rsid w:val="00E5322D"/>
    <w:rsid w:val="00E5774D"/>
    <w:rsid w:val="00E614E0"/>
    <w:rsid w:val="00E63D32"/>
    <w:rsid w:val="00E6511B"/>
    <w:rsid w:val="00E66F90"/>
    <w:rsid w:val="00E67C76"/>
    <w:rsid w:val="00E73F7F"/>
    <w:rsid w:val="00E747E0"/>
    <w:rsid w:val="00E753E8"/>
    <w:rsid w:val="00E805B3"/>
    <w:rsid w:val="00E81293"/>
    <w:rsid w:val="00E82187"/>
    <w:rsid w:val="00E84175"/>
    <w:rsid w:val="00E8468A"/>
    <w:rsid w:val="00E85409"/>
    <w:rsid w:val="00E859AD"/>
    <w:rsid w:val="00E97A5D"/>
    <w:rsid w:val="00EA429F"/>
    <w:rsid w:val="00EA4D34"/>
    <w:rsid w:val="00EA4F9E"/>
    <w:rsid w:val="00EA5EF1"/>
    <w:rsid w:val="00EA6299"/>
    <w:rsid w:val="00EA63CA"/>
    <w:rsid w:val="00EA6D3B"/>
    <w:rsid w:val="00EB00AD"/>
    <w:rsid w:val="00EB0256"/>
    <w:rsid w:val="00EB10D2"/>
    <w:rsid w:val="00EB136C"/>
    <w:rsid w:val="00EB2FF6"/>
    <w:rsid w:val="00EB3633"/>
    <w:rsid w:val="00EB480E"/>
    <w:rsid w:val="00EB4AD7"/>
    <w:rsid w:val="00EB5EC6"/>
    <w:rsid w:val="00EB665A"/>
    <w:rsid w:val="00EB7FC9"/>
    <w:rsid w:val="00EC0DE1"/>
    <w:rsid w:val="00EC12AD"/>
    <w:rsid w:val="00EC737F"/>
    <w:rsid w:val="00EC7F11"/>
    <w:rsid w:val="00ED0408"/>
    <w:rsid w:val="00ED05C8"/>
    <w:rsid w:val="00ED1DE3"/>
    <w:rsid w:val="00ED27E8"/>
    <w:rsid w:val="00ED4B12"/>
    <w:rsid w:val="00ED7137"/>
    <w:rsid w:val="00ED790F"/>
    <w:rsid w:val="00EE2FA2"/>
    <w:rsid w:val="00EE50F6"/>
    <w:rsid w:val="00EF06EA"/>
    <w:rsid w:val="00EF5459"/>
    <w:rsid w:val="00F024BD"/>
    <w:rsid w:val="00F07604"/>
    <w:rsid w:val="00F113FC"/>
    <w:rsid w:val="00F11931"/>
    <w:rsid w:val="00F13167"/>
    <w:rsid w:val="00F147EC"/>
    <w:rsid w:val="00F16169"/>
    <w:rsid w:val="00F21088"/>
    <w:rsid w:val="00F21A25"/>
    <w:rsid w:val="00F25FDE"/>
    <w:rsid w:val="00F3074D"/>
    <w:rsid w:val="00F326BF"/>
    <w:rsid w:val="00F327E7"/>
    <w:rsid w:val="00F35746"/>
    <w:rsid w:val="00F41C0A"/>
    <w:rsid w:val="00F42339"/>
    <w:rsid w:val="00F447C7"/>
    <w:rsid w:val="00F459B4"/>
    <w:rsid w:val="00F5211B"/>
    <w:rsid w:val="00F5295E"/>
    <w:rsid w:val="00F554A9"/>
    <w:rsid w:val="00F605AE"/>
    <w:rsid w:val="00F61552"/>
    <w:rsid w:val="00F61B75"/>
    <w:rsid w:val="00F6617B"/>
    <w:rsid w:val="00F716FD"/>
    <w:rsid w:val="00F767F4"/>
    <w:rsid w:val="00F77051"/>
    <w:rsid w:val="00F80355"/>
    <w:rsid w:val="00F84127"/>
    <w:rsid w:val="00F85E86"/>
    <w:rsid w:val="00F8694C"/>
    <w:rsid w:val="00F87583"/>
    <w:rsid w:val="00F87C43"/>
    <w:rsid w:val="00F9017E"/>
    <w:rsid w:val="00F92443"/>
    <w:rsid w:val="00F93A07"/>
    <w:rsid w:val="00F93F01"/>
    <w:rsid w:val="00F94F7F"/>
    <w:rsid w:val="00FA26FF"/>
    <w:rsid w:val="00FA2710"/>
    <w:rsid w:val="00FA5722"/>
    <w:rsid w:val="00FB066E"/>
    <w:rsid w:val="00FB0C81"/>
    <w:rsid w:val="00FB4416"/>
    <w:rsid w:val="00FC2200"/>
    <w:rsid w:val="00FC2540"/>
    <w:rsid w:val="00FD1150"/>
    <w:rsid w:val="00FD3B82"/>
    <w:rsid w:val="00FD6BB2"/>
    <w:rsid w:val="00FE4362"/>
    <w:rsid w:val="00FE6192"/>
    <w:rsid w:val="00FF0204"/>
    <w:rsid w:val="00FF2812"/>
    <w:rsid w:val="00FF28A7"/>
    <w:rsid w:val="00FF3958"/>
    <w:rsid w:val="00FF3AED"/>
    <w:rsid w:val="00FF4F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BD9BC6"/>
  <w15:docId w15:val="{4AD38F9E-113F-461F-86E4-5CA3300F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150"/>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spacing w:before="240" w:after="60"/>
      <w:outlineLvl w:val="3"/>
    </w:pPr>
  </w:style>
  <w:style w:type="paragraph" w:styleId="Heading5">
    <w:name w:val="heading 5"/>
    <w:basedOn w:val="Normal"/>
    <w:next w:val="Normal"/>
    <w:link w:val="Heading5Char"/>
    <w:qFormat/>
    <w:rsid w:val="00DC6A10"/>
    <w:pPr>
      <w:keepNext/>
      <w:numPr>
        <w:numId w:val="5"/>
      </w:numPr>
      <w:spacing w:after="240"/>
      <w:ind w:left="3600" w:hanging="720"/>
      <w:outlineLvl w:val="4"/>
    </w:pPr>
  </w:style>
  <w:style w:type="paragraph" w:styleId="Heading6">
    <w:name w:val="heading 6"/>
    <w:basedOn w:val="Normal"/>
    <w:next w:val="Normal"/>
    <w:link w:val="Heading6Char"/>
    <w:qFormat/>
    <w:rsid w:val="00A5151A"/>
    <w:pPr>
      <w:spacing w:before="240" w:after="60"/>
      <w:outlineLvl w:val="5"/>
    </w:pPr>
    <w:rPr>
      <w:rFonts w:ascii="Arial" w:hAnsi="Arial"/>
      <w:i/>
    </w:rPr>
  </w:style>
  <w:style w:type="paragraph" w:styleId="Heading7">
    <w:name w:val="heading 7"/>
    <w:basedOn w:val="Normal"/>
    <w:next w:val="Normal"/>
    <w:link w:val="Heading7Char"/>
    <w:qFormat/>
    <w:rsid w:val="00A5151A"/>
    <w:p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34"/>
    <w:qFormat/>
    <w:rsid w:val="00080529"/>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0529"/>
    <w:pPr>
      <w:spacing w:after="160" w:line="240" w:lineRule="exact"/>
    </w:pPr>
    <w:rPr>
      <w:sz w:val="20"/>
      <w:szCs w:val="20"/>
      <w:vertAlign w:val="superscript"/>
    </w:rPr>
  </w:style>
  <w:style w:type="paragraph" w:customStyle="1" w:styleId="CM28">
    <w:name w:val="CM28"/>
    <w:basedOn w:val="Normal"/>
    <w:next w:val="Normal"/>
    <w:rsid w:val="00080529"/>
    <w:pPr>
      <w:widowControl w:val="0"/>
      <w:autoSpaceDE w:val="0"/>
      <w:autoSpaceDN w:val="0"/>
      <w:adjustRightInd w:val="0"/>
      <w:spacing w:after="223"/>
      <w:jc w:val="left"/>
    </w:pPr>
    <w:rPr>
      <w:sz w:val="24"/>
      <w:szCs w:val="24"/>
    </w:rPr>
  </w:style>
  <w:style w:type="character" w:customStyle="1" w:styleId="normaltextrun">
    <w:name w:val="normaltextrun"/>
    <w:basedOn w:val="DefaultParagraphFont"/>
    <w:rsid w:val="00080529"/>
  </w:style>
  <w:style w:type="numbering" w:customStyle="1" w:styleId="ArticleSection114">
    <w:name w:val="Article / Section114"/>
    <w:rsid w:val="00080529"/>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2EB1"/>
    <w:rPr>
      <w:sz w:val="22"/>
      <w:szCs w:val="22"/>
      <w:lang w:val="fr-FR"/>
    </w:rPr>
  </w:style>
  <w:style w:type="character" w:customStyle="1" w:styleId="Heading3Char">
    <w:name w:val="Heading 3 Char"/>
    <w:basedOn w:val="DefaultParagraphFont"/>
    <w:qFormat/>
    <w:rsid w:val="00282EB1"/>
    <w:rPr>
      <w:rFonts w:asciiTheme="majorHAnsi" w:eastAsiaTheme="majorEastAsia" w:hAnsiTheme="majorHAnsi" w:cstheme="majorBidi"/>
      <w:color w:val="243F60" w:themeColor="accent1" w:themeShade="7F"/>
      <w:sz w:val="24"/>
      <w:szCs w:val="24"/>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82EB1"/>
    <w:rPr>
      <w:sz w:val="22"/>
      <w:szCs w:val="22"/>
      <w:lang w:val="fr-FR"/>
    </w:rPr>
  </w:style>
  <w:style w:type="character" w:customStyle="1" w:styleId="Heading5Char">
    <w:name w:val="Heading 5 Char"/>
    <w:basedOn w:val="DefaultParagraphFont"/>
    <w:link w:val="Heading5"/>
    <w:rsid w:val="00282EB1"/>
    <w:rPr>
      <w:sz w:val="22"/>
      <w:szCs w:val="22"/>
      <w:lang w:val="fr-FR"/>
    </w:rPr>
  </w:style>
  <w:style w:type="character" w:customStyle="1" w:styleId="Heading6Char">
    <w:name w:val="Heading 6 Char"/>
    <w:basedOn w:val="DefaultParagraphFont"/>
    <w:link w:val="Heading6"/>
    <w:rsid w:val="00282EB1"/>
    <w:rPr>
      <w:rFonts w:ascii="Arial" w:hAnsi="Arial"/>
      <w:i/>
      <w:sz w:val="22"/>
      <w:szCs w:val="22"/>
      <w:lang w:val="fr-FR"/>
    </w:rPr>
  </w:style>
  <w:style w:type="character" w:customStyle="1" w:styleId="Heading7Char">
    <w:name w:val="Heading 7 Char"/>
    <w:basedOn w:val="DefaultParagraphFont"/>
    <w:link w:val="Heading7"/>
    <w:rsid w:val="00282EB1"/>
    <w:rPr>
      <w:rFonts w:ascii="Arial" w:hAnsi="Arial"/>
      <w:sz w:val="22"/>
      <w:szCs w:val="22"/>
      <w:lang w:val="fr-FR"/>
    </w:rPr>
  </w:style>
  <w:style w:type="character" w:customStyle="1" w:styleId="Heading8Char">
    <w:name w:val="Heading 8 Char"/>
    <w:basedOn w:val="DefaultParagraphFont"/>
    <w:link w:val="Heading8"/>
    <w:rsid w:val="00282EB1"/>
    <w:rPr>
      <w:b/>
      <w:sz w:val="22"/>
      <w:szCs w:val="22"/>
      <w:lang w:val="fr-FR"/>
    </w:rPr>
  </w:style>
  <w:style w:type="character" w:customStyle="1" w:styleId="Heading9Char">
    <w:name w:val="Heading 9 Char"/>
    <w:basedOn w:val="DefaultParagraphFont"/>
    <w:link w:val="Heading9"/>
    <w:rsid w:val="00282EB1"/>
    <w:rPr>
      <w:rFonts w:ascii="Arial" w:hAnsi="Arial"/>
      <w:i/>
      <w:sz w:val="18"/>
      <w:szCs w:val="22"/>
      <w:lang w:val="fr-FR"/>
    </w:rPr>
  </w:style>
  <w:style w:type="character" w:styleId="PageNumber">
    <w:name w:val="page number"/>
    <w:basedOn w:val="DefaultParagraphFont"/>
    <w:rsid w:val="00282EB1"/>
    <w:rPr>
      <w:rFonts w:ascii="Times New Roman" w:hAnsi="Times New Roman"/>
      <w:b/>
      <w:sz w:val="18"/>
    </w:rPr>
  </w:style>
  <w:style w:type="table" w:customStyle="1" w:styleId="Tabledocright">
    <w:name w:val="Table_doc_right"/>
    <w:basedOn w:val="TableNormal"/>
    <w:rsid w:val="00282EB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82EB1"/>
    <w:pPr>
      <w:tabs>
        <w:tab w:val="left" w:pos="1247"/>
      </w:tabs>
      <w:ind w:left="1000"/>
      <w:jc w:val="left"/>
    </w:pPr>
    <w:rPr>
      <w:sz w:val="18"/>
      <w:szCs w:val="18"/>
    </w:rPr>
  </w:style>
  <w:style w:type="paragraph" w:styleId="TOC7">
    <w:name w:val="toc 7"/>
    <w:basedOn w:val="Normal"/>
    <w:next w:val="Normal"/>
    <w:autoRedefine/>
    <w:semiHidden/>
    <w:rsid w:val="00282EB1"/>
    <w:pPr>
      <w:tabs>
        <w:tab w:val="left" w:pos="1247"/>
      </w:tabs>
      <w:ind w:left="1200"/>
      <w:jc w:val="left"/>
    </w:pPr>
    <w:rPr>
      <w:sz w:val="18"/>
      <w:szCs w:val="18"/>
    </w:rPr>
  </w:style>
  <w:style w:type="paragraph" w:styleId="TOC8">
    <w:name w:val="toc 8"/>
    <w:basedOn w:val="Normal"/>
    <w:next w:val="Normal"/>
    <w:autoRedefine/>
    <w:semiHidden/>
    <w:rsid w:val="00282EB1"/>
    <w:pPr>
      <w:tabs>
        <w:tab w:val="left" w:pos="1247"/>
      </w:tabs>
      <w:ind w:left="1400"/>
      <w:jc w:val="left"/>
    </w:pPr>
    <w:rPr>
      <w:sz w:val="18"/>
      <w:szCs w:val="18"/>
    </w:rPr>
  </w:style>
  <w:style w:type="paragraph" w:styleId="TOC9">
    <w:name w:val="toc 9"/>
    <w:basedOn w:val="Normal"/>
    <w:next w:val="Normal"/>
    <w:autoRedefine/>
    <w:semiHidden/>
    <w:rsid w:val="00282EB1"/>
    <w:pPr>
      <w:tabs>
        <w:tab w:val="left" w:pos="1247"/>
      </w:tabs>
      <w:ind w:left="1600"/>
      <w:jc w:val="left"/>
    </w:pPr>
    <w:rPr>
      <w:sz w:val="18"/>
      <w:szCs w:val="18"/>
    </w:rPr>
  </w:style>
  <w:style w:type="paragraph" w:customStyle="1" w:styleId="Titlefigure">
    <w:name w:val="Title_figure"/>
    <w:basedOn w:val="Titletable"/>
    <w:next w:val="NormalNonumber"/>
    <w:rsid w:val="00282EB1"/>
    <w:rPr>
      <w:bCs w:val="0"/>
    </w:rPr>
  </w:style>
  <w:style w:type="paragraph" w:styleId="TableofFigures">
    <w:name w:val="table of figures"/>
    <w:basedOn w:val="Normal"/>
    <w:next w:val="Normal"/>
    <w:autoRedefine/>
    <w:semiHidden/>
    <w:rsid w:val="00282EB1"/>
    <w:pPr>
      <w:tabs>
        <w:tab w:val="left" w:pos="1247"/>
      </w:tabs>
      <w:ind w:left="1814" w:hanging="567"/>
      <w:jc w:val="left"/>
    </w:pPr>
    <w:rPr>
      <w:sz w:val="20"/>
      <w:szCs w:val="20"/>
    </w:rPr>
  </w:style>
  <w:style w:type="paragraph" w:customStyle="1" w:styleId="CH1">
    <w:name w:val="CH1"/>
    <w:basedOn w:val="Normalpool"/>
    <w:next w:val="CH2"/>
    <w:link w:val="CH1Char"/>
    <w:qFormat/>
    <w:rsid w:val="00282EB1"/>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rsid w:val="00282EB1"/>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282EB1"/>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282EB1"/>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282EB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282EB1"/>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282EB1"/>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282EB1"/>
    <w:pPr>
      <w:pBdr>
        <w:bottom w:val="single" w:sz="4" w:space="1" w:color="auto"/>
      </w:pBdr>
      <w:tabs>
        <w:tab w:val="left" w:pos="1247"/>
        <w:tab w:val="center" w:pos="4536"/>
        <w:tab w:val="right" w:pos="9072"/>
      </w:tabs>
      <w:spacing w:after="120"/>
      <w:jc w:val="left"/>
    </w:pPr>
    <w:rPr>
      <w:b/>
      <w:sz w:val="18"/>
      <w:szCs w:val="20"/>
    </w:rPr>
  </w:style>
  <w:style w:type="paragraph" w:customStyle="1" w:styleId="Normalpool">
    <w:name w:val="Normal_pool"/>
    <w:link w:val="NormalpoolChar"/>
    <w:rsid w:val="00282EB1"/>
    <w:pPr>
      <w:tabs>
        <w:tab w:val="left" w:pos="1247"/>
        <w:tab w:val="left" w:pos="1814"/>
        <w:tab w:val="left" w:pos="2381"/>
        <w:tab w:val="left" w:pos="2948"/>
        <w:tab w:val="left" w:pos="3515"/>
        <w:tab w:val="left" w:pos="4082"/>
      </w:tabs>
    </w:pPr>
  </w:style>
  <w:style w:type="paragraph" w:customStyle="1" w:styleId="Footer-pool">
    <w:name w:val="Footer-pool"/>
    <w:basedOn w:val="Normal-pool"/>
    <w:next w:val="Normal-pool"/>
    <w:rsid w:val="00282EB1"/>
    <w:pPr>
      <w:tabs>
        <w:tab w:val="left" w:pos="4321"/>
        <w:tab w:val="right" w:pos="8641"/>
      </w:tabs>
      <w:spacing w:before="60" w:after="120"/>
    </w:pPr>
    <w:rPr>
      <w:b/>
      <w:sz w:val="18"/>
    </w:rPr>
  </w:style>
  <w:style w:type="paragraph" w:customStyle="1" w:styleId="Header-pool">
    <w:name w:val="Header-pool"/>
    <w:basedOn w:val="Normal-pool"/>
    <w:next w:val="Normal-pool"/>
    <w:rsid w:val="00282EB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282EB1"/>
    <w:pPr>
      <w:tabs>
        <w:tab w:val="left" w:pos="1247"/>
        <w:tab w:val="left" w:pos="1814"/>
        <w:tab w:val="left" w:pos="2381"/>
        <w:tab w:val="left" w:pos="2948"/>
        <w:tab w:val="left" w:pos="3515"/>
        <w:tab w:val="left" w:pos="4082"/>
      </w:tabs>
    </w:pPr>
  </w:style>
  <w:style w:type="character" w:customStyle="1" w:styleId="FooterChar">
    <w:name w:val="Footer Char"/>
    <w:link w:val="Footer"/>
    <w:uiPriority w:val="99"/>
    <w:rsid w:val="00282EB1"/>
    <w:rPr>
      <w:sz w:val="22"/>
      <w:szCs w:val="22"/>
      <w:lang w:val="fr-FR"/>
    </w:rPr>
  </w:style>
  <w:style w:type="character" w:customStyle="1" w:styleId="HeaderChar">
    <w:name w:val="Header Char"/>
    <w:aliases w:val="EthylHeader Char"/>
    <w:link w:val="Header"/>
    <w:uiPriority w:val="99"/>
    <w:rsid w:val="00282EB1"/>
    <w:rPr>
      <w:sz w:val="22"/>
      <w:szCs w:val="22"/>
      <w:lang w:val="fr-FR"/>
    </w:rPr>
  </w:style>
  <w:style w:type="character" w:customStyle="1" w:styleId="CH2Char">
    <w:name w:val="CH2 Char"/>
    <w:link w:val="CH2"/>
    <w:locked/>
    <w:rsid w:val="00282EB1"/>
    <w:rPr>
      <w:b/>
      <w:sz w:val="24"/>
      <w:szCs w:val="24"/>
      <w:lang w:val="fr-FR"/>
    </w:rPr>
  </w:style>
  <w:style w:type="character" w:customStyle="1" w:styleId="NormalnumberChar">
    <w:name w:val="Normal_number Char"/>
    <w:link w:val="Normalnumber"/>
    <w:locked/>
    <w:rsid w:val="00282EB1"/>
    <w:rPr>
      <w:lang w:val="fr-FR"/>
    </w:rPr>
  </w:style>
  <w:style w:type="paragraph" w:styleId="NormalWeb">
    <w:name w:val="Normal (Web)"/>
    <w:basedOn w:val="Normal"/>
    <w:unhideWhenUsed/>
    <w:rsid w:val="00282EB1"/>
    <w:pPr>
      <w:spacing w:before="100" w:beforeAutospacing="1" w:after="100" w:afterAutospacing="1"/>
      <w:jc w:val="left"/>
    </w:pPr>
    <w:rPr>
      <w:sz w:val="24"/>
      <w:szCs w:val="24"/>
      <w:lang w:eastAsia="zh-CN"/>
    </w:rPr>
  </w:style>
  <w:style w:type="character" w:styleId="Emphasis">
    <w:name w:val="Emphasis"/>
    <w:qFormat/>
    <w:rsid w:val="00282EB1"/>
    <w:rPr>
      <w:i/>
      <w:iCs/>
    </w:rPr>
  </w:style>
  <w:style w:type="character" w:styleId="FollowedHyperlink">
    <w:name w:val="FollowedHyperlink"/>
    <w:uiPriority w:val="99"/>
    <w:unhideWhenUsed/>
    <w:rsid w:val="00282EB1"/>
    <w:rPr>
      <w:color w:val="954F72"/>
      <w:u w:val="single"/>
    </w:rPr>
  </w:style>
  <w:style w:type="paragraph" w:customStyle="1" w:styleId="xl63">
    <w:name w:val="xl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4">
    <w:name w:val="xl64"/>
    <w:basedOn w:val="Normal"/>
    <w:rsid w:val="00282EB1"/>
    <w:pPr>
      <w:spacing w:before="100" w:beforeAutospacing="1" w:after="100" w:afterAutospacing="1"/>
      <w:jc w:val="left"/>
    </w:pPr>
    <w:rPr>
      <w:rFonts w:ascii="Roboto" w:hAnsi="Roboto"/>
      <w:sz w:val="16"/>
      <w:szCs w:val="16"/>
    </w:rPr>
  </w:style>
  <w:style w:type="paragraph" w:customStyle="1" w:styleId="xl65">
    <w:name w:val="xl65"/>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6">
    <w:name w:val="xl66"/>
    <w:basedOn w:val="Normal"/>
    <w:rsid w:val="00282EB1"/>
    <w:pPr>
      <w:spacing w:before="100" w:beforeAutospacing="1" w:after="100" w:afterAutospacing="1"/>
      <w:jc w:val="left"/>
    </w:pPr>
    <w:rPr>
      <w:rFonts w:ascii="Roboto" w:hAnsi="Roboto"/>
      <w:sz w:val="16"/>
      <w:szCs w:val="16"/>
    </w:rPr>
  </w:style>
  <w:style w:type="paragraph" w:customStyle="1" w:styleId="xl67">
    <w:name w:val="xl6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68">
    <w:name w:val="xl68"/>
    <w:basedOn w:val="Normal"/>
    <w:rsid w:val="00282EB1"/>
    <w:pPr>
      <w:spacing w:before="100" w:beforeAutospacing="1" w:after="100" w:afterAutospacing="1"/>
      <w:jc w:val="left"/>
    </w:pPr>
    <w:rPr>
      <w:rFonts w:ascii="Roboto" w:hAnsi="Roboto"/>
      <w:b/>
      <w:bCs/>
      <w:sz w:val="16"/>
      <w:szCs w:val="16"/>
    </w:rPr>
  </w:style>
  <w:style w:type="paragraph" w:customStyle="1" w:styleId="xl69">
    <w:name w:val="xl69"/>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0">
    <w:name w:val="xl70"/>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1">
    <w:name w:val="xl71"/>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72">
    <w:name w:val="xl72"/>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rPr>
  </w:style>
  <w:style w:type="paragraph" w:customStyle="1" w:styleId="xl73">
    <w:name w:val="xl7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rPr>
  </w:style>
  <w:style w:type="paragraph" w:customStyle="1" w:styleId="xl74">
    <w:name w:val="xl74"/>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rPr>
  </w:style>
  <w:style w:type="paragraph" w:customStyle="1" w:styleId="xl75">
    <w:name w:val="xl75"/>
    <w:basedOn w:val="Normal"/>
    <w:rsid w:val="00282EB1"/>
    <w:pPr>
      <w:spacing w:before="100" w:beforeAutospacing="1" w:after="100" w:afterAutospacing="1"/>
      <w:jc w:val="center"/>
    </w:pPr>
    <w:rPr>
      <w:rFonts w:ascii="Roboto" w:hAnsi="Roboto"/>
      <w:sz w:val="16"/>
      <w:szCs w:val="16"/>
    </w:rPr>
  </w:style>
  <w:style w:type="paragraph" w:styleId="EndnoteText">
    <w:name w:val="endnote text"/>
    <w:basedOn w:val="Normal"/>
    <w:link w:val="EndnoteTextChar"/>
    <w:uiPriority w:val="99"/>
    <w:rsid w:val="00282EB1"/>
    <w:pPr>
      <w:widowControl w:val="0"/>
      <w:tabs>
        <w:tab w:val="left" w:pos="-720"/>
      </w:tabs>
      <w:suppressAutoHyphens/>
      <w:overflowPunct w:val="0"/>
      <w:autoSpaceDE w:val="0"/>
      <w:autoSpaceDN w:val="0"/>
      <w:adjustRightInd w:val="0"/>
      <w:jc w:val="left"/>
      <w:textAlignment w:val="baseline"/>
    </w:pPr>
    <w:rPr>
      <w:rFonts w:ascii="Courier" w:hAnsi="Courier"/>
      <w:sz w:val="24"/>
      <w:szCs w:val="20"/>
    </w:rPr>
  </w:style>
  <w:style w:type="character" w:customStyle="1" w:styleId="EndnoteTextChar">
    <w:name w:val="Endnote Text Char"/>
    <w:basedOn w:val="DefaultParagraphFont"/>
    <w:link w:val="EndnoteText"/>
    <w:uiPriority w:val="99"/>
    <w:rsid w:val="00282EB1"/>
    <w:rPr>
      <w:rFonts w:ascii="Courier" w:hAnsi="Courier"/>
      <w:sz w:val="24"/>
    </w:rPr>
  </w:style>
  <w:style w:type="character" w:styleId="EndnoteReference">
    <w:name w:val="endnote reference"/>
    <w:uiPriority w:val="99"/>
    <w:rsid w:val="00282EB1"/>
    <w:rPr>
      <w:vertAlign w:val="superscript"/>
    </w:rPr>
  </w:style>
  <w:style w:type="character" w:customStyle="1" w:styleId="DefaultPara">
    <w:name w:val="Default Para"/>
    <w:rsid w:val="00282EB1"/>
  </w:style>
  <w:style w:type="character" w:customStyle="1" w:styleId="endnoterefe">
    <w:name w:val="endnote refe"/>
    <w:rsid w:val="00282EB1"/>
    <w:rPr>
      <w:rFonts w:ascii="Courier" w:hAnsi="Courier"/>
      <w:noProof w:val="0"/>
      <w:sz w:val="24"/>
      <w:vertAlign w:val="superscript"/>
      <w:lang w:val="fr-FR"/>
    </w:rPr>
  </w:style>
  <w:style w:type="paragraph" w:customStyle="1" w:styleId="footnotetex">
    <w:name w:val="footnote tex"/>
    <w:rsid w:val="00282EB1"/>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282EB1"/>
    <w:rPr>
      <w:rFonts w:ascii="Courier" w:hAnsi="Courier"/>
      <w:noProof w:val="0"/>
      <w:sz w:val="24"/>
      <w:vertAlign w:val="superscript"/>
      <w:lang w:val="fr-FR"/>
    </w:rPr>
  </w:style>
  <w:style w:type="character" w:customStyle="1" w:styleId="EquationCa">
    <w:name w:val="_Equation Ca"/>
    <w:rsid w:val="00282EB1"/>
  </w:style>
  <w:style w:type="paragraph" w:customStyle="1" w:styleId="MSNormal">
    <w:name w:val="MSNormal"/>
    <w:rsid w:val="00282EB1"/>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282EB1"/>
  </w:style>
  <w:style w:type="character" w:customStyle="1" w:styleId="Document8">
    <w:name w:val="Document 8"/>
    <w:rsid w:val="00282EB1"/>
  </w:style>
  <w:style w:type="character" w:customStyle="1" w:styleId="Document4">
    <w:name w:val="Document 4"/>
    <w:rsid w:val="00282EB1"/>
    <w:rPr>
      <w:b/>
      <w:i/>
      <w:sz w:val="24"/>
    </w:rPr>
  </w:style>
  <w:style w:type="character" w:customStyle="1" w:styleId="Document6">
    <w:name w:val="Document 6"/>
    <w:rsid w:val="00282EB1"/>
  </w:style>
  <w:style w:type="character" w:customStyle="1" w:styleId="Document5">
    <w:name w:val="Document 5"/>
    <w:rsid w:val="00282EB1"/>
  </w:style>
  <w:style w:type="character" w:customStyle="1" w:styleId="Document2">
    <w:name w:val="Document 2"/>
    <w:rsid w:val="00282EB1"/>
    <w:rPr>
      <w:rFonts w:ascii="Courier" w:hAnsi="Courier"/>
      <w:noProof w:val="0"/>
      <w:sz w:val="24"/>
      <w:lang w:val="fr-FR"/>
    </w:rPr>
  </w:style>
  <w:style w:type="character" w:customStyle="1" w:styleId="Document7">
    <w:name w:val="Document 7"/>
    <w:rsid w:val="00282EB1"/>
  </w:style>
  <w:style w:type="character" w:customStyle="1" w:styleId="Bibliogrphy">
    <w:name w:val="Bibliogrphy"/>
    <w:rsid w:val="00282EB1"/>
  </w:style>
  <w:style w:type="character" w:customStyle="1" w:styleId="RightPar1">
    <w:name w:val="Right Par 1"/>
    <w:rsid w:val="00282EB1"/>
  </w:style>
  <w:style w:type="character" w:customStyle="1" w:styleId="RightPar2">
    <w:name w:val="Right Par 2"/>
    <w:rsid w:val="00282EB1"/>
  </w:style>
  <w:style w:type="character" w:customStyle="1" w:styleId="Document3">
    <w:name w:val="Document 3"/>
    <w:rsid w:val="00282EB1"/>
    <w:rPr>
      <w:rFonts w:ascii="Courier" w:hAnsi="Courier"/>
      <w:noProof w:val="0"/>
      <w:sz w:val="24"/>
      <w:lang w:val="fr-FR"/>
    </w:rPr>
  </w:style>
  <w:style w:type="character" w:customStyle="1" w:styleId="RightPar3">
    <w:name w:val="Right Par 3"/>
    <w:rsid w:val="00282EB1"/>
  </w:style>
  <w:style w:type="character" w:customStyle="1" w:styleId="RightPar4">
    <w:name w:val="Right Par 4"/>
    <w:rsid w:val="00282EB1"/>
  </w:style>
  <w:style w:type="character" w:customStyle="1" w:styleId="RightPar5">
    <w:name w:val="Right Par 5"/>
    <w:rsid w:val="00282EB1"/>
  </w:style>
  <w:style w:type="character" w:customStyle="1" w:styleId="RightPar6">
    <w:name w:val="Right Par 6"/>
    <w:rsid w:val="00282EB1"/>
  </w:style>
  <w:style w:type="character" w:customStyle="1" w:styleId="RightPar7">
    <w:name w:val="Right Par 7"/>
    <w:rsid w:val="00282EB1"/>
  </w:style>
  <w:style w:type="character" w:customStyle="1" w:styleId="RightPar8">
    <w:name w:val="Right Par 8"/>
    <w:rsid w:val="00282EB1"/>
  </w:style>
  <w:style w:type="paragraph" w:customStyle="1" w:styleId="Document1">
    <w:name w:val="Document 1"/>
    <w:rsid w:val="00282EB1"/>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282EB1"/>
  </w:style>
  <w:style w:type="character" w:customStyle="1" w:styleId="TechInit">
    <w:name w:val="Tech Init"/>
    <w:rsid w:val="00282EB1"/>
    <w:rPr>
      <w:rFonts w:ascii="Courier" w:hAnsi="Courier"/>
      <w:noProof w:val="0"/>
      <w:sz w:val="24"/>
      <w:lang w:val="fr-FR"/>
    </w:rPr>
  </w:style>
  <w:style w:type="character" w:customStyle="1" w:styleId="Technical5">
    <w:name w:val="Technical 5"/>
    <w:rsid w:val="00282EB1"/>
  </w:style>
  <w:style w:type="character" w:customStyle="1" w:styleId="Technical6">
    <w:name w:val="Technical 6"/>
    <w:rsid w:val="00282EB1"/>
  </w:style>
  <w:style w:type="character" w:customStyle="1" w:styleId="Technical2">
    <w:name w:val="Technical 2"/>
    <w:rsid w:val="00282EB1"/>
    <w:rPr>
      <w:rFonts w:ascii="Courier" w:hAnsi="Courier"/>
      <w:noProof w:val="0"/>
      <w:sz w:val="24"/>
      <w:lang w:val="fr-FR"/>
    </w:rPr>
  </w:style>
  <w:style w:type="character" w:customStyle="1" w:styleId="Technical3">
    <w:name w:val="Technical 3"/>
    <w:rsid w:val="00282EB1"/>
    <w:rPr>
      <w:rFonts w:ascii="Courier" w:hAnsi="Courier"/>
      <w:noProof w:val="0"/>
      <w:sz w:val="24"/>
      <w:lang w:val="fr-FR"/>
    </w:rPr>
  </w:style>
  <w:style w:type="character" w:customStyle="1" w:styleId="Technical4">
    <w:name w:val="Technical 4"/>
    <w:rsid w:val="00282EB1"/>
  </w:style>
  <w:style w:type="character" w:customStyle="1" w:styleId="Technical1">
    <w:name w:val="Technical 1"/>
    <w:rsid w:val="00282EB1"/>
    <w:rPr>
      <w:rFonts w:ascii="Courier" w:hAnsi="Courier"/>
      <w:noProof w:val="0"/>
      <w:sz w:val="24"/>
      <w:lang w:val="fr-FR"/>
    </w:rPr>
  </w:style>
  <w:style w:type="character" w:customStyle="1" w:styleId="Technical7">
    <w:name w:val="Technical 7"/>
    <w:rsid w:val="00282EB1"/>
  </w:style>
  <w:style w:type="character" w:customStyle="1" w:styleId="Technical8">
    <w:name w:val="Technical 8"/>
    <w:rsid w:val="00282EB1"/>
  </w:style>
  <w:style w:type="paragraph" w:styleId="Index1">
    <w:name w:val="index 1"/>
    <w:basedOn w:val="Normal"/>
    <w:next w:val="Normal"/>
    <w:rsid w:val="00282EB1"/>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rPr>
  </w:style>
  <w:style w:type="paragraph" w:styleId="Index2">
    <w:name w:val="index 2"/>
    <w:basedOn w:val="Normal"/>
    <w:next w:val="Normal"/>
    <w:rsid w:val="00282EB1"/>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rPr>
  </w:style>
  <w:style w:type="paragraph" w:styleId="TOAHeading">
    <w:name w:val="toa heading"/>
    <w:basedOn w:val="Normal"/>
    <w:next w:val="Normal"/>
    <w:rsid w:val="00282EB1"/>
    <w:pPr>
      <w:widowControl w:val="0"/>
      <w:tabs>
        <w:tab w:val="right" w:pos="9360"/>
      </w:tabs>
      <w:suppressAutoHyphens/>
      <w:overflowPunct w:val="0"/>
      <w:autoSpaceDE w:val="0"/>
      <w:autoSpaceDN w:val="0"/>
      <w:adjustRightInd w:val="0"/>
      <w:jc w:val="left"/>
      <w:textAlignment w:val="baseline"/>
    </w:pPr>
    <w:rPr>
      <w:rFonts w:ascii="Courier" w:hAnsi="Courier"/>
      <w:sz w:val="24"/>
      <w:szCs w:val="20"/>
    </w:rPr>
  </w:style>
  <w:style w:type="paragraph" w:styleId="Caption">
    <w:name w:val="caption"/>
    <w:basedOn w:val="Normal"/>
    <w:next w:val="Normal"/>
    <w:qFormat/>
    <w:rsid w:val="00282EB1"/>
    <w:pPr>
      <w:widowControl w:val="0"/>
      <w:overflowPunct w:val="0"/>
      <w:autoSpaceDE w:val="0"/>
      <w:autoSpaceDN w:val="0"/>
      <w:adjustRightInd w:val="0"/>
      <w:jc w:val="left"/>
      <w:textAlignment w:val="baseline"/>
    </w:pPr>
    <w:rPr>
      <w:rFonts w:ascii="Courier" w:hAnsi="Courier"/>
      <w:sz w:val="24"/>
      <w:szCs w:val="20"/>
    </w:rPr>
  </w:style>
  <w:style w:type="character" w:customStyle="1" w:styleId="EquationCaption">
    <w:name w:val="_Equation Caption"/>
    <w:rsid w:val="00282EB1"/>
  </w:style>
  <w:style w:type="paragraph" w:styleId="Revision">
    <w:name w:val="Revision"/>
    <w:hidden/>
    <w:uiPriority w:val="99"/>
    <w:semiHidden/>
    <w:rsid w:val="00282EB1"/>
    <w:rPr>
      <w:rFonts w:ascii="Courier" w:hAnsi="Courier"/>
      <w:sz w:val="24"/>
    </w:rPr>
  </w:style>
  <w:style w:type="paragraph" w:customStyle="1" w:styleId="font0">
    <w:name w:val="font0"/>
    <w:basedOn w:val="Normal"/>
    <w:rsid w:val="00282EB1"/>
    <w:pPr>
      <w:spacing w:before="100" w:beforeAutospacing="1" w:after="100" w:afterAutospacing="1"/>
      <w:jc w:val="left"/>
    </w:pPr>
    <w:rPr>
      <w:rFonts w:ascii="Arial" w:hAnsi="Arial" w:cs="Arial"/>
      <w:sz w:val="18"/>
      <w:szCs w:val="18"/>
      <w:lang w:eastAsia="zh-CN"/>
    </w:rPr>
  </w:style>
  <w:style w:type="paragraph" w:customStyle="1" w:styleId="font5">
    <w:name w:val="font5"/>
    <w:basedOn w:val="Normal"/>
    <w:rsid w:val="00282EB1"/>
    <w:pPr>
      <w:spacing w:before="100" w:beforeAutospacing="1" w:after="100" w:afterAutospacing="1"/>
      <w:jc w:val="left"/>
    </w:pPr>
    <w:rPr>
      <w:rFonts w:ascii="Arial" w:hAnsi="Arial" w:cs="Arial"/>
      <w:b/>
      <w:bCs/>
      <w:sz w:val="18"/>
      <w:szCs w:val="18"/>
      <w:lang w:eastAsia="zh-CN"/>
    </w:rPr>
  </w:style>
  <w:style w:type="paragraph" w:customStyle="1" w:styleId="font6">
    <w:name w:val="font6"/>
    <w:basedOn w:val="Normal"/>
    <w:rsid w:val="00282EB1"/>
    <w:pPr>
      <w:spacing w:before="100" w:beforeAutospacing="1" w:after="100" w:afterAutospacing="1"/>
      <w:jc w:val="left"/>
    </w:pPr>
    <w:rPr>
      <w:rFonts w:ascii="Arial" w:hAnsi="Arial" w:cs="Arial"/>
      <w:sz w:val="18"/>
      <w:szCs w:val="18"/>
      <w:lang w:eastAsia="zh-CN"/>
    </w:rPr>
  </w:style>
  <w:style w:type="paragraph" w:customStyle="1" w:styleId="font7">
    <w:name w:val="font7"/>
    <w:basedOn w:val="Normal"/>
    <w:rsid w:val="00282EB1"/>
    <w:pPr>
      <w:spacing w:before="100" w:beforeAutospacing="1" w:after="100" w:afterAutospacing="1"/>
      <w:jc w:val="left"/>
    </w:pPr>
    <w:rPr>
      <w:rFonts w:ascii="Arial" w:hAnsi="Arial" w:cs="Arial"/>
      <w:sz w:val="18"/>
      <w:szCs w:val="18"/>
      <w:u w:val="single"/>
      <w:lang w:eastAsia="zh-CN"/>
    </w:rPr>
  </w:style>
  <w:style w:type="paragraph" w:customStyle="1" w:styleId="font8">
    <w:name w:val="font8"/>
    <w:basedOn w:val="Normal"/>
    <w:rsid w:val="00282EB1"/>
    <w:pPr>
      <w:spacing w:before="100" w:beforeAutospacing="1" w:after="100" w:afterAutospacing="1"/>
      <w:jc w:val="left"/>
    </w:pPr>
    <w:rPr>
      <w:rFonts w:ascii="Arial" w:hAnsi="Arial" w:cs="Arial"/>
      <w:b/>
      <w:bCs/>
      <w:sz w:val="18"/>
      <w:szCs w:val="18"/>
      <w:u w:val="single"/>
      <w:lang w:eastAsia="zh-CN"/>
    </w:rPr>
  </w:style>
  <w:style w:type="paragraph" w:customStyle="1" w:styleId="font9">
    <w:name w:val="font9"/>
    <w:basedOn w:val="Normal"/>
    <w:rsid w:val="00282EB1"/>
    <w:pPr>
      <w:spacing w:before="100" w:beforeAutospacing="1" w:after="100" w:afterAutospacing="1"/>
      <w:jc w:val="left"/>
    </w:pPr>
    <w:rPr>
      <w:rFonts w:ascii="Arial" w:hAnsi="Arial" w:cs="Arial"/>
      <w:b/>
      <w:bCs/>
      <w:color w:val="FF0000"/>
      <w:sz w:val="18"/>
      <w:szCs w:val="18"/>
      <w:lang w:eastAsia="zh-CN"/>
    </w:rPr>
  </w:style>
  <w:style w:type="paragraph" w:customStyle="1" w:styleId="font10">
    <w:name w:val="font10"/>
    <w:basedOn w:val="Normal"/>
    <w:rsid w:val="00282EB1"/>
    <w:pPr>
      <w:spacing w:before="100" w:beforeAutospacing="1" w:after="100" w:afterAutospacing="1"/>
      <w:jc w:val="left"/>
    </w:pPr>
    <w:rPr>
      <w:rFonts w:ascii="Arial" w:hAnsi="Arial" w:cs="Arial"/>
      <w:b/>
      <w:bCs/>
      <w:color w:val="FF0000"/>
      <w:sz w:val="18"/>
      <w:szCs w:val="18"/>
      <w:u w:val="single"/>
      <w:lang w:eastAsia="zh-CN"/>
    </w:rPr>
  </w:style>
  <w:style w:type="paragraph" w:customStyle="1" w:styleId="font11">
    <w:name w:val="font11"/>
    <w:basedOn w:val="Normal"/>
    <w:rsid w:val="00282EB1"/>
    <w:pPr>
      <w:spacing w:before="100" w:beforeAutospacing="1" w:after="100" w:afterAutospacing="1"/>
      <w:jc w:val="left"/>
    </w:pPr>
    <w:rPr>
      <w:rFonts w:ascii="Arial" w:hAnsi="Arial" w:cs="Arial"/>
      <w:color w:val="FF0000"/>
      <w:sz w:val="20"/>
      <w:szCs w:val="20"/>
      <w:lang w:eastAsia="zh-CN"/>
    </w:rPr>
  </w:style>
  <w:style w:type="paragraph" w:customStyle="1" w:styleId="font12">
    <w:name w:val="font12"/>
    <w:basedOn w:val="Normal"/>
    <w:rsid w:val="00282EB1"/>
    <w:pPr>
      <w:spacing w:before="100" w:beforeAutospacing="1" w:after="100" w:afterAutospacing="1"/>
      <w:jc w:val="left"/>
    </w:pPr>
    <w:rPr>
      <w:rFonts w:ascii="Arial" w:hAnsi="Arial" w:cs="Arial"/>
      <w:color w:val="FF0000"/>
      <w:sz w:val="20"/>
      <w:szCs w:val="20"/>
      <w:lang w:eastAsia="zh-CN"/>
    </w:rPr>
  </w:style>
  <w:style w:type="paragraph" w:customStyle="1" w:styleId="xl76">
    <w:name w:val="xl76"/>
    <w:basedOn w:val="Normal"/>
    <w:rsid w:val="00282EB1"/>
    <w:pPr>
      <w:pBdr>
        <w:bottom w:val="single" w:sz="8" w:space="0" w:color="auto"/>
        <w:right w:val="single" w:sz="4" w:space="0" w:color="auto"/>
      </w:pBdr>
      <w:spacing w:before="100" w:beforeAutospacing="1" w:after="100" w:afterAutospacing="1"/>
      <w:jc w:val="left"/>
    </w:pPr>
    <w:rPr>
      <w:sz w:val="24"/>
      <w:szCs w:val="24"/>
      <w:lang w:eastAsia="zh-CN"/>
    </w:rPr>
  </w:style>
  <w:style w:type="paragraph" w:customStyle="1" w:styleId="xl77">
    <w:name w:val="xl77"/>
    <w:basedOn w:val="Normal"/>
    <w:rsid w:val="00282EB1"/>
    <w:pPr>
      <w:pBdr>
        <w:left w:val="single" w:sz="4" w:space="0" w:color="auto"/>
        <w:right w:val="single" w:sz="4" w:space="0" w:color="auto"/>
      </w:pBdr>
      <w:spacing w:before="100" w:beforeAutospacing="1" w:after="100" w:afterAutospacing="1"/>
      <w:jc w:val="left"/>
    </w:pPr>
    <w:rPr>
      <w:sz w:val="24"/>
      <w:szCs w:val="24"/>
      <w:lang w:eastAsia="zh-CN"/>
    </w:rPr>
  </w:style>
  <w:style w:type="paragraph" w:customStyle="1" w:styleId="xl78">
    <w:name w:val="xl78"/>
    <w:basedOn w:val="Normal"/>
    <w:rsid w:val="00282EB1"/>
    <w:pPr>
      <w:pBdr>
        <w:left w:val="single" w:sz="4" w:space="0" w:color="auto"/>
      </w:pBdr>
      <w:spacing w:before="100" w:beforeAutospacing="1" w:after="100" w:afterAutospacing="1"/>
      <w:jc w:val="left"/>
    </w:pPr>
    <w:rPr>
      <w:sz w:val="24"/>
      <w:szCs w:val="24"/>
      <w:lang w:eastAsia="zh-CN"/>
    </w:rPr>
  </w:style>
  <w:style w:type="table" w:customStyle="1" w:styleId="AATable">
    <w:name w:val="AA_Table"/>
    <w:basedOn w:val="TableNormal"/>
    <w:rsid w:val="00282EB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282EB1"/>
    <w:pPr>
      <w:keepNext/>
      <w:keepLines/>
      <w:suppressAutoHyphens/>
      <w:ind w:right="5103"/>
    </w:pPr>
    <w:rPr>
      <w:b/>
    </w:rPr>
  </w:style>
  <w:style w:type="paragraph" w:customStyle="1" w:styleId="AATitle2">
    <w:name w:val="AA_Title2"/>
    <w:basedOn w:val="AATitle"/>
    <w:rsid w:val="00282EB1"/>
    <w:pPr>
      <w:tabs>
        <w:tab w:val="clear" w:pos="4082"/>
      </w:tabs>
      <w:spacing w:before="120" w:after="120"/>
      <w:ind w:right="4536"/>
    </w:pPr>
  </w:style>
  <w:style w:type="paragraph" w:customStyle="1" w:styleId="BBTitle">
    <w:name w:val="BB_Title"/>
    <w:basedOn w:val="Normalpool"/>
    <w:link w:val="BBTitleChar"/>
    <w:qFormat/>
    <w:rsid w:val="00282EB1"/>
    <w:pPr>
      <w:keepNext/>
      <w:keepLines/>
      <w:suppressAutoHyphens/>
      <w:spacing w:before="320" w:after="240"/>
      <w:ind w:left="1247" w:right="567"/>
    </w:pPr>
    <w:rPr>
      <w:b/>
      <w:sz w:val="28"/>
      <w:szCs w:val="28"/>
    </w:rPr>
  </w:style>
  <w:style w:type="character" w:customStyle="1" w:styleId="FooterChar1">
    <w:name w:val="Footer Char1"/>
    <w:basedOn w:val="DefaultParagraphFont"/>
    <w:uiPriority w:val="99"/>
    <w:semiHidden/>
    <w:rsid w:val="00282EB1"/>
    <w:rPr>
      <w:lang w:val="fr-FR"/>
    </w:rPr>
  </w:style>
  <w:style w:type="character" w:customStyle="1" w:styleId="HeaderChar1">
    <w:name w:val="Header Char1"/>
    <w:basedOn w:val="DefaultParagraphFont"/>
    <w:uiPriority w:val="99"/>
    <w:semiHidden/>
    <w:rsid w:val="00282EB1"/>
    <w:rPr>
      <w:lang w:val="fr-FR"/>
    </w:rPr>
  </w:style>
  <w:style w:type="character" w:styleId="Hyperlink">
    <w:name w:val="Hyperlink"/>
    <w:basedOn w:val="DefaultParagraphFont"/>
    <w:uiPriority w:val="99"/>
    <w:rsid w:val="00282EB1"/>
    <w:rPr>
      <w:rFonts w:ascii="Times New Roman" w:hAnsi="Times New Roman"/>
      <w:color w:val="auto"/>
      <w:sz w:val="20"/>
      <w:szCs w:val="20"/>
      <w:u w:val="none"/>
      <w:lang w:val="fr-FR"/>
    </w:rPr>
  </w:style>
  <w:style w:type="numbering" w:customStyle="1" w:styleId="Normallist">
    <w:name w:val="Normal_list"/>
    <w:basedOn w:val="NoList"/>
    <w:rsid w:val="00282EB1"/>
    <w:pPr>
      <w:numPr>
        <w:numId w:val="8"/>
      </w:numPr>
    </w:pPr>
  </w:style>
  <w:style w:type="paragraph" w:customStyle="1" w:styleId="NormalNonumber">
    <w:name w:val="Normal_No_number"/>
    <w:basedOn w:val="Normalpool"/>
    <w:rsid w:val="00282EB1"/>
    <w:pPr>
      <w:spacing w:after="120"/>
      <w:ind w:left="1247"/>
    </w:pPr>
  </w:style>
  <w:style w:type="paragraph" w:customStyle="1" w:styleId="Normalnumber">
    <w:name w:val="Normal_number"/>
    <w:basedOn w:val="Normalpool"/>
    <w:link w:val="NormalnumberChar"/>
    <w:qFormat/>
    <w:rsid w:val="00282EB1"/>
    <w:pPr>
      <w:spacing w:after="120"/>
    </w:pPr>
  </w:style>
  <w:style w:type="paragraph" w:customStyle="1" w:styleId="Titletable">
    <w:name w:val="Title_table"/>
    <w:basedOn w:val="Normalpool"/>
    <w:rsid w:val="00282EB1"/>
    <w:pPr>
      <w:keepNext/>
      <w:keepLines/>
      <w:suppressAutoHyphens/>
      <w:spacing w:after="60"/>
      <w:ind w:left="1247"/>
    </w:pPr>
    <w:rPr>
      <w:b/>
      <w:bCs/>
    </w:rPr>
  </w:style>
  <w:style w:type="paragraph" w:styleId="TOC1">
    <w:name w:val="toc 1"/>
    <w:basedOn w:val="Normalpool"/>
    <w:next w:val="Normalpool"/>
    <w:rsid w:val="00282EB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282EB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282EB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282EB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282EB1"/>
    <w:pPr>
      <w:tabs>
        <w:tab w:val="left" w:pos="1247"/>
      </w:tabs>
      <w:ind w:left="800"/>
      <w:jc w:val="left"/>
    </w:pPr>
    <w:rPr>
      <w:sz w:val="18"/>
      <w:szCs w:val="18"/>
    </w:rPr>
  </w:style>
  <w:style w:type="paragraph" w:customStyle="1" w:styleId="ZZAnxheader">
    <w:name w:val="ZZ_Anx_header"/>
    <w:basedOn w:val="Normalpool"/>
    <w:rsid w:val="00282EB1"/>
    <w:rPr>
      <w:b/>
      <w:bCs/>
      <w:sz w:val="28"/>
      <w:szCs w:val="22"/>
    </w:rPr>
  </w:style>
  <w:style w:type="paragraph" w:customStyle="1" w:styleId="ZZAnxtitle">
    <w:name w:val="ZZ_Anx_title"/>
    <w:basedOn w:val="Normalpool"/>
    <w:rsid w:val="00282EB1"/>
    <w:pPr>
      <w:spacing w:before="360" w:after="120"/>
      <w:ind w:left="1247"/>
    </w:pPr>
    <w:rPr>
      <w:b/>
      <w:bCs/>
      <w:sz w:val="28"/>
      <w:szCs w:val="26"/>
    </w:rPr>
  </w:style>
  <w:style w:type="paragraph" w:customStyle="1" w:styleId="xl79">
    <w:name w:val="xl79"/>
    <w:basedOn w:val="Normal"/>
    <w:rsid w:val="00282EB1"/>
    <w:pPr>
      <w:pBdr>
        <w:top w:val="double" w:sz="6" w:space="0" w:color="auto"/>
        <w:left w:val="double" w:sz="6" w:space="0" w:color="auto"/>
        <w:right w:val="single" w:sz="4" w:space="0" w:color="auto"/>
      </w:pBdr>
      <w:spacing w:before="100" w:beforeAutospacing="1" w:after="100" w:afterAutospacing="1"/>
      <w:jc w:val="left"/>
    </w:pPr>
    <w:rPr>
      <w:sz w:val="24"/>
      <w:szCs w:val="24"/>
      <w:lang w:eastAsia="zh-CN"/>
    </w:rPr>
  </w:style>
  <w:style w:type="paragraph" w:customStyle="1" w:styleId="xl80">
    <w:name w:val="xl80"/>
    <w:basedOn w:val="Normal"/>
    <w:rsid w:val="00282EB1"/>
    <w:pPr>
      <w:pBdr>
        <w:top w:val="double" w:sz="6" w:space="0" w:color="auto"/>
      </w:pBdr>
      <w:spacing w:before="100" w:beforeAutospacing="1" w:after="100" w:afterAutospacing="1"/>
      <w:jc w:val="left"/>
    </w:pPr>
    <w:rPr>
      <w:sz w:val="24"/>
      <w:szCs w:val="24"/>
      <w:lang w:eastAsia="zh-CN"/>
    </w:rPr>
  </w:style>
  <w:style w:type="paragraph" w:customStyle="1" w:styleId="xl81">
    <w:name w:val="xl81"/>
    <w:basedOn w:val="Normal"/>
    <w:rsid w:val="00282EB1"/>
    <w:pPr>
      <w:pBdr>
        <w:top w:val="double" w:sz="6" w:space="0" w:color="auto"/>
        <w:left w:val="single" w:sz="4" w:space="0" w:color="auto"/>
        <w:right w:val="single" w:sz="4" w:space="0" w:color="auto"/>
      </w:pBdr>
      <w:spacing w:before="100" w:beforeAutospacing="1" w:after="100" w:afterAutospacing="1"/>
      <w:jc w:val="left"/>
    </w:pPr>
    <w:rPr>
      <w:sz w:val="24"/>
      <w:szCs w:val="24"/>
      <w:lang w:eastAsia="zh-CN"/>
    </w:rPr>
  </w:style>
  <w:style w:type="paragraph" w:customStyle="1" w:styleId="xl82">
    <w:name w:val="xl82"/>
    <w:basedOn w:val="Normal"/>
    <w:rsid w:val="00282EB1"/>
    <w:pPr>
      <w:pBdr>
        <w:top w:val="double" w:sz="6" w:space="0" w:color="auto"/>
        <w:left w:val="single" w:sz="4" w:space="0" w:color="auto"/>
      </w:pBdr>
      <w:spacing w:before="100" w:beforeAutospacing="1" w:after="100" w:afterAutospacing="1"/>
      <w:jc w:val="left"/>
    </w:pPr>
    <w:rPr>
      <w:sz w:val="24"/>
      <w:szCs w:val="24"/>
      <w:lang w:eastAsia="zh-CN"/>
    </w:rPr>
  </w:style>
  <w:style w:type="paragraph" w:customStyle="1" w:styleId="xl83">
    <w:name w:val="xl83"/>
    <w:basedOn w:val="Normal"/>
    <w:rsid w:val="00282EB1"/>
    <w:pPr>
      <w:pBdr>
        <w:left w:val="double" w:sz="6" w:space="0" w:color="auto"/>
        <w:bottom w:val="double" w:sz="6" w:space="0" w:color="auto"/>
      </w:pBdr>
      <w:spacing w:before="100" w:beforeAutospacing="1" w:after="100" w:afterAutospacing="1"/>
      <w:jc w:val="left"/>
    </w:pPr>
    <w:rPr>
      <w:sz w:val="24"/>
      <w:szCs w:val="24"/>
      <w:lang w:eastAsia="zh-CN"/>
    </w:rPr>
  </w:style>
  <w:style w:type="paragraph" w:customStyle="1" w:styleId="xl84">
    <w:name w:val="xl84"/>
    <w:basedOn w:val="Normal"/>
    <w:rsid w:val="00282EB1"/>
    <w:pPr>
      <w:pBdr>
        <w:left w:val="single" w:sz="4" w:space="0" w:color="auto"/>
        <w:bottom w:val="double" w:sz="6" w:space="0" w:color="auto"/>
      </w:pBdr>
      <w:spacing w:before="100" w:beforeAutospacing="1" w:after="100" w:afterAutospacing="1"/>
      <w:jc w:val="left"/>
    </w:pPr>
    <w:rPr>
      <w:sz w:val="24"/>
      <w:szCs w:val="24"/>
      <w:lang w:eastAsia="zh-CN"/>
    </w:rPr>
  </w:style>
  <w:style w:type="paragraph" w:customStyle="1" w:styleId="xl85">
    <w:name w:val="xl85"/>
    <w:basedOn w:val="Normal"/>
    <w:rsid w:val="00282EB1"/>
    <w:pPr>
      <w:spacing w:before="100" w:beforeAutospacing="1" w:after="100" w:afterAutospacing="1"/>
      <w:jc w:val="left"/>
    </w:pPr>
    <w:rPr>
      <w:b/>
      <w:bCs/>
      <w:sz w:val="24"/>
      <w:szCs w:val="24"/>
      <w:lang w:eastAsia="zh-CN"/>
    </w:rPr>
  </w:style>
  <w:style w:type="paragraph" w:customStyle="1" w:styleId="xl86">
    <w:name w:val="xl86"/>
    <w:basedOn w:val="Normal"/>
    <w:rsid w:val="00282EB1"/>
    <w:pPr>
      <w:pBdr>
        <w:left w:val="double" w:sz="6" w:space="0" w:color="auto"/>
        <w:bottom w:val="single" w:sz="4" w:space="0" w:color="auto"/>
      </w:pBdr>
      <w:spacing w:before="100" w:beforeAutospacing="1" w:after="100" w:afterAutospacing="1"/>
      <w:jc w:val="left"/>
    </w:pPr>
    <w:rPr>
      <w:sz w:val="24"/>
      <w:szCs w:val="24"/>
      <w:lang w:eastAsia="zh-CN"/>
    </w:rPr>
  </w:style>
  <w:style w:type="paragraph" w:customStyle="1" w:styleId="xl87">
    <w:name w:val="xl87"/>
    <w:basedOn w:val="Normal"/>
    <w:rsid w:val="00282EB1"/>
    <w:pPr>
      <w:pBdr>
        <w:left w:val="double" w:sz="6" w:space="0" w:color="auto"/>
      </w:pBdr>
      <w:spacing w:before="100" w:beforeAutospacing="1" w:after="100" w:afterAutospacing="1"/>
      <w:jc w:val="left"/>
    </w:pPr>
    <w:rPr>
      <w:sz w:val="24"/>
      <w:szCs w:val="24"/>
      <w:lang w:eastAsia="zh-CN"/>
    </w:rPr>
  </w:style>
  <w:style w:type="paragraph" w:customStyle="1" w:styleId="xl88">
    <w:name w:val="xl88"/>
    <w:basedOn w:val="Normal"/>
    <w:rsid w:val="00282EB1"/>
    <w:pPr>
      <w:spacing w:before="100" w:beforeAutospacing="1" w:after="100" w:afterAutospacing="1"/>
      <w:jc w:val="center"/>
    </w:pPr>
    <w:rPr>
      <w:sz w:val="24"/>
      <w:szCs w:val="24"/>
      <w:lang w:eastAsia="zh-CN"/>
    </w:rPr>
  </w:style>
  <w:style w:type="paragraph" w:customStyle="1" w:styleId="xl89">
    <w:name w:val="xl89"/>
    <w:basedOn w:val="Normal"/>
    <w:rsid w:val="00282EB1"/>
    <w:pPr>
      <w:spacing w:before="100" w:beforeAutospacing="1" w:after="100" w:afterAutospacing="1"/>
      <w:jc w:val="center"/>
    </w:pPr>
    <w:rPr>
      <w:sz w:val="24"/>
      <w:szCs w:val="24"/>
      <w:u w:val="single"/>
      <w:lang w:eastAsia="zh-CN"/>
    </w:rPr>
  </w:style>
  <w:style w:type="paragraph" w:customStyle="1" w:styleId="xl90">
    <w:name w:val="xl90"/>
    <w:basedOn w:val="Normal"/>
    <w:rsid w:val="00282EB1"/>
    <w:pPr>
      <w:pBdr>
        <w:right w:val="double" w:sz="6" w:space="0" w:color="auto"/>
      </w:pBdr>
      <w:spacing w:before="100" w:beforeAutospacing="1" w:after="100" w:afterAutospacing="1"/>
      <w:jc w:val="left"/>
    </w:pPr>
    <w:rPr>
      <w:sz w:val="24"/>
      <w:szCs w:val="24"/>
      <w:lang w:eastAsia="zh-CN"/>
    </w:rPr>
  </w:style>
  <w:style w:type="paragraph" w:customStyle="1" w:styleId="xl91">
    <w:name w:val="xl91"/>
    <w:basedOn w:val="Normal"/>
    <w:rsid w:val="00282EB1"/>
    <w:pPr>
      <w:pBdr>
        <w:bottom w:val="double" w:sz="6" w:space="0" w:color="auto"/>
      </w:pBdr>
      <w:spacing w:before="100" w:beforeAutospacing="1" w:after="100" w:afterAutospacing="1"/>
      <w:jc w:val="left"/>
    </w:pPr>
    <w:rPr>
      <w:sz w:val="24"/>
      <w:szCs w:val="24"/>
      <w:lang w:eastAsia="zh-CN"/>
    </w:rPr>
  </w:style>
  <w:style w:type="paragraph" w:customStyle="1" w:styleId="xl92">
    <w:name w:val="xl92"/>
    <w:basedOn w:val="Normal"/>
    <w:rsid w:val="00282EB1"/>
    <w:pPr>
      <w:pBdr>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93">
    <w:name w:val="xl93"/>
    <w:basedOn w:val="Normal"/>
    <w:rsid w:val="00282EB1"/>
    <w:pPr>
      <w:pBdr>
        <w:left w:val="single" w:sz="4" w:space="0" w:color="auto"/>
        <w:bottom w:val="single" w:sz="8" w:space="0" w:color="auto"/>
        <w:right w:val="single" w:sz="4" w:space="0" w:color="auto"/>
      </w:pBdr>
      <w:spacing w:before="100" w:beforeAutospacing="1" w:after="100" w:afterAutospacing="1"/>
      <w:jc w:val="left"/>
    </w:pPr>
    <w:rPr>
      <w:sz w:val="24"/>
      <w:szCs w:val="24"/>
      <w:lang w:eastAsia="zh-CN"/>
    </w:rPr>
  </w:style>
  <w:style w:type="paragraph" w:customStyle="1" w:styleId="xl94">
    <w:name w:val="xl94"/>
    <w:basedOn w:val="Normal"/>
    <w:rsid w:val="00282EB1"/>
    <w:pPr>
      <w:pBdr>
        <w:left w:val="single" w:sz="4" w:space="0" w:color="auto"/>
        <w:bottom w:val="single" w:sz="8" w:space="0" w:color="auto"/>
        <w:right w:val="double" w:sz="6" w:space="0" w:color="auto"/>
      </w:pBdr>
      <w:spacing w:before="100" w:beforeAutospacing="1" w:after="100" w:afterAutospacing="1"/>
      <w:jc w:val="left"/>
    </w:pPr>
    <w:rPr>
      <w:sz w:val="24"/>
      <w:szCs w:val="24"/>
      <w:lang w:eastAsia="zh-CN"/>
    </w:rPr>
  </w:style>
  <w:style w:type="paragraph" w:customStyle="1" w:styleId="xl95">
    <w:name w:val="xl95"/>
    <w:basedOn w:val="Normal"/>
    <w:rsid w:val="00282EB1"/>
    <w:pPr>
      <w:pBdr>
        <w:top w:val="single" w:sz="8" w:space="0" w:color="auto"/>
        <w:left w:val="double" w:sz="6" w:space="0" w:color="auto"/>
        <w:bottom w:val="single" w:sz="4" w:space="0" w:color="auto"/>
      </w:pBdr>
      <w:spacing w:before="100" w:beforeAutospacing="1" w:after="100" w:afterAutospacing="1"/>
      <w:jc w:val="left"/>
    </w:pPr>
    <w:rPr>
      <w:sz w:val="24"/>
      <w:szCs w:val="24"/>
      <w:lang w:eastAsia="zh-CN"/>
    </w:rPr>
  </w:style>
  <w:style w:type="paragraph" w:customStyle="1" w:styleId="xl96">
    <w:name w:val="xl96"/>
    <w:basedOn w:val="Normal"/>
    <w:rsid w:val="00282EB1"/>
    <w:pPr>
      <w:pBdr>
        <w:top w:val="single" w:sz="4" w:space="0" w:color="auto"/>
        <w:left w:val="double" w:sz="6" w:space="0" w:color="auto"/>
      </w:pBdr>
      <w:spacing w:before="100" w:beforeAutospacing="1" w:after="100" w:afterAutospacing="1"/>
      <w:jc w:val="left"/>
    </w:pPr>
    <w:rPr>
      <w:sz w:val="24"/>
      <w:szCs w:val="24"/>
      <w:lang w:eastAsia="zh-CN"/>
    </w:rPr>
  </w:style>
  <w:style w:type="paragraph" w:customStyle="1" w:styleId="xl97">
    <w:name w:val="xl9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98">
    <w:name w:val="xl98"/>
    <w:basedOn w:val="Normal"/>
    <w:rsid w:val="00282EB1"/>
    <w:pPr>
      <w:pBdr>
        <w:top w:val="double" w:sz="6" w:space="0" w:color="auto"/>
        <w:right w:val="single" w:sz="4" w:space="0" w:color="auto"/>
      </w:pBdr>
      <w:spacing w:before="100" w:beforeAutospacing="1" w:after="100" w:afterAutospacing="1"/>
      <w:jc w:val="left"/>
    </w:pPr>
    <w:rPr>
      <w:sz w:val="24"/>
      <w:szCs w:val="24"/>
      <w:lang w:eastAsia="zh-CN"/>
    </w:rPr>
  </w:style>
  <w:style w:type="paragraph" w:customStyle="1" w:styleId="xl99">
    <w:name w:val="xl99"/>
    <w:basedOn w:val="Normal"/>
    <w:rsid w:val="00282EB1"/>
    <w:pPr>
      <w:pBdr>
        <w:top w:val="double" w:sz="6" w:space="0" w:color="auto"/>
        <w:right w:val="double" w:sz="6" w:space="0" w:color="auto"/>
      </w:pBdr>
      <w:spacing w:before="100" w:beforeAutospacing="1" w:after="100" w:afterAutospacing="1"/>
      <w:jc w:val="left"/>
    </w:pPr>
    <w:rPr>
      <w:sz w:val="24"/>
      <w:szCs w:val="24"/>
      <w:lang w:eastAsia="zh-CN"/>
    </w:rPr>
  </w:style>
  <w:style w:type="paragraph" w:customStyle="1" w:styleId="xl100">
    <w:name w:val="xl100"/>
    <w:basedOn w:val="Normal"/>
    <w:rsid w:val="00282EB1"/>
    <w:pPr>
      <w:pBdr>
        <w:top w:val="double" w:sz="6" w:space="0" w:color="auto"/>
        <w:left w:val="double" w:sz="6" w:space="0" w:color="auto"/>
      </w:pBdr>
      <w:spacing w:before="100" w:beforeAutospacing="1" w:after="100" w:afterAutospacing="1"/>
      <w:jc w:val="left"/>
    </w:pPr>
    <w:rPr>
      <w:sz w:val="24"/>
      <w:szCs w:val="24"/>
      <w:lang w:eastAsia="zh-CN"/>
    </w:rPr>
  </w:style>
  <w:style w:type="paragraph" w:customStyle="1" w:styleId="xl101">
    <w:name w:val="xl101"/>
    <w:basedOn w:val="Normal"/>
    <w:rsid w:val="00282EB1"/>
    <w:pPr>
      <w:pBdr>
        <w:left w:val="single" w:sz="4" w:space="0" w:color="auto"/>
        <w:bottom w:val="single" w:sz="4" w:space="0" w:color="auto"/>
      </w:pBdr>
      <w:spacing w:before="100" w:beforeAutospacing="1" w:after="100" w:afterAutospacing="1"/>
      <w:jc w:val="left"/>
    </w:pPr>
    <w:rPr>
      <w:sz w:val="24"/>
      <w:szCs w:val="24"/>
      <w:lang w:eastAsia="zh-CN"/>
    </w:rPr>
  </w:style>
  <w:style w:type="paragraph" w:customStyle="1" w:styleId="xl102">
    <w:name w:val="xl102"/>
    <w:basedOn w:val="Normal"/>
    <w:rsid w:val="00282EB1"/>
    <w:pPr>
      <w:pBdr>
        <w:top w:val="double" w:sz="6" w:space="0" w:color="auto"/>
        <w:bottom w:val="single" w:sz="4" w:space="0" w:color="auto"/>
      </w:pBdr>
      <w:spacing w:before="100" w:beforeAutospacing="1" w:after="100" w:afterAutospacing="1"/>
      <w:jc w:val="left"/>
    </w:pPr>
    <w:rPr>
      <w:sz w:val="24"/>
      <w:szCs w:val="24"/>
      <w:lang w:eastAsia="zh-CN"/>
    </w:rPr>
  </w:style>
  <w:style w:type="paragraph" w:customStyle="1" w:styleId="xl103">
    <w:name w:val="xl103"/>
    <w:basedOn w:val="Normal"/>
    <w:rsid w:val="00282EB1"/>
    <w:pPr>
      <w:spacing w:before="100" w:beforeAutospacing="1" w:after="100" w:afterAutospacing="1"/>
      <w:jc w:val="center"/>
    </w:pPr>
    <w:rPr>
      <w:b/>
      <w:bCs/>
      <w:sz w:val="24"/>
      <w:szCs w:val="24"/>
      <w:lang w:eastAsia="zh-CN"/>
    </w:rPr>
  </w:style>
  <w:style w:type="paragraph" w:customStyle="1" w:styleId="xl104">
    <w:name w:val="xl104"/>
    <w:basedOn w:val="Normal"/>
    <w:rsid w:val="00282EB1"/>
    <w:pPr>
      <w:pBdr>
        <w:top w:val="double" w:sz="6" w:space="0" w:color="auto"/>
        <w:bottom w:val="double" w:sz="6" w:space="0" w:color="auto"/>
      </w:pBdr>
      <w:spacing w:before="100" w:beforeAutospacing="1" w:after="100" w:afterAutospacing="1"/>
      <w:jc w:val="left"/>
    </w:pPr>
    <w:rPr>
      <w:sz w:val="24"/>
      <w:szCs w:val="24"/>
      <w:lang w:eastAsia="zh-CN"/>
    </w:rPr>
  </w:style>
  <w:style w:type="paragraph" w:customStyle="1" w:styleId="xl105">
    <w:name w:val="xl105"/>
    <w:basedOn w:val="Normal"/>
    <w:rsid w:val="00282EB1"/>
    <w:pPr>
      <w:pBdr>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06">
    <w:name w:val="xl106"/>
    <w:basedOn w:val="Normal"/>
    <w:rsid w:val="00282EB1"/>
    <w:pPr>
      <w:pBdr>
        <w:top w:val="single" w:sz="4" w:space="0" w:color="auto"/>
        <w:left w:val="single" w:sz="4" w:space="0" w:color="auto"/>
      </w:pBdr>
      <w:spacing w:before="100" w:beforeAutospacing="1" w:after="100" w:afterAutospacing="1"/>
      <w:jc w:val="left"/>
    </w:pPr>
    <w:rPr>
      <w:sz w:val="24"/>
      <w:szCs w:val="24"/>
      <w:lang w:eastAsia="zh-CN"/>
    </w:rPr>
  </w:style>
  <w:style w:type="paragraph" w:customStyle="1" w:styleId="xl107">
    <w:name w:val="xl107"/>
    <w:basedOn w:val="Normal"/>
    <w:rsid w:val="00282EB1"/>
    <w:pPr>
      <w:pBdr>
        <w:top w:val="double" w:sz="6" w:space="0" w:color="auto"/>
        <w:left w:val="double" w:sz="6" w:space="0" w:color="auto"/>
        <w:bottom w:val="double" w:sz="6" w:space="0" w:color="auto"/>
      </w:pBdr>
      <w:spacing w:before="100" w:beforeAutospacing="1" w:after="100" w:afterAutospacing="1"/>
      <w:jc w:val="left"/>
    </w:pPr>
    <w:rPr>
      <w:sz w:val="24"/>
      <w:szCs w:val="24"/>
      <w:lang w:eastAsia="zh-CN"/>
    </w:rPr>
  </w:style>
  <w:style w:type="paragraph" w:customStyle="1" w:styleId="xl108">
    <w:name w:val="xl108"/>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109">
    <w:name w:val="xl109"/>
    <w:basedOn w:val="Normal"/>
    <w:rsid w:val="00282EB1"/>
    <w:pPr>
      <w:pBdr>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10">
    <w:name w:val="xl110"/>
    <w:basedOn w:val="Normal"/>
    <w:rsid w:val="00282EB1"/>
    <w:pPr>
      <w:pBdr>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11">
    <w:name w:val="xl111"/>
    <w:basedOn w:val="Normal"/>
    <w:rsid w:val="00282EB1"/>
    <w:pPr>
      <w:pBdr>
        <w:left w:val="double" w:sz="6"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112">
    <w:name w:val="xl112"/>
    <w:basedOn w:val="Normal"/>
    <w:rsid w:val="00282EB1"/>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eastAsia="zh-CN"/>
    </w:rPr>
  </w:style>
  <w:style w:type="paragraph" w:customStyle="1" w:styleId="xl113">
    <w:name w:val="xl113"/>
    <w:basedOn w:val="Normal"/>
    <w:rsid w:val="00282EB1"/>
    <w:pPr>
      <w:pBdr>
        <w:left w:val="double" w:sz="6" w:space="0" w:color="auto"/>
        <w:bottom w:val="double" w:sz="6" w:space="0" w:color="auto"/>
        <w:right w:val="single" w:sz="4" w:space="0" w:color="auto"/>
      </w:pBdr>
      <w:spacing w:before="100" w:beforeAutospacing="1" w:after="100" w:afterAutospacing="1"/>
      <w:jc w:val="center"/>
    </w:pPr>
    <w:rPr>
      <w:sz w:val="24"/>
      <w:szCs w:val="24"/>
      <w:lang w:eastAsia="zh-CN"/>
    </w:rPr>
  </w:style>
  <w:style w:type="paragraph" w:customStyle="1" w:styleId="xl114">
    <w:name w:val="xl114"/>
    <w:basedOn w:val="Normal"/>
    <w:rsid w:val="00282EB1"/>
    <w:pPr>
      <w:spacing w:before="100" w:beforeAutospacing="1" w:after="100" w:afterAutospacing="1"/>
      <w:jc w:val="right"/>
    </w:pPr>
    <w:rPr>
      <w:color w:val="FF0000"/>
      <w:sz w:val="24"/>
      <w:szCs w:val="24"/>
      <w:lang w:eastAsia="zh-CN"/>
    </w:rPr>
  </w:style>
  <w:style w:type="paragraph" w:customStyle="1" w:styleId="xl115">
    <w:name w:val="xl115"/>
    <w:basedOn w:val="Normal"/>
    <w:rsid w:val="00282EB1"/>
    <w:pPr>
      <w:pBdr>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116">
    <w:name w:val="xl116"/>
    <w:basedOn w:val="Normal"/>
    <w:rsid w:val="00282EB1"/>
    <w:pPr>
      <w:spacing w:before="100" w:beforeAutospacing="1" w:after="100" w:afterAutospacing="1"/>
      <w:jc w:val="left"/>
    </w:pPr>
    <w:rPr>
      <w:b/>
      <w:bCs/>
      <w:color w:val="FF0000"/>
      <w:sz w:val="24"/>
      <w:szCs w:val="24"/>
      <w:lang w:eastAsia="zh-CN"/>
    </w:rPr>
  </w:style>
  <w:style w:type="paragraph" w:customStyle="1" w:styleId="xl117">
    <w:name w:val="xl117"/>
    <w:basedOn w:val="Normal"/>
    <w:rsid w:val="00282EB1"/>
    <w:pPr>
      <w:spacing w:before="100" w:beforeAutospacing="1" w:after="100" w:afterAutospacing="1"/>
      <w:jc w:val="left"/>
    </w:pPr>
    <w:rPr>
      <w:color w:val="FF0000"/>
      <w:sz w:val="24"/>
      <w:szCs w:val="24"/>
      <w:lang w:eastAsia="zh-CN"/>
    </w:rPr>
  </w:style>
  <w:style w:type="paragraph" w:customStyle="1" w:styleId="xl118">
    <w:name w:val="xl118"/>
    <w:basedOn w:val="Normal"/>
    <w:rsid w:val="00282EB1"/>
    <w:pPr>
      <w:pBdr>
        <w:top w:val="double" w:sz="6" w:space="0" w:color="auto"/>
        <w:left w:val="double" w:sz="6" w:space="0" w:color="auto"/>
      </w:pBdr>
      <w:spacing w:before="100" w:beforeAutospacing="1" w:after="100" w:afterAutospacing="1"/>
      <w:jc w:val="left"/>
    </w:pPr>
    <w:rPr>
      <w:color w:val="FF0000"/>
      <w:sz w:val="24"/>
      <w:szCs w:val="24"/>
      <w:lang w:eastAsia="zh-CN"/>
    </w:rPr>
  </w:style>
  <w:style w:type="paragraph" w:customStyle="1" w:styleId="xl119">
    <w:name w:val="xl119"/>
    <w:basedOn w:val="Normal"/>
    <w:rsid w:val="00282EB1"/>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0">
    <w:name w:val="xl120"/>
    <w:basedOn w:val="Normal"/>
    <w:rsid w:val="00282EB1"/>
    <w:pPr>
      <w:pBdr>
        <w:top w:val="double" w:sz="6" w:space="0" w:color="auto"/>
      </w:pBdr>
      <w:spacing w:before="100" w:beforeAutospacing="1" w:after="100" w:afterAutospacing="1"/>
      <w:jc w:val="left"/>
    </w:pPr>
    <w:rPr>
      <w:color w:val="FF0000"/>
      <w:sz w:val="24"/>
      <w:szCs w:val="24"/>
      <w:lang w:eastAsia="zh-CN"/>
    </w:rPr>
  </w:style>
  <w:style w:type="paragraph" w:customStyle="1" w:styleId="xl121">
    <w:name w:val="xl121"/>
    <w:basedOn w:val="Normal"/>
    <w:rsid w:val="00282EB1"/>
    <w:pPr>
      <w:pBdr>
        <w:top w:val="double" w:sz="6"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2">
    <w:name w:val="xl122"/>
    <w:basedOn w:val="Normal"/>
    <w:rsid w:val="00282EB1"/>
    <w:pPr>
      <w:pBdr>
        <w:top w:val="double" w:sz="6"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23">
    <w:name w:val="xl123"/>
    <w:basedOn w:val="Normal"/>
    <w:rsid w:val="00282EB1"/>
    <w:pPr>
      <w:pBdr>
        <w:left w:val="double" w:sz="6"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24">
    <w:name w:val="xl124"/>
    <w:basedOn w:val="Normal"/>
    <w:rsid w:val="00282EB1"/>
    <w:pPr>
      <w:pBdr>
        <w:right w:val="single" w:sz="4" w:space="0" w:color="auto"/>
      </w:pBdr>
      <w:spacing w:before="100" w:beforeAutospacing="1" w:after="100" w:afterAutospacing="1"/>
      <w:jc w:val="center"/>
    </w:pPr>
    <w:rPr>
      <w:color w:val="FF0000"/>
      <w:sz w:val="24"/>
      <w:szCs w:val="24"/>
      <w:lang w:eastAsia="zh-CN"/>
    </w:rPr>
  </w:style>
  <w:style w:type="paragraph" w:customStyle="1" w:styleId="xl125">
    <w:name w:val="xl125"/>
    <w:basedOn w:val="Normal"/>
    <w:rsid w:val="00282EB1"/>
    <w:pPr>
      <w:pBdr>
        <w:right w:val="single" w:sz="4" w:space="0" w:color="auto"/>
      </w:pBdr>
      <w:spacing w:before="100" w:beforeAutospacing="1" w:after="100" w:afterAutospacing="1"/>
      <w:jc w:val="left"/>
    </w:pPr>
    <w:rPr>
      <w:color w:val="FF0000"/>
      <w:sz w:val="24"/>
      <w:szCs w:val="24"/>
      <w:lang w:eastAsia="zh-CN"/>
    </w:rPr>
  </w:style>
  <w:style w:type="paragraph" w:customStyle="1" w:styleId="xl126">
    <w:name w:val="xl126"/>
    <w:basedOn w:val="Normal"/>
    <w:rsid w:val="00282EB1"/>
    <w:pPr>
      <w:pBdr>
        <w:left w:val="double" w:sz="6"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7">
    <w:name w:val="xl127"/>
    <w:basedOn w:val="Normal"/>
    <w:rsid w:val="00282EB1"/>
    <w:pPr>
      <w:pBdr>
        <w:right w:val="single" w:sz="4" w:space="0" w:color="auto"/>
      </w:pBdr>
      <w:spacing w:before="100" w:beforeAutospacing="1" w:after="100" w:afterAutospacing="1"/>
      <w:jc w:val="left"/>
    </w:pPr>
    <w:rPr>
      <w:color w:val="FF0000"/>
      <w:sz w:val="24"/>
      <w:szCs w:val="24"/>
      <w:lang w:eastAsia="zh-CN"/>
    </w:rPr>
  </w:style>
  <w:style w:type="paragraph" w:customStyle="1" w:styleId="xl128">
    <w:name w:val="xl128"/>
    <w:basedOn w:val="Normal"/>
    <w:rsid w:val="00282EB1"/>
    <w:pPr>
      <w:pBdr>
        <w:left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9">
    <w:name w:val="xl129"/>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30">
    <w:name w:val="xl130"/>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31">
    <w:name w:val="xl131"/>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32">
    <w:name w:val="xl132"/>
    <w:basedOn w:val="Normal"/>
    <w:rsid w:val="00282EB1"/>
    <w:pPr>
      <w:pBdr>
        <w:left w:val="double" w:sz="6" w:space="0" w:color="auto"/>
      </w:pBdr>
      <w:spacing w:before="100" w:beforeAutospacing="1" w:after="100" w:afterAutospacing="1"/>
      <w:jc w:val="left"/>
    </w:pPr>
    <w:rPr>
      <w:color w:val="FF0000"/>
      <w:sz w:val="24"/>
      <w:szCs w:val="24"/>
      <w:lang w:eastAsia="zh-CN"/>
    </w:rPr>
  </w:style>
  <w:style w:type="paragraph" w:customStyle="1" w:styleId="xl133">
    <w:name w:val="xl133"/>
    <w:basedOn w:val="Normal"/>
    <w:rsid w:val="00282EB1"/>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34">
    <w:name w:val="xl134"/>
    <w:basedOn w:val="Normal"/>
    <w:rsid w:val="00282EB1"/>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35">
    <w:name w:val="xl135"/>
    <w:basedOn w:val="Normal"/>
    <w:rsid w:val="00282EB1"/>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136">
    <w:name w:val="xl136"/>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37">
    <w:name w:val="xl137"/>
    <w:basedOn w:val="Normal"/>
    <w:rsid w:val="00282EB1"/>
    <w:pPr>
      <w:pBdr>
        <w:left w:val="double" w:sz="6"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138">
    <w:name w:val="xl138"/>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39">
    <w:name w:val="xl139"/>
    <w:basedOn w:val="Normal"/>
    <w:rsid w:val="00282EB1"/>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140">
    <w:name w:val="xl140"/>
    <w:basedOn w:val="Normal"/>
    <w:rsid w:val="00282EB1"/>
    <w:pPr>
      <w:pBdr>
        <w:top w:val="single" w:sz="4" w:space="0" w:color="auto"/>
        <w:left w:val="double" w:sz="6" w:space="0" w:color="auto"/>
      </w:pBdr>
      <w:spacing w:before="100" w:beforeAutospacing="1" w:after="100" w:afterAutospacing="1"/>
      <w:jc w:val="left"/>
    </w:pPr>
    <w:rPr>
      <w:color w:val="FF0000"/>
      <w:sz w:val="24"/>
      <w:szCs w:val="24"/>
      <w:lang w:eastAsia="zh-CN"/>
    </w:rPr>
  </w:style>
  <w:style w:type="paragraph" w:customStyle="1" w:styleId="xl141">
    <w:name w:val="xl141"/>
    <w:basedOn w:val="Normal"/>
    <w:rsid w:val="00282EB1"/>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2">
    <w:name w:val="xl142"/>
    <w:basedOn w:val="Normal"/>
    <w:rsid w:val="00282EB1"/>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3">
    <w:name w:val="xl143"/>
    <w:basedOn w:val="Normal"/>
    <w:rsid w:val="00282EB1"/>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44">
    <w:name w:val="xl144"/>
    <w:basedOn w:val="Normal"/>
    <w:rsid w:val="00282EB1"/>
    <w:pPr>
      <w:pBdr>
        <w:right w:val="double" w:sz="6" w:space="0" w:color="auto"/>
      </w:pBdr>
      <w:spacing w:before="100" w:beforeAutospacing="1" w:after="100" w:afterAutospacing="1"/>
      <w:jc w:val="left"/>
    </w:pPr>
    <w:rPr>
      <w:color w:val="FF0000"/>
      <w:sz w:val="24"/>
      <w:szCs w:val="24"/>
      <w:lang w:eastAsia="zh-CN"/>
    </w:rPr>
  </w:style>
  <w:style w:type="paragraph" w:customStyle="1" w:styleId="xl145">
    <w:name w:val="xl145"/>
    <w:basedOn w:val="Normal"/>
    <w:rsid w:val="00282EB1"/>
    <w:pPr>
      <w:pBdr>
        <w:left w:val="double" w:sz="6"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6">
    <w:name w:val="xl146"/>
    <w:basedOn w:val="Normal"/>
    <w:rsid w:val="00282EB1"/>
    <w:pPr>
      <w:pBdr>
        <w:left w:val="single" w:sz="4"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7">
    <w:name w:val="xl147"/>
    <w:basedOn w:val="Normal"/>
    <w:rsid w:val="00282EB1"/>
    <w:pPr>
      <w:pBdr>
        <w:bottom w:val="double" w:sz="6"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48">
    <w:name w:val="xl148"/>
    <w:basedOn w:val="Normal"/>
    <w:rsid w:val="00282EB1"/>
    <w:pPr>
      <w:pBdr>
        <w:top w:val="double" w:sz="6"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9">
    <w:name w:val="xl149"/>
    <w:basedOn w:val="Normal"/>
    <w:rsid w:val="00282EB1"/>
    <w:pPr>
      <w:pBdr>
        <w:bottom w:val="double" w:sz="6" w:space="0" w:color="auto"/>
      </w:pBdr>
      <w:spacing w:before="100" w:beforeAutospacing="1" w:after="100" w:afterAutospacing="1"/>
      <w:jc w:val="left"/>
    </w:pPr>
    <w:rPr>
      <w:color w:val="FF0000"/>
      <w:sz w:val="24"/>
      <w:szCs w:val="24"/>
      <w:lang w:eastAsia="zh-CN"/>
    </w:rPr>
  </w:style>
  <w:style w:type="paragraph" w:customStyle="1" w:styleId="xl150">
    <w:name w:val="xl150"/>
    <w:basedOn w:val="Normal"/>
    <w:rsid w:val="00282EB1"/>
    <w:pPr>
      <w:spacing w:before="100" w:beforeAutospacing="1" w:after="100" w:afterAutospacing="1"/>
      <w:jc w:val="right"/>
    </w:pPr>
    <w:rPr>
      <w:b/>
      <w:bCs/>
      <w:color w:val="FF0000"/>
      <w:sz w:val="24"/>
      <w:szCs w:val="24"/>
      <w:lang w:eastAsia="zh-CN"/>
    </w:rPr>
  </w:style>
  <w:style w:type="paragraph" w:customStyle="1" w:styleId="xl151">
    <w:name w:val="xl151"/>
    <w:basedOn w:val="Normal"/>
    <w:rsid w:val="00282EB1"/>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52">
    <w:name w:val="xl152"/>
    <w:basedOn w:val="Normal"/>
    <w:rsid w:val="00282EB1"/>
    <w:pPr>
      <w:pBdr>
        <w:top w:val="double" w:sz="6" w:space="0" w:color="auto"/>
      </w:pBdr>
      <w:spacing w:before="100" w:beforeAutospacing="1" w:after="100" w:afterAutospacing="1"/>
      <w:jc w:val="center"/>
    </w:pPr>
    <w:rPr>
      <w:color w:val="FF0000"/>
      <w:sz w:val="24"/>
      <w:szCs w:val="24"/>
      <w:lang w:eastAsia="zh-CN"/>
    </w:rPr>
  </w:style>
  <w:style w:type="paragraph" w:customStyle="1" w:styleId="xl153">
    <w:name w:val="xl153"/>
    <w:basedOn w:val="Normal"/>
    <w:rsid w:val="00282EB1"/>
    <w:pPr>
      <w:pBdr>
        <w:top w:val="single" w:sz="4" w:space="0" w:color="auto"/>
        <w:left w:val="single" w:sz="4" w:space="0" w:color="auto"/>
        <w:bottom w:val="single" w:sz="4" w:space="0" w:color="auto"/>
      </w:pBdr>
      <w:spacing w:before="100" w:beforeAutospacing="1" w:after="100" w:afterAutospacing="1"/>
      <w:jc w:val="center"/>
    </w:pPr>
    <w:rPr>
      <w:sz w:val="24"/>
      <w:szCs w:val="24"/>
      <w:lang w:eastAsia="zh-CN"/>
    </w:rPr>
  </w:style>
  <w:style w:type="paragraph" w:customStyle="1" w:styleId="xl154">
    <w:name w:val="xl154"/>
    <w:basedOn w:val="Normal"/>
    <w:rsid w:val="00282EB1"/>
    <w:pPr>
      <w:pBdr>
        <w:top w:val="single" w:sz="4" w:space="0" w:color="auto"/>
        <w:left w:val="single" w:sz="4" w:space="0" w:color="auto"/>
        <w:bottom w:val="double" w:sz="6" w:space="0" w:color="auto"/>
      </w:pBdr>
      <w:spacing w:before="100" w:beforeAutospacing="1" w:after="100" w:afterAutospacing="1"/>
      <w:jc w:val="center"/>
    </w:pPr>
    <w:rPr>
      <w:sz w:val="24"/>
      <w:szCs w:val="24"/>
      <w:lang w:eastAsia="zh-CN"/>
    </w:rPr>
  </w:style>
  <w:style w:type="paragraph" w:customStyle="1" w:styleId="xl155">
    <w:name w:val="xl155"/>
    <w:basedOn w:val="Normal"/>
    <w:rsid w:val="00282EB1"/>
    <w:pPr>
      <w:pBdr>
        <w:top w:val="double" w:sz="6" w:space="0" w:color="auto"/>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56">
    <w:name w:val="xl156"/>
    <w:basedOn w:val="Normal"/>
    <w:rsid w:val="00282EB1"/>
    <w:pPr>
      <w:pBdr>
        <w:left w:val="single" w:sz="4" w:space="0" w:color="auto"/>
      </w:pBdr>
      <w:spacing w:before="100" w:beforeAutospacing="1" w:after="100" w:afterAutospacing="1"/>
      <w:jc w:val="center"/>
    </w:pPr>
    <w:rPr>
      <w:sz w:val="24"/>
      <w:szCs w:val="24"/>
      <w:lang w:eastAsia="zh-CN"/>
    </w:rPr>
  </w:style>
  <w:style w:type="paragraph" w:customStyle="1" w:styleId="xl157">
    <w:name w:val="xl157"/>
    <w:basedOn w:val="Normal"/>
    <w:rsid w:val="00282EB1"/>
    <w:pPr>
      <w:pBdr>
        <w:top w:val="double" w:sz="6" w:space="0" w:color="auto"/>
        <w:left w:val="single" w:sz="4" w:space="0" w:color="auto"/>
      </w:pBdr>
      <w:spacing w:before="100" w:beforeAutospacing="1" w:after="100" w:afterAutospacing="1"/>
      <w:jc w:val="center"/>
    </w:pPr>
    <w:rPr>
      <w:sz w:val="24"/>
      <w:szCs w:val="24"/>
      <w:lang w:eastAsia="zh-CN"/>
    </w:rPr>
  </w:style>
  <w:style w:type="paragraph" w:customStyle="1" w:styleId="xl158">
    <w:name w:val="xl158"/>
    <w:basedOn w:val="Normal"/>
    <w:rsid w:val="00282EB1"/>
    <w:pPr>
      <w:pBdr>
        <w:top w:val="single" w:sz="4" w:space="0" w:color="auto"/>
        <w:left w:val="single" w:sz="4" w:space="0" w:color="auto"/>
      </w:pBdr>
      <w:spacing w:before="100" w:beforeAutospacing="1" w:after="100" w:afterAutospacing="1"/>
      <w:jc w:val="center"/>
    </w:pPr>
    <w:rPr>
      <w:sz w:val="24"/>
      <w:szCs w:val="24"/>
      <w:lang w:eastAsia="zh-CN"/>
    </w:rPr>
  </w:style>
  <w:style w:type="paragraph" w:customStyle="1" w:styleId="xl159">
    <w:name w:val="xl159"/>
    <w:basedOn w:val="Normal"/>
    <w:rsid w:val="00282EB1"/>
    <w:pPr>
      <w:pBdr>
        <w:left w:val="single" w:sz="4" w:space="0" w:color="auto"/>
        <w:bottom w:val="double" w:sz="6" w:space="0" w:color="auto"/>
      </w:pBdr>
      <w:spacing w:before="100" w:beforeAutospacing="1" w:after="100" w:afterAutospacing="1"/>
      <w:jc w:val="center"/>
    </w:pPr>
    <w:rPr>
      <w:sz w:val="24"/>
      <w:szCs w:val="24"/>
      <w:lang w:eastAsia="zh-CN"/>
    </w:rPr>
  </w:style>
  <w:style w:type="paragraph" w:customStyle="1" w:styleId="xl160">
    <w:name w:val="xl160"/>
    <w:basedOn w:val="Normal"/>
    <w:rsid w:val="00282EB1"/>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eastAsia="zh-CN"/>
    </w:rPr>
  </w:style>
  <w:style w:type="paragraph" w:customStyle="1" w:styleId="xl161">
    <w:name w:val="xl161"/>
    <w:basedOn w:val="Normal"/>
    <w:rsid w:val="00282EB1"/>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eastAsia="zh-CN"/>
    </w:rPr>
  </w:style>
  <w:style w:type="paragraph" w:customStyle="1" w:styleId="xl162">
    <w:name w:val="xl162"/>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63">
    <w:name w:val="xl1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64">
    <w:name w:val="xl164"/>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eastAsia="zh-CN"/>
    </w:rPr>
  </w:style>
  <w:style w:type="paragraph" w:customStyle="1" w:styleId="xl165">
    <w:name w:val="xl165"/>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6">
    <w:name w:val="xl166"/>
    <w:basedOn w:val="Normal"/>
    <w:rsid w:val="00282EB1"/>
    <w:pPr>
      <w:pBdr>
        <w:top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7">
    <w:name w:val="xl167"/>
    <w:basedOn w:val="Normal"/>
    <w:rsid w:val="00282EB1"/>
    <w:pPr>
      <w:pBdr>
        <w:top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8">
    <w:name w:val="xl168"/>
    <w:basedOn w:val="Normal"/>
    <w:rsid w:val="00282EB1"/>
    <w:pPr>
      <w:pBdr>
        <w:top w:val="double" w:sz="6"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9">
    <w:name w:val="xl169"/>
    <w:basedOn w:val="Normal"/>
    <w:rsid w:val="00282EB1"/>
    <w:pPr>
      <w:pBdr>
        <w:top w:val="single" w:sz="4" w:space="0" w:color="auto"/>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70">
    <w:name w:val="xl170"/>
    <w:basedOn w:val="Normal"/>
    <w:rsid w:val="00282EB1"/>
    <w:pPr>
      <w:pBdr>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71">
    <w:name w:val="xl171"/>
    <w:basedOn w:val="Normal"/>
    <w:rsid w:val="00282EB1"/>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72">
    <w:name w:val="xl172"/>
    <w:basedOn w:val="Normal"/>
    <w:rsid w:val="00282EB1"/>
    <w:pPr>
      <w:pBdr>
        <w:top w:val="single" w:sz="8"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73">
    <w:name w:val="xl173"/>
    <w:basedOn w:val="Normal"/>
    <w:rsid w:val="00282EB1"/>
    <w:pPr>
      <w:pBdr>
        <w:top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74">
    <w:name w:val="xl174"/>
    <w:basedOn w:val="Normal"/>
    <w:rsid w:val="00282EB1"/>
    <w:pPr>
      <w:pBdr>
        <w:left w:val="single" w:sz="4" w:space="0" w:color="auto"/>
        <w:bottom w:val="single" w:sz="4" w:space="0" w:color="auto"/>
      </w:pBdr>
      <w:spacing w:before="100" w:beforeAutospacing="1" w:after="100" w:afterAutospacing="1"/>
      <w:jc w:val="center"/>
    </w:pPr>
    <w:rPr>
      <w:sz w:val="24"/>
      <w:szCs w:val="24"/>
      <w:lang w:eastAsia="zh-CN"/>
    </w:rPr>
  </w:style>
  <w:style w:type="paragraph" w:customStyle="1" w:styleId="xl175">
    <w:name w:val="xl175"/>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eastAsia="zh-CN"/>
    </w:rPr>
  </w:style>
  <w:style w:type="paragraph" w:customStyle="1" w:styleId="xl176">
    <w:name w:val="xl176"/>
    <w:basedOn w:val="Normal"/>
    <w:rsid w:val="00282EB1"/>
    <w:pPr>
      <w:pBdr>
        <w:top w:val="double" w:sz="6" w:space="0" w:color="auto"/>
        <w:left w:val="single" w:sz="4" w:space="0" w:color="auto"/>
        <w:bottom w:val="double" w:sz="6" w:space="0" w:color="auto"/>
      </w:pBdr>
      <w:spacing w:before="100" w:beforeAutospacing="1" w:after="100" w:afterAutospacing="1"/>
      <w:jc w:val="center"/>
    </w:pPr>
    <w:rPr>
      <w:sz w:val="16"/>
      <w:szCs w:val="16"/>
      <w:lang w:eastAsia="zh-CN"/>
    </w:rPr>
  </w:style>
  <w:style w:type="paragraph" w:customStyle="1" w:styleId="xl177">
    <w:name w:val="xl177"/>
    <w:basedOn w:val="Normal"/>
    <w:rsid w:val="00282EB1"/>
    <w:pPr>
      <w:pBdr>
        <w:top w:val="double" w:sz="6" w:space="0" w:color="auto"/>
      </w:pBdr>
      <w:spacing w:before="100" w:beforeAutospacing="1" w:after="100" w:afterAutospacing="1"/>
      <w:jc w:val="center"/>
    </w:pPr>
    <w:rPr>
      <w:sz w:val="24"/>
      <w:szCs w:val="24"/>
      <w:lang w:eastAsia="zh-CN"/>
    </w:rPr>
  </w:style>
  <w:style w:type="paragraph" w:customStyle="1" w:styleId="xl178">
    <w:name w:val="xl178"/>
    <w:basedOn w:val="Normal"/>
    <w:rsid w:val="00282EB1"/>
    <w:pPr>
      <w:pBdr>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79">
    <w:name w:val="xl179"/>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0">
    <w:name w:val="xl180"/>
    <w:basedOn w:val="Normal"/>
    <w:rsid w:val="00282EB1"/>
    <w:pPr>
      <w:pBdr>
        <w:top w:val="single" w:sz="4" w:space="0" w:color="auto"/>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1">
    <w:name w:val="xl181"/>
    <w:basedOn w:val="Normal"/>
    <w:rsid w:val="00282EB1"/>
    <w:pPr>
      <w:pBdr>
        <w:top w:val="double" w:sz="6" w:space="0" w:color="auto"/>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2">
    <w:name w:val="xl182"/>
    <w:basedOn w:val="Normal"/>
    <w:rsid w:val="00282EB1"/>
    <w:pPr>
      <w:pBdr>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3">
    <w:name w:val="xl18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184">
    <w:name w:val="xl184"/>
    <w:basedOn w:val="Normal"/>
    <w:rsid w:val="00282EB1"/>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85">
    <w:name w:val="xl185"/>
    <w:basedOn w:val="Normal"/>
    <w:rsid w:val="00282EB1"/>
    <w:pPr>
      <w:pBdr>
        <w:right w:val="double" w:sz="6" w:space="0" w:color="auto"/>
      </w:pBdr>
      <w:spacing w:before="100" w:beforeAutospacing="1" w:after="100" w:afterAutospacing="1"/>
      <w:jc w:val="left"/>
    </w:pPr>
    <w:rPr>
      <w:sz w:val="24"/>
      <w:szCs w:val="24"/>
      <w:lang w:eastAsia="zh-CN"/>
    </w:rPr>
  </w:style>
  <w:style w:type="paragraph" w:customStyle="1" w:styleId="xl186">
    <w:name w:val="xl186"/>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187">
    <w:name w:val="xl187"/>
    <w:basedOn w:val="Normal"/>
    <w:rsid w:val="00282EB1"/>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88">
    <w:name w:val="xl188"/>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89">
    <w:name w:val="xl189"/>
    <w:basedOn w:val="Normal"/>
    <w:rsid w:val="00282EB1"/>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90">
    <w:name w:val="xl190"/>
    <w:basedOn w:val="Normal"/>
    <w:rsid w:val="00282EB1"/>
    <w:pPr>
      <w:pBdr>
        <w:top w:val="single" w:sz="4" w:space="0" w:color="auto"/>
        <w:left w:val="single" w:sz="4" w:space="0" w:color="auto"/>
      </w:pBdr>
      <w:spacing w:before="100" w:beforeAutospacing="1" w:after="100" w:afterAutospacing="1"/>
      <w:jc w:val="center"/>
    </w:pPr>
    <w:rPr>
      <w:color w:val="FF0000"/>
      <w:sz w:val="24"/>
      <w:szCs w:val="24"/>
      <w:lang w:eastAsia="zh-CN"/>
    </w:rPr>
  </w:style>
  <w:style w:type="paragraph" w:customStyle="1" w:styleId="xl191">
    <w:name w:val="xl191"/>
    <w:basedOn w:val="Normal"/>
    <w:rsid w:val="00282EB1"/>
    <w:pPr>
      <w:pBdr>
        <w:top w:val="double" w:sz="6" w:space="0" w:color="auto"/>
        <w:left w:val="single" w:sz="4" w:space="0" w:color="auto"/>
      </w:pBdr>
      <w:spacing w:before="100" w:beforeAutospacing="1" w:after="100" w:afterAutospacing="1"/>
      <w:jc w:val="center"/>
    </w:pPr>
    <w:rPr>
      <w:color w:val="FF0000"/>
      <w:sz w:val="24"/>
      <w:szCs w:val="24"/>
      <w:lang w:eastAsia="zh-CN"/>
    </w:rPr>
  </w:style>
  <w:style w:type="paragraph" w:customStyle="1" w:styleId="xl192">
    <w:name w:val="xl192"/>
    <w:basedOn w:val="Normal"/>
    <w:rsid w:val="00282EB1"/>
    <w:pPr>
      <w:pBdr>
        <w:left w:val="single" w:sz="4" w:space="0" w:color="auto"/>
        <w:bottom w:val="double" w:sz="6" w:space="0" w:color="auto"/>
      </w:pBdr>
      <w:spacing w:before="100" w:beforeAutospacing="1" w:after="100" w:afterAutospacing="1"/>
      <w:jc w:val="center"/>
    </w:pPr>
    <w:rPr>
      <w:color w:val="FF0000"/>
      <w:sz w:val="24"/>
      <w:szCs w:val="24"/>
      <w:lang w:eastAsia="zh-CN"/>
    </w:rPr>
  </w:style>
  <w:style w:type="paragraph" w:customStyle="1" w:styleId="xl193">
    <w:name w:val="xl193"/>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4">
    <w:name w:val="xl194"/>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5">
    <w:name w:val="xl195"/>
    <w:basedOn w:val="Normal"/>
    <w:rsid w:val="00282EB1"/>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6">
    <w:name w:val="xl196"/>
    <w:basedOn w:val="Normal"/>
    <w:rsid w:val="00282EB1"/>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7">
    <w:name w:val="xl197"/>
    <w:basedOn w:val="Normal"/>
    <w:rsid w:val="00282EB1"/>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8">
    <w:name w:val="xl198"/>
    <w:basedOn w:val="Normal"/>
    <w:rsid w:val="00282EB1"/>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199">
    <w:name w:val="xl199"/>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200">
    <w:name w:val="xl200"/>
    <w:basedOn w:val="Normal"/>
    <w:rsid w:val="00282EB1"/>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201">
    <w:name w:val="xl201"/>
    <w:basedOn w:val="Normal"/>
    <w:rsid w:val="00282EB1"/>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202">
    <w:name w:val="xl202"/>
    <w:basedOn w:val="Normal"/>
    <w:rsid w:val="00282EB1"/>
    <w:pPr>
      <w:pBdr>
        <w:top w:val="single" w:sz="4" w:space="0" w:color="auto"/>
        <w:left w:val="single" w:sz="4" w:space="0" w:color="auto"/>
        <w:right w:val="single" w:sz="4" w:space="0" w:color="auto"/>
      </w:pBdr>
      <w:spacing w:before="100" w:beforeAutospacing="1" w:after="100" w:afterAutospacing="1"/>
      <w:jc w:val="left"/>
    </w:pPr>
    <w:rPr>
      <w:sz w:val="24"/>
      <w:szCs w:val="24"/>
      <w:lang w:eastAsia="zh-CN"/>
    </w:rPr>
  </w:style>
  <w:style w:type="paragraph" w:customStyle="1" w:styleId="xl203">
    <w:name w:val="xl203"/>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04">
    <w:name w:val="xl204"/>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05">
    <w:name w:val="xl205"/>
    <w:basedOn w:val="Normal"/>
    <w:rsid w:val="00282EB1"/>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206">
    <w:name w:val="xl206"/>
    <w:basedOn w:val="Normal"/>
    <w:rsid w:val="00282EB1"/>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207">
    <w:name w:val="xl207"/>
    <w:basedOn w:val="Normal"/>
    <w:rsid w:val="00282EB1"/>
    <w:pPr>
      <w:pBdr>
        <w:bottom w:val="single" w:sz="4" w:space="0" w:color="auto"/>
      </w:pBdr>
      <w:spacing w:before="100" w:beforeAutospacing="1" w:after="100" w:afterAutospacing="1"/>
      <w:jc w:val="left"/>
    </w:pPr>
    <w:rPr>
      <w:color w:val="FF0000"/>
      <w:sz w:val="24"/>
      <w:szCs w:val="24"/>
      <w:lang w:eastAsia="zh-CN"/>
    </w:rPr>
  </w:style>
  <w:style w:type="paragraph" w:customStyle="1" w:styleId="xl208">
    <w:name w:val="xl208"/>
    <w:basedOn w:val="Normal"/>
    <w:rsid w:val="00282EB1"/>
    <w:pPr>
      <w:pBdr>
        <w:top w:val="single" w:sz="4"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209">
    <w:name w:val="xl209"/>
    <w:basedOn w:val="Normal"/>
    <w:rsid w:val="00282EB1"/>
    <w:pPr>
      <w:pBdr>
        <w:top w:val="single" w:sz="4" w:space="0" w:color="auto"/>
      </w:pBdr>
      <w:spacing w:before="100" w:beforeAutospacing="1" w:after="100" w:afterAutospacing="1"/>
      <w:jc w:val="left"/>
    </w:pPr>
    <w:rPr>
      <w:color w:val="FF0000"/>
      <w:sz w:val="24"/>
      <w:szCs w:val="24"/>
      <w:lang w:eastAsia="zh-CN"/>
    </w:rPr>
  </w:style>
  <w:style w:type="paragraph" w:customStyle="1" w:styleId="xl210">
    <w:name w:val="xl210"/>
    <w:basedOn w:val="Normal"/>
    <w:rsid w:val="00282EB1"/>
    <w:pPr>
      <w:pBdr>
        <w:left w:val="single" w:sz="4" w:space="0" w:color="auto"/>
      </w:pBdr>
      <w:spacing w:before="100" w:beforeAutospacing="1" w:after="100" w:afterAutospacing="1"/>
      <w:jc w:val="center"/>
      <w:textAlignment w:val="center"/>
    </w:pPr>
    <w:rPr>
      <w:sz w:val="24"/>
      <w:szCs w:val="24"/>
      <w:lang w:eastAsia="zh-CN"/>
    </w:rPr>
  </w:style>
  <w:style w:type="paragraph" w:customStyle="1" w:styleId="xl211">
    <w:name w:val="xl211"/>
    <w:basedOn w:val="Normal"/>
    <w:rsid w:val="00282EB1"/>
    <w:pPr>
      <w:pBdr>
        <w:right w:val="single" w:sz="4" w:space="0" w:color="auto"/>
      </w:pBdr>
      <w:spacing w:before="100" w:beforeAutospacing="1" w:after="100" w:afterAutospacing="1"/>
      <w:jc w:val="center"/>
      <w:textAlignment w:val="center"/>
    </w:pPr>
    <w:rPr>
      <w:sz w:val="24"/>
      <w:szCs w:val="24"/>
      <w:lang w:eastAsia="zh-CN"/>
    </w:rPr>
  </w:style>
  <w:style w:type="paragraph" w:customStyle="1" w:styleId="xl212">
    <w:name w:val="xl212"/>
    <w:basedOn w:val="Normal"/>
    <w:rsid w:val="00282EB1"/>
    <w:pPr>
      <w:pBdr>
        <w:left w:val="single" w:sz="4" w:space="0" w:color="auto"/>
        <w:bottom w:val="single" w:sz="4" w:space="0" w:color="auto"/>
      </w:pBdr>
      <w:spacing w:before="100" w:beforeAutospacing="1" w:after="100" w:afterAutospacing="1"/>
      <w:jc w:val="center"/>
      <w:textAlignment w:val="center"/>
    </w:pPr>
    <w:rPr>
      <w:sz w:val="24"/>
      <w:szCs w:val="24"/>
      <w:lang w:eastAsia="zh-CN"/>
    </w:rPr>
  </w:style>
  <w:style w:type="paragraph" w:customStyle="1" w:styleId="xl213">
    <w:name w:val="xl213"/>
    <w:basedOn w:val="Normal"/>
    <w:rsid w:val="00282EB1"/>
    <w:pPr>
      <w:pBdr>
        <w:bottom w:val="single" w:sz="4"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14">
    <w:name w:val="xl214"/>
    <w:basedOn w:val="Normal"/>
    <w:rsid w:val="00282EB1"/>
    <w:pPr>
      <w:pBdr>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15">
    <w:name w:val="xl215"/>
    <w:basedOn w:val="Normal"/>
    <w:rsid w:val="00282EB1"/>
    <w:pPr>
      <w:pBdr>
        <w:top w:val="double" w:sz="6" w:space="0" w:color="auto"/>
      </w:pBdr>
      <w:spacing w:before="100" w:beforeAutospacing="1" w:after="100" w:afterAutospacing="1"/>
      <w:jc w:val="left"/>
    </w:pPr>
    <w:rPr>
      <w:b/>
      <w:bCs/>
      <w:color w:val="FF0000"/>
      <w:sz w:val="24"/>
      <w:szCs w:val="24"/>
      <w:lang w:eastAsia="zh-CN"/>
    </w:rPr>
  </w:style>
  <w:style w:type="paragraph" w:customStyle="1" w:styleId="xl216">
    <w:name w:val="xl216"/>
    <w:basedOn w:val="Normal"/>
    <w:rsid w:val="00282EB1"/>
    <w:pPr>
      <w:pBdr>
        <w:top w:val="single" w:sz="4" w:space="0" w:color="auto"/>
        <w:left w:val="single" w:sz="4" w:space="0" w:color="auto"/>
        <w:right w:val="double" w:sz="6" w:space="0" w:color="auto"/>
      </w:pBdr>
      <w:spacing w:before="100" w:beforeAutospacing="1" w:after="100" w:afterAutospacing="1"/>
      <w:jc w:val="center"/>
    </w:pPr>
    <w:rPr>
      <w:sz w:val="24"/>
      <w:szCs w:val="24"/>
      <w:lang w:eastAsia="zh-CN"/>
    </w:rPr>
  </w:style>
  <w:style w:type="paragraph" w:customStyle="1" w:styleId="xl217">
    <w:name w:val="xl217"/>
    <w:basedOn w:val="Normal"/>
    <w:rsid w:val="00282EB1"/>
    <w:pPr>
      <w:pBdr>
        <w:left w:val="single" w:sz="4" w:space="0" w:color="auto"/>
        <w:right w:val="double" w:sz="6" w:space="0" w:color="auto"/>
      </w:pBdr>
      <w:spacing w:before="100" w:beforeAutospacing="1" w:after="100" w:afterAutospacing="1"/>
      <w:jc w:val="center"/>
    </w:pPr>
    <w:rPr>
      <w:sz w:val="24"/>
      <w:szCs w:val="24"/>
      <w:lang w:eastAsia="zh-CN"/>
    </w:rPr>
  </w:style>
  <w:style w:type="paragraph" w:customStyle="1" w:styleId="xl218">
    <w:name w:val="xl218"/>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19">
    <w:name w:val="xl219"/>
    <w:basedOn w:val="Normal"/>
    <w:rsid w:val="00282EB1"/>
    <w:pPr>
      <w:pBdr>
        <w:right w:val="double" w:sz="6" w:space="0" w:color="auto"/>
      </w:pBdr>
      <w:spacing w:before="100" w:beforeAutospacing="1" w:after="100" w:afterAutospacing="1"/>
      <w:jc w:val="center"/>
      <w:textAlignment w:val="center"/>
    </w:pPr>
    <w:rPr>
      <w:sz w:val="24"/>
      <w:szCs w:val="24"/>
      <w:lang w:eastAsia="zh-CN"/>
    </w:rPr>
  </w:style>
  <w:style w:type="paragraph" w:customStyle="1" w:styleId="xl220">
    <w:name w:val="xl220"/>
    <w:basedOn w:val="Normal"/>
    <w:rsid w:val="00282EB1"/>
    <w:pPr>
      <w:pBdr>
        <w:bottom w:val="single" w:sz="4" w:space="0" w:color="auto"/>
        <w:right w:val="double" w:sz="6" w:space="0" w:color="auto"/>
      </w:pBdr>
      <w:spacing w:before="100" w:beforeAutospacing="1" w:after="100" w:afterAutospacing="1"/>
      <w:jc w:val="center"/>
      <w:textAlignment w:val="center"/>
    </w:pPr>
    <w:rPr>
      <w:sz w:val="24"/>
      <w:szCs w:val="24"/>
      <w:lang w:eastAsia="zh-CN"/>
    </w:rPr>
  </w:style>
  <w:style w:type="paragraph" w:customStyle="1" w:styleId="xl221">
    <w:name w:val="xl221"/>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22">
    <w:name w:val="xl222"/>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23">
    <w:name w:val="xl223"/>
    <w:basedOn w:val="Normal"/>
    <w:rsid w:val="00282EB1"/>
    <w:pPr>
      <w:pBdr>
        <w:left w:val="single" w:sz="4" w:space="0" w:color="auto"/>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24">
    <w:name w:val="xl224"/>
    <w:basedOn w:val="Normal"/>
    <w:rsid w:val="00282EB1"/>
    <w:pPr>
      <w:pBdr>
        <w:left w:val="double" w:sz="6" w:space="0" w:color="auto"/>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25">
    <w:name w:val="xl225"/>
    <w:basedOn w:val="Normal"/>
    <w:rsid w:val="00282EB1"/>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eastAsia="zh-CN"/>
    </w:rPr>
  </w:style>
  <w:style w:type="paragraph" w:customStyle="1" w:styleId="xl226">
    <w:name w:val="xl226"/>
    <w:basedOn w:val="Normal"/>
    <w:rsid w:val="00282EB1"/>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paragraph" w:customStyle="1" w:styleId="xl227">
    <w:name w:val="xl227"/>
    <w:basedOn w:val="Normal"/>
    <w:rsid w:val="00282EB1"/>
    <w:pPr>
      <w:pBdr>
        <w:top w:val="double" w:sz="6" w:space="0" w:color="auto"/>
      </w:pBdr>
      <w:spacing w:before="100" w:beforeAutospacing="1" w:after="100" w:afterAutospacing="1"/>
      <w:jc w:val="left"/>
    </w:pPr>
    <w:rPr>
      <w:sz w:val="24"/>
      <w:szCs w:val="24"/>
      <w:lang w:eastAsia="zh-CN"/>
    </w:rPr>
  </w:style>
  <w:style w:type="paragraph" w:customStyle="1" w:styleId="xl228">
    <w:name w:val="xl228"/>
    <w:basedOn w:val="Normal"/>
    <w:rsid w:val="00282EB1"/>
    <w:pPr>
      <w:spacing w:before="100" w:beforeAutospacing="1" w:after="100" w:afterAutospacing="1"/>
      <w:jc w:val="left"/>
    </w:pPr>
    <w:rPr>
      <w:sz w:val="24"/>
      <w:szCs w:val="24"/>
      <w:lang w:eastAsia="zh-CN"/>
    </w:rPr>
  </w:style>
  <w:style w:type="paragraph" w:customStyle="1" w:styleId="xl229">
    <w:name w:val="xl229"/>
    <w:basedOn w:val="Normal"/>
    <w:rsid w:val="00282EB1"/>
    <w:pPr>
      <w:pBdr>
        <w:lef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0">
    <w:name w:val="xl230"/>
    <w:basedOn w:val="Normal"/>
    <w:rsid w:val="00282EB1"/>
    <w:pPr>
      <w:pBdr>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1">
    <w:name w:val="xl231"/>
    <w:basedOn w:val="Normal"/>
    <w:rsid w:val="00282EB1"/>
    <w:pPr>
      <w:pBdr>
        <w:left w:val="single" w:sz="4" w:space="0" w:color="auto"/>
        <w:bottom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2">
    <w:name w:val="xl232"/>
    <w:basedOn w:val="Normal"/>
    <w:rsid w:val="00282EB1"/>
    <w:pPr>
      <w:pBdr>
        <w:bottom w:val="single" w:sz="4" w:space="0" w:color="auto"/>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3">
    <w:name w:val="xl233"/>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234">
    <w:name w:val="xl234"/>
    <w:basedOn w:val="Normal"/>
    <w:rsid w:val="00282EB1"/>
    <w:pPr>
      <w:pBdr>
        <w:right w:val="double" w:sz="6" w:space="0" w:color="auto"/>
      </w:pBdr>
      <w:spacing w:before="100" w:beforeAutospacing="1" w:after="100" w:afterAutospacing="1"/>
      <w:jc w:val="center"/>
      <w:textAlignment w:val="center"/>
    </w:pPr>
    <w:rPr>
      <w:color w:val="FF0000"/>
      <w:sz w:val="24"/>
      <w:szCs w:val="24"/>
      <w:lang w:eastAsia="zh-CN"/>
    </w:rPr>
  </w:style>
  <w:style w:type="paragraph" w:customStyle="1" w:styleId="xl235">
    <w:name w:val="xl235"/>
    <w:basedOn w:val="Normal"/>
    <w:rsid w:val="00282EB1"/>
    <w:pPr>
      <w:pBdr>
        <w:bottom w:val="single" w:sz="4" w:space="0" w:color="auto"/>
        <w:right w:val="double" w:sz="6" w:space="0" w:color="auto"/>
      </w:pBdr>
      <w:spacing w:before="100" w:beforeAutospacing="1" w:after="100" w:afterAutospacing="1"/>
      <w:jc w:val="center"/>
      <w:textAlignment w:val="center"/>
    </w:pPr>
    <w:rPr>
      <w:color w:val="FF0000"/>
      <w:sz w:val="24"/>
      <w:szCs w:val="24"/>
      <w:lang w:eastAsia="zh-CN"/>
    </w:rPr>
  </w:style>
  <w:style w:type="paragraph" w:customStyle="1" w:styleId="xl236">
    <w:name w:val="xl236"/>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237">
    <w:name w:val="xl237"/>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238">
    <w:name w:val="xl238"/>
    <w:basedOn w:val="Normal"/>
    <w:rsid w:val="00282EB1"/>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eastAsia="zh-CN"/>
    </w:rPr>
  </w:style>
  <w:style w:type="paragraph" w:customStyle="1" w:styleId="xl239">
    <w:name w:val="xl239"/>
    <w:basedOn w:val="Normal"/>
    <w:rsid w:val="00282EB1"/>
    <w:pPr>
      <w:pBdr>
        <w:left w:val="single" w:sz="4" w:space="0" w:color="auto"/>
        <w:right w:val="double" w:sz="6" w:space="0" w:color="auto"/>
      </w:pBdr>
      <w:spacing w:before="100" w:beforeAutospacing="1" w:after="100" w:afterAutospacing="1"/>
      <w:jc w:val="center"/>
    </w:pPr>
    <w:rPr>
      <w:color w:val="FF0000"/>
      <w:sz w:val="24"/>
      <w:szCs w:val="24"/>
      <w:lang w:eastAsia="zh-CN"/>
    </w:rPr>
  </w:style>
  <w:style w:type="paragraph" w:customStyle="1" w:styleId="xl240">
    <w:name w:val="xl240"/>
    <w:basedOn w:val="Normal"/>
    <w:rsid w:val="00282EB1"/>
    <w:pPr>
      <w:pBdr>
        <w:top w:val="double" w:sz="6" w:space="0" w:color="auto"/>
      </w:pBdr>
      <w:spacing w:before="100" w:beforeAutospacing="1" w:after="100" w:afterAutospacing="1"/>
      <w:jc w:val="left"/>
    </w:pPr>
    <w:rPr>
      <w:color w:val="FF0000"/>
      <w:sz w:val="24"/>
      <w:szCs w:val="24"/>
      <w:lang w:eastAsia="zh-CN"/>
    </w:rPr>
  </w:style>
  <w:style w:type="paragraph" w:customStyle="1" w:styleId="xl241">
    <w:name w:val="xl241"/>
    <w:basedOn w:val="Normal"/>
    <w:rsid w:val="00282EB1"/>
    <w:pPr>
      <w:spacing w:before="100" w:beforeAutospacing="1" w:after="100" w:afterAutospacing="1"/>
      <w:jc w:val="left"/>
    </w:pPr>
    <w:rPr>
      <w:color w:val="FF0000"/>
      <w:sz w:val="24"/>
      <w:szCs w:val="24"/>
      <w:lang w:eastAsia="zh-CN"/>
    </w:rPr>
  </w:style>
  <w:style w:type="paragraph" w:customStyle="1" w:styleId="xl242">
    <w:name w:val="xl242"/>
    <w:basedOn w:val="Normal"/>
    <w:rsid w:val="00282EB1"/>
    <w:pPr>
      <w:pBdr>
        <w:top w:val="single" w:sz="4" w:space="0" w:color="auto"/>
        <w:left w:val="single" w:sz="4" w:space="0" w:color="auto"/>
      </w:pBdr>
      <w:spacing w:before="100" w:beforeAutospacing="1" w:after="100" w:afterAutospacing="1"/>
      <w:jc w:val="left"/>
    </w:pPr>
    <w:rPr>
      <w:sz w:val="24"/>
      <w:szCs w:val="24"/>
      <w:lang w:eastAsia="zh-CN"/>
    </w:rPr>
  </w:style>
  <w:style w:type="paragraph" w:customStyle="1" w:styleId="xl243">
    <w:name w:val="xl243"/>
    <w:basedOn w:val="Normal"/>
    <w:rsid w:val="00282EB1"/>
    <w:pPr>
      <w:pBdr>
        <w:top w:val="single" w:sz="4" w:space="0" w:color="auto"/>
        <w:right w:val="double" w:sz="6" w:space="0" w:color="auto"/>
      </w:pBdr>
      <w:spacing w:before="100" w:beforeAutospacing="1" w:after="100" w:afterAutospacing="1"/>
      <w:jc w:val="left"/>
    </w:pPr>
    <w:rPr>
      <w:sz w:val="24"/>
      <w:szCs w:val="24"/>
      <w:lang w:eastAsia="zh-CN"/>
    </w:rPr>
  </w:style>
  <w:style w:type="paragraph" w:customStyle="1" w:styleId="xl244">
    <w:name w:val="xl244"/>
    <w:basedOn w:val="Normal"/>
    <w:rsid w:val="00282EB1"/>
    <w:pPr>
      <w:pBdr>
        <w:left w:val="single" w:sz="4" w:space="0" w:color="auto"/>
      </w:pBdr>
      <w:spacing w:before="100" w:beforeAutospacing="1" w:after="100" w:afterAutospacing="1"/>
      <w:jc w:val="left"/>
    </w:pPr>
    <w:rPr>
      <w:sz w:val="24"/>
      <w:szCs w:val="24"/>
      <w:lang w:eastAsia="zh-CN"/>
    </w:rPr>
  </w:style>
  <w:style w:type="paragraph" w:customStyle="1" w:styleId="xl245">
    <w:name w:val="xl245"/>
    <w:basedOn w:val="Normal"/>
    <w:rsid w:val="00282EB1"/>
    <w:pPr>
      <w:pBdr>
        <w:right w:val="double" w:sz="6" w:space="0" w:color="auto"/>
      </w:pBdr>
      <w:spacing w:before="100" w:beforeAutospacing="1" w:after="100" w:afterAutospacing="1"/>
      <w:jc w:val="left"/>
    </w:pPr>
    <w:rPr>
      <w:sz w:val="24"/>
      <w:szCs w:val="24"/>
      <w:lang w:eastAsia="zh-CN"/>
    </w:rPr>
  </w:style>
  <w:style w:type="paragraph" w:customStyle="1" w:styleId="xl246">
    <w:name w:val="xl246"/>
    <w:basedOn w:val="Normal"/>
    <w:rsid w:val="00282EB1"/>
    <w:pPr>
      <w:pBdr>
        <w:left w:val="single" w:sz="4" w:space="0" w:color="auto"/>
        <w:bottom w:val="single" w:sz="4" w:space="0" w:color="auto"/>
      </w:pBdr>
      <w:spacing w:before="100" w:beforeAutospacing="1" w:after="100" w:afterAutospacing="1"/>
      <w:jc w:val="left"/>
    </w:pPr>
    <w:rPr>
      <w:sz w:val="24"/>
      <w:szCs w:val="24"/>
      <w:lang w:eastAsia="zh-CN"/>
    </w:rPr>
  </w:style>
  <w:style w:type="paragraph" w:customStyle="1" w:styleId="xl247">
    <w:name w:val="xl247"/>
    <w:basedOn w:val="Normal"/>
    <w:rsid w:val="00282EB1"/>
    <w:pPr>
      <w:pBdr>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248">
    <w:name w:val="xl248"/>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49">
    <w:name w:val="xl249"/>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font13">
    <w:name w:val="font13"/>
    <w:basedOn w:val="Normal"/>
    <w:rsid w:val="00282EB1"/>
    <w:pPr>
      <w:spacing w:before="100" w:beforeAutospacing="1" w:after="100" w:afterAutospacing="1"/>
      <w:jc w:val="left"/>
    </w:pPr>
    <w:rPr>
      <w:rFonts w:ascii="Arial" w:hAnsi="Arial" w:cs="Arial"/>
      <w:color w:val="FF0000"/>
      <w:sz w:val="20"/>
      <w:szCs w:val="20"/>
      <w:lang w:eastAsia="zh-CN"/>
    </w:rPr>
  </w:style>
  <w:style w:type="paragraph" w:customStyle="1" w:styleId="font14">
    <w:name w:val="font14"/>
    <w:basedOn w:val="Normal"/>
    <w:rsid w:val="00282EB1"/>
    <w:pPr>
      <w:spacing w:before="100" w:beforeAutospacing="1" w:after="100" w:afterAutospacing="1"/>
      <w:jc w:val="left"/>
    </w:pPr>
    <w:rPr>
      <w:rFonts w:ascii="Arial" w:hAnsi="Arial" w:cs="Arial"/>
      <w:b/>
      <w:bCs/>
      <w:color w:val="FF0000"/>
      <w:sz w:val="18"/>
      <w:szCs w:val="18"/>
      <w:lang w:eastAsia="zh-CN"/>
    </w:rPr>
  </w:style>
  <w:style w:type="character" w:customStyle="1" w:styleId="BodyText3Char">
    <w:name w:val="Body Text 3 Char"/>
    <w:basedOn w:val="DefaultParagraphFont"/>
    <w:link w:val="BodyText3"/>
    <w:semiHidden/>
    <w:rsid w:val="00282EB1"/>
    <w:rPr>
      <w:sz w:val="16"/>
      <w:szCs w:val="16"/>
      <w:lang w:val="fr-FR"/>
    </w:rPr>
  </w:style>
  <w:style w:type="character" w:customStyle="1" w:styleId="BodyTextIndent3Char">
    <w:name w:val="Body Text Indent 3 Char"/>
    <w:basedOn w:val="DefaultParagraphFont"/>
    <w:link w:val="BodyTextIndent3"/>
    <w:semiHidden/>
    <w:rsid w:val="00282EB1"/>
    <w:rPr>
      <w:sz w:val="16"/>
      <w:szCs w:val="16"/>
      <w:lang w:val="fr-FR"/>
    </w:rPr>
  </w:style>
  <w:style w:type="character" w:customStyle="1" w:styleId="PlainTextChar">
    <w:name w:val="Plain Text Char"/>
    <w:basedOn w:val="DefaultParagraphFont"/>
    <w:link w:val="PlainText"/>
    <w:semiHidden/>
    <w:rsid w:val="00282EB1"/>
    <w:rPr>
      <w:rFonts w:ascii="Courier New" w:hAnsi="Courier New" w:cs="Courier New"/>
      <w:szCs w:val="22"/>
      <w:lang w:val="fr-FR"/>
    </w:rPr>
  </w:style>
  <w:style w:type="character" w:customStyle="1" w:styleId="SubtitleChar">
    <w:name w:val="Subtitle Char"/>
    <w:basedOn w:val="DefaultParagraphFont"/>
    <w:link w:val="Subtitle"/>
    <w:rsid w:val="00282EB1"/>
    <w:rPr>
      <w:rFonts w:ascii="Arial" w:hAnsi="Arial" w:cs="Arial"/>
      <w:sz w:val="22"/>
      <w:szCs w:val="22"/>
      <w:lang w:val="fr-FR"/>
    </w:rPr>
  </w:style>
  <w:style w:type="character" w:customStyle="1" w:styleId="TitleChar">
    <w:name w:val="Title Char"/>
    <w:basedOn w:val="DefaultParagraphFont"/>
    <w:link w:val="Title"/>
    <w:rsid w:val="00282EB1"/>
    <w:rPr>
      <w:rFonts w:ascii="Arial" w:hAnsi="Arial" w:cs="Arial"/>
      <w:b/>
      <w:bCs/>
      <w:kern w:val="28"/>
      <w:sz w:val="22"/>
      <w:szCs w:val="22"/>
      <w:lang w:val="fr-FR"/>
    </w:rPr>
  </w:style>
  <w:style w:type="character" w:customStyle="1" w:styleId="DateChar">
    <w:name w:val="Date Char"/>
    <w:basedOn w:val="DefaultParagraphFont"/>
    <w:link w:val="Date"/>
    <w:rsid w:val="00282EB1"/>
    <w:rPr>
      <w:sz w:val="22"/>
      <w:szCs w:val="22"/>
      <w:lang w:val="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82EB1"/>
    <w:rPr>
      <w:sz w:val="22"/>
      <w:szCs w:val="22"/>
      <w:lang w:val="fr-FR"/>
    </w:rPr>
  </w:style>
  <w:style w:type="paragraph" w:customStyle="1" w:styleId="Default">
    <w:name w:val="Default"/>
    <w:rsid w:val="00282EB1"/>
    <w:pPr>
      <w:widowControl w:val="0"/>
      <w:autoSpaceDE w:val="0"/>
      <w:autoSpaceDN w:val="0"/>
      <w:adjustRightInd w:val="0"/>
    </w:pPr>
    <w:rPr>
      <w:color w:val="000000"/>
      <w:sz w:val="24"/>
      <w:szCs w:val="24"/>
    </w:rPr>
  </w:style>
  <w:style w:type="paragraph" w:customStyle="1" w:styleId="CM30">
    <w:name w:val="CM30"/>
    <w:basedOn w:val="Default"/>
    <w:next w:val="Default"/>
    <w:rsid w:val="00282EB1"/>
    <w:pPr>
      <w:spacing w:after="320"/>
    </w:pPr>
    <w:rPr>
      <w:color w:val="auto"/>
    </w:rPr>
  </w:style>
  <w:style w:type="paragraph" w:customStyle="1" w:styleId="CM33">
    <w:name w:val="CM33"/>
    <w:basedOn w:val="Default"/>
    <w:next w:val="Default"/>
    <w:rsid w:val="00282EB1"/>
    <w:pPr>
      <w:spacing w:after="435"/>
    </w:pPr>
    <w:rPr>
      <w:color w:val="auto"/>
    </w:rPr>
  </w:style>
  <w:style w:type="paragraph" w:customStyle="1" w:styleId="Anxhead">
    <w:name w:val="Anx head"/>
    <w:basedOn w:val="Normal"/>
    <w:link w:val="AnxheadChar"/>
    <w:rsid w:val="00282EB1"/>
    <w:pPr>
      <w:jc w:val="left"/>
    </w:pPr>
    <w:rPr>
      <w:b/>
      <w:bCs/>
      <w:sz w:val="28"/>
    </w:rPr>
  </w:style>
  <w:style w:type="character" w:customStyle="1" w:styleId="AnxheadChar">
    <w:name w:val="Anx head Char"/>
    <w:link w:val="Anxhead"/>
    <w:rsid w:val="00282EB1"/>
    <w:rPr>
      <w:b/>
      <w:bCs/>
      <w:sz w:val="28"/>
      <w:szCs w:val="22"/>
      <w:lang w:val="fr-FR"/>
    </w:rPr>
  </w:style>
  <w:style w:type="paragraph" w:styleId="ListBullet5">
    <w:name w:val="List Bullet 5"/>
    <w:basedOn w:val="Normal"/>
    <w:autoRedefine/>
    <w:semiHidden/>
    <w:rsid w:val="00282EB1"/>
    <w:pPr>
      <w:tabs>
        <w:tab w:val="num" w:pos="1800"/>
      </w:tabs>
      <w:ind w:left="1800" w:hanging="360"/>
    </w:pPr>
  </w:style>
  <w:style w:type="paragraph" w:customStyle="1" w:styleId="Subtitle0">
    <w:name w:val="Sub title"/>
    <w:basedOn w:val="Heading2"/>
    <w:rsid w:val="00282EB1"/>
    <w:pPr>
      <w:keepNext/>
      <w:widowControl/>
      <w:tabs>
        <w:tab w:val="num" w:pos="0"/>
      </w:tabs>
      <w:spacing w:before="240" w:after="60"/>
    </w:pPr>
    <w:rPr>
      <w:rFonts w:ascii="Arial" w:hAnsi="Arial" w:cs="Arial"/>
      <w:b/>
      <w:bCs/>
      <w:i/>
      <w:iCs/>
      <w:sz w:val="28"/>
      <w:szCs w:val="28"/>
    </w:rPr>
  </w:style>
  <w:style w:type="numbering" w:customStyle="1" w:styleId="CurrentList1">
    <w:name w:val="Current List1"/>
    <w:rsid w:val="00282EB1"/>
    <w:pPr>
      <w:numPr>
        <w:numId w:val="9"/>
      </w:numPr>
    </w:pPr>
  </w:style>
  <w:style w:type="paragraph" w:customStyle="1" w:styleId="Title2">
    <w:name w:val="Title2"/>
    <w:rsid w:val="00282EB1"/>
    <w:pPr>
      <w:jc w:val="center"/>
      <w:outlineLvl w:val="0"/>
    </w:pPr>
    <w:rPr>
      <w:b/>
      <w:caps/>
      <w:sz w:val="22"/>
      <w:szCs w:val="22"/>
    </w:rPr>
  </w:style>
  <w:style w:type="paragraph" w:styleId="BodyText">
    <w:name w:val="Body Text"/>
    <w:basedOn w:val="Normal"/>
    <w:link w:val="BodyTextChar"/>
    <w:semiHidden/>
    <w:rsid w:val="00282EB1"/>
    <w:pPr>
      <w:spacing w:after="120"/>
    </w:pPr>
  </w:style>
  <w:style w:type="character" w:customStyle="1" w:styleId="BodyTextChar">
    <w:name w:val="Body Text Char"/>
    <w:basedOn w:val="DefaultParagraphFont"/>
    <w:link w:val="BodyText"/>
    <w:semiHidden/>
    <w:rsid w:val="00282EB1"/>
    <w:rPr>
      <w:sz w:val="22"/>
      <w:szCs w:val="22"/>
      <w:lang w:val="fr-FR"/>
    </w:rPr>
  </w:style>
  <w:style w:type="paragraph" w:styleId="BodyText2">
    <w:name w:val="Body Text 2"/>
    <w:basedOn w:val="Normal"/>
    <w:link w:val="BodyText2Char"/>
    <w:semiHidden/>
    <w:rsid w:val="00282EB1"/>
    <w:pPr>
      <w:spacing w:after="120" w:line="480" w:lineRule="auto"/>
    </w:pPr>
  </w:style>
  <w:style w:type="character" w:customStyle="1" w:styleId="BodyText2Char">
    <w:name w:val="Body Text 2 Char"/>
    <w:basedOn w:val="DefaultParagraphFont"/>
    <w:link w:val="BodyText2"/>
    <w:semiHidden/>
    <w:rsid w:val="00282EB1"/>
    <w:rPr>
      <w:sz w:val="22"/>
      <w:szCs w:val="22"/>
      <w:lang w:val="fr-FR"/>
    </w:rPr>
  </w:style>
  <w:style w:type="paragraph" w:styleId="BodyTextFirstIndent">
    <w:name w:val="Body Text First Indent"/>
    <w:basedOn w:val="BodyText"/>
    <w:link w:val="BodyTextFirstIndentChar"/>
    <w:rsid w:val="00282EB1"/>
    <w:pPr>
      <w:ind w:firstLine="210"/>
    </w:pPr>
  </w:style>
  <w:style w:type="character" w:customStyle="1" w:styleId="BodyTextFirstIndentChar">
    <w:name w:val="Body Text First Indent Char"/>
    <w:basedOn w:val="BodyTextChar"/>
    <w:link w:val="BodyTextFirstIndent"/>
    <w:rsid w:val="00282EB1"/>
    <w:rPr>
      <w:sz w:val="22"/>
      <w:szCs w:val="22"/>
      <w:lang w:val="fr-FR"/>
    </w:rPr>
  </w:style>
  <w:style w:type="paragraph" w:styleId="BodyTextIndent">
    <w:name w:val="Body Text Indent"/>
    <w:basedOn w:val="Normal"/>
    <w:link w:val="BodyTextIndentChar"/>
    <w:semiHidden/>
    <w:rsid w:val="00282EB1"/>
    <w:pPr>
      <w:spacing w:after="120"/>
      <w:ind w:left="360"/>
    </w:pPr>
  </w:style>
  <w:style w:type="character" w:customStyle="1" w:styleId="BodyTextIndentChar">
    <w:name w:val="Body Text Indent Char"/>
    <w:basedOn w:val="DefaultParagraphFont"/>
    <w:link w:val="BodyTextIndent"/>
    <w:semiHidden/>
    <w:rsid w:val="00282EB1"/>
    <w:rPr>
      <w:sz w:val="22"/>
      <w:szCs w:val="22"/>
      <w:lang w:val="fr-FR"/>
    </w:rPr>
  </w:style>
  <w:style w:type="paragraph" w:styleId="BodyTextFirstIndent2">
    <w:name w:val="Body Text First Indent 2"/>
    <w:basedOn w:val="BodyTextIndent"/>
    <w:link w:val="BodyTextFirstIndent2Char"/>
    <w:semiHidden/>
    <w:rsid w:val="00282EB1"/>
    <w:pPr>
      <w:ind w:firstLine="210"/>
    </w:pPr>
  </w:style>
  <w:style w:type="character" w:customStyle="1" w:styleId="BodyTextFirstIndent2Char">
    <w:name w:val="Body Text First Indent 2 Char"/>
    <w:basedOn w:val="BodyTextIndentChar"/>
    <w:link w:val="BodyTextFirstIndent2"/>
    <w:semiHidden/>
    <w:rsid w:val="00282EB1"/>
    <w:rPr>
      <w:sz w:val="22"/>
      <w:szCs w:val="22"/>
      <w:lang w:val="fr-FR"/>
    </w:rPr>
  </w:style>
  <w:style w:type="paragraph" w:styleId="BodyTextIndent2">
    <w:name w:val="Body Text Indent 2"/>
    <w:basedOn w:val="Normal"/>
    <w:link w:val="BodyTextIndent2Char"/>
    <w:semiHidden/>
    <w:rsid w:val="00282EB1"/>
    <w:pPr>
      <w:spacing w:after="120" w:line="480" w:lineRule="auto"/>
      <w:ind w:left="360"/>
    </w:pPr>
  </w:style>
  <w:style w:type="character" w:customStyle="1" w:styleId="BodyTextIndent2Char">
    <w:name w:val="Body Text Indent 2 Char"/>
    <w:basedOn w:val="DefaultParagraphFont"/>
    <w:link w:val="BodyTextIndent2"/>
    <w:semiHidden/>
    <w:rsid w:val="00282EB1"/>
    <w:rPr>
      <w:sz w:val="22"/>
      <w:szCs w:val="22"/>
      <w:lang w:val="fr-FR"/>
    </w:rPr>
  </w:style>
  <w:style w:type="paragraph" w:styleId="Closing">
    <w:name w:val="Closing"/>
    <w:basedOn w:val="Normal"/>
    <w:link w:val="ClosingChar"/>
    <w:semiHidden/>
    <w:rsid w:val="00282EB1"/>
    <w:pPr>
      <w:ind w:left="4320"/>
    </w:pPr>
  </w:style>
  <w:style w:type="character" w:customStyle="1" w:styleId="ClosingChar">
    <w:name w:val="Closing Char"/>
    <w:basedOn w:val="DefaultParagraphFont"/>
    <w:link w:val="Closing"/>
    <w:semiHidden/>
    <w:rsid w:val="00282EB1"/>
    <w:rPr>
      <w:sz w:val="22"/>
      <w:szCs w:val="22"/>
      <w:lang w:val="fr-FR"/>
    </w:rPr>
  </w:style>
  <w:style w:type="paragraph" w:styleId="E-mailSignature">
    <w:name w:val="E-mail Signature"/>
    <w:basedOn w:val="Normal"/>
    <w:link w:val="E-mailSignatureChar"/>
    <w:semiHidden/>
    <w:rsid w:val="00282EB1"/>
  </w:style>
  <w:style w:type="character" w:customStyle="1" w:styleId="E-mailSignatureChar">
    <w:name w:val="E-mail Signature Char"/>
    <w:basedOn w:val="DefaultParagraphFont"/>
    <w:link w:val="E-mailSignature"/>
    <w:semiHidden/>
    <w:rsid w:val="00282EB1"/>
    <w:rPr>
      <w:sz w:val="22"/>
      <w:szCs w:val="22"/>
      <w:lang w:val="fr-FR"/>
    </w:rPr>
  </w:style>
  <w:style w:type="paragraph" w:styleId="EnvelopeAddress">
    <w:name w:val="envelope address"/>
    <w:basedOn w:val="Normal"/>
    <w:semiHidden/>
    <w:rsid w:val="00282EB1"/>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282EB1"/>
    <w:rPr>
      <w:rFonts w:ascii="Arial" w:hAnsi="Arial" w:cs="Arial"/>
      <w:sz w:val="20"/>
    </w:rPr>
  </w:style>
  <w:style w:type="character" w:styleId="HTMLAcronym">
    <w:name w:val="HTML Acronym"/>
    <w:basedOn w:val="DefaultParagraphFont"/>
    <w:semiHidden/>
    <w:rsid w:val="00282EB1"/>
  </w:style>
  <w:style w:type="paragraph" w:styleId="HTMLAddress">
    <w:name w:val="HTML Address"/>
    <w:basedOn w:val="Normal"/>
    <w:link w:val="HTMLAddressChar"/>
    <w:semiHidden/>
    <w:rsid w:val="00282EB1"/>
    <w:rPr>
      <w:i/>
      <w:iCs/>
    </w:rPr>
  </w:style>
  <w:style w:type="character" w:customStyle="1" w:styleId="HTMLAddressChar">
    <w:name w:val="HTML Address Char"/>
    <w:basedOn w:val="DefaultParagraphFont"/>
    <w:link w:val="HTMLAddress"/>
    <w:semiHidden/>
    <w:rsid w:val="00282EB1"/>
    <w:rPr>
      <w:i/>
      <w:iCs/>
      <w:sz w:val="22"/>
      <w:szCs w:val="22"/>
      <w:lang w:val="fr-FR"/>
    </w:rPr>
  </w:style>
  <w:style w:type="character" w:styleId="HTMLCite">
    <w:name w:val="HTML Cite"/>
    <w:semiHidden/>
    <w:rsid w:val="00282EB1"/>
    <w:rPr>
      <w:i/>
      <w:iCs/>
    </w:rPr>
  </w:style>
  <w:style w:type="character" w:styleId="HTMLCode">
    <w:name w:val="HTML Code"/>
    <w:semiHidden/>
    <w:rsid w:val="00282EB1"/>
    <w:rPr>
      <w:rFonts w:ascii="Courier New" w:hAnsi="Courier New" w:cs="Courier New"/>
      <w:sz w:val="20"/>
      <w:szCs w:val="20"/>
    </w:rPr>
  </w:style>
  <w:style w:type="character" w:styleId="HTMLDefinition">
    <w:name w:val="HTML Definition"/>
    <w:semiHidden/>
    <w:rsid w:val="00282EB1"/>
    <w:rPr>
      <w:i/>
      <w:iCs/>
    </w:rPr>
  </w:style>
  <w:style w:type="character" w:styleId="HTMLKeyboard">
    <w:name w:val="HTML Keyboard"/>
    <w:semiHidden/>
    <w:rsid w:val="00282EB1"/>
    <w:rPr>
      <w:rFonts w:ascii="Courier New" w:hAnsi="Courier New" w:cs="Courier New"/>
      <w:sz w:val="20"/>
      <w:szCs w:val="20"/>
    </w:rPr>
  </w:style>
  <w:style w:type="paragraph" w:styleId="HTMLPreformatted">
    <w:name w:val="HTML Preformatted"/>
    <w:basedOn w:val="Normal"/>
    <w:link w:val="HTMLPreformattedChar"/>
    <w:semiHidden/>
    <w:rsid w:val="00282EB1"/>
    <w:rPr>
      <w:rFonts w:ascii="Courier New" w:hAnsi="Courier New" w:cs="Courier New"/>
      <w:sz w:val="20"/>
    </w:rPr>
  </w:style>
  <w:style w:type="character" w:customStyle="1" w:styleId="HTMLPreformattedChar">
    <w:name w:val="HTML Preformatted Char"/>
    <w:basedOn w:val="DefaultParagraphFont"/>
    <w:link w:val="HTMLPreformatted"/>
    <w:semiHidden/>
    <w:rsid w:val="00282EB1"/>
    <w:rPr>
      <w:rFonts w:ascii="Courier New" w:hAnsi="Courier New" w:cs="Courier New"/>
      <w:szCs w:val="22"/>
      <w:lang w:val="fr-FR"/>
    </w:rPr>
  </w:style>
  <w:style w:type="character" w:styleId="HTMLSample">
    <w:name w:val="HTML Sample"/>
    <w:semiHidden/>
    <w:rsid w:val="00282EB1"/>
    <w:rPr>
      <w:rFonts w:ascii="Courier New" w:hAnsi="Courier New" w:cs="Courier New"/>
    </w:rPr>
  </w:style>
  <w:style w:type="character" w:styleId="HTMLTypewriter">
    <w:name w:val="HTML Typewriter"/>
    <w:semiHidden/>
    <w:rsid w:val="00282EB1"/>
    <w:rPr>
      <w:rFonts w:ascii="Courier New" w:hAnsi="Courier New" w:cs="Courier New"/>
      <w:sz w:val="20"/>
      <w:szCs w:val="20"/>
    </w:rPr>
  </w:style>
  <w:style w:type="character" w:styleId="HTMLVariable">
    <w:name w:val="HTML Variable"/>
    <w:semiHidden/>
    <w:rsid w:val="00282EB1"/>
    <w:rPr>
      <w:i/>
      <w:iCs/>
    </w:rPr>
  </w:style>
  <w:style w:type="character" w:styleId="LineNumber">
    <w:name w:val="line number"/>
    <w:basedOn w:val="DefaultParagraphFont"/>
    <w:semiHidden/>
    <w:rsid w:val="00282EB1"/>
  </w:style>
  <w:style w:type="paragraph" w:styleId="List">
    <w:name w:val="List"/>
    <w:basedOn w:val="Normal"/>
    <w:semiHidden/>
    <w:rsid w:val="00282EB1"/>
    <w:pPr>
      <w:ind w:left="360" w:hanging="360"/>
    </w:pPr>
  </w:style>
  <w:style w:type="paragraph" w:styleId="List2">
    <w:name w:val="List 2"/>
    <w:basedOn w:val="Normal"/>
    <w:semiHidden/>
    <w:rsid w:val="00282EB1"/>
    <w:pPr>
      <w:ind w:left="720" w:hanging="360"/>
    </w:pPr>
  </w:style>
  <w:style w:type="paragraph" w:styleId="List3">
    <w:name w:val="List 3"/>
    <w:basedOn w:val="Normal"/>
    <w:semiHidden/>
    <w:rsid w:val="00282EB1"/>
    <w:pPr>
      <w:ind w:left="1080" w:hanging="360"/>
    </w:pPr>
  </w:style>
  <w:style w:type="paragraph" w:styleId="List4">
    <w:name w:val="List 4"/>
    <w:basedOn w:val="Normal"/>
    <w:rsid w:val="00282EB1"/>
    <w:pPr>
      <w:ind w:left="1440" w:hanging="360"/>
    </w:pPr>
  </w:style>
  <w:style w:type="paragraph" w:styleId="List5">
    <w:name w:val="List 5"/>
    <w:basedOn w:val="Normal"/>
    <w:rsid w:val="00282EB1"/>
    <w:pPr>
      <w:ind w:left="1800" w:hanging="360"/>
    </w:pPr>
  </w:style>
  <w:style w:type="paragraph" w:styleId="ListBullet">
    <w:name w:val="List Bullet"/>
    <w:basedOn w:val="Normal"/>
    <w:autoRedefine/>
    <w:semiHidden/>
    <w:rsid w:val="00282EB1"/>
    <w:pPr>
      <w:tabs>
        <w:tab w:val="num" w:pos="360"/>
      </w:tabs>
      <w:ind w:left="360" w:hanging="360"/>
    </w:pPr>
  </w:style>
  <w:style w:type="paragraph" w:styleId="ListBullet2">
    <w:name w:val="List Bullet 2"/>
    <w:basedOn w:val="Normal"/>
    <w:autoRedefine/>
    <w:semiHidden/>
    <w:rsid w:val="00282EB1"/>
    <w:pPr>
      <w:tabs>
        <w:tab w:val="num" w:pos="720"/>
      </w:tabs>
      <w:ind w:left="720" w:hanging="360"/>
    </w:pPr>
  </w:style>
  <w:style w:type="paragraph" w:styleId="ListBullet3">
    <w:name w:val="List Bullet 3"/>
    <w:basedOn w:val="Normal"/>
    <w:autoRedefine/>
    <w:semiHidden/>
    <w:rsid w:val="00282EB1"/>
    <w:pPr>
      <w:tabs>
        <w:tab w:val="num" w:pos="1080"/>
      </w:tabs>
      <w:ind w:left="1080" w:hanging="360"/>
    </w:pPr>
  </w:style>
  <w:style w:type="paragraph" w:styleId="ListBullet4">
    <w:name w:val="List Bullet 4"/>
    <w:basedOn w:val="Normal"/>
    <w:autoRedefine/>
    <w:semiHidden/>
    <w:rsid w:val="00282EB1"/>
    <w:pPr>
      <w:tabs>
        <w:tab w:val="num" w:pos="1440"/>
      </w:tabs>
      <w:ind w:left="1440" w:hanging="360"/>
    </w:pPr>
  </w:style>
  <w:style w:type="paragraph" w:styleId="ListContinue">
    <w:name w:val="List Continue"/>
    <w:basedOn w:val="Normal"/>
    <w:semiHidden/>
    <w:rsid w:val="00282EB1"/>
    <w:pPr>
      <w:spacing w:after="120"/>
      <w:ind w:left="360"/>
    </w:pPr>
  </w:style>
  <w:style w:type="paragraph" w:styleId="ListContinue2">
    <w:name w:val="List Continue 2"/>
    <w:basedOn w:val="Normal"/>
    <w:semiHidden/>
    <w:rsid w:val="00282EB1"/>
    <w:pPr>
      <w:spacing w:after="120"/>
      <w:ind w:left="720"/>
    </w:pPr>
  </w:style>
  <w:style w:type="paragraph" w:styleId="ListContinue3">
    <w:name w:val="List Continue 3"/>
    <w:basedOn w:val="Normal"/>
    <w:semiHidden/>
    <w:rsid w:val="00282EB1"/>
    <w:pPr>
      <w:spacing w:after="120"/>
      <w:ind w:left="1080"/>
    </w:pPr>
  </w:style>
  <w:style w:type="paragraph" w:styleId="ListContinue4">
    <w:name w:val="List Continue 4"/>
    <w:basedOn w:val="Normal"/>
    <w:semiHidden/>
    <w:rsid w:val="00282EB1"/>
    <w:pPr>
      <w:spacing w:after="120"/>
      <w:ind w:left="1440"/>
    </w:pPr>
  </w:style>
  <w:style w:type="paragraph" w:styleId="ListContinue5">
    <w:name w:val="List Continue 5"/>
    <w:basedOn w:val="Normal"/>
    <w:semiHidden/>
    <w:rsid w:val="00282EB1"/>
    <w:pPr>
      <w:spacing w:after="120"/>
      <w:ind w:left="1800"/>
    </w:pPr>
  </w:style>
  <w:style w:type="paragraph" w:styleId="ListNumber">
    <w:name w:val="List Number"/>
    <w:basedOn w:val="Normal"/>
    <w:rsid w:val="00282EB1"/>
    <w:pPr>
      <w:tabs>
        <w:tab w:val="num" w:pos="360"/>
      </w:tabs>
      <w:ind w:left="360" w:hanging="360"/>
    </w:pPr>
  </w:style>
  <w:style w:type="paragraph" w:styleId="ListNumber2">
    <w:name w:val="List Number 2"/>
    <w:basedOn w:val="Normal"/>
    <w:semiHidden/>
    <w:rsid w:val="00282EB1"/>
    <w:pPr>
      <w:tabs>
        <w:tab w:val="num" w:pos="720"/>
      </w:tabs>
      <w:ind w:left="720" w:hanging="360"/>
    </w:pPr>
  </w:style>
  <w:style w:type="paragraph" w:styleId="ListNumber3">
    <w:name w:val="List Number 3"/>
    <w:basedOn w:val="Normal"/>
    <w:semiHidden/>
    <w:rsid w:val="00282EB1"/>
    <w:pPr>
      <w:tabs>
        <w:tab w:val="num" w:pos="1080"/>
      </w:tabs>
      <w:ind w:left="1080" w:hanging="360"/>
    </w:pPr>
  </w:style>
  <w:style w:type="paragraph" w:styleId="ListNumber4">
    <w:name w:val="List Number 4"/>
    <w:basedOn w:val="Normal"/>
    <w:semiHidden/>
    <w:rsid w:val="00282EB1"/>
    <w:pPr>
      <w:tabs>
        <w:tab w:val="num" w:pos="1440"/>
      </w:tabs>
      <w:ind w:left="1440" w:hanging="360"/>
    </w:pPr>
  </w:style>
  <w:style w:type="paragraph" w:styleId="ListNumber5">
    <w:name w:val="List Number 5"/>
    <w:basedOn w:val="Normal"/>
    <w:semiHidden/>
    <w:rsid w:val="00282EB1"/>
    <w:pPr>
      <w:tabs>
        <w:tab w:val="num" w:pos="1800"/>
      </w:tabs>
      <w:ind w:left="1800" w:hanging="360"/>
    </w:pPr>
  </w:style>
  <w:style w:type="paragraph" w:styleId="MessageHeader">
    <w:name w:val="Message Header"/>
    <w:basedOn w:val="Normal"/>
    <w:link w:val="MessageHeaderChar"/>
    <w:semiHidden/>
    <w:rsid w:val="00282EB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282EB1"/>
    <w:rPr>
      <w:rFonts w:ascii="Arial" w:hAnsi="Arial" w:cs="Arial"/>
      <w:sz w:val="22"/>
      <w:szCs w:val="24"/>
      <w:shd w:val="pct20" w:color="auto" w:fill="auto"/>
      <w:lang w:val="fr-FR"/>
    </w:rPr>
  </w:style>
  <w:style w:type="paragraph" w:styleId="NormalIndent">
    <w:name w:val="Normal Indent"/>
    <w:basedOn w:val="Normal"/>
    <w:semiHidden/>
    <w:rsid w:val="00282EB1"/>
    <w:pPr>
      <w:ind w:left="720"/>
    </w:pPr>
  </w:style>
  <w:style w:type="paragraph" w:styleId="NoteHeading">
    <w:name w:val="Note Heading"/>
    <w:basedOn w:val="Normal"/>
    <w:next w:val="Normal"/>
    <w:link w:val="NoteHeadingChar"/>
    <w:semiHidden/>
    <w:rsid w:val="00282EB1"/>
  </w:style>
  <w:style w:type="character" w:customStyle="1" w:styleId="NoteHeadingChar">
    <w:name w:val="Note Heading Char"/>
    <w:basedOn w:val="DefaultParagraphFont"/>
    <w:link w:val="NoteHeading"/>
    <w:semiHidden/>
    <w:rsid w:val="00282EB1"/>
    <w:rPr>
      <w:sz w:val="22"/>
      <w:szCs w:val="22"/>
      <w:lang w:val="fr-FR"/>
    </w:rPr>
  </w:style>
  <w:style w:type="paragraph" w:styleId="Salutation">
    <w:name w:val="Salutation"/>
    <w:basedOn w:val="Normal"/>
    <w:next w:val="Normal"/>
    <w:link w:val="SalutationChar"/>
    <w:rsid w:val="00282EB1"/>
  </w:style>
  <w:style w:type="character" w:customStyle="1" w:styleId="SalutationChar">
    <w:name w:val="Salutation Char"/>
    <w:basedOn w:val="DefaultParagraphFont"/>
    <w:link w:val="Salutation"/>
    <w:rsid w:val="00282EB1"/>
    <w:rPr>
      <w:sz w:val="22"/>
      <w:szCs w:val="22"/>
      <w:lang w:val="fr-FR"/>
    </w:rPr>
  </w:style>
  <w:style w:type="paragraph" w:styleId="Signature">
    <w:name w:val="Signature"/>
    <w:basedOn w:val="Normal"/>
    <w:link w:val="SignatureChar"/>
    <w:semiHidden/>
    <w:rsid w:val="00282EB1"/>
    <w:pPr>
      <w:ind w:left="4320"/>
    </w:pPr>
  </w:style>
  <w:style w:type="character" w:customStyle="1" w:styleId="SignatureChar">
    <w:name w:val="Signature Char"/>
    <w:basedOn w:val="DefaultParagraphFont"/>
    <w:link w:val="Signature"/>
    <w:semiHidden/>
    <w:rsid w:val="00282EB1"/>
    <w:rPr>
      <w:sz w:val="22"/>
      <w:szCs w:val="22"/>
      <w:lang w:val="fr-FR"/>
    </w:rPr>
  </w:style>
  <w:style w:type="character" w:styleId="Strong">
    <w:name w:val="Strong"/>
    <w:qFormat/>
    <w:rsid w:val="00282EB1"/>
    <w:rPr>
      <w:b/>
      <w:bCs/>
    </w:rPr>
  </w:style>
  <w:style w:type="paragraph" w:customStyle="1" w:styleId="Level3">
    <w:name w:val="Level3"/>
    <w:basedOn w:val="Normal"/>
    <w:autoRedefine/>
    <w:rsid w:val="00282EB1"/>
    <w:pPr>
      <w:numPr>
        <w:numId w:val="10"/>
      </w:numPr>
      <w:tabs>
        <w:tab w:val="left" w:pos="578"/>
      </w:tabs>
      <w:spacing w:after="240" w:line="288" w:lineRule="auto"/>
      <w:jc w:val="left"/>
    </w:pPr>
    <w:rPr>
      <w:szCs w:val="20"/>
    </w:rPr>
  </w:style>
  <w:style w:type="paragraph" w:customStyle="1" w:styleId="Paralevel1">
    <w:name w:val="Para level1"/>
    <w:basedOn w:val="Normal"/>
    <w:link w:val="Paralevel1Char"/>
    <w:autoRedefine/>
    <w:uiPriority w:val="99"/>
    <w:rsid w:val="00282EB1"/>
    <w:pPr>
      <w:suppressAutoHyphens/>
      <w:spacing w:after="240"/>
      <w:jc w:val="right"/>
    </w:pPr>
    <w:rPr>
      <w:b/>
      <w:bCs/>
    </w:rPr>
  </w:style>
  <w:style w:type="character" w:customStyle="1" w:styleId="Paralevel1Char">
    <w:name w:val="Para level1 Char"/>
    <w:link w:val="Paralevel1"/>
    <w:uiPriority w:val="99"/>
    <w:rsid w:val="00282EB1"/>
    <w:rPr>
      <w:b/>
      <w:bCs/>
      <w:sz w:val="22"/>
      <w:szCs w:val="22"/>
      <w:lang w:val="fr-FR"/>
    </w:rPr>
  </w:style>
  <w:style w:type="character" w:customStyle="1" w:styleId="Heading3Char3CharCharChar">
    <w:name w:val="Heading 3 Char3 Char Char Char"/>
    <w:rsid w:val="00282EB1"/>
    <w:rPr>
      <w:sz w:val="22"/>
      <w:szCs w:val="22"/>
      <w:lang w:val="fr-FR" w:eastAsia="en-US" w:bidi="ar-SA"/>
    </w:rPr>
  </w:style>
  <w:style w:type="character" w:customStyle="1" w:styleId="Normal-poolChar">
    <w:name w:val="Normal-pool Char"/>
    <w:link w:val="Normal-pool"/>
    <w:locked/>
    <w:rsid w:val="00282EB1"/>
    <w:rPr>
      <w:lang w:val="fr-FR"/>
    </w:rPr>
  </w:style>
  <w:style w:type="character" w:customStyle="1" w:styleId="bumpedfont15">
    <w:name w:val="bumpedfont15"/>
    <w:basedOn w:val="DefaultParagraphFont"/>
    <w:rsid w:val="00282EB1"/>
  </w:style>
  <w:style w:type="table" w:customStyle="1" w:styleId="Table3Deffects11">
    <w:name w:val="Table 3D effects 11"/>
    <w:basedOn w:val="TableNormal"/>
    <w:next w:val="Table3Deffects1"/>
    <w:semiHidden/>
    <w:rsid w:val="00282EB1"/>
    <w:pPr>
      <w:jc w:val="both"/>
    </w:pPr>
    <w:rPr>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282EB1"/>
    <w:pPr>
      <w:jc w:val="both"/>
    </w:pPr>
    <w:rPr>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282EB1"/>
    <w:pPr>
      <w:jc w:val="both"/>
    </w:pPr>
    <w:rPr>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282EB1"/>
    <w:pPr>
      <w:jc w:val="both"/>
    </w:pPr>
    <w:rPr>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282EB1"/>
    <w:pPr>
      <w:jc w:val="both"/>
    </w:pPr>
    <w:rPr>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282EB1"/>
    <w:pPr>
      <w:jc w:val="both"/>
    </w:pPr>
    <w:rPr>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282EB1"/>
    <w:pPr>
      <w:jc w:val="both"/>
    </w:pPr>
    <w:rPr>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282EB1"/>
    <w:pPr>
      <w:jc w:val="both"/>
    </w:pPr>
    <w:rPr>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282EB1"/>
    <w:pPr>
      <w:jc w:val="both"/>
    </w:pPr>
    <w:rPr>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282EB1"/>
    <w:pPr>
      <w:jc w:val="both"/>
    </w:pPr>
    <w:rPr>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282EB1"/>
    <w:pPr>
      <w:jc w:val="both"/>
    </w:pPr>
    <w:rPr>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282EB1"/>
    <w:pPr>
      <w:jc w:val="both"/>
    </w:pPr>
    <w:rPr>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282EB1"/>
    <w:pPr>
      <w:jc w:val="both"/>
    </w:pPr>
    <w:rPr>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282EB1"/>
    <w:pPr>
      <w:jc w:val="both"/>
    </w:pPr>
    <w:rPr>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282EB1"/>
    <w:pPr>
      <w:jc w:val="both"/>
    </w:pPr>
    <w:rPr>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282EB1"/>
    <w:pPr>
      <w:jc w:val="both"/>
    </w:pPr>
    <w:rPr>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282EB1"/>
    <w:pPr>
      <w:jc w:val="both"/>
    </w:pPr>
    <w:rPr>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282EB1"/>
    <w:pPr>
      <w:jc w:val="both"/>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282EB1"/>
    <w:pPr>
      <w:jc w:val="both"/>
    </w:pPr>
    <w:rPr>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282EB1"/>
    <w:pPr>
      <w:jc w:val="both"/>
    </w:pPr>
    <w:rPr>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282EB1"/>
    <w:pPr>
      <w:jc w:val="both"/>
    </w:pPr>
    <w:rPr>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282EB1"/>
    <w:pPr>
      <w:jc w:val="both"/>
    </w:pPr>
    <w:rPr>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282EB1"/>
    <w:pPr>
      <w:jc w:val="both"/>
    </w:pPr>
    <w:rPr>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282EB1"/>
    <w:pPr>
      <w:jc w:val="both"/>
    </w:pPr>
    <w:rPr>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282EB1"/>
    <w:pPr>
      <w:jc w:val="both"/>
    </w:pPr>
    <w:rPr>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282EB1"/>
    <w:pPr>
      <w:jc w:val="both"/>
    </w:pPr>
    <w:rPr>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282EB1"/>
    <w:pPr>
      <w:jc w:val="both"/>
    </w:pPr>
    <w:rPr>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282EB1"/>
    <w:pPr>
      <w:jc w:val="both"/>
    </w:pPr>
    <w:rPr>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282EB1"/>
    <w:pPr>
      <w:jc w:val="both"/>
    </w:pPr>
    <w:rPr>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282EB1"/>
    <w:pPr>
      <w:jc w:val="both"/>
    </w:pPr>
    <w:rPr>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282EB1"/>
    <w:pPr>
      <w:jc w:val="both"/>
    </w:pPr>
    <w:rPr>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282EB1"/>
    <w:pPr>
      <w:jc w:val="both"/>
    </w:pPr>
    <w:rPr>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282EB1"/>
    <w:pPr>
      <w:jc w:val="both"/>
    </w:pPr>
    <w:rPr>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282EB1"/>
    <w:pPr>
      <w:jc w:val="both"/>
    </w:pPr>
    <w:rPr>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282EB1"/>
    <w:pPr>
      <w:jc w:val="both"/>
    </w:pPr>
    <w:rPr>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282EB1"/>
    <w:pPr>
      <w:jc w:val="both"/>
    </w:pPr>
    <w:rPr>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282EB1"/>
    <w:pPr>
      <w:jc w:val="both"/>
    </w:pPr>
    <w:rPr>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282EB1"/>
    <w:pPr>
      <w:jc w:val="both"/>
    </w:pPr>
    <w:rPr>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282EB1"/>
    <w:pPr>
      <w:jc w:val="both"/>
    </w:pPr>
    <w:rPr>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282EB1"/>
    <w:pPr>
      <w:jc w:val="both"/>
    </w:pPr>
    <w:rPr>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282EB1"/>
    <w:pPr>
      <w:jc w:val="both"/>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282EB1"/>
    <w:pPr>
      <w:jc w:val="both"/>
    </w:pPr>
    <w:rPr>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282EB1"/>
    <w:pPr>
      <w:jc w:val="both"/>
    </w:pPr>
    <w:rPr>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282EB1"/>
    <w:pPr>
      <w:jc w:val="both"/>
    </w:pPr>
    <w:rPr>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282EB1"/>
    <w:pPr>
      <w:tabs>
        <w:tab w:val="num" w:pos="0"/>
        <w:tab w:val="num" w:pos="1080"/>
      </w:tabs>
      <w:ind w:left="1080" w:hanging="360"/>
    </w:pPr>
    <w:rPr>
      <w:b/>
      <w:bCs/>
    </w:rPr>
  </w:style>
  <w:style w:type="character" w:customStyle="1" w:styleId="0Heading0Char">
    <w:name w:val="0 Heading 0 Char"/>
    <w:link w:val="0Heading0"/>
    <w:rsid w:val="00282EB1"/>
    <w:rPr>
      <w:sz w:val="22"/>
      <w:szCs w:val="22"/>
      <w:lang w:val="fr-FR"/>
    </w:rPr>
  </w:style>
  <w:style w:type="paragraph" w:customStyle="1" w:styleId="Indent1">
    <w:name w:val="Indent 1"/>
    <w:basedOn w:val="Normal"/>
    <w:qFormat/>
    <w:rsid w:val="00282EB1"/>
    <w:pPr>
      <w:spacing w:after="240" w:line="360" w:lineRule="auto"/>
      <w:ind w:left="1440" w:hanging="720"/>
      <w:jc w:val="left"/>
    </w:pPr>
    <w:rPr>
      <w:sz w:val="24"/>
      <w:szCs w:val="24"/>
    </w:rPr>
  </w:style>
  <w:style w:type="paragraph" w:customStyle="1" w:styleId="msonormal0">
    <w:name w:val="msonormal"/>
    <w:basedOn w:val="Normal"/>
    <w:rsid w:val="00282EB1"/>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282EB1"/>
    <w:pPr>
      <w:ind w:firstLine="720"/>
    </w:pPr>
    <w:rPr>
      <w:rFonts w:eastAsiaTheme="minorEastAsia"/>
      <w:b/>
      <w:lang w:eastAsia="zh-CN"/>
    </w:rPr>
  </w:style>
  <w:style w:type="character" w:customStyle="1" w:styleId="Style3Char">
    <w:name w:val="Style3 Char"/>
    <w:basedOn w:val="Heading1Char1"/>
    <w:link w:val="Style3"/>
    <w:rsid w:val="00282EB1"/>
    <w:rPr>
      <w:rFonts w:eastAsiaTheme="minorEastAsia"/>
      <w:b/>
      <w:sz w:val="22"/>
      <w:szCs w:val="22"/>
      <w:lang w:val="fr-FR" w:eastAsia="zh-CN"/>
    </w:rPr>
  </w:style>
  <w:style w:type="paragraph" w:customStyle="1" w:styleId="Style2">
    <w:name w:val="Style2"/>
    <w:basedOn w:val="Heading1"/>
    <w:link w:val="Style2Char"/>
    <w:qFormat/>
    <w:rsid w:val="00282EB1"/>
    <w:rPr>
      <w:rFonts w:eastAsiaTheme="minorEastAsia"/>
      <w:b/>
      <w:lang w:eastAsia="zh-CN"/>
    </w:rPr>
  </w:style>
  <w:style w:type="character" w:customStyle="1" w:styleId="Style2Char">
    <w:name w:val="Style2 Char"/>
    <w:basedOn w:val="Heading1Char1"/>
    <w:link w:val="Style2"/>
    <w:rsid w:val="00282EB1"/>
    <w:rPr>
      <w:rFonts w:eastAsiaTheme="minorEastAsia"/>
      <w:b/>
      <w:sz w:val="22"/>
      <w:szCs w:val="22"/>
      <w:lang w:val="fr-FR" w:eastAsia="zh-CN"/>
    </w:rPr>
  </w:style>
  <w:style w:type="paragraph" w:customStyle="1" w:styleId="Style1">
    <w:name w:val="Style1"/>
    <w:basedOn w:val="Heading1"/>
    <w:link w:val="Style1Char"/>
    <w:qFormat/>
    <w:rsid w:val="00282EB1"/>
    <w:rPr>
      <w:rFonts w:eastAsiaTheme="minorEastAsia"/>
      <w:b/>
      <w:lang w:eastAsia="zh-CN"/>
    </w:rPr>
  </w:style>
  <w:style w:type="character" w:customStyle="1" w:styleId="Style1Char">
    <w:name w:val="Style1 Char"/>
    <w:basedOn w:val="Heading1Char1"/>
    <w:link w:val="Style1"/>
    <w:rsid w:val="00282EB1"/>
    <w:rPr>
      <w:rFonts w:eastAsiaTheme="minorEastAsia"/>
      <w:b/>
      <w:sz w:val="22"/>
      <w:szCs w:val="22"/>
      <w:lang w:val="fr-FR"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282EB1"/>
    <w:rPr>
      <w:sz w:val="22"/>
      <w:szCs w:val="22"/>
      <w:lang w:val="fr-FR"/>
    </w:rPr>
  </w:style>
  <w:style w:type="numbering" w:customStyle="1" w:styleId="ArticleSection11">
    <w:name w:val="Article / Section11"/>
    <w:basedOn w:val="NoList"/>
    <w:next w:val="ArticleSection"/>
    <w:rsid w:val="00282EB1"/>
    <w:pPr>
      <w:numPr>
        <w:numId w:val="11"/>
      </w:numPr>
    </w:pPr>
  </w:style>
  <w:style w:type="character" w:customStyle="1" w:styleId="CH1Char">
    <w:name w:val="CH1 Char"/>
    <w:link w:val="CH1"/>
    <w:locked/>
    <w:rsid w:val="00282EB1"/>
    <w:rPr>
      <w:b/>
      <w:sz w:val="28"/>
      <w:szCs w:val="28"/>
      <w:lang w:val="fr-FR"/>
    </w:rPr>
  </w:style>
  <w:style w:type="paragraph" w:customStyle="1" w:styleId="Listparagraph2">
    <w:name w:val="List paragraph 2"/>
    <w:basedOn w:val="Normal"/>
    <w:qFormat/>
    <w:rsid w:val="00282EB1"/>
    <w:pPr>
      <w:numPr>
        <w:numId w:val="12"/>
      </w:numPr>
      <w:spacing w:after="240" w:line="360" w:lineRule="auto"/>
      <w:jc w:val="left"/>
    </w:pPr>
    <w:rPr>
      <w:sz w:val="24"/>
      <w:szCs w:val="24"/>
    </w:rPr>
  </w:style>
  <w:style w:type="character" w:customStyle="1" w:styleId="spellingerror">
    <w:name w:val="spellingerror"/>
    <w:basedOn w:val="DefaultParagraphFont"/>
    <w:rsid w:val="00282EB1"/>
  </w:style>
  <w:style w:type="paragraph" w:customStyle="1" w:styleId="Projecthead">
    <w:name w:val="Project head"/>
    <w:basedOn w:val="Normal"/>
    <w:qFormat/>
    <w:rsid w:val="00282EB1"/>
    <w:pPr>
      <w:spacing w:after="240" w:line="360" w:lineRule="auto"/>
      <w:jc w:val="left"/>
    </w:pPr>
    <w:rPr>
      <w:i/>
      <w:sz w:val="24"/>
      <w:szCs w:val="24"/>
    </w:rPr>
  </w:style>
  <w:style w:type="paragraph" w:customStyle="1" w:styleId="letteredhead1">
    <w:name w:val="lettered head1"/>
    <w:basedOn w:val="Normal"/>
    <w:qFormat/>
    <w:rsid w:val="00282EB1"/>
    <w:pPr>
      <w:numPr>
        <w:numId w:val="13"/>
      </w:numPr>
      <w:spacing w:after="240" w:line="360" w:lineRule="auto"/>
    </w:pPr>
    <w:rPr>
      <w:sz w:val="24"/>
      <w:szCs w:val="24"/>
    </w:rPr>
  </w:style>
  <w:style w:type="paragraph" w:customStyle="1" w:styleId="font24">
    <w:name w:val="font24"/>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282EB1"/>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282EB1"/>
    <w:rPr>
      <w:color w:val="605E5C"/>
      <w:shd w:val="clear" w:color="auto" w:fill="E1DFDD"/>
    </w:rPr>
  </w:style>
  <w:style w:type="character" w:customStyle="1" w:styleId="NormalpoolChar">
    <w:name w:val="Normal_pool Char"/>
    <w:link w:val="Normalpool"/>
    <w:locked/>
    <w:rsid w:val="00282EB1"/>
    <w:rPr>
      <w:lang w:val="fr-FR"/>
    </w:rPr>
  </w:style>
  <w:style w:type="paragraph" w:customStyle="1" w:styleId="font26">
    <w:name w:val="font2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282EB1"/>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282EB1"/>
  </w:style>
  <w:style w:type="numbering" w:customStyle="1" w:styleId="ArticleSection12">
    <w:name w:val="Article / Section12"/>
    <w:basedOn w:val="NoList"/>
    <w:next w:val="ArticleSection"/>
    <w:semiHidden/>
    <w:rsid w:val="00282EB1"/>
  </w:style>
  <w:style w:type="character" w:customStyle="1" w:styleId="BBTitleChar">
    <w:name w:val="BB_Title Char"/>
    <w:link w:val="BBTitle"/>
    <w:rsid w:val="00282EB1"/>
    <w:rPr>
      <w:b/>
      <w:sz w:val="28"/>
      <w:szCs w:val="28"/>
      <w:lang w:val="fr-FR"/>
    </w:rPr>
  </w:style>
  <w:style w:type="paragraph" w:customStyle="1" w:styleId="paragraph">
    <w:name w:val="paragraph"/>
    <w:basedOn w:val="Normal"/>
    <w:rsid w:val="00282EB1"/>
    <w:pPr>
      <w:spacing w:before="100" w:beforeAutospacing="1" w:after="100" w:afterAutospacing="1"/>
      <w:jc w:val="left"/>
    </w:pPr>
    <w:rPr>
      <w:sz w:val="24"/>
      <w:szCs w:val="24"/>
      <w:lang w:eastAsia="fr-FR"/>
    </w:rPr>
  </w:style>
  <w:style w:type="character" w:customStyle="1" w:styleId="eop">
    <w:name w:val="eop"/>
    <w:basedOn w:val="DefaultParagraphFont"/>
    <w:rsid w:val="00282EB1"/>
  </w:style>
  <w:style w:type="character" w:customStyle="1" w:styleId="tabchar">
    <w:name w:val="tabchar"/>
    <w:basedOn w:val="DefaultParagraphFont"/>
    <w:rsid w:val="00282EB1"/>
  </w:style>
  <w:style w:type="character" w:styleId="UnresolvedMention">
    <w:name w:val="Unresolved Mention"/>
    <w:basedOn w:val="DefaultParagraphFont"/>
    <w:uiPriority w:val="99"/>
    <w:semiHidden/>
    <w:unhideWhenUsed/>
    <w:rsid w:val="00282EB1"/>
    <w:rPr>
      <w:color w:val="605E5C"/>
      <w:shd w:val="clear" w:color="auto" w:fill="E1DFDD"/>
    </w:rPr>
  </w:style>
  <w:style w:type="paragraph" w:customStyle="1" w:styleId="Underlinedheader">
    <w:name w:val="Underlined header"/>
    <w:basedOn w:val="Heading1"/>
    <w:qFormat/>
    <w:rsid w:val="00AC0411"/>
    <w:pPr>
      <w:spacing w:before="240"/>
      <w:ind w:firstLine="720"/>
    </w:pPr>
    <w:rPr>
      <w:u w:val="single"/>
    </w:rPr>
  </w:style>
  <w:style w:type="paragraph" w:customStyle="1" w:styleId="responsive-celltitle">
    <w:name w:val="responsive-cell__title"/>
    <w:basedOn w:val="Normal"/>
    <w:rsid w:val="004937C5"/>
    <w:pPr>
      <w:spacing w:before="100" w:beforeAutospacing="1" w:after="100" w:afterAutospacing="1"/>
      <w:jc w:val="left"/>
    </w:pPr>
    <w:rPr>
      <w:sz w:val="24"/>
      <w:szCs w:val="24"/>
      <w:lang w:eastAsia="en-GB"/>
    </w:rPr>
  </w:style>
  <w:style w:type="paragraph" w:customStyle="1" w:styleId="documents-by-phasetablecell-content">
    <w:name w:val="documents-by-phase__table__cell-content"/>
    <w:basedOn w:val="Normal"/>
    <w:rsid w:val="004937C5"/>
    <w:pPr>
      <w:spacing w:before="100" w:beforeAutospacing="1" w:after="100" w:afterAutospacing="1"/>
      <w:jc w:val="left"/>
    </w:pPr>
    <w:rPr>
      <w:sz w:val="24"/>
      <w:szCs w:val="24"/>
      <w:lang w:eastAsia="en-GB"/>
    </w:rPr>
  </w:style>
  <w:style w:type="paragraph" w:customStyle="1" w:styleId="Listlettered">
    <w:name w:val="List lettered"/>
    <w:basedOn w:val="ListParagraph"/>
    <w:qFormat/>
    <w:rsid w:val="00B901AB"/>
    <w:pPr>
      <w:keepLines/>
      <w:widowControl w:val="0"/>
      <w:numPr>
        <w:numId w:val="16"/>
      </w:numPr>
      <w:spacing w:after="240"/>
      <w:contextualSpacing w:val="0"/>
      <w:outlineLvl w:val="1"/>
    </w:pPr>
  </w:style>
  <w:style w:type="paragraph" w:customStyle="1" w:styleId="Listromannumerals">
    <w:name w:val="List roman numerals"/>
    <w:basedOn w:val="ListParagraph"/>
    <w:qFormat/>
    <w:rsid w:val="00B901AB"/>
    <w:pPr>
      <w:widowControl w:val="0"/>
      <w:numPr>
        <w:ilvl w:val="2"/>
        <w:numId w:val="17"/>
      </w:numPr>
      <w:spacing w:after="240"/>
      <w:contextualSpacing w:val="0"/>
      <w:outlineLvl w:val="2"/>
    </w:pPr>
  </w:style>
  <w:style w:type="paragraph" w:customStyle="1" w:styleId="Listletteredthirdindent">
    <w:name w:val="List lettered third indent"/>
    <w:basedOn w:val="Normal"/>
    <w:qFormat/>
    <w:rsid w:val="00B901AB"/>
    <w:pPr>
      <w:keepNext/>
      <w:numPr>
        <w:ilvl w:val="3"/>
        <w:numId w:val="18"/>
      </w:numPr>
      <w:spacing w:after="240"/>
      <w:ind w:left="2694" w:hanging="538"/>
      <w:outlineLvl w:val="3"/>
    </w:pPr>
  </w:style>
  <w:style w:type="paragraph" w:customStyle="1" w:styleId="Decisionunderlined">
    <w:name w:val="Decision underlined"/>
    <w:basedOn w:val="Normal"/>
    <w:qFormat/>
    <w:rsid w:val="00B901AB"/>
    <w:pPr>
      <w:spacing w:after="240"/>
      <w:ind w:left="720"/>
      <w:jc w:val="left"/>
    </w:pPr>
    <w:rPr>
      <w:rFonts w:eastAsiaTheme="minorHAnsi" w:cstheme="minorBidi"/>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1026">
      <w:bodyDiv w:val="1"/>
      <w:marLeft w:val="0"/>
      <w:marRight w:val="0"/>
      <w:marTop w:val="0"/>
      <w:marBottom w:val="0"/>
      <w:divBdr>
        <w:top w:val="none" w:sz="0" w:space="0" w:color="auto"/>
        <w:left w:val="none" w:sz="0" w:space="0" w:color="auto"/>
        <w:bottom w:val="none" w:sz="0" w:space="0" w:color="auto"/>
        <w:right w:val="none" w:sz="0" w:space="0" w:color="auto"/>
      </w:divBdr>
      <w:divsChild>
        <w:div w:id="176388860">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61227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11360398">
      <w:bodyDiv w:val="1"/>
      <w:marLeft w:val="0"/>
      <w:marRight w:val="0"/>
      <w:marTop w:val="0"/>
      <w:marBottom w:val="0"/>
      <w:divBdr>
        <w:top w:val="none" w:sz="0" w:space="0" w:color="auto"/>
        <w:left w:val="none" w:sz="0" w:space="0" w:color="auto"/>
        <w:bottom w:val="none" w:sz="0" w:space="0" w:color="auto"/>
        <w:right w:val="none" w:sz="0" w:space="0" w:color="auto"/>
      </w:divBdr>
      <w:divsChild>
        <w:div w:id="1619681770">
          <w:marLeft w:val="0"/>
          <w:marRight w:val="0"/>
          <w:marTop w:val="0"/>
          <w:marBottom w:val="0"/>
          <w:divBdr>
            <w:top w:val="none" w:sz="0" w:space="0" w:color="auto"/>
            <w:left w:val="none" w:sz="0" w:space="0" w:color="auto"/>
            <w:bottom w:val="none" w:sz="0" w:space="0" w:color="auto"/>
            <w:right w:val="none" w:sz="0" w:space="0" w:color="auto"/>
          </w:divBdr>
        </w:div>
      </w:divsChild>
    </w:div>
    <w:div w:id="1368215439">
      <w:bodyDiv w:val="1"/>
      <w:marLeft w:val="0"/>
      <w:marRight w:val="0"/>
      <w:marTop w:val="0"/>
      <w:marBottom w:val="0"/>
      <w:divBdr>
        <w:top w:val="none" w:sz="0" w:space="0" w:color="auto"/>
        <w:left w:val="none" w:sz="0" w:space="0" w:color="auto"/>
        <w:bottom w:val="none" w:sz="0" w:space="0" w:color="auto"/>
        <w:right w:val="none" w:sz="0" w:space="0" w:color="auto"/>
      </w:divBdr>
    </w:div>
    <w:div w:id="1651447180">
      <w:bodyDiv w:val="1"/>
      <w:marLeft w:val="0"/>
      <w:marRight w:val="0"/>
      <w:marTop w:val="0"/>
      <w:marBottom w:val="0"/>
      <w:divBdr>
        <w:top w:val="none" w:sz="0" w:space="0" w:color="auto"/>
        <w:left w:val="none" w:sz="0" w:space="0" w:color="auto"/>
        <w:bottom w:val="none" w:sz="0" w:space="0" w:color="auto"/>
        <w:right w:val="none" w:sz="0" w:space="0" w:color="auto"/>
      </w:divBdr>
      <w:divsChild>
        <w:div w:id="408039088">
          <w:marLeft w:val="0"/>
          <w:marRight w:val="0"/>
          <w:marTop w:val="0"/>
          <w:marBottom w:val="0"/>
          <w:divBdr>
            <w:top w:val="none" w:sz="0" w:space="0" w:color="auto"/>
            <w:left w:val="none" w:sz="0" w:space="0" w:color="auto"/>
            <w:bottom w:val="none" w:sz="0" w:space="0" w:color="auto"/>
            <w:right w:val="none" w:sz="0" w:space="0" w:color="auto"/>
          </w:divBdr>
          <w:divsChild>
            <w:div w:id="74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OneDrive\Desktop\ExCom\Report%20to%20MOP%2036\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Template>
  <TotalTime>2</TotalTime>
  <Pages>20</Pages>
  <Words>9671</Words>
  <Characters>55131</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Projet de rapport du comité exécutif du fonds multilatéral aux fins d’application du protocole de montréal à la trente septième réunion des parties</vt:lpstr>
    </vt:vector>
  </TitlesOfParts>
  <Company>UNMFS</Company>
  <LinksUpToDate>false</LinksUpToDate>
  <CharactersWithSpaces>64673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comité exécutif du fonds multilatéral aux fins d’application du protocole de montréal à la trente septième réunion des parties</dc:title>
  <dc:creator>Natalie Barker</dc:creator>
  <cp:lastModifiedBy>Angela Xue He Yan</cp:lastModifiedBy>
  <cp:revision>4</cp:revision>
  <cp:lastPrinted>2001-05-26T16:40:00Z</cp:lastPrinted>
  <dcterms:created xsi:type="dcterms:W3CDTF">2025-05-01T19:34:00Z</dcterms:created>
  <dcterms:modified xsi:type="dcterms:W3CDTF">2025-05-05T14:58:00Z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UNEP/OzL.Pro/ExCom/96/64</vt:lpwstr>
  </property>
  <property fmtid="{D5CDD505-2E9C-101B-9397-08002B2CF9AE}" pid="3" name="Revision date">
    <vt:lpwstr>4/28/2025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