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57" w:type="dxa"/>
        <w:tblInd w:w="-432" w:type="dxa"/>
        <w:tblLayout w:type="fixed"/>
        <w:tblLook w:val="0000" w:firstRow="0" w:lastRow="0" w:firstColumn="0" w:lastColumn="0" w:noHBand="0" w:noVBand="0"/>
      </w:tblPr>
      <w:tblGrid>
        <w:gridCol w:w="1915"/>
        <w:gridCol w:w="4095"/>
        <w:gridCol w:w="4247"/>
      </w:tblGrid>
      <w:tr w:rsidR="0087455A" w14:paraId="3FBE0416" w14:textId="77777777" w:rsidTr="000A006A">
        <w:trPr>
          <w:trHeight w:val="653"/>
        </w:trPr>
        <w:tc>
          <w:tcPr>
            <w:tcW w:w="6010"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47"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0A00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7"/>
        </w:trPr>
        <w:tc>
          <w:tcPr>
            <w:tcW w:w="1915" w:type="dxa"/>
            <w:tcBorders>
              <w:top w:val="nil"/>
              <w:left w:val="nil"/>
              <w:bottom w:val="single" w:sz="36" w:space="0" w:color="auto"/>
              <w:right w:val="nil"/>
            </w:tcBorders>
          </w:tcPr>
          <w:p w14:paraId="77AF8C7E" w14:textId="29E47D8C" w:rsidR="0087455A" w:rsidRDefault="000A006A">
            <w:pPr>
              <w:spacing w:before="120"/>
            </w:pPr>
            <w:r>
              <w:rPr>
                <w:noProof/>
                <w:lang w:val="en-CA" w:eastAsia="en-CA"/>
              </w:rPr>
              <w:drawing>
                <wp:anchor distT="0" distB="0" distL="114300" distR="114300" simplePos="0" relativeHeight="251660288" behindDoc="0" locked="0" layoutInCell="1" allowOverlap="1" wp14:anchorId="776D136C" wp14:editId="1482B5CF">
                  <wp:simplePos x="0" y="0"/>
                  <wp:positionH relativeFrom="column">
                    <wp:posOffset>-17145</wp:posOffset>
                  </wp:positionH>
                  <wp:positionV relativeFrom="paragraph">
                    <wp:posOffset>830580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22A5C672">
                  <wp:simplePos x="0" y="0"/>
                  <wp:positionH relativeFrom="column">
                    <wp:posOffset>-9525</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94"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C9145D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C31828E" w14:textId="77777777" w:rsidR="0087455A" w:rsidRDefault="0087455A">
            <w:pPr>
              <w:spacing w:before="720"/>
              <w:ind w:left="158"/>
              <w:rPr>
                <w:lang w:val="es-ES"/>
              </w:rPr>
            </w:pPr>
          </w:p>
        </w:tc>
        <w:tc>
          <w:tcPr>
            <w:tcW w:w="4247"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539E8D71"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0A006A">
              <w:rPr>
                <w:lang w:val="es-AR"/>
              </w:rPr>
              <w:t>UNEP/</w:t>
            </w:r>
            <w:proofErr w:type="spellStart"/>
            <w:r w:rsidR="000A006A">
              <w:rPr>
                <w:lang w:val="es-AR"/>
              </w:rPr>
              <w:t>OzL.Pro</w:t>
            </w:r>
            <w:proofErr w:type="spellEnd"/>
            <w:r w:rsidR="000A006A">
              <w:rPr>
                <w:lang w:val="es-AR"/>
              </w:rPr>
              <w:t>/</w:t>
            </w:r>
            <w:proofErr w:type="spellStart"/>
            <w:r w:rsidR="000A006A">
              <w:rPr>
                <w:lang w:val="es-AR"/>
              </w:rPr>
              <w:t>ExCom</w:t>
            </w:r>
            <w:proofErr w:type="spellEnd"/>
            <w:r w:rsidR="000A006A">
              <w:rPr>
                <w:lang w:val="es-AR"/>
              </w:rPr>
              <w:t>/93/87</w:t>
            </w:r>
            <w:r>
              <w:fldChar w:fldCharType="end"/>
            </w:r>
          </w:p>
          <w:p w14:paraId="1C9219F3" w14:textId="5B2ABD2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0368A">
              <w:rPr>
                <w:lang w:val="es-AR"/>
              </w:rPr>
              <w:t xml:space="preserve">5 </w:t>
            </w:r>
            <w:r w:rsidR="00581ACA">
              <w:rPr>
                <w:lang w:val="es-AR"/>
              </w:rPr>
              <w:t>diciembre</w:t>
            </w:r>
            <w:r w:rsidR="0080368A">
              <w:rPr>
                <w:lang w:val="es-AR"/>
              </w:rPr>
              <w:t xml:space="preserve"> 2023</w:t>
            </w:r>
            <w:r>
              <w:fldChar w:fldCharType="end"/>
            </w:r>
          </w:p>
          <w:p w14:paraId="2BFA432A" w14:textId="77777777" w:rsidR="00114CAA" w:rsidRPr="00064429" w:rsidRDefault="00114CAA">
            <w:pPr>
              <w:rPr>
                <w:caps/>
                <w:lang w:val="es-A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5842EEC"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3B5C9C7B" w14:textId="77777777" w:rsidR="00581ACA" w:rsidRPr="00581ACA" w:rsidRDefault="00581ACA" w:rsidP="00581ACA">
      <w:pPr>
        <w:jc w:val="left"/>
        <w:rPr>
          <w:lang w:val="es-ES"/>
        </w:rPr>
      </w:pPr>
      <w:r w:rsidRPr="00581ACA">
        <w:rPr>
          <w:lang w:val="es-ES"/>
        </w:rPr>
        <w:t>Cuestión 9 d) del orden del día provisional</w:t>
      </w:r>
      <w:r w:rsidRPr="00512BEF">
        <w:rPr>
          <w:rStyle w:val="FootnoteReference"/>
        </w:rPr>
        <w:footnoteReference w:id="1"/>
      </w:r>
    </w:p>
    <w:p w14:paraId="0CC91D88" w14:textId="77777777" w:rsidR="0087455A" w:rsidRDefault="0087455A">
      <w:pPr>
        <w:pStyle w:val="Heading3"/>
        <w:numPr>
          <w:ilvl w:val="0"/>
          <w:numId w:val="0"/>
        </w:numPr>
        <w:spacing w:after="0"/>
        <w:rPr>
          <w:lang w:val="es-ES"/>
        </w:rPr>
      </w:pPr>
    </w:p>
    <w:p w14:paraId="1188D99C" w14:textId="77777777" w:rsidR="00FC6B62" w:rsidRPr="00FC6B62" w:rsidRDefault="00FC6B62" w:rsidP="00FC6B62">
      <w:pPr>
        <w:rPr>
          <w:lang w:val="es-ES"/>
        </w:rPr>
      </w:pPr>
    </w:p>
    <w:p w14:paraId="1A7EA108" w14:textId="77777777" w:rsidR="0087455A" w:rsidRDefault="0087455A">
      <w:pPr>
        <w:pStyle w:val="Title1"/>
        <w:rPr>
          <w:lang w:val="es-ES"/>
        </w:rPr>
      </w:pPr>
    </w:p>
    <w:p w14:paraId="108C01FF" w14:textId="4084DF06" w:rsidR="00581ACA" w:rsidRPr="00581ACA" w:rsidRDefault="000A006A" w:rsidP="00581ACA">
      <w:pPr>
        <w:jc w:val="center"/>
        <w:rPr>
          <w:b/>
          <w:lang w:val="es-ES"/>
        </w:rPr>
      </w:pPr>
      <w:r w:rsidRPr="00581ACA">
        <w:rPr>
          <w:b/>
          <w:lang w:val="es-ES"/>
        </w:rPr>
        <w:t>PROPUESTA DE PROYECTO: SUDÁFRICA</w:t>
      </w:r>
    </w:p>
    <w:p w14:paraId="6635563F" w14:textId="77777777" w:rsidR="00581ACA" w:rsidRDefault="00581ACA" w:rsidP="00581ACA">
      <w:pPr>
        <w:rPr>
          <w:lang w:val="es-ES"/>
        </w:rPr>
      </w:pPr>
    </w:p>
    <w:p w14:paraId="05518E0B" w14:textId="77777777" w:rsidR="00FC6B62" w:rsidRPr="00581ACA" w:rsidRDefault="00FC6B62" w:rsidP="00581ACA">
      <w:pPr>
        <w:rPr>
          <w:lang w:val="es-ES"/>
        </w:rPr>
      </w:pPr>
    </w:p>
    <w:p w14:paraId="273A9B16" w14:textId="77777777" w:rsidR="00581ACA" w:rsidRPr="00581ACA" w:rsidRDefault="00581ACA" w:rsidP="00581ACA">
      <w:pPr>
        <w:rPr>
          <w:lang w:val="es-ES"/>
        </w:rPr>
      </w:pPr>
    </w:p>
    <w:p w14:paraId="0E5C5990" w14:textId="77777777" w:rsidR="00581ACA" w:rsidRPr="00581ACA" w:rsidRDefault="00581ACA" w:rsidP="00581ACA">
      <w:pPr>
        <w:ind w:firstLine="720"/>
        <w:rPr>
          <w:lang w:val="es-ES"/>
        </w:rPr>
      </w:pPr>
      <w:r w:rsidRPr="00581ACA">
        <w:rPr>
          <w:lang w:val="es-ES"/>
        </w:rPr>
        <w:t xml:space="preserve">Este documento consta de los comentarios y la recomendación de la Secretaría en relación con la siguiente propuesta de proyecto: </w:t>
      </w:r>
    </w:p>
    <w:p w14:paraId="07E49021" w14:textId="77777777" w:rsidR="00581ACA" w:rsidRPr="00581ACA" w:rsidRDefault="00581ACA" w:rsidP="00581ACA">
      <w:pPr>
        <w:rPr>
          <w:lang w:val="es-ES"/>
        </w:rPr>
      </w:pPr>
    </w:p>
    <w:p w14:paraId="6679F8E9" w14:textId="77777777" w:rsidR="00581ACA" w:rsidRPr="00DA2D41" w:rsidRDefault="00581ACA" w:rsidP="00581ACA">
      <w:pPr>
        <w:spacing w:before="240" w:after="240"/>
        <w:rPr>
          <w:u w:val="single"/>
          <w:lang w:val="es-ES_tradnl"/>
        </w:rPr>
      </w:pPr>
      <w:r w:rsidRPr="00DA2D41">
        <w:rPr>
          <w:u w:val="single"/>
          <w:lang w:val="es-ES_tradnl"/>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81ACA" w:rsidRPr="00553E0F" w14:paraId="1B1F6854" w14:textId="77777777" w:rsidTr="00951501">
        <w:tc>
          <w:tcPr>
            <w:tcW w:w="6941" w:type="dxa"/>
          </w:tcPr>
          <w:p w14:paraId="704EE1F3" w14:textId="2F68ABE4" w:rsidR="00581ACA" w:rsidRPr="00DA2D41" w:rsidRDefault="00581ACA" w:rsidP="00581ACA">
            <w:pPr>
              <w:pStyle w:val="ListParagraph"/>
              <w:numPr>
                <w:ilvl w:val="0"/>
                <w:numId w:val="21"/>
              </w:numPr>
              <w:ind w:hanging="830"/>
            </w:pPr>
            <w:r w:rsidRPr="00DA2D41">
              <w:t xml:space="preserve">Estrategia de eficiencia energética </w:t>
            </w:r>
            <w:r w:rsidR="00DA2D41">
              <w:t>para el</w:t>
            </w:r>
            <w:r w:rsidRPr="00DA2D41">
              <w:t xml:space="preserve"> plan de ejecución de Kigali </w:t>
            </w:r>
            <w:r w:rsidR="00DA2D41" w:rsidRPr="00DA2D41">
              <w:t>para</w:t>
            </w:r>
            <w:r w:rsidRPr="00DA2D41">
              <w:t xml:space="preserve"> los HFC</w:t>
            </w:r>
          </w:p>
        </w:tc>
        <w:tc>
          <w:tcPr>
            <w:tcW w:w="2409" w:type="dxa"/>
          </w:tcPr>
          <w:p w14:paraId="1D3F2948" w14:textId="77777777" w:rsidR="00581ACA" w:rsidRPr="00553E0F" w:rsidRDefault="00581ACA" w:rsidP="00951501">
            <w:pPr>
              <w:jc w:val="right"/>
            </w:pPr>
            <w:r>
              <w:t>ONUDI</w:t>
            </w:r>
          </w:p>
        </w:tc>
      </w:tr>
    </w:tbl>
    <w:p w14:paraId="1EF228B2" w14:textId="77777777" w:rsidR="00581ACA" w:rsidRPr="009931F4" w:rsidRDefault="00581ACA" w:rsidP="00581ACA"/>
    <w:p w14:paraId="4B1007C2" w14:textId="77777777" w:rsidR="00581ACA" w:rsidRPr="00996241" w:rsidRDefault="00581ACA" w:rsidP="00581ACA"/>
    <w:p w14:paraId="4106882D" w14:textId="77777777" w:rsidR="00581ACA" w:rsidRPr="009931F4" w:rsidRDefault="00581ACA" w:rsidP="00581ACA"/>
    <w:p w14:paraId="32A2F300" w14:textId="77777777" w:rsidR="00581ACA" w:rsidRPr="00996241" w:rsidRDefault="00581ACA" w:rsidP="00581ACA"/>
    <w:p w14:paraId="305119DF" w14:textId="77777777" w:rsidR="00581ACA" w:rsidRPr="00996241" w:rsidRDefault="00581ACA" w:rsidP="00581ACA">
      <w:pPr>
        <w:jc w:val="left"/>
      </w:pPr>
    </w:p>
    <w:p w14:paraId="325A55CE" w14:textId="77777777" w:rsidR="00581ACA" w:rsidRPr="00996241" w:rsidRDefault="00581ACA" w:rsidP="00581ACA">
      <w:pPr>
        <w:jc w:val="left"/>
      </w:pPr>
      <w:r>
        <w:br w:type="page"/>
      </w:r>
    </w:p>
    <w:p w14:paraId="4E9A98DA" w14:textId="77777777" w:rsidR="00581ACA" w:rsidRPr="00581ACA" w:rsidRDefault="00581ACA" w:rsidP="00581ACA">
      <w:pPr>
        <w:jc w:val="center"/>
        <w:rPr>
          <w:b/>
          <w:lang w:val="es-ES"/>
        </w:rPr>
      </w:pPr>
      <w:r w:rsidRPr="00581ACA">
        <w:rPr>
          <w:b/>
          <w:lang w:val="es-ES"/>
        </w:rPr>
        <w:lastRenderedPageBreak/>
        <w:t>HOJA DE EVALUACIÓN DE PROYECTOS - PROYECTOS NO PLURIANUALES</w:t>
      </w:r>
    </w:p>
    <w:p w14:paraId="1BE6B4F2" w14:textId="77777777" w:rsidR="00581ACA" w:rsidRPr="00581ACA" w:rsidRDefault="00581ACA" w:rsidP="00581ACA">
      <w:pPr>
        <w:rPr>
          <w:lang w:val="es-ES"/>
        </w:rPr>
      </w:pPr>
    </w:p>
    <w:p w14:paraId="7CB861E8" w14:textId="77777777" w:rsidR="00581ACA" w:rsidRPr="00581ACA" w:rsidRDefault="00581ACA" w:rsidP="00581ACA">
      <w:pPr>
        <w:jc w:val="center"/>
        <w:rPr>
          <w:b/>
          <w:lang w:val="es-ES"/>
        </w:rPr>
      </w:pPr>
      <w:r w:rsidRPr="00581ACA">
        <w:rPr>
          <w:b/>
          <w:lang w:val="es-ES"/>
        </w:rPr>
        <w:t>SUDÁFRICA</w:t>
      </w:r>
    </w:p>
    <w:p w14:paraId="4890F1C0" w14:textId="77777777" w:rsidR="00581ACA" w:rsidRPr="00581ACA" w:rsidRDefault="00581ACA" w:rsidP="00581ACA">
      <w:pPr>
        <w:rPr>
          <w:lang w:val="es-ES"/>
        </w:rPr>
      </w:pPr>
    </w:p>
    <w:p w14:paraId="7B971EF3" w14:textId="2DBD6A8A" w:rsidR="00581ACA" w:rsidRPr="00DA2D41" w:rsidRDefault="00581ACA" w:rsidP="00581ACA">
      <w:pPr>
        <w:tabs>
          <w:tab w:val="left" w:pos="5103"/>
        </w:tabs>
        <w:ind w:right="6"/>
        <w:rPr>
          <w:b/>
          <w:sz w:val="20"/>
          <w:szCs w:val="20"/>
          <w:lang w:val="es-ES"/>
        </w:rPr>
      </w:pPr>
      <w:bookmarkStart w:id="0" w:name="_Hlk149308122"/>
      <w:r w:rsidRPr="00DA2D41">
        <w:rPr>
          <w:b/>
          <w:caps/>
          <w:sz w:val="20"/>
          <w:szCs w:val="20"/>
          <w:lang w:val="es-ES"/>
        </w:rPr>
        <w:t>Título del proyecto</w:t>
      </w:r>
      <w:bookmarkEnd w:id="0"/>
      <w:r w:rsidR="00DA2D41" w:rsidRPr="00DA2D41">
        <w:rPr>
          <w:b/>
          <w:sz w:val="20"/>
          <w:szCs w:val="20"/>
          <w:lang w:val="es-ES"/>
        </w:rPr>
        <w:tab/>
      </w:r>
      <w:r w:rsidRPr="00DA2D41">
        <w:rPr>
          <w:b/>
          <w:caps/>
          <w:sz w:val="20"/>
          <w:szCs w:val="20"/>
          <w:lang w:val="es-ES"/>
        </w:rPr>
        <w:t>ORGANISMO BILATERAL/DE EJECUCIÓN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462"/>
        <w:gridCol w:w="7330"/>
        <w:gridCol w:w="1558"/>
      </w:tblGrid>
      <w:tr w:rsidR="00581ACA" w:rsidRPr="001A0B8A" w14:paraId="29BA39B1" w14:textId="77777777" w:rsidTr="00DA2D41">
        <w:trPr>
          <w:trHeight w:val="251"/>
        </w:trPr>
        <w:tc>
          <w:tcPr>
            <w:tcW w:w="247" w:type="pct"/>
          </w:tcPr>
          <w:p w14:paraId="6F8B4610" w14:textId="77777777" w:rsidR="00581ACA" w:rsidRPr="001A0B8A" w:rsidRDefault="00581ACA" w:rsidP="00951501">
            <w:pPr>
              <w:tabs>
                <w:tab w:val="left" w:pos="383"/>
              </w:tabs>
              <w:spacing w:before="60" w:after="60"/>
              <w:jc w:val="left"/>
            </w:pPr>
            <w:r>
              <w:t>a)</w:t>
            </w:r>
          </w:p>
        </w:tc>
        <w:tc>
          <w:tcPr>
            <w:tcW w:w="3920" w:type="pct"/>
            <w:tcBorders>
              <w:right w:val="single" w:sz="4" w:space="0" w:color="auto"/>
            </w:tcBorders>
          </w:tcPr>
          <w:p w14:paraId="4D0BC255" w14:textId="77777777" w:rsidR="00581ACA" w:rsidRPr="00581ACA" w:rsidRDefault="00581ACA" w:rsidP="00951501">
            <w:pPr>
              <w:tabs>
                <w:tab w:val="left" w:pos="383"/>
              </w:tabs>
              <w:spacing w:before="60" w:after="60"/>
              <w:jc w:val="left"/>
              <w:rPr>
                <w:lang w:val="es-ES"/>
              </w:rPr>
            </w:pPr>
            <w:r w:rsidRPr="00581ACA">
              <w:rPr>
                <w:lang w:val="es-ES"/>
              </w:rPr>
              <w:t>Estrategia de eficiencia energética del plan de ejecución de Kigali para los HFC</w:t>
            </w:r>
          </w:p>
        </w:tc>
        <w:tc>
          <w:tcPr>
            <w:tcW w:w="833" w:type="pct"/>
            <w:tcBorders>
              <w:top w:val="single" w:sz="4" w:space="0" w:color="auto"/>
              <w:left w:val="single" w:sz="4" w:space="0" w:color="auto"/>
              <w:bottom w:val="single" w:sz="4" w:space="0" w:color="auto"/>
            </w:tcBorders>
            <w:vAlign w:val="center"/>
          </w:tcPr>
          <w:p w14:paraId="572B0DB8" w14:textId="77777777" w:rsidR="00581ACA" w:rsidRPr="001A0B8A" w:rsidRDefault="00581ACA" w:rsidP="00951501">
            <w:pPr>
              <w:spacing w:before="60" w:after="60"/>
              <w:jc w:val="center"/>
            </w:pPr>
            <w:r>
              <w:t>ONUDI</w:t>
            </w:r>
          </w:p>
        </w:tc>
      </w:tr>
    </w:tbl>
    <w:p w14:paraId="6843F9B7" w14:textId="77777777" w:rsidR="00581ACA" w:rsidRPr="009B7C28" w:rsidRDefault="00581ACA" w:rsidP="00581ACA"/>
    <w:p w14:paraId="12CFC716" w14:textId="77777777" w:rsidR="00581ACA" w:rsidRPr="001A0B8A" w:rsidRDefault="00581ACA" w:rsidP="00581ACA">
      <w:r>
        <w:rPr>
          <w:b/>
          <w:caps/>
        </w:rPr>
        <w:t>OBJETIVO DEL PROYECTO</w:t>
      </w:r>
    </w:p>
    <w:tbl>
      <w:tblPr>
        <w:tblStyle w:val="TableGrid"/>
        <w:tblW w:w="5000" w:type="pct"/>
        <w:jc w:val="center"/>
        <w:tblLook w:val="01E0" w:firstRow="1" w:lastRow="1" w:firstColumn="1" w:lastColumn="1" w:noHBand="0" w:noVBand="0"/>
      </w:tblPr>
      <w:tblGrid>
        <w:gridCol w:w="9350"/>
      </w:tblGrid>
      <w:tr w:rsidR="00581ACA" w:rsidRPr="00FC6B62" w14:paraId="40F72409" w14:textId="77777777" w:rsidTr="00951501">
        <w:trPr>
          <w:jc w:val="center"/>
        </w:trPr>
        <w:tc>
          <w:tcPr>
            <w:tcW w:w="5000" w:type="pct"/>
          </w:tcPr>
          <w:p w14:paraId="48155628" w14:textId="3A6287D8" w:rsidR="00581ACA" w:rsidRPr="00581ACA" w:rsidRDefault="00581ACA" w:rsidP="00951501">
            <w:pPr>
              <w:pStyle w:val="Heading1"/>
              <w:numPr>
                <w:ilvl w:val="0"/>
                <w:numId w:val="0"/>
              </w:numPr>
              <w:spacing w:before="60" w:after="60"/>
              <w:jc w:val="left"/>
              <w:rPr>
                <w:lang w:val="es-ES"/>
              </w:rPr>
            </w:pPr>
            <w:r w:rsidRPr="00581ACA">
              <w:rPr>
                <w:lang w:val="es-ES"/>
              </w:rPr>
              <w:t>Este proyecto permitirá sustituir los enfriadores de HCFC y HFC de grandes edificios públicos por sistemas muy eficientes de R</w:t>
            </w:r>
            <w:r w:rsidRPr="00581ACA">
              <w:rPr>
                <w:lang w:val="es-ES"/>
              </w:rPr>
              <w:noBreakHyphen/>
              <w:t>290/R-600a, R</w:t>
            </w:r>
            <w:r w:rsidRPr="00581ACA">
              <w:rPr>
                <w:lang w:val="es-ES"/>
              </w:rPr>
              <w:noBreakHyphen/>
              <w:t>717 y HFO-1233zd(E), lo que permitirá demostrar la disponibilidad, aplicabilidad y viabilidad de las tecnologías de bajo potencial de calentamiento atmosférico en estas aplicaciones; las ventajas de la posible reducción de las emisiones de gases de efecto invernadero, tanto directas como indirectas; y el ahorro de costos y energía para los consumidores en sus facturas de suministros</w:t>
            </w:r>
            <w:r w:rsidR="00DA2D41">
              <w:rPr>
                <w:lang w:val="es-ES"/>
              </w:rPr>
              <w:t xml:space="preserve">, </w:t>
            </w:r>
            <w:r w:rsidRPr="00581ACA">
              <w:rPr>
                <w:lang w:val="es-ES"/>
              </w:rPr>
              <w:t>gracias a la mayor eficiencia de los nuevos sistemas y a la mejor</w:t>
            </w:r>
            <w:r w:rsidR="00DA2D41">
              <w:rPr>
                <w:lang w:val="es-ES"/>
              </w:rPr>
              <w:t>a de los</w:t>
            </w:r>
            <w:r w:rsidRPr="00581ACA">
              <w:rPr>
                <w:lang w:val="es-ES"/>
              </w:rPr>
              <w:t xml:space="preserve"> </w:t>
            </w:r>
            <w:r w:rsidR="00DA2D41">
              <w:rPr>
                <w:lang w:val="es-ES"/>
              </w:rPr>
              <w:t>estándares</w:t>
            </w:r>
            <w:r w:rsidRPr="00581ACA">
              <w:rPr>
                <w:lang w:val="es-ES"/>
              </w:rPr>
              <w:t xml:space="preserve"> de mantenimiento y operación.</w:t>
            </w:r>
          </w:p>
          <w:p w14:paraId="75971B16" w14:textId="1D089E65" w:rsidR="00581ACA" w:rsidRPr="00581ACA" w:rsidRDefault="00581ACA" w:rsidP="00951501">
            <w:pPr>
              <w:pStyle w:val="Heading1"/>
              <w:numPr>
                <w:ilvl w:val="0"/>
                <w:numId w:val="0"/>
              </w:numPr>
              <w:spacing w:before="60" w:after="60"/>
              <w:jc w:val="left"/>
              <w:rPr>
                <w:highlight w:val="cyan"/>
                <w:lang w:val="es-ES"/>
              </w:rPr>
            </w:pPr>
            <w:r w:rsidRPr="00581ACA">
              <w:rPr>
                <w:lang w:val="es-ES"/>
              </w:rPr>
              <w:t>El proyecto también proporcionará los conocimientos, datos y herramientas para ayudar a los funcionarios y a las partes interesadas del sector de refrigeración y aire acondicionado a aplicar la legislación de edificación existente</w:t>
            </w:r>
            <w:r w:rsidR="00DA2D41">
              <w:rPr>
                <w:lang w:val="es-ES"/>
              </w:rPr>
              <w:t xml:space="preserve"> </w:t>
            </w:r>
            <w:r w:rsidRPr="00581ACA">
              <w:rPr>
                <w:lang w:val="es-ES"/>
              </w:rPr>
              <w:t>y servirá como plataforma para desarrollar estándares mínimos de eficiencia energética para enfriadores y sistemas de refrigeración y aire acondicionado para grandes edificios</w:t>
            </w:r>
            <w:r w:rsidR="00DA2D41">
              <w:rPr>
                <w:lang w:val="es-ES"/>
              </w:rPr>
              <w:t>,</w:t>
            </w:r>
            <w:r w:rsidRPr="00581ACA">
              <w:rPr>
                <w:lang w:val="es-ES"/>
              </w:rPr>
              <w:t xml:space="preserve"> en línea con el Plan Nacional de Refrigeración.</w:t>
            </w:r>
          </w:p>
        </w:tc>
      </w:tr>
    </w:tbl>
    <w:p w14:paraId="642E4FA6" w14:textId="77777777" w:rsidR="00581ACA" w:rsidRPr="00581ACA" w:rsidRDefault="00581ACA" w:rsidP="00581ACA">
      <w:pPr>
        <w:rPr>
          <w:lang w:val="es-ES"/>
        </w:rPr>
      </w:pPr>
    </w:p>
    <w:tbl>
      <w:tblPr>
        <w:tblStyle w:val="TableGrid"/>
        <w:tblW w:w="5000" w:type="pct"/>
        <w:jc w:val="center"/>
        <w:tblLook w:val="01E0" w:firstRow="1" w:lastRow="1" w:firstColumn="1" w:lastColumn="1" w:noHBand="0" w:noVBand="0"/>
      </w:tblPr>
      <w:tblGrid>
        <w:gridCol w:w="5524"/>
        <w:gridCol w:w="3826"/>
      </w:tblGrid>
      <w:tr w:rsidR="00581ACA" w:rsidRPr="00023835" w14:paraId="56B23643" w14:textId="77777777" w:rsidTr="00951501">
        <w:trPr>
          <w:jc w:val="center"/>
        </w:trPr>
        <w:tc>
          <w:tcPr>
            <w:tcW w:w="2954" w:type="pct"/>
          </w:tcPr>
          <w:p w14:paraId="5FB28019" w14:textId="77777777" w:rsidR="00581ACA" w:rsidRPr="00023835" w:rsidRDefault="00581ACA" w:rsidP="00951501">
            <w:pPr>
              <w:spacing w:before="60" w:after="60"/>
            </w:pPr>
            <w:r>
              <w:rPr>
                <w:b/>
                <w:caps/>
              </w:rPr>
              <w:t>Organismo nacional de coordinación</w:t>
            </w:r>
          </w:p>
        </w:tc>
        <w:tc>
          <w:tcPr>
            <w:tcW w:w="2046" w:type="pct"/>
            <w:vAlign w:val="center"/>
          </w:tcPr>
          <w:p w14:paraId="5DE93564" w14:textId="77777777" w:rsidR="00581ACA" w:rsidRPr="00DA2D41" w:rsidRDefault="00581ACA" w:rsidP="00951501">
            <w:pPr>
              <w:spacing w:before="60" w:after="60"/>
              <w:jc w:val="center"/>
              <w:rPr>
                <w:lang w:val="es-ES_tradnl"/>
              </w:rPr>
            </w:pPr>
            <w:r w:rsidRPr="00DA2D41">
              <w:rPr>
                <w:lang w:val="es-ES_tradnl"/>
              </w:rPr>
              <w:t>Dependencia Nacional del Ozono</w:t>
            </w:r>
          </w:p>
        </w:tc>
      </w:tr>
    </w:tbl>
    <w:p w14:paraId="0DD888A0" w14:textId="77777777" w:rsidR="00581ACA" w:rsidRPr="009B7C28" w:rsidRDefault="00581ACA" w:rsidP="00581ACA"/>
    <w:tbl>
      <w:tblPr>
        <w:tblStyle w:val="TableGrid"/>
        <w:tblW w:w="5000" w:type="pct"/>
        <w:tblCellMar>
          <w:top w:w="28" w:type="dxa"/>
          <w:bottom w:w="28" w:type="dxa"/>
        </w:tblCellMar>
        <w:tblLook w:val="04A0" w:firstRow="1" w:lastRow="0" w:firstColumn="1" w:lastColumn="0" w:noHBand="0" w:noVBand="1"/>
      </w:tblPr>
      <w:tblGrid>
        <w:gridCol w:w="4251"/>
        <w:gridCol w:w="1273"/>
        <w:gridCol w:w="991"/>
        <w:gridCol w:w="2835"/>
      </w:tblGrid>
      <w:tr w:rsidR="00581ACA" w:rsidRPr="00996241" w14:paraId="2A04BB8C" w14:textId="77777777" w:rsidTr="00DA2D41">
        <w:trPr>
          <w:trHeight w:val="77"/>
        </w:trPr>
        <w:tc>
          <w:tcPr>
            <w:tcW w:w="2273" w:type="pct"/>
            <w:shd w:val="clear" w:color="auto" w:fill="auto"/>
          </w:tcPr>
          <w:p w14:paraId="46FE2543" w14:textId="77777777" w:rsidR="00581ACA" w:rsidRPr="00581ACA" w:rsidRDefault="00581ACA" w:rsidP="00951501">
            <w:pPr>
              <w:spacing w:before="60" w:after="60"/>
              <w:ind w:right="-109"/>
              <w:jc w:val="left"/>
              <w:rPr>
                <w:b/>
                <w:sz w:val="20"/>
                <w:lang w:val="es-ES"/>
              </w:rPr>
            </w:pPr>
            <w:r w:rsidRPr="00581ACA">
              <w:rPr>
                <w:b/>
                <w:lang w:val="es-ES"/>
              </w:rPr>
              <w:t>DATOS MÁS RECIENTES CON ARREGLO AL ARTÍCULO 7 (anexo F)</w:t>
            </w:r>
          </w:p>
        </w:tc>
        <w:tc>
          <w:tcPr>
            <w:tcW w:w="681" w:type="pct"/>
            <w:shd w:val="clear" w:color="auto" w:fill="auto"/>
            <w:vAlign w:val="center"/>
          </w:tcPr>
          <w:p w14:paraId="1EE84B97" w14:textId="77777777" w:rsidR="00581ACA" w:rsidRPr="00DB2EE6" w:rsidRDefault="00581ACA" w:rsidP="00951501">
            <w:pPr>
              <w:spacing w:before="60" w:after="60"/>
              <w:jc w:val="center"/>
              <w:rPr>
                <w:szCs w:val="24"/>
              </w:rPr>
            </w:pPr>
            <w:r>
              <w:rPr>
                <w:b/>
              </w:rPr>
              <w:t>Año:</w:t>
            </w:r>
            <w:r>
              <w:t xml:space="preserve"> </w:t>
            </w:r>
            <w:r>
              <w:rPr>
                <w:color w:val="000000" w:themeColor="text1"/>
              </w:rPr>
              <w:t>2022</w:t>
            </w:r>
          </w:p>
        </w:tc>
        <w:tc>
          <w:tcPr>
            <w:tcW w:w="530" w:type="pct"/>
            <w:shd w:val="clear" w:color="auto" w:fill="auto"/>
            <w:vAlign w:val="center"/>
          </w:tcPr>
          <w:p w14:paraId="50A8A7F0" w14:textId="77777777" w:rsidR="00581ACA" w:rsidRPr="00DB2EE6" w:rsidRDefault="00581ACA" w:rsidP="00951501">
            <w:pPr>
              <w:spacing w:before="60" w:after="60"/>
              <w:ind w:left="-109"/>
              <w:jc w:val="center"/>
              <w:rPr>
                <w:szCs w:val="24"/>
              </w:rPr>
            </w:pPr>
            <w:r>
              <w:rPr>
                <w:color w:val="000000" w:themeColor="text1"/>
              </w:rPr>
              <w:t>3.618 </w:t>
            </w:r>
            <w:r>
              <w:t>t</w:t>
            </w:r>
          </w:p>
        </w:tc>
        <w:tc>
          <w:tcPr>
            <w:tcW w:w="1516" w:type="pct"/>
            <w:shd w:val="clear" w:color="auto" w:fill="auto"/>
            <w:vAlign w:val="center"/>
          </w:tcPr>
          <w:p w14:paraId="713F71FC" w14:textId="77777777" w:rsidR="00581ACA" w:rsidRPr="00DB2EE6" w:rsidRDefault="00581ACA" w:rsidP="00951501">
            <w:pPr>
              <w:spacing w:before="60" w:after="60"/>
              <w:ind w:left="-110"/>
              <w:jc w:val="center"/>
              <w:rPr>
                <w:szCs w:val="24"/>
              </w:rPr>
            </w:pPr>
            <w:r>
              <w:rPr>
                <w:color w:val="000000" w:themeColor="text1"/>
              </w:rPr>
              <w:t xml:space="preserve">8.647.454 toneladas de </w:t>
            </w:r>
            <w:r>
              <w:t>CO</w:t>
            </w:r>
            <w:r>
              <w:rPr>
                <w:vertAlign w:val="subscript"/>
              </w:rPr>
              <w:t>2</w:t>
            </w:r>
            <w:r>
              <w:t> eq</w:t>
            </w:r>
          </w:p>
        </w:tc>
      </w:tr>
    </w:tbl>
    <w:p w14:paraId="129BAC06" w14:textId="77777777" w:rsidR="00581ACA" w:rsidRPr="009B7C28" w:rsidRDefault="00581ACA" w:rsidP="00581AC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551"/>
        <w:gridCol w:w="2551"/>
      </w:tblGrid>
      <w:tr w:rsidR="00581ACA" w:rsidRPr="00FC6B62" w14:paraId="0271E61A" w14:textId="77777777" w:rsidTr="00951501">
        <w:trPr>
          <w:trHeight w:val="250"/>
          <w:jc w:val="center"/>
        </w:trPr>
        <w:tc>
          <w:tcPr>
            <w:tcW w:w="2272" w:type="pct"/>
            <w:vMerge w:val="restart"/>
            <w:tcBorders>
              <w:top w:val="single" w:sz="4" w:space="0" w:color="auto"/>
              <w:left w:val="single" w:sz="4" w:space="0" w:color="auto"/>
              <w:right w:val="single" w:sz="4" w:space="0" w:color="auto"/>
            </w:tcBorders>
            <w:vAlign w:val="center"/>
          </w:tcPr>
          <w:p w14:paraId="79232490"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szCs w:val="20"/>
                <w:lang w:val="es-ES_tradnl"/>
              </w:rPr>
            </w:pPr>
            <w:r w:rsidRPr="00DA2D41">
              <w:rPr>
                <w:b/>
                <w:sz w:val="20"/>
                <w:lang w:val="es-ES_tradnl"/>
              </w:rPr>
              <w:t>Concepto</w:t>
            </w:r>
          </w:p>
        </w:tc>
        <w:tc>
          <w:tcPr>
            <w:tcW w:w="2728" w:type="pct"/>
            <w:gridSpan w:val="2"/>
            <w:tcBorders>
              <w:top w:val="single" w:sz="4" w:space="0" w:color="auto"/>
              <w:left w:val="single" w:sz="4" w:space="0" w:color="auto"/>
              <w:bottom w:val="single" w:sz="4" w:space="0" w:color="auto"/>
              <w:right w:val="single" w:sz="4" w:space="0" w:color="auto"/>
            </w:tcBorders>
            <w:vAlign w:val="center"/>
          </w:tcPr>
          <w:p w14:paraId="543EA5F7"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Actividades ajenas a la inversión</w:t>
            </w:r>
          </w:p>
        </w:tc>
      </w:tr>
      <w:tr w:rsidR="00581ACA" w:rsidRPr="00FC6B62" w14:paraId="71B8CB1F" w14:textId="77777777" w:rsidTr="00951501">
        <w:trPr>
          <w:trHeight w:val="250"/>
          <w:jc w:val="center"/>
        </w:trPr>
        <w:tc>
          <w:tcPr>
            <w:tcW w:w="2272" w:type="pct"/>
            <w:vMerge/>
            <w:tcBorders>
              <w:left w:val="single" w:sz="4" w:space="0" w:color="auto"/>
              <w:bottom w:val="single" w:sz="4" w:space="0" w:color="auto"/>
              <w:right w:val="single" w:sz="4" w:space="0" w:color="auto"/>
            </w:tcBorders>
            <w:vAlign w:val="center"/>
          </w:tcPr>
          <w:p w14:paraId="6695201A"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szCs w:val="20"/>
                <w:lang w:val="es-ES_tradnl"/>
              </w:rPr>
            </w:pPr>
          </w:p>
        </w:tc>
        <w:tc>
          <w:tcPr>
            <w:tcW w:w="2728" w:type="pct"/>
            <w:gridSpan w:val="2"/>
            <w:tcBorders>
              <w:top w:val="single" w:sz="4" w:space="0" w:color="auto"/>
              <w:left w:val="single" w:sz="4" w:space="0" w:color="auto"/>
              <w:bottom w:val="single" w:sz="4" w:space="0" w:color="auto"/>
              <w:right w:val="single" w:sz="4" w:space="0" w:color="auto"/>
            </w:tcBorders>
            <w:vAlign w:val="center"/>
          </w:tcPr>
          <w:p w14:paraId="01FD692E" w14:textId="068F3301"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 xml:space="preserve">Mantenimiento de </w:t>
            </w:r>
            <w:r w:rsidR="00DA2D41" w:rsidRPr="00DA2D41">
              <w:rPr>
                <w:sz w:val="20"/>
                <w:lang w:val="es-ES_tradnl"/>
              </w:rPr>
              <w:t xml:space="preserve">equipos de </w:t>
            </w:r>
            <w:r w:rsidRPr="00DA2D41">
              <w:rPr>
                <w:sz w:val="20"/>
                <w:lang w:val="es-ES_tradnl"/>
              </w:rPr>
              <w:t>refrigeración y aire acondicionado</w:t>
            </w:r>
          </w:p>
        </w:tc>
      </w:tr>
      <w:tr w:rsidR="00581ACA" w:rsidRPr="00FC6B62" w14:paraId="7A0E0B6B" w14:textId="77777777" w:rsidTr="00951501">
        <w:trPr>
          <w:trHeight w:val="94"/>
          <w:jc w:val="center"/>
        </w:trPr>
        <w:tc>
          <w:tcPr>
            <w:tcW w:w="2272" w:type="pct"/>
            <w:tcBorders>
              <w:top w:val="single" w:sz="4" w:space="0" w:color="auto"/>
              <w:left w:val="single" w:sz="4" w:space="0" w:color="auto"/>
              <w:right w:val="single" w:sz="4" w:space="0" w:color="auto"/>
            </w:tcBorders>
            <w:vAlign w:val="center"/>
          </w:tcPr>
          <w:p w14:paraId="5955540E"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Cs/>
                <w:sz w:val="20"/>
                <w:szCs w:val="20"/>
                <w:lang w:val="es-ES_tradnl"/>
              </w:rPr>
            </w:pPr>
            <w:r w:rsidRPr="00DA2D41">
              <w:rPr>
                <w:sz w:val="20"/>
                <w:lang w:val="es-ES_tradnl"/>
              </w:rPr>
              <w:t>Consumo de HFC en el sector de mantenimiento:</w:t>
            </w:r>
          </w:p>
        </w:tc>
        <w:tc>
          <w:tcPr>
            <w:tcW w:w="2728" w:type="pct"/>
            <w:gridSpan w:val="2"/>
            <w:tcBorders>
              <w:top w:val="single" w:sz="4" w:space="0" w:color="auto"/>
              <w:left w:val="single" w:sz="4" w:space="0" w:color="auto"/>
              <w:right w:val="single" w:sz="4" w:space="0" w:color="auto"/>
            </w:tcBorders>
          </w:tcPr>
          <w:p w14:paraId="39868E4E"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highlight w:val="cyan"/>
                <w:lang w:val="es-ES_tradnl"/>
              </w:rPr>
            </w:pPr>
            <w:r w:rsidRPr="00DA2D41">
              <w:rPr>
                <w:sz w:val="20"/>
                <w:lang w:val="es-ES_tradnl"/>
              </w:rPr>
              <w:t>No se dispone de datos</w:t>
            </w:r>
            <w:r w:rsidRPr="00DA2D41">
              <w:rPr>
                <w:sz w:val="20"/>
                <w:lang w:val="es-ES_tradnl"/>
              </w:rPr>
              <w:br/>
              <w:t>(Se está preparando el plan de ejecución de Kigali para los HFC)</w:t>
            </w:r>
          </w:p>
        </w:tc>
      </w:tr>
      <w:tr w:rsidR="00581ACA" w:rsidRPr="007A7BDA" w14:paraId="0B2C0F1E" w14:textId="77777777" w:rsidTr="00951501">
        <w:trPr>
          <w:trHeight w:val="262"/>
          <w:jc w:val="center"/>
        </w:trPr>
        <w:tc>
          <w:tcPr>
            <w:tcW w:w="2272" w:type="pct"/>
            <w:tcBorders>
              <w:top w:val="single" w:sz="4" w:space="0" w:color="auto"/>
              <w:left w:val="single" w:sz="4" w:space="0" w:color="auto"/>
              <w:bottom w:val="single" w:sz="4" w:space="0" w:color="auto"/>
              <w:right w:val="single" w:sz="4" w:space="0" w:color="auto"/>
            </w:tcBorders>
          </w:tcPr>
          <w:p w14:paraId="07D8F3D9"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Duración del proyecto:</w:t>
            </w:r>
          </w:p>
        </w:tc>
        <w:tc>
          <w:tcPr>
            <w:tcW w:w="1364" w:type="pct"/>
            <w:tcBorders>
              <w:top w:val="single" w:sz="4" w:space="0" w:color="auto"/>
              <w:left w:val="single" w:sz="4" w:space="0" w:color="auto"/>
              <w:bottom w:val="single" w:sz="4" w:space="0" w:color="auto"/>
              <w:right w:val="single" w:sz="4" w:space="0" w:color="auto"/>
            </w:tcBorders>
          </w:tcPr>
          <w:p w14:paraId="290F7592" w14:textId="77777777" w:rsidR="00581ACA" w:rsidRPr="00DA2D41" w:rsidRDefault="00581ACA" w:rsidP="00951501">
            <w:pPr>
              <w:jc w:val="center"/>
              <w:rPr>
                <w:sz w:val="20"/>
                <w:szCs w:val="20"/>
                <w:lang w:val="es-ES_tradnl"/>
              </w:rPr>
            </w:pPr>
            <w:r w:rsidRPr="00DA2D41">
              <w:rPr>
                <w:sz w:val="20"/>
                <w:lang w:val="es-ES_tradnl"/>
              </w:rPr>
              <w:t>meses</w:t>
            </w:r>
          </w:p>
        </w:tc>
        <w:tc>
          <w:tcPr>
            <w:tcW w:w="1364" w:type="pct"/>
            <w:tcBorders>
              <w:top w:val="single" w:sz="4" w:space="0" w:color="auto"/>
              <w:left w:val="single" w:sz="4" w:space="0" w:color="auto"/>
              <w:bottom w:val="single" w:sz="4" w:space="0" w:color="auto"/>
              <w:right w:val="single" w:sz="4" w:space="0" w:color="auto"/>
            </w:tcBorders>
          </w:tcPr>
          <w:p w14:paraId="511E1C2F" w14:textId="77777777" w:rsidR="00581ACA" w:rsidRPr="00DA2D41" w:rsidRDefault="00581ACA" w:rsidP="00951501">
            <w:pPr>
              <w:ind w:right="178"/>
              <w:jc w:val="right"/>
              <w:rPr>
                <w:sz w:val="20"/>
                <w:szCs w:val="20"/>
                <w:lang w:val="es-ES_tradnl"/>
              </w:rPr>
            </w:pPr>
            <w:r w:rsidRPr="00DA2D41">
              <w:rPr>
                <w:sz w:val="20"/>
                <w:lang w:val="es-ES_tradnl"/>
              </w:rPr>
              <w:t>36</w:t>
            </w:r>
          </w:p>
        </w:tc>
      </w:tr>
      <w:tr w:rsidR="00581ACA" w:rsidRPr="007A7BDA" w14:paraId="5D4812E1" w14:textId="77777777" w:rsidTr="00951501">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344CB5C9"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Cantidad inicial solicitada:</w:t>
            </w:r>
          </w:p>
        </w:tc>
        <w:tc>
          <w:tcPr>
            <w:tcW w:w="1364" w:type="pct"/>
            <w:tcBorders>
              <w:top w:val="single" w:sz="4" w:space="0" w:color="auto"/>
              <w:left w:val="single" w:sz="4" w:space="0" w:color="auto"/>
              <w:bottom w:val="single" w:sz="4" w:space="0" w:color="auto"/>
              <w:right w:val="single" w:sz="4" w:space="0" w:color="auto"/>
            </w:tcBorders>
          </w:tcPr>
          <w:p w14:paraId="7DE6A939"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$EUA</w:t>
            </w:r>
          </w:p>
        </w:tc>
        <w:tc>
          <w:tcPr>
            <w:tcW w:w="1364" w:type="pct"/>
            <w:tcBorders>
              <w:top w:val="single" w:sz="4" w:space="0" w:color="auto"/>
              <w:left w:val="single" w:sz="4" w:space="0" w:color="auto"/>
              <w:bottom w:val="single" w:sz="4" w:space="0" w:color="auto"/>
              <w:right w:val="single" w:sz="4" w:space="0" w:color="auto"/>
            </w:tcBorders>
          </w:tcPr>
          <w:p w14:paraId="14F6DB4F"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highlight w:val="cyan"/>
                <w:lang w:val="es-ES_tradnl"/>
              </w:rPr>
            </w:pPr>
            <w:r w:rsidRPr="00DA2D41">
              <w:rPr>
                <w:sz w:val="20"/>
                <w:lang w:val="es-ES_tradnl"/>
              </w:rPr>
              <w:t>5.130.000</w:t>
            </w:r>
          </w:p>
        </w:tc>
      </w:tr>
      <w:tr w:rsidR="00581ACA" w:rsidRPr="007A7BDA" w14:paraId="11AB4C72" w14:textId="77777777" w:rsidTr="00951501">
        <w:trPr>
          <w:trHeight w:val="262"/>
          <w:jc w:val="center"/>
        </w:trPr>
        <w:tc>
          <w:tcPr>
            <w:tcW w:w="2272" w:type="pct"/>
            <w:tcBorders>
              <w:top w:val="single" w:sz="4" w:space="0" w:color="auto"/>
              <w:left w:val="single" w:sz="4" w:space="0" w:color="auto"/>
              <w:bottom w:val="single" w:sz="4" w:space="0" w:color="auto"/>
              <w:right w:val="single" w:sz="4" w:space="0" w:color="auto"/>
            </w:tcBorders>
          </w:tcPr>
          <w:p w14:paraId="31092FE2"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Costo final del proyecto:</w:t>
            </w:r>
          </w:p>
        </w:tc>
        <w:tc>
          <w:tcPr>
            <w:tcW w:w="1364" w:type="pct"/>
            <w:tcBorders>
              <w:top w:val="single" w:sz="4" w:space="0" w:color="auto"/>
              <w:left w:val="single" w:sz="4" w:space="0" w:color="auto"/>
              <w:bottom w:val="single" w:sz="4" w:space="0" w:color="auto"/>
              <w:right w:val="single" w:sz="4" w:space="0" w:color="auto"/>
            </w:tcBorders>
          </w:tcPr>
          <w:p w14:paraId="487ECB64" w14:textId="77777777" w:rsidR="00581ACA" w:rsidRPr="00DA2D41" w:rsidRDefault="00581ACA" w:rsidP="00951501">
            <w:pPr>
              <w:pStyle w:val="Footer1"/>
              <w:spacing w:after="0"/>
              <w:jc w:val="center"/>
              <w:rPr>
                <w:rFonts w:ascii="Times New Roman" w:hAnsi="Times New Roman" w:cs="Times New Roman"/>
                <w:lang w:val="es-ES_tradnl"/>
              </w:rPr>
            </w:pPr>
            <w:r w:rsidRPr="00DA2D41">
              <w:rPr>
                <w:rFonts w:ascii="Times New Roman" w:hAnsi="Times New Roman"/>
                <w:lang w:val="es-ES_tradnl"/>
              </w:rPr>
              <w:t>$EUA</w:t>
            </w:r>
          </w:p>
        </w:tc>
        <w:tc>
          <w:tcPr>
            <w:tcW w:w="1364" w:type="pct"/>
            <w:tcBorders>
              <w:top w:val="single" w:sz="4" w:space="0" w:color="auto"/>
              <w:left w:val="single" w:sz="4" w:space="0" w:color="auto"/>
              <w:bottom w:val="single" w:sz="4" w:space="0" w:color="auto"/>
              <w:right w:val="single" w:sz="4" w:space="0" w:color="auto"/>
            </w:tcBorders>
          </w:tcPr>
          <w:p w14:paraId="434D9072" w14:textId="77777777" w:rsidR="00581ACA" w:rsidRPr="00DA2D41" w:rsidRDefault="00581ACA" w:rsidP="00951501">
            <w:pPr>
              <w:pStyle w:val="Footer1"/>
              <w:spacing w:after="0"/>
              <w:ind w:right="178"/>
              <w:jc w:val="right"/>
              <w:rPr>
                <w:rFonts w:ascii="Times New Roman" w:hAnsi="Times New Roman" w:cs="Times New Roman"/>
                <w:lang w:val="es-ES_tradnl"/>
              </w:rPr>
            </w:pPr>
            <w:r w:rsidRPr="00DA2D41">
              <w:rPr>
                <w:rFonts w:ascii="Times New Roman" w:hAnsi="Times New Roman"/>
                <w:lang w:val="es-ES_tradnl"/>
              </w:rPr>
              <w:t>1.120.000</w:t>
            </w:r>
          </w:p>
        </w:tc>
      </w:tr>
      <w:tr w:rsidR="00581ACA" w:rsidRPr="007A7BDA" w14:paraId="22CD0A95" w14:textId="77777777" w:rsidTr="00951501">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73A05B85"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Subvención solicitada:</w:t>
            </w:r>
          </w:p>
        </w:tc>
        <w:tc>
          <w:tcPr>
            <w:tcW w:w="1364" w:type="pct"/>
            <w:tcBorders>
              <w:top w:val="single" w:sz="4" w:space="0" w:color="auto"/>
              <w:left w:val="single" w:sz="4" w:space="0" w:color="auto"/>
              <w:bottom w:val="single" w:sz="4" w:space="0" w:color="auto"/>
              <w:right w:val="single" w:sz="4" w:space="0" w:color="auto"/>
            </w:tcBorders>
          </w:tcPr>
          <w:p w14:paraId="69E400AA"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$EUA</w:t>
            </w:r>
          </w:p>
        </w:tc>
        <w:tc>
          <w:tcPr>
            <w:tcW w:w="1364" w:type="pct"/>
            <w:tcBorders>
              <w:top w:val="single" w:sz="4" w:space="0" w:color="auto"/>
              <w:left w:val="single" w:sz="4" w:space="0" w:color="auto"/>
              <w:bottom w:val="single" w:sz="4" w:space="0" w:color="auto"/>
              <w:right w:val="single" w:sz="4" w:space="0" w:color="auto"/>
            </w:tcBorders>
          </w:tcPr>
          <w:p w14:paraId="6AFA63A1"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es-ES_tradnl"/>
              </w:rPr>
            </w:pPr>
            <w:r w:rsidRPr="00DA2D41">
              <w:rPr>
                <w:sz w:val="20"/>
                <w:lang w:val="es-ES_tradnl"/>
              </w:rPr>
              <w:t>1.120.000</w:t>
            </w:r>
          </w:p>
        </w:tc>
      </w:tr>
      <w:tr w:rsidR="00581ACA" w:rsidRPr="007A7BDA" w14:paraId="6CF9A3A0" w14:textId="77777777" w:rsidTr="00951501">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2F1BA99B"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Gastos de apoyo del organismo de ejecución:</w:t>
            </w:r>
          </w:p>
        </w:tc>
        <w:tc>
          <w:tcPr>
            <w:tcW w:w="1364" w:type="pct"/>
            <w:tcBorders>
              <w:top w:val="single" w:sz="4" w:space="0" w:color="auto"/>
              <w:left w:val="single" w:sz="4" w:space="0" w:color="auto"/>
              <w:bottom w:val="single" w:sz="4" w:space="0" w:color="auto"/>
              <w:right w:val="single" w:sz="4" w:space="0" w:color="auto"/>
            </w:tcBorders>
          </w:tcPr>
          <w:p w14:paraId="534670FB"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$EUA</w:t>
            </w:r>
          </w:p>
        </w:tc>
        <w:tc>
          <w:tcPr>
            <w:tcW w:w="1364" w:type="pct"/>
            <w:tcBorders>
              <w:top w:val="single" w:sz="4" w:space="0" w:color="auto"/>
              <w:left w:val="single" w:sz="4" w:space="0" w:color="auto"/>
              <w:bottom w:val="single" w:sz="4" w:space="0" w:color="auto"/>
              <w:right w:val="single" w:sz="4" w:space="0" w:color="auto"/>
            </w:tcBorders>
          </w:tcPr>
          <w:p w14:paraId="50692693"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es-ES_tradnl"/>
              </w:rPr>
            </w:pPr>
            <w:r w:rsidRPr="00DA2D41">
              <w:rPr>
                <w:sz w:val="20"/>
                <w:lang w:val="es-ES_tradnl"/>
              </w:rPr>
              <w:t>78.400</w:t>
            </w:r>
          </w:p>
        </w:tc>
      </w:tr>
      <w:tr w:rsidR="00581ACA" w:rsidRPr="007A7BDA" w14:paraId="4F525629" w14:textId="77777777" w:rsidTr="00951501">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4007233E"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Costo total del proyecto para el Fondo Multilateral:</w:t>
            </w:r>
          </w:p>
        </w:tc>
        <w:tc>
          <w:tcPr>
            <w:tcW w:w="1364" w:type="pct"/>
            <w:tcBorders>
              <w:top w:val="single" w:sz="4" w:space="0" w:color="auto"/>
              <w:left w:val="single" w:sz="4" w:space="0" w:color="auto"/>
              <w:bottom w:val="single" w:sz="4" w:space="0" w:color="auto"/>
              <w:right w:val="single" w:sz="4" w:space="0" w:color="auto"/>
            </w:tcBorders>
          </w:tcPr>
          <w:p w14:paraId="6CDFCD93"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$EUA</w:t>
            </w:r>
          </w:p>
        </w:tc>
        <w:tc>
          <w:tcPr>
            <w:tcW w:w="1364" w:type="pct"/>
            <w:tcBorders>
              <w:top w:val="single" w:sz="4" w:space="0" w:color="auto"/>
              <w:left w:val="single" w:sz="4" w:space="0" w:color="auto"/>
              <w:bottom w:val="single" w:sz="4" w:space="0" w:color="auto"/>
              <w:right w:val="single" w:sz="4" w:space="0" w:color="auto"/>
            </w:tcBorders>
          </w:tcPr>
          <w:p w14:paraId="60DE6840"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es-ES_tradnl"/>
              </w:rPr>
            </w:pPr>
            <w:r w:rsidRPr="00DA2D41">
              <w:rPr>
                <w:sz w:val="20"/>
                <w:lang w:val="es-ES_tradnl"/>
              </w:rPr>
              <w:t>1.198.400</w:t>
            </w:r>
          </w:p>
        </w:tc>
      </w:tr>
      <w:tr w:rsidR="00581ACA" w:rsidRPr="00FF795F" w14:paraId="599396A5" w14:textId="77777777" w:rsidTr="00951501">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24C046DA"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Ahorros de eficiencia energética:</w:t>
            </w:r>
          </w:p>
        </w:tc>
        <w:tc>
          <w:tcPr>
            <w:tcW w:w="1364" w:type="pct"/>
            <w:tcBorders>
              <w:top w:val="single" w:sz="4" w:space="0" w:color="auto"/>
              <w:left w:val="single" w:sz="4" w:space="0" w:color="auto"/>
              <w:bottom w:val="single" w:sz="4" w:space="0" w:color="auto"/>
              <w:right w:val="single" w:sz="4" w:space="0" w:color="auto"/>
            </w:tcBorders>
          </w:tcPr>
          <w:p w14:paraId="7F6AD882"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KWh/año</w:t>
            </w:r>
          </w:p>
        </w:tc>
        <w:tc>
          <w:tcPr>
            <w:tcW w:w="1364" w:type="pct"/>
            <w:tcBorders>
              <w:top w:val="single" w:sz="4" w:space="0" w:color="auto"/>
              <w:left w:val="single" w:sz="4" w:space="0" w:color="auto"/>
              <w:bottom w:val="single" w:sz="4" w:space="0" w:color="auto"/>
              <w:right w:val="single" w:sz="4" w:space="0" w:color="auto"/>
            </w:tcBorders>
          </w:tcPr>
          <w:p w14:paraId="4100DFB9"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es-ES_tradnl"/>
              </w:rPr>
            </w:pPr>
            <w:r w:rsidRPr="00DA2D41">
              <w:rPr>
                <w:sz w:val="20"/>
                <w:lang w:val="es-ES_tradnl"/>
              </w:rPr>
              <w:t>1.730.726</w:t>
            </w:r>
          </w:p>
        </w:tc>
      </w:tr>
      <w:tr w:rsidR="00581ACA" w:rsidRPr="007A7BDA" w14:paraId="3FB75D72" w14:textId="77777777" w:rsidTr="00951501">
        <w:trPr>
          <w:trHeight w:val="239"/>
          <w:jc w:val="center"/>
        </w:trPr>
        <w:tc>
          <w:tcPr>
            <w:tcW w:w="2272" w:type="pct"/>
            <w:tcBorders>
              <w:top w:val="single" w:sz="4" w:space="0" w:color="auto"/>
              <w:left w:val="single" w:sz="4" w:space="0" w:color="auto"/>
              <w:bottom w:val="single" w:sz="4" w:space="0" w:color="auto"/>
              <w:right w:val="single" w:sz="4" w:space="0" w:color="auto"/>
            </w:tcBorders>
          </w:tcPr>
          <w:p w14:paraId="0E071B00"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Financiación de contraparte:</w:t>
            </w:r>
          </w:p>
        </w:tc>
        <w:tc>
          <w:tcPr>
            <w:tcW w:w="1364" w:type="pct"/>
            <w:tcBorders>
              <w:top w:val="single" w:sz="4" w:space="0" w:color="auto"/>
              <w:left w:val="single" w:sz="4" w:space="0" w:color="auto"/>
              <w:bottom w:val="single" w:sz="4" w:space="0" w:color="auto"/>
              <w:right w:val="single" w:sz="4" w:space="0" w:color="auto"/>
            </w:tcBorders>
          </w:tcPr>
          <w:p w14:paraId="41A3876C"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Sí/no</w:t>
            </w:r>
          </w:p>
        </w:tc>
        <w:tc>
          <w:tcPr>
            <w:tcW w:w="1364" w:type="pct"/>
            <w:tcBorders>
              <w:top w:val="single" w:sz="4" w:space="0" w:color="auto"/>
              <w:left w:val="single" w:sz="4" w:space="0" w:color="auto"/>
              <w:bottom w:val="single" w:sz="4" w:space="0" w:color="auto"/>
              <w:right w:val="single" w:sz="4" w:space="0" w:color="auto"/>
            </w:tcBorders>
          </w:tcPr>
          <w:p w14:paraId="398F0B75"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es-ES_tradnl"/>
              </w:rPr>
            </w:pPr>
            <w:r w:rsidRPr="00DA2D41">
              <w:rPr>
                <w:sz w:val="20"/>
                <w:lang w:val="es-ES_tradnl"/>
              </w:rPr>
              <w:t>Sí</w:t>
            </w:r>
          </w:p>
        </w:tc>
      </w:tr>
      <w:tr w:rsidR="00581ACA" w:rsidRPr="007A7BDA" w14:paraId="2B8C503A" w14:textId="77777777" w:rsidTr="00951501">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7888C55D"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szCs w:val="20"/>
                <w:lang w:val="es-ES_tradnl"/>
              </w:rPr>
            </w:pPr>
            <w:r w:rsidRPr="00DA2D41">
              <w:rPr>
                <w:sz w:val="20"/>
                <w:lang w:val="es-ES_tradnl"/>
              </w:rPr>
              <w:t>Incluye hitos de seguimiento del proyecto:</w:t>
            </w:r>
          </w:p>
        </w:tc>
        <w:tc>
          <w:tcPr>
            <w:tcW w:w="1364" w:type="pct"/>
            <w:tcBorders>
              <w:top w:val="single" w:sz="4" w:space="0" w:color="auto"/>
              <w:left w:val="single" w:sz="4" w:space="0" w:color="auto"/>
              <w:bottom w:val="single" w:sz="4" w:space="0" w:color="auto"/>
              <w:right w:val="single" w:sz="4" w:space="0" w:color="auto"/>
            </w:tcBorders>
          </w:tcPr>
          <w:p w14:paraId="320870A7"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Sí/no</w:t>
            </w:r>
          </w:p>
        </w:tc>
        <w:tc>
          <w:tcPr>
            <w:tcW w:w="1364" w:type="pct"/>
            <w:tcBorders>
              <w:top w:val="single" w:sz="4" w:space="0" w:color="auto"/>
              <w:left w:val="single" w:sz="4" w:space="0" w:color="auto"/>
              <w:bottom w:val="single" w:sz="4" w:space="0" w:color="auto"/>
              <w:right w:val="single" w:sz="4" w:space="0" w:color="auto"/>
            </w:tcBorders>
          </w:tcPr>
          <w:p w14:paraId="08D697DB"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lang w:val="es-ES_tradnl"/>
              </w:rPr>
            </w:pPr>
            <w:r w:rsidRPr="00DA2D41">
              <w:rPr>
                <w:sz w:val="20"/>
                <w:lang w:val="es-ES_tradnl"/>
              </w:rPr>
              <w:t>Sí</w:t>
            </w:r>
          </w:p>
        </w:tc>
      </w:tr>
      <w:tr w:rsidR="00581ACA" w:rsidRPr="007A7BDA" w14:paraId="0FA0D231" w14:textId="77777777" w:rsidTr="00951501">
        <w:trPr>
          <w:trHeight w:val="250"/>
          <w:jc w:val="center"/>
        </w:trPr>
        <w:tc>
          <w:tcPr>
            <w:tcW w:w="2272" w:type="pct"/>
            <w:tcBorders>
              <w:top w:val="single" w:sz="4" w:space="0" w:color="auto"/>
              <w:left w:val="single" w:sz="4" w:space="0" w:color="auto"/>
              <w:bottom w:val="single" w:sz="4" w:space="0" w:color="auto"/>
              <w:right w:val="single" w:sz="4" w:space="0" w:color="auto"/>
            </w:tcBorders>
          </w:tcPr>
          <w:p w14:paraId="40EE863B"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szCs w:val="20"/>
                <w:lang w:val="es-ES_tradnl"/>
              </w:rPr>
            </w:pPr>
            <w:r w:rsidRPr="00DA2D41">
              <w:rPr>
                <w:sz w:val="20"/>
                <w:lang w:val="es-ES_tradnl"/>
              </w:rPr>
              <w:t>Existen estándares mínimos de eficiencia energética para el sector:</w:t>
            </w:r>
          </w:p>
        </w:tc>
        <w:tc>
          <w:tcPr>
            <w:tcW w:w="1364" w:type="pct"/>
            <w:tcBorders>
              <w:top w:val="single" w:sz="4" w:space="0" w:color="auto"/>
              <w:left w:val="single" w:sz="4" w:space="0" w:color="auto"/>
              <w:bottom w:val="single" w:sz="4" w:space="0" w:color="auto"/>
              <w:right w:val="single" w:sz="4" w:space="0" w:color="auto"/>
            </w:tcBorders>
          </w:tcPr>
          <w:p w14:paraId="19A05203"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lang w:val="es-ES_tradnl"/>
              </w:rPr>
            </w:pPr>
            <w:r w:rsidRPr="00DA2D41">
              <w:rPr>
                <w:sz w:val="20"/>
                <w:lang w:val="es-ES_tradnl"/>
              </w:rPr>
              <w:t>Sí/no</w:t>
            </w:r>
          </w:p>
        </w:tc>
        <w:tc>
          <w:tcPr>
            <w:tcW w:w="1364" w:type="pct"/>
            <w:tcBorders>
              <w:top w:val="single" w:sz="4" w:space="0" w:color="auto"/>
              <w:left w:val="single" w:sz="4" w:space="0" w:color="auto"/>
              <w:bottom w:val="single" w:sz="4" w:space="0" w:color="auto"/>
              <w:right w:val="single" w:sz="4" w:space="0" w:color="auto"/>
            </w:tcBorders>
          </w:tcPr>
          <w:p w14:paraId="367708FE"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ind w:right="178"/>
              <w:jc w:val="right"/>
              <w:rPr>
                <w:sz w:val="20"/>
                <w:szCs w:val="20"/>
                <w:highlight w:val="cyan"/>
                <w:lang w:val="es-ES_tradnl"/>
              </w:rPr>
            </w:pPr>
            <w:r w:rsidRPr="00DA2D41">
              <w:rPr>
                <w:sz w:val="20"/>
                <w:lang w:val="es-ES_tradnl"/>
              </w:rPr>
              <w:t>Sí</w:t>
            </w:r>
          </w:p>
        </w:tc>
      </w:tr>
    </w:tbl>
    <w:p w14:paraId="27AC5414" w14:textId="77777777" w:rsidR="00581ACA" w:rsidRPr="009B7C28" w:rsidRDefault="00581ACA" w:rsidP="00581AC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8"/>
        <w:gridCol w:w="3402"/>
      </w:tblGrid>
      <w:tr w:rsidR="00581ACA" w:rsidRPr="00023835" w14:paraId="27EA5ABF" w14:textId="77777777" w:rsidTr="00DA2D41">
        <w:trPr>
          <w:trHeight w:val="296"/>
          <w:jc w:val="center"/>
        </w:trPr>
        <w:tc>
          <w:tcPr>
            <w:tcW w:w="3181" w:type="pct"/>
            <w:tcBorders>
              <w:top w:val="single" w:sz="4" w:space="0" w:color="auto"/>
              <w:left w:val="single" w:sz="4" w:space="0" w:color="auto"/>
              <w:bottom w:val="single" w:sz="4" w:space="0" w:color="auto"/>
              <w:right w:val="single" w:sz="4" w:space="0" w:color="auto"/>
            </w:tcBorders>
          </w:tcPr>
          <w:p w14:paraId="19225889" w14:textId="77777777" w:rsidR="00581ACA" w:rsidRPr="00023835"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6" w:lineRule="auto"/>
              <w:rPr>
                <w:b/>
                <w:sz w:val="20"/>
              </w:rPr>
            </w:pPr>
            <w:r>
              <w:rPr>
                <w:b/>
                <w:sz w:val="20"/>
              </w:rPr>
              <w:t>RECOMENDACIÓN DE LA SECRETARÍA</w:t>
            </w:r>
          </w:p>
        </w:tc>
        <w:tc>
          <w:tcPr>
            <w:tcW w:w="1819" w:type="pct"/>
            <w:tcBorders>
              <w:top w:val="single" w:sz="4" w:space="0" w:color="auto"/>
              <w:left w:val="single" w:sz="4" w:space="0" w:color="auto"/>
              <w:bottom w:val="single" w:sz="4" w:space="0" w:color="auto"/>
              <w:right w:val="single" w:sz="4" w:space="0" w:color="auto"/>
            </w:tcBorders>
          </w:tcPr>
          <w:p w14:paraId="55AB4E5E" w14:textId="77777777" w:rsidR="00581ACA" w:rsidRPr="00DA2D41" w:rsidRDefault="00581ACA" w:rsidP="0095150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6" w:lineRule="auto"/>
              <w:jc w:val="center"/>
              <w:rPr>
                <w:sz w:val="20"/>
                <w:lang w:val="es-ES_tradnl"/>
              </w:rPr>
            </w:pPr>
            <w:r w:rsidRPr="00DA2D41">
              <w:rPr>
                <w:sz w:val="20"/>
                <w:lang w:val="es-ES_tradnl"/>
              </w:rPr>
              <w:t>Para su consideración individual</w:t>
            </w:r>
          </w:p>
        </w:tc>
      </w:tr>
    </w:tbl>
    <w:p w14:paraId="64A808C2" w14:textId="77777777" w:rsidR="00581ACA" w:rsidRPr="009B7C28" w:rsidRDefault="00581ACA" w:rsidP="00581ACA"/>
    <w:p w14:paraId="1D64DD3C" w14:textId="77777777" w:rsidR="00581ACA" w:rsidRPr="009B7C28" w:rsidRDefault="00581ACA" w:rsidP="00581ACA">
      <w:r>
        <w:br w:type="page"/>
      </w:r>
    </w:p>
    <w:p w14:paraId="418809B5" w14:textId="77777777" w:rsidR="00581ACA" w:rsidRPr="00581ACA" w:rsidRDefault="00581ACA" w:rsidP="00581ACA">
      <w:pPr>
        <w:jc w:val="center"/>
        <w:rPr>
          <w:b/>
          <w:sz w:val="24"/>
          <w:szCs w:val="24"/>
          <w:lang w:val="es-ES"/>
        </w:rPr>
      </w:pPr>
      <w:r w:rsidRPr="00581ACA">
        <w:rPr>
          <w:b/>
          <w:sz w:val="24"/>
          <w:lang w:val="es-ES"/>
        </w:rPr>
        <w:lastRenderedPageBreak/>
        <w:t>ESTRATEGIA DE EFICIENCIA ENERGÉTICA DEL</w:t>
      </w:r>
      <w:r w:rsidRPr="00581ACA">
        <w:rPr>
          <w:b/>
          <w:sz w:val="24"/>
          <w:lang w:val="es-ES"/>
        </w:rPr>
        <w:br/>
        <w:t>PLAN DE EJECUCIÓN DE KIGALI PARA LOS HFC</w:t>
      </w:r>
    </w:p>
    <w:p w14:paraId="1AE94677" w14:textId="77777777" w:rsidR="00581ACA" w:rsidRDefault="00581ACA" w:rsidP="00581ACA">
      <w:pPr>
        <w:widowControl w:val="0"/>
        <w:tabs>
          <w:tab w:val="left" w:pos="2880"/>
          <w:tab w:val="left" w:pos="5760"/>
        </w:tabs>
        <w:spacing w:before="240" w:after="240"/>
        <w:jc w:val="center"/>
        <w:rPr>
          <w:b/>
        </w:rPr>
      </w:pPr>
      <w:r>
        <w:rPr>
          <w:b/>
        </w:rPr>
        <w:t>DESCRIPCIÓN DEL PROYECTO</w:t>
      </w:r>
    </w:p>
    <w:p w14:paraId="0240F151" w14:textId="77777777" w:rsidR="00581ACA" w:rsidRPr="00DA2D41" w:rsidRDefault="00581ACA" w:rsidP="00581ACA">
      <w:pPr>
        <w:spacing w:after="240"/>
        <w:rPr>
          <w:b/>
          <w:lang w:val="es-ES_tradnl"/>
        </w:rPr>
      </w:pPr>
      <w:r w:rsidRPr="00DA2D41">
        <w:rPr>
          <w:b/>
          <w:lang w:val="es-ES_tradnl"/>
        </w:rPr>
        <w:t>Antecedentes</w:t>
      </w:r>
    </w:p>
    <w:p w14:paraId="107658BE" w14:textId="77777777" w:rsidR="00581ACA" w:rsidRPr="00581ACA" w:rsidRDefault="00581ACA" w:rsidP="00581ACA">
      <w:pPr>
        <w:pStyle w:val="Heading1"/>
        <w:rPr>
          <w:lang w:val="es-ES"/>
        </w:rPr>
      </w:pPr>
      <w:r w:rsidRPr="00581ACA">
        <w:rPr>
          <w:lang w:val="es-ES"/>
        </w:rPr>
        <w:t xml:space="preserve">La ONUDI ha presentado, en nombre del Gobierno de Sudáfrica y en línea con la decisión 91/65, una solicitud para un </w:t>
      </w:r>
      <w:bookmarkStart w:id="1" w:name="_Hlk148535980"/>
      <w:r w:rsidRPr="00581ACA">
        <w:rPr>
          <w:lang w:val="es-ES"/>
        </w:rPr>
        <w:t>proyecto piloto destinado a mantener o mejorar la eficiencia energética de las tecnologías y los equipos de sustitución en el contexto de la reducción de los HFC</w:t>
      </w:r>
      <w:bookmarkEnd w:id="1"/>
      <w:r w:rsidRPr="00581ACA">
        <w:rPr>
          <w:lang w:val="es-ES"/>
        </w:rPr>
        <w:t xml:space="preserve"> por un monto de 5.130.000 $EUA, más unos gastos de apoyo de los organismos de 359.100 $EUA, de acuerdo con la comunicación inicial</w:t>
      </w:r>
      <w:r>
        <w:rPr>
          <w:rStyle w:val="FootnoteReference"/>
        </w:rPr>
        <w:footnoteReference w:id="2"/>
      </w:r>
      <w:r w:rsidRPr="00581ACA">
        <w:rPr>
          <w:lang w:val="es-ES"/>
        </w:rPr>
        <w:t>.</w:t>
      </w:r>
    </w:p>
    <w:p w14:paraId="273719DD" w14:textId="77777777" w:rsidR="00581ACA" w:rsidRPr="00581ACA" w:rsidRDefault="00581ACA" w:rsidP="00581ACA">
      <w:pPr>
        <w:keepNext/>
        <w:keepLines/>
        <w:spacing w:after="240"/>
        <w:rPr>
          <w:b/>
          <w:bCs/>
          <w:lang w:val="es-ES"/>
        </w:rPr>
      </w:pPr>
      <w:r w:rsidRPr="00581ACA">
        <w:rPr>
          <w:b/>
          <w:lang w:val="es-ES"/>
        </w:rPr>
        <w:t>Proyecto piloto de eficiencia energética</w:t>
      </w:r>
    </w:p>
    <w:p w14:paraId="07E7FD8B" w14:textId="77777777" w:rsidR="00581ACA" w:rsidRPr="00581ACA" w:rsidRDefault="00581ACA" w:rsidP="00581ACA">
      <w:pPr>
        <w:pStyle w:val="Heading1"/>
        <w:numPr>
          <w:ilvl w:val="0"/>
          <w:numId w:val="0"/>
        </w:numPr>
        <w:rPr>
          <w:u w:val="single"/>
          <w:lang w:val="es-ES"/>
        </w:rPr>
      </w:pPr>
      <w:r w:rsidRPr="00581ACA">
        <w:rPr>
          <w:u w:val="single"/>
          <w:lang w:val="es-ES"/>
        </w:rPr>
        <w:t>Marcos institucional, de criterios y legislativo</w:t>
      </w:r>
    </w:p>
    <w:p w14:paraId="69F67132" w14:textId="7866C5C8" w:rsidR="00581ACA" w:rsidRPr="00581ACA" w:rsidRDefault="00581ACA" w:rsidP="00581ACA">
      <w:pPr>
        <w:pStyle w:val="Heading1"/>
        <w:rPr>
          <w:lang w:val="es-ES"/>
        </w:rPr>
      </w:pPr>
      <w:r w:rsidRPr="00581ACA">
        <w:rPr>
          <w:lang w:val="es-ES"/>
        </w:rPr>
        <w:t xml:space="preserve">El Gobierno de Sudáfrica ratificó la Enmienda de Kigali el 1 de agosto de 2019. El Ministerio de Recursos Minerales y Energía es el órgano responsable de las cuestiones energéticas en el país. Su Libro Blanco de la Energía (1998) sienta las bases para mejorar la eficiencia energética en el país, mientras que la Ley Nacional de la Energía 33 (2008), entre otras cosas, faculta al Ministerio para establecer unos niveles mínimos de eficiencia energética en cada sector </w:t>
      </w:r>
      <w:r w:rsidR="00DA2D41">
        <w:rPr>
          <w:lang w:val="es-ES"/>
        </w:rPr>
        <w:t>económico</w:t>
      </w:r>
      <w:r w:rsidRPr="00581ACA">
        <w:rPr>
          <w:lang w:val="es-ES"/>
        </w:rPr>
        <w:t>; define procedimientos para la aplicación de tecnologías energéticamente eficientes; prescribe sistemas de etiquetado de eficiencia energética para electrodomésticos, dispositivos y vehículos de motor; prohíbe la fabricación, importación o ventas de productos eléctricos y electrónicos, así como de aparatos de combustión con una baja eficiencia energética; y establece estándares de eficiencia energética para determinadas tecnologías, procesos, electrodomésticos, dispositivos, vehículos de motor y edificios.</w:t>
      </w:r>
    </w:p>
    <w:p w14:paraId="2E6171BE" w14:textId="77777777" w:rsidR="00581ACA" w:rsidRPr="00581ACA" w:rsidRDefault="00581ACA" w:rsidP="00581ACA">
      <w:pPr>
        <w:pStyle w:val="Heading1"/>
        <w:rPr>
          <w:lang w:val="es-ES"/>
        </w:rPr>
      </w:pPr>
      <w:r w:rsidRPr="00581ACA">
        <w:rPr>
          <w:lang w:val="es-ES"/>
        </w:rPr>
        <w:t xml:space="preserve">En 2016 entraron en vigor los estándares mínimos de eficiencia energética para aparatos de aire acondicionado de tipo </w:t>
      </w:r>
      <w:r w:rsidRPr="00581ACA">
        <w:rPr>
          <w:i/>
          <w:iCs/>
          <w:lang w:val="es-ES"/>
        </w:rPr>
        <w:t>split</w:t>
      </w:r>
      <w:r w:rsidRPr="00581ACA">
        <w:rPr>
          <w:lang w:val="es-ES"/>
        </w:rPr>
        <w:t xml:space="preserve"> con una capacidad de refrigeración de hasta 7,1 kW, refrigeradores y congeladores mediante la promulgación de las normas nacionales sudafricanas (SANS), que se complementaron con programas de concienciación, directivas para aumentar las tasas de cumplimiento y revisiones que se introdujeron en 2020. Si bien este programa es el más exhaustivo de la región, no incluye estándares para grandes sistemas centralizados, enfriadores ni equipos industriales.</w:t>
      </w:r>
    </w:p>
    <w:p w14:paraId="6B55530C" w14:textId="315DAD5B" w:rsidR="00581ACA" w:rsidRPr="00581ACA" w:rsidRDefault="00581ACA" w:rsidP="00581ACA">
      <w:pPr>
        <w:pStyle w:val="Heading1"/>
        <w:keepNext/>
        <w:rPr>
          <w:u w:val="single"/>
          <w:lang w:val="es-ES"/>
        </w:rPr>
      </w:pPr>
      <w:r w:rsidRPr="00581ACA">
        <w:rPr>
          <w:lang w:val="es-ES"/>
        </w:rPr>
        <w:t xml:space="preserve">El Gobierno ha establecido varias normas nacionales para fomentar la gestión de la energía, entre ellas la SANS 10400-XA, que establece los requisitos </w:t>
      </w:r>
      <w:r w:rsidR="00DA2D41">
        <w:rPr>
          <w:lang w:val="es-ES"/>
        </w:rPr>
        <w:t>d</w:t>
      </w:r>
      <w:r w:rsidRPr="00581ACA">
        <w:rPr>
          <w:lang w:val="es-ES"/>
        </w:rPr>
        <w:t xml:space="preserve">el consumo y </w:t>
      </w:r>
      <w:r w:rsidR="00DA2D41">
        <w:rPr>
          <w:lang w:val="es-ES"/>
        </w:rPr>
        <w:t xml:space="preserve">la </w:t>
      </w:r>
      <w:r w:rsidRPr="00581ACA">
        <w:rPr>
          <w:lang w:val="es-ES"/>
        </w:rPr>
        <w:t xml:space="preserve">demanda máximos anuales por metro cuadrado </w:t>
      </w:r>
      <w:r w:rsidR="00DA2D41">
        <w:rPr>
          <w:lang w:val="es-ES"/>
        </w:rPr>
        <w:t>de</w:t>
      </w:r>
      <w:r w:rsidRPr="00581ACA">
        <w:rPr>
          <w:lang w:val="es-ES"/>
        </w:rPr>
        <w:t xml:space="preserve"> los edificios. Aunque la aplicación de esta normativa ha impulsado algunas reformas en edificios, la</w:t>
      </w:r>
      <w:r w:rsidR="00DA2D41">
        <w:rPr>
          <w:lang w:val="es-ES"/>
        </w:rPr>
        <w:t>s</w:t>
      </w:r>
      <w:r w:rsidRPr="00581ACA">
        <w:rPr>
          <w:lang w:val="es-ES"/>
        </w:rPr>
        <w:t xml:space="preserve"> limita</w:t>
      </w:r>
      <w:r w:rsidR="00DA2D41">
        <w:rPr>
          <w:lang w:val="es-ES"/>
        </w:rPr>
        <w:t>ciones en cuanto a</w:t>
      </w:r>
      <w:r w:rsidRPr="00581ACA">
        <w:rPr>
          <w:lang w:val="es-ES"/>
        </w:rPr>
        <w:t xml:space="preserve"> capacidad y </w:t>
      </w:r>
      <w:r w:rsidR="00DA2D41">
        <w:rPr>
          <w:lang w:val="es-ES"/>
        </w:rPr>
        <w:t>destrezas</w:t>
      </w:r>
      <w:r w:rsidRPr="00581ACA">
        <w:rPr>
          <w:lang w:val="es-ES"/>
        </w:rPr>
        <w:t xml:space="preserve"> de las autoridades locales, su aplicación no es homogénea. La introducción de normas de eficiencia energética para los enfriadores y sistemas de aire acondicionado de gran tamaño, el desarrollo de materiales educativos y la concienciación de los promotores inmobiliarios y los propietarios de edificios contribuirán a reducir aún más el consumo de energía por metro cuadrado de los edificios.</w:t>
      </w:r>
    </w:p>
    <w:p w14:paraId="435FE912" w14:textId="77777777" w:rsidR="00581ACA" w:rsidRPr="00DA2D41" w:rsidRDefault="00581ACA" w:rsidP="00581ACA">
      <w:pPr>
        <w:pStyle w:val="Heading1"/>
        <w:keepNext/>
        <w:numPr>
          <w:ilvl w:val="0"/>
          <w:numId w:val="0"/>
        </w:numPr>
        <w:rPr>
          <w:u w:val="single"/>
          <w:lang w:val="es-ES_tradnl"/>
        </w:rPr>
      </w:pPr>
      <w:r w:rsidRPr="00DA2D41">
        <w:rPr>
          <w:u w:val="single"/>
          <w:lang w:val="es-ES_tradnl"/>
        </w:rPr>
        <w:t>Objetivo del proyecto</w:t>
      </w:r>
    </w:p>
    <w:p w14:paraId="517D3F2A" w14:textId="058F1F50" w:rsidR="00581ACA" w:rsidRPr="00AE21E6" w:rsidRDefault="00581ACA" w:rsidP="00581ACA">
      <w:pPr>
        <w:pStyle w:val="Heading1"/>
        <w:rPr>
          <w:lang w:val="es-ES"/>
        </w:rPr>
      </w:pPr>
      <w:r w:rsidRPr="00581ACA">
        <w:rPr>
          <w:lang w:val="es-ES"/>
        </w:rPr>
        <w:t>El proyecto permitirá sustituir los enfriadores de grandes edificios públicos por sistemas muy eficientes que utilizan refrigerantes con bajo potencial de calentamiento global (PCA), incluidos R-290/R-600a, R-717 y HFO</w:t>
      </w:r>
      <w:r w:rsidRPr="00581ACA">
        <w:rPr>
          <w:lang w:val="es-ES"/>
        </w:rPr>
        <w:noBreakHyphen/>
        <w:t xml:space="preserve">1233zd(E), lo que redundará en ahorros energéticos como consecuencia de la mayor eficiencia de los nuevos sistemas, los mejores estándares de mantenimiento y operación y, en algunos casos, </w:t>
      </w:r>
      <w:r w:rsidRPr="00581ACA">
        <w:rPr>
          <w:lang w:val="es-ES"/>
        </w:rPr>
        <w:lastRenderedPageBreak/>
        <w:t>el uso de recuperación de calor para compensar el consumo de carbón de las calderas instaladas</w:t>
      </w:r>
      <w:r w:rsidR="00AE21E6">
        <w:rPr>
          <w:lang w:val="es-ES"/>
        </w:rPr>
        <w:t xml:space="preserve"> en el edificio</w:t>
      </w:r>
      <w:r w:rsidRPr="00581ACA">
        <w:rPr>
          <w:lang w:val="es-ES"/>
        </w:rPr>
        <w:t xml:space="preserve">. </w:t>
      </w:r>
      <w:r w:rsidRPr="00AE21E6">
        <w:rPr>
          <w:lang w:val="es-ES"/>
        </w:rPr>
        <w:t>Entre sus principales objetivos están:</w:t>
      </w:r>
    </w:p>
    <w:p w14:paraId="4CED101D" w14:textId="45F4815F" w:rsidR="00581ACA" w:rsidRPr="00581ACA" w:rsidRDefault="00581ACA" w:rsidP="00581ACA">
      <w:pPr>
        <w:pStyle w:val="Heading2"/>
        <w:keepNext/>
        <w:widowControl/>
        <w:rPr>
          <w:lang w:val="es-ES"/>
        </w:rPr>
      </w:pPr>
      <w:r w:rsidRPr="00581ACA">
        <w:rPr>
          <w:i/>
          <w:lang w:val="es-ES"/>
        </w:rPr>
        <w:t>Reducción de los HFC:</w:t>
      </w:r>
      <w:r w:rsidRPr="00581ACA">
        <w:rPr>
          <w:lang w:val="es-ES"/>
        </w:rPr>
        <w:t xml:space="preserve"> Demostrar la disponibilidad y aplicabilidad de sistemas de aire acondicionado muy eficientes cargados con refrigerantes de bajo PCA para reemplazar los sistemas actuales de HFC, así como su viabilidad como alternativas a los HFC de alto PCA a la hora de sustituir los sistemas de HCFC</w:t>
      </w:r>
      <w:r w:rsidRPr="00581ACA">
        <w:rPr>
          <w:lang w:val="es-ES"/>
        </w:rPr>
        <w:noBreakHyphen/>
        <w:t>22;</w:t>
      </w:r>
    </w:p>
    <w:p w14:paraId="3D900AEB" w14:textId="501405A2" w:rsidR="00581ACA" w:rsidRPr="00581ACA" w:rsidRDefault="00581ACA" w:rsidP="00581ACA">
      <w:pPr>
        <w:pStyle w:val="Heading2"/>
        <w:rPr>
          <w:lang w:val="es-ES"/>
        </w:rPr>
      </w:pPr>
      <w:r w:rsidRPr="00581ACA">
        <w:rPr>
          <w:i/>
          <w:lang w:val="es-ES"/>
        </w:rPr>
        <w:t>Eficiencia energética y ahorro de costes para los usuarios</w:t>
      </w:r>
      <w:r w:rsidRPr="00581ACA">
        <w:rPr>
          <w:lang w:val="es-ES"/>
        </w:rPr>
        <w:t xml:space="preserve"> Mostrar las ventajas potenciales de sustituir los sistemas de refrigeración y aire acondicionado actualmente en funcionamiento en los edificios por otros sistemas con tecnologías de bajo PCA que permitirán reducir las emisiones directas e indirectas de gases de efecto invernadero y generar ahorros para los consumidores, tanto de energía como costos de las facturas de suministros;</w:t>
      </w:r>
    </w:p>
    <w:p w14:paraId="59FF9FCD" w14:textId="66B8E0AC" w:rsidR="00581ACA" w:rsidRPr="00581ACA" w:rsidRDefault="00581ACA" w:rsidP="00581ACA">
      <w:pPr>
        <w:pStyle w:val="Heading2"/>
        <w:rPr>
          <w:lang w:val="es-ES"/>
        </w:rPr>
      </w:pPr>
      <w:r w:rsidRPr="00581ACA">
        <w:rPr>
          <w:i/>
          <w:lang w:val="es-ES"/>
        </w:rPr>
        <w:t>Creación de capacidad:</w:t>
      </w:r>
      <w:r w:rsidRPr="00581ACA">
        <w:rPr>
          <w:lang w:val="es-ES"/>
        </w:rPr>
        <w:t xml:space="preserve"> Proporcionar los conocimientos, datos y herramientas para asistir a los funcionarios y </w:t>
      </w:r>
      <w:r w:rsidR="00AE21E6">
        <w:rPr>
          <w:lang w:val="es-ES"/>
        </w:rPr>
        <w:t xml:space="preserve">a </w:t>
      </w:r>
      <w:r w:rsidRPr="00581ACA">
        <w:rPr>
          <w:lang w:val="es-ES"/>
        </w:rPr>
        <w:t xml:space="preserve">las partes interesadas de los sectores de construcción y equipos de refrigeración y aire acondicionado en la implantación de la legislación de edificación existente; y crear una plataforma para desarrollar estándares mínimos de eficiencia energética para enfriadores y sistemas de refrigeración y aire acondicionado </w:t>
      </w:r>
      <w:r w:rsidR="00AE21E6">
        <w:rPr>
          <w:lang w:val="es-ES"/>
        </w:rPr>
        <w:t>destinados a</w:t>
      </w:r>
      <w:r w:rsidRPr="00581ACA">
        <w:rPr>
          <w:lang w:val="es-ES"/>
        </w:rPr>
        <w:t xml:space="preserve"> edificios grandes en línea con el Plan Nacional de Refrigeración.</w:t>
      </w:r>
    </w:p>
    <w:p w14:paraId="3EA271C9" w14:textId="77777777" w:rsidR="00581ACA" w:rsidRPr="00581ACA" w:rsidRDefault="00581ACA" w:rsidP="00581ACA">
      <w:pPr>
        <w:pStyle w:val="Heading1"/>
        <w:rPr>
          <w:lang w:val="es-ES"/>
        </w:rPr>
      </w:pPr>
      <w:r w:rsidRPr="00581ACA">
        <w:rPr>
          <w:lang w:val="es-ES"/>
        </w:rPr>
        <w:t>El proyecto permitirá adoptar tecnologías de bajo PCA en las instalaciones de grandes edificios, que podrán replicarse en todo el sector y beneficiar también al sector de mantenimiento de equipos de refrigeración y aire acondicionado, así como ayudar al Gobierno a cumplir con las obligaciones que tiene establecidas en la Enmienda de Kigali y a ejecutar las políticas nacionales de eficiencia energética.</w:t>
      </w:r>
    </w:p>
    <w:p w14:paraId="78F3FE96" w14:textId="77777777" w:rsidR="00581ACA" w:rsidRPr="00581ACA" w:rsidRDefault="00581ACA" w:rsidP="00581ACA">
      <w:pPr>
        <w:keepNext/>
        <w:suppressAutoHyphens/>
        <w:spacing w:before="240" w:after="240"/>
        <w:rPr>
          <w:u w:val="single"/>
          <w:lang w:val="es-ES"/>
        </w:rPr>
      </w:pPr>
      <w:r w:rsidRPr="00581ACA">
        <w:rPr>
          <w:u w:val="single"/>
          <w:lang w:val="es-ES"/>
        </w:rPr>
        <w:t>Consumo de HFC y antecedentes sobre el sector</w:t>
      </w:r>
    </w:p>
    <w:p w14:paraId="437AC723" w14:textId="77777777" w:rsidR="00581ACA" w:rsidRPr="00581ACA" w:rsidRDefault="00581ACA" w:rsidP="00581ACA">
      <w:pPr>
        <w:pStyle w:val="Heading1"/>
        <w:rPr>
          <w:lang w:val="es-ES"/>
        </w:rPr>
      </w:pPr>
      <w:r w:rsidRPr="00581ACA">
        <w:rPr>
          <w:lang w:val="es-ES"/>
        </w:rPr>
        <w:t>El nivel básico de consumo de HFC de Sudáfrica se ha establecido en 13.843.139 toneladas de CO</w:t>
      </w:r>
      <w:r w:rsidRPr="00581ACA">
        <w:rPr>
          <w:vertAlign w:val="subscript"/>
          <w:lang w:val="es-ES"/>
        </w:rPr>
        <w:t>2</w:t>
      </w:r>
      <w:r w:rsidRPr="00581ACA">
        <w:rPr>
          <w:lang w:val="es-ES"/>
        </w:rPr>
        <w:t xml:space="preserve"> equivalentes </w:t>
      </w:r>
      <w:r w:rsidRPr="00581ACA">
        <w:rPr>
          <w:lang w:val="es-ES"/>
        </w:rPr>
        <w:noBreakHyphen/>
        <w:t>(CO</w:t>
      </w:r>
      <w:r w:rsidRPr="00581ACA">
        <w:rPr>
          <w:vertAlign w:val="subscript"/>
          <w:lang w:val="es-ES"/>
        </w:rPr>
        <w:t>2</w:t>
      </w:r>
      <w:r w:rsidRPr="00581ACA">
        <w:rPr>
          <w:lang w:val="es-ES"/>
        </w:rPr>
        <w:t>eq). Una parte del consumo nacional de HCFC-22 ya se ha sustituido por tecnologías que emplean HFC. En el cuadro 1 se presenta el consumo de HCFC y HFC del país.</w:t>
      </w:r>
    </w:p>
    <w:p w14:paraId="5836734A" w14:textId="77777777" w:rsidR="00581ACA" w:rsidRPr="00581ACA" w:rsidRDefault="00581ACA" w:rsidP="00581ACA">
      <w:pPr>
        <w:rPr>
          <w:b/>
          <w:bCs/>
          <w:lang w:val="es-ES"/>
        </w:rPr>
      </w:pPr>
      <w:r w:rsidRPr="00581ACA">
        <w:rPr>
          <w:b/>
          <w:lang w:val="es-ES"/>
        </w:rPr>
        <w:t>Cuadro 1. Consumo de HCFC y HFC en Sudáfrica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984"/>
        <w:gridCol w:w="1135"/>
        <w:gridCol w:w="1277"/>
        <w:gridCol w:w="1275"/>
        <w:gridCol w:w="1120"/>
        <w:gridCol w:w="1287"/>
      </w:tblGrid>
      <w:tr w:rsidR="00AE21E6" w:rsidRPr="0098215B" w14:paraId="65444DAA" w14:textId="77777777" w:rsidTr="00AE21E6">
        <w:trPr>
          <w:trHeight w:val="290"/>
        </w:trPr>
        <w:tc>
          <w:tcPr>
            <w:tcW w:w="1741" w:type="pct"/>
            <w:gridSpan w:val="2"/>
            <w:shd w:val="clear" w:color="auto" w:fill="auto"/>
            <w:noWrap/>
            <w:vAlign w:val="center"/>
            <w:hideMark/>
          </w:tcPr>
          <w:p w14:paraId="3BF1B51A" w14:textId="77777777" w:rsidR="00581ACA" w:rsidRPr="00AE21E6" w:rsidRDefault="00581ACA" w:rsidP="00951501">
            <w:pPr>
              <w:jc w:val="left"/>
              <w:rPr>
                <w:b/>
                <w:bCs/>
                <w:color w:val="000000"/>
                <w:sz w:val="20"/>
                <w:szCs w:val="20"/>
                <w:lang w:val="es-ES_tradnl"/>
              </w:rPr>
            </w:pPr>
            <w:r w:rsidRPr="00AE21E6">
              <w:rPr>
                <w:b/>
                <w:color w:val="000000"/>
                <w:sz w:val="20"/>
                <w:lang w:val="es-ES_tradnl"/>
              </w:rPr>
              <w:t>Sustancia</w:t>
            </w:r>
          </w:p>
        </w:tc>
        <w:tc>
          <w:tcPr>
            <w:tcW w:w="607" w:type="pct"/>
            <w:shd w:val="clear" w:color="auto" w:fill="auto"/>
            <w:noWrap/>
            <w:vAlign w:val="center"/>
            <w:hideMark/>
          </w:tcPr>
          <w:p w14:paraId="42BD6A68" w14:textId="77777777" w:rsidR="00581ACA" w:rsidRPr="00AE21E6" w:rsidRDefault="00581ACA" w:rsidP="00951501">
            <w:pPr>
              <w:jc w:val="center"/>
              <w:rPr>
                <w:b/>
                <w:bCs/>
                <w:color w:val="000000"/>
                <w:sz w:val="20"/>
                <w:szCs w:val="20"/>
                <w:lang w:val="es-ES_tradnl"/>
              </w:rPr>
            </w:pPr>
            <w:r w:rsidRPr="00AE21E6">
              <w:rPr>
                <w:b/>
                <w:color w:val="000000"/>
                <w:sz w:val="20"/>
                <w:lang w:val="es-ES_tradnl"/>
              </w:rPr>
              <w:t>2018</w:t>
            </w:r>
          </w:p>
        </w:tc>
        <w:tc>
          <w:tcPr>
            <w:tcW w:w="683" w:type="pct"/>
            <w:shd w:val="clear" w:color="auto" w:fill="auto"/>
            <w:noWrap/>
            <w:vAlign w:val="center"/>
            <w:hideMark/>
          </w:tcPr>
          <w:p w14:paraId="77A7E7F4" w14:textId="77777777" w:rsidR="00581ACA" w:rsidRPr="00AE21E6" w:rsidRDefault="00581ACA" w:rsidP="00951501">
            <w:pPr>
              <w:jc w:val="center"/>
              <w:rPr>
                <w:b/>
                <w:bCs/>
                <w:color w:val="000000"/>
                <w:sz w:val="20"/>
                <w:szCs w:val="20"/>
                <w:lang w:val="es-ES_tradnl"/>
              </w:rPr>
            </w:pPr>
            <w:r w:rsidRPr="00AE21E6">
              <w:rPr>
                <w:b/>
                <w:color w:val="000000"/>
                <w:sz w:val="20"/>
                <w:lang w:val="es-ES_tradnl"/>
              </w:rPr>
              <w:t>2019</w:t>
            </w:r>
          </w:p>
        </w:tc>
        <w:tc>
          <w:tcPr>
            <w:tcW w:w="682" w:type="pct"/>
            <w:shd w:val="clear" w:color="auto" w:fill="auto"/>
            <w:noWrap/>
            <w:vAlign w:val="center"/>
            <w:hideMark/>
          </w:tcPr>
          <w:p w14:paraId="7F7A631D" w14:textId="77777777" w:rsidR="00581ACA" w:rsidRPr="00AE21E6" w:rsidRDefault="00581ACA" w:rsidP="00951501">
            <w:pPr>
              <w:jc w:val="center"/>
              <w:rPr>
                <w:b/>
                <w:bCs/>
                <w:color w:val="000000"/>
                <w:sz w:val="20"/>
                <w:szCs w:val="20"/>
                <w:lang w:val="es-ES_tradnl"/>
              </w:rPr>
            </w:pPr>
            <w:r w:rsidRPr="00AE21E6">
              <w:rPr>
                <w:b/>
                <w:color w:val="000000"/>
                <w:sz w:val="20"/>
                <w:lang w:val="es-ES_tradnl"/>
              </w:rPr>
              <w:t>2020</w:t>
            </w:r>
          </w:p>
        </w:tc>
        <w:tc>
          <w:tcPr>
            <w:tcW w:w="599" w:type="pct"/>
            <w:shd w:val="clear" w:color="auto" w:fill="auto"/>
            <w:noWrap/>
            <w:vAlign w:val="center"/>
            <w:hideMark/>
          </w:tcPr>
          <w:p w14:paraId="153949E5" w14:textId="77777777" w:rsidR="00581ACA" w:rsidRPr="00AE21E6" w:rsidRDefault="00581ACA" w:rsidP="00951501">
            <w:pPr>
              <w:jc w:val="center"/>
              <w:rPr>
                <w:b/>
                <w:bCs/>
                <w:color w:val="000000"/>
                <w:sz w:val="20"/>
                <w:szCs w:val="20"/>
                <w:lang w:val="es-ES_tradnl"/>
              </w:rPr>
            </w:pPr>
            <w:r w:rsidRPr="00AE21E6">
              <w:rPr>
                <w:b/>
                <w:color w:val="000000"/>
                <w:sz w:val="20"/>
                <w:lang w:val="es-ES_tradnl"/>
              </w:rPr>
              <w:t>2021</w:t>
            </w:r>
          </w:p>
        </w:tc>
        <w:tc>
          <w:tcPr>
            <w:tcW w:w="688" w:type="pct"/>
            <w:shd w:val="clear" w:color="auto" w:fill="auto"/>
            <w:noWrap/>
            <w:vAlign w:val="center"/>
            <w:hideMark/>
          </w:tcPr>
          <w:p w14:paraId="51D4A17E" w14:textId="77777777" w:rsidR="00581ACA" w:rsidRPr="00AE21E6" w:rsidRDefault="00581ACA" w:rsidP="00951501">
            <w:pPr>
              <w:jc w:val="center"/>
              <w:rPr>
                <w:b/>
                <w:bCs/>
                <w:color w:val="000000"/>
                <w:sz w:val="20"/>
                <w:szCs w:val="20"/>
                <w:lang w:val="es-ES_tradnl"/>
              </w:rPr>
            </w:pPr>
            <w:r w:rsidRPr="00AE21E6">
              <w:rPr>
                <w:b/>
                <w:color w:val="000000"/>
                <w:sz w:val="20"/>
                <w:lang w:val="es-ES_tradnl"/>
              </w:rPr>
              <w:t>2022</w:t>
            </w:r>
          </w:p>
        </w:tc>
      </w:tr>
      <w:tr w:rsidR="00AE21E6" w:rsidRPr="0098215B" w14:paraId="1D44145B" w14:textId="77777777" w:rsidTr="00AE21E6">
        <w:trPr>
          <w:trHeight w:val="290"/>
        </w:trPr>
        <w:tc>
          <w:tcPr>
            <w:tcW w:w="680" w:type="pct"/>
            <w:shd w:val="clear" w:color="auto" w:fill="auto"/>
            <w:noWrap/>
            <w:vAlign w:val="center"/>
            <w:hideMark/>
          </w:tcPr>
          <w:p w14:paraId="08646C5F" w14:textId="77777777" w:rsidR="00581ACA" w:rsidRPr="0098215B" w:rsidRDefault="00581ACA" w:rsidP="00951501">
            <w:pPr>
              <w:jc w:val="left"/>
              <w:rPr>
                <w:color w:val="000000"/>
                <w:sz w:val="20"/>
                <w:szCs w:val="20"/>
              </w:rPr>
            </w:pPr>
            <w:r>
              <w:rPr>
                <w:color w:val="000000"/>
                <w:sz w:val="20"/>
              </w:rPr>
              <w:t>HCFC</w:t>
            </w:r>
          </w:p>
        </w:tc>
        <w:tc>
          <w:tcPr>
            <w:tcW w:w="1061" w:type="pct"/>
            <w:vAlign w:val="center"/>
          </w:tcPr>
          <w:p w14:paraId="0F9E246C" w14:textId="77777777" w:rsidR="00581ACA" w:rsidRPr="00AE21E6" w:rsidRDefault="00581ACA" w:rsidP="00951501">
            <w:pPr>
              <w:jc w:val="left"/>
              <w:rPr>
                <w:color w:val="000000"/>
                <w:sz w:val="20"/>
                <w:szCs w:val="20"/>
                <w:lang w:val="es-ES_tradnl"/>
              </w:rPr>
            </w:pPr>
            <w:r w:rsidRPr="00AE21E6">
              <w:rPr>
                <w:color w:val="000000"/>
                <w:sz w:val="20"/>
                <w:lang w:val="es-ES_tradnl"/>
              </w:rPr>
              <w:t>Toneladas métricas</w:t>
            </w:r>
          </w:p>
        </w:tc>
        <w:tc>
          <w:tcPr>
            <w:tcW w:w="607" w:type="pct"/>
            <w:shd w:val="clear" w:color="auto" w:fill="auto"/>
            <w:noWrap/>
            <w:vAlign w:val="center"/>
            <w:hideMark/>
          </w:tcPr>
          <w:p w14:paraId="40E807A5" w14:textId="77777777" w:rsidR="00581ACA" w:rsidRPr="00AE21E6" w:rsidRDefault="00581ACA" w:rsidP="00951501">
            <w:pPr>
              <w:jc w:val="right"/>
              <w:rPr>
                <w:color w:val="000000"/>
                <w:sz w:val="20"/>
                <w:szCs w:val="20"/>
                <w:lang w:val="es-ES_tradnl"/>
              </w:rPr>
            </w:pPr>
            <w:r w:rsidRPr="00AE21E6">
              <w:rPr>
                <w:color w:val="000000"/>
                <w:sz w:val="20"/>
                <w:lang w:val="es-ES_tradnl"/>
              </w:rPr>
              <w:t>2.077</w:t>
            </w:r>
          </w:p>
        </w:tc>
        <w:tc>
          <w:tcPr>
            <w:tcW w:w="683" w:type="pct"/>
            <w:shd w:val="clear" w:color="auto" w:fill="auto"/>
            <w:noWrap/>
            <w:vAlign w:val="center"/>
            <w:hideMark/>
          </w:tcPr>
          <w:p w14:paraId="207A1890" w14:textId="77777777" w:rsidR="00581ACA" w:rsidRPr="00AE21E6" w:rsidRDefault="00581ACA" w:rsidP="00951501">
            <w:pPr>
              <w:jc w:val="right"/>
              <w:rPr>
                <w:color w:val="000000"/>
                <w:sz w:val="20"/>
                <w:szCs w:val="20"/>
                <w:lang w:val="es-ES_tradnl"/>
              </w:rPr>
            </w:pPr>
            <w:r w:rsidRPr="00AE21E6">
              <w:rPr>
                <w:color w:val="000000"/>
                <w:sz w:val="20"/>
                <w:lang w:val="es-ES_tradnl"/>
              </w:rPr>
              <w:t>2.029</w:t>
            </w:r>
          </w:p>
        </w:tc>
        <w:tc>
          <w:tcPr>
            <w:tcW w:w="682" w:type="pct"/>
            <w:shd w:val="clear" w:color="auto" w:fill="auto"/>
            <w:noWrap/>
            <w:vAlign w:val="center"/>
            <w:hideMark/>
          </w:tcPr>
          <w:p w14:paraId="070D1B11" w14:textId="77777777" w:rsidR="00581ACA" w:rsidRPr="00AE21E6" w:rsidRDefault="00581ACA" w:rsidP="00951501">
            <w:pPr>
              <w:jc w:val="right"/>
              <w:rPr>
                <w:color w:val="000000"/>
                <w:sz w:val="20"/>
                <w:szCs w:val="20"/>
                <w:lang w:val="es-ES_tradnl"/>
              </w:rPr>
            </w:pPr>
            <w:r w:rsidRPr="00AE21E6">
              <w:rPr>
                <w:color w:val="000000"/>
                <w:sz w:val="20"/>
                <w:lang w:val="es-ES_tradnl"/>
              </w:rPr>
              <w:t>1.779</w:t>
            </w:r>
          </w:p>
        </w:tc>
        <w:tc>
          <w:tcPr>
            <w:tcW w:w="599" w:type="pct"/>
            <w:shd w:val="clear" w:color="auto" w:fill="auto"/>
            <w:noWrap/>
            <w:vAlign w:val="center"/>
            <w:hideMark/>
          </w:tcPr>
          <w:p w14:paraId="1CD40AFC" w14:textId="77777777" w:rsidR="00581ACA" w:rsidRPr="00AE21E6" w:rsidRDefault="00581ACA" w:rsidP="00951501">
            <w:pPr>
              <w:jc w:val="right"/>
              <w:rPr>
                <w:color w:val="000000"/>
                <w:sz w:val="20"/>
                <w:szCs w:val="20"/>
                <w:lang w:val="es-ES_tradnl"/>
              </w:rPr>
            </w:pPr>
            <w:r w:rsidRPr="00AE21E6">
              <w:rPr>
                <w:color w:val="000000"/>
                <w:sz w:val="20"/>
                <w:lang w:val="es-ES_tradnl"/>
              </w:rPr>
              <w:t>1.625</w:t>
            </w:r>
          </w:p>
        </w:tc>
        <w:tc>
          <w:tcPr>
            <w:tcW w:w="688" w:type="pct"/>
            <w:shd w:val="clear" w:color="auto" w:fill="auto"/>
            <w:noWrap/>
            <w:vAlign w:val="center"/>
            <w:hideMark/>
          </w:tcPr>
          <w:p w14:paraId="0DB614AE" w14:textId="77777777" w:rsidR="00581ACA" w:rsidRPr="00AE21E6" w:rsidRDefault="00581ACA" w:rsidP="00951501">
            <w:pPr>
              <w:jc w:val="right"/>
              <w:rPr>
                <w:color w:val="000000"/>
                <w:sz w:val="20"/>
                <w:szCs w:val="20"/>
                <w:lang w:val="es-ES_tradnl"/>
              </w:rPr>
            </w:pPr>
            <w:r w:rsidRPr="00AE21E6">
              <w:rPr>
                <w:color w:val="000000"/>
                <w:sz w:val="20"/>
                <w:lang w:val="es-ES_tradnl"/>
              </w:rPr>
              <w:t>1.348</w:t>
            </w:r>
          </w:p>
        </w:tc>
      </w:tr>
      <w:tr w:rsidR="00AE21E6" w:rsidRPr="0098215B" w14:paraId="0CD9C909" w14:textId="77777777" w:rsidTr="00AE21E6">
        <w:trPr>
          <w:trHeight w:val="290"/>
        </w:trPr>
        <w:tc>
          <w:tcPr>
            <w:tcW w:w="680" w:type="pct"/>
            <w:vMerge w:val="restart"/>
            <w:shd w:val="clear" w:color="auto" w:fill="auto"/>
            <w:noWrap/>
            <w:vAlign w:val="center"/>
            <w:hideMark/>
          </w:tcPr>
          <w:p w14:paraId="57CDA2ED" w14:textId="77777777" w:rsidR="00581ACA" w:rsidRPr="0098215B" w:rsidRDefault="00581ACA" w:rsidP="00951501">
            <w:pPr>
              <w:jc w:val="left"/>
              <w:rPr>
                <w:color w:val="000000"/>
                <w:sz w:val="20"/>
                <w:szCs w:val="20"/>
              </w:rPr>
            </w:pPr>
            <w:r>
              <w:rPr>
                <w:color w:val="000000"/>
                <w:sz w:val="20"/>
              </w:rPr>
              <w:t>HFC</w:t>
            </w:r>
          </w:p>
        </w:tc>
        <w:tc>
          <w:tcPr>
            <w:tcW w:w="1061" w:type="pct"/>
            <w:vAlign w:val="center"/>
          </w:tcPr>
          <w:p w14:paraId="06F03CF6" w14:textId="77777777" w:rsidR="00581ACA" w:rsidRPr="00AE21E6" w:rsidRDefault="00581ACA" w:rsidP="00951501">
            <w:pPr>
              <w:jc w:val="left"/>
              <w:rPr>
                <w:color w:val="000000"/>
                <w:sz w:val="20"/>
                <w:szCs w:val="20"/>
                <w:lang w:val="es-ES_tradnl"/>
              </w:rPr>
            </w:pPr>
            <w:r w:rsidRPr="00AE21E6">
              <w:rPr>
                <w:color w:val="000000"/>
                <w:sz w:val="20"/>
                <w:lang w:val="es-ES_tradnl"/>
              </w:rPr>
              <w:t>Toneladas métricas</w:t>
            </w:r>
          </w:p>
        </w:tc>
        <w:tc>
          <w:tcPr>
            <w:tcW w:w="607" w:type="pct"/>
            <w:shd w:val="clear" w:color="auto" w:fill="auto"/>
            <w:noWrap/>
            <w:vAlign w:val="center"/>
            <w:hideMark/>
          </w:tcPr>
          <w:p w14:paraId="495F5B32" w14:textId="77777777" w:rsidR="00581ACA" w:rsidRPr="00AE21E6" w:rsidRDefault="00581ACA" w:rsidP="00951501">
            <w:pPr>
              <w:jc w:val="right"/>
              <w:rPr>
                <w:color w:val="000000"/>
                <w:sz w:val="20"/>
                <w:szCs w:val="20"/>
                <w:lang w:val="es-ES_tradnl"/>
              </w:rPr>
            </w:pPr>
            <w:r w:rsidRPr="00AE21E6">
              <w:rPr>
                <w:color w:val="000000"/>
                <w:sz w:val="20"/>
                <w:lang w:val="es-ES_tradnl"/>
              </w:rPr>
              <w:t>2.214</w:t>
            </w:r>
          </w:p>
        </w:tc>
        <w:tc>
          <w:tcPr>
            <w:tcW w:w="683" w:type="pct"/>
            <w:shd w:val="clear" w:color="auto" w:fill="auto"/>
            <w:noWrap/>
            <w:vAlign w:val="center"/>
            <w:hideMark/>
          </w:tcPr>
          <w:p w14:paraId="6A3A5EFC" w14:textId="77777777" w:rsidR="00581ACA" w:rsidRPr="00AE21E6" w:rsidRDefault="00581ACA" w:rsidP="00951501">
            <w:pPr>
              <w:jc w:val="right"/>
              <w:rPr>
                <w:color w:val="000000"/>
                <w:sz w:val="20"/>
                <w:szCs w:val="20"/>
                <w:lang w:val="es-ES_tradnl"/>
              </w:rPr>
            </w:pPr>
            <w:r w:rsidRPr="00AE21E6">
              <w:rPr>
                <w:color w:val="000000"/>
                <w:sz w:val="20"/>
                <w:lang w:val="es-ES_tradnl"/>
              </w:rPr>
              <w:t>4.006</w:t>
            </w:r>
          </w:p>
        </w:tc>
        <w:tc>
          <w:tcPr>
            <w:tcW w:w="682" w:type="pct"/>
            <w:shd w:val="clear" w:color="auto" w:fill="auto"/>
            <w:noWrap/>
            <w:vAlign w:val="center"/>
            <w:hideMark/>
          </w:tcPr>
          <w:p w14:paraId="5C5AD0DF" w14:textId="77777777" w:rsidR="00581ACA" w:rsidRPr="00AE21E6" w:rsidRDefault="00581ACA" w:rsidP="00951501">
            <w:pPr>
              <w:jc w:val="right"/>
              <w:rPr>
                <w:color w:val="000000"/>
                <w:sz w:val="20"/>
                <w:szCs w:val="20"/>
                <w:lang w:val="es-ES_tradnl"/>
              </w:rPr>
            </w:pPr>
            <w:r w:rsidRPr="00AE21E6">
              <w:rPr>
                <w:color w:val="000000"/>
                <w:sz w:val="20"/>
                <w:lang w:val="es-ES_tradnl"/>
              </w:rPr>
              <w:t>3.118</w:t>
            </w:r>
          </w:p>
        </w:tc>
        <w:tc>
          <w:tcPr>
            <w:tcW w:w="599" w:type="pct"/>
            <w:shd w:val="clear" w:color="auto" w:fill="auto"/>
            <w:noWrap/>
            <w:vAlign w:val="center"/>
            <w:hideMark/>
          </w:tcPr>
          <w:p w14:paraId="230BE75C" w14:textId="77777777" w:rsidR="00581ACA" w:rsidRPr="00AE21E6" w:rsidRDefault="00581ACA" w:rsidP="00951501">
            <w:pPr>
              <w:jc w:val="right"/>
              <w:rPr>
                <w:color w:val="000000"/>
                <w:sz w:val="20"/>
                <w:szCs w:val="20"/>
                <w:lang w:val="es-ES_tradnl"/>
              </w:rPr>
            </w:pPr>
            <w:r w:rsidRPr="00AE21E6">
              <w:rPr>
                <w:color w:val="000000"/>
                <w:sz w:val="20"/>
                <w:lang w:val="es-ES_tradnl"/>
              </w:rPr>
              <w:t>3.856</w:t>
            </w:r>
          </w:p>
        </w:tc>
        <w:tc>
          <w:tcPr>
            <w:tcW w:w="688" w:type="pct"/>
            <w:shd w:val="clear" w:color="auto" w:fill="auto"/>
            <w:noWrap/>
            <w:vAlign w:val="center"/>
            <w:hideMark/>
          </w:tcPr>
          <w:p w14:paraId="1AB780ED" w14:textId="77777777" w:rsidR="00581ACA" w:rsidRPr="00AE21E6" w:rsidRDefault="00581ACA" w:rsidP="00951501">
            <w:pPr>
              <w:jc w:val="right"/>
              <w:rPr>
                <w:color w:val="000000"/>
                <w:sz w:val="20"/>
                <w:szCs w:val="20"/>
                <w:lang w:val="es-ES_tradnl"/>
              </w:rPr>
            </w:pPr>
            <w:r w:rsidRPr="00AE21E6">
              <w:rPr>
                <w:color w:val="000000"/>
                <w:sz w:val="20"/>
                <w:lang w:val="es-ES_tradnl"/>
              </w:rPr>
              <w:t>3.618</w:t>
            </w:r>
          </w:p>
        </w:tc>
      </w:tr>
      <w:tr w:rsidR="00AE21E6" w:rsidRPr="00213F20" w14:paraId="018366C6" w14:textId="77777777" w:rsidTr="00AE21E6">
        <w:trPr>
          <w:trHeight w:val="290"/>
        </w:trPr>
        <w:tc>
          <w:tcPr>
            <w:tcW w:w="680" w:type="pct"/>
            <w:vMerge/>
            <w:shd w:val="clear" w:color="auto" w:fill="auto"/>
            <w:noWrap/>
            <w:vAlign w:val="center"/>
          </w:tcPr>
          <w:p w14:paraId="1A0215F2" w14:textId="77777777" w:rsidR="00581ACA" w:rsidRPr="00213F20" w:rsidRDefault="00581ACA" w:rsidP="00951501">
            <w:pPr>
              <w:jc w:val="left"/>
              <w:rPr>
                <w:color w:val="000000"/>
                <w:sz w:val="20"/>
                <w:szCs w:val="20"/>
                <w:lang w:eastAsia="en-CA"/>
              </w:rPr>
            </w:pPr>
          </w:p>
        </w:tc>
        <w:tc>
          <w:tcPr>
            <w:tcW w:w="1061" w:type="pct"/>
            <w:vAlign w:val="center"/>
          </w:tcPr>
          <w:p w14:paraId="5D1096D1" w14:textId="77777777" w:rsidR="00581ACA" w:rsidRPr="00AE21E6" w:rsidRDefault="00581ACA" w:rsidP="00951501">
            <w:pPr>
              <w:jc w:val="left"/>
              <w:rPr>
                <w:color w:val="1E1E1E"/>
                <w:sz w:val="20"/>
                <w:szCs w:val="20"/>
                <w:lang w:val="es-ES_tradnl"/>
              </w:rPr>
            </w:pPr>
            <w:r w:rsidRPr="00AE21E6">
              <w:rPr>
                <w:color w:val="1E1E1E"/>
                <w:sz w:val="20"/>
                <w:lang w:val="es-ES_tradnl"/>
              </w:rPr>
              <w:t>Toneladas de CO</w:t>
            </w:r>
            <w:r w:rsidRPr="00AE21E6">
              <w:rPr>
                <w:color w:val="1E1E1E"/>
                <w:sz w:val="20"/>
                <w:vertAlign w:val="subscript"/>
                <w:lang w:val="es-ES_tradnl"/>
              </w:rPr>
              <w:t>2</w:t>
            </w:r>
            <w:r w:rsidRPr="00AE21E6">
              <w:rPr>
                <w:color w:val="1E1E1E"/>
                <w:sz w:val="20"/>
                <w:lang w:val="es-ES_tradnl"/>
              </w:rPr>
              <w:t> eq</w:t>
            </w:r>
          </w:p>
        </w:tc>
        <w:tc>
          <w:tcPr>
            <w:tcW w:w="607" w:type="pct"/>
            <w:shd w:val="clear" w:color="auto" w:fill="auto"/>
            <w:noWrap/>
            <w:vAlign w:val="center"/>
          </w:tcPr>
          <w:p w14:paraId="6076A8B7" w14:textId="77777777" w:rsidR="00581ACA" w:rsidRPr="00AE21E6" w:rsidRDefault="00581ACA" w:rsidP="00951501">
            <w:pPr>
              <w:jc w:val="right"/>
              <w:rPr>
                <w:color w:val="000000"/>
                <w:sz w:val="20"/>
                <w:szCs w:val="20"/>
                <w:lang w:val="es-ES_tradnl"/>
              </w:rPr>
            </w:pPr>
            <w:r w:rsidRPr="00AE21E6">
              <w:rPr>
                <w:color w:val="1E1E1E"/>
                <w:sz w:val="20"/>
                <w:lang w:val="es-ES_tradnl"/>
              </w:rPr>
              <w:t>5.329.096</w:t>
            </w:r>
          </w:p>
        </w:tc>
        <w:tc>
          <w:tcPr>
            <w:tcW w:w="683" w:type="pct"/>
            <w:shd w:val="clear" w:color="auto" w:fill="auto"/>
            <w:noWrap/>
            <w:vAlign w:val="center"/>
          </w:tcPr>
          <w:p w14:paraId="433357B0" w14:textId="77777777" w:rsidR="00581ACA" w:rsidRPr="00AE21E6" w:rsidRDefault="00581ACA" w:rsidP="00951501">
            <w:pPr>
              <w:jc w:val="right"/>
              <w:rPr>
                <w:color w:val="000000"/>
                <w:sz w:val="20"/>
                <w:szCs w:val="20"/>
                <w:lang w:val="es-ES_tradnl"/>
              </w:rPr>
            </w:pPr>
            <w:r w:rsidRPr="00AE21E6">
              <w:rPr>
                <w:color w:val="1E1E1E"/>
                <w:sz w:val="20"/>
                <w:lang w:val="es-ES_tradnl"/>
              </w:rPr>
              <w:t>10.074.432</w:t>
            </w:r>
          </w:p>
        </w:tc>
        <w:tc>
          <w:tcPr>
            <w:tcW w:w="682" w:type="pct"/>
            <w:shd w:val="clear" w:color="auto" w:fill="auto"/>
            <w:noWrap/>
            <w:vAlign w:val="center"/>
          </w:tcPr>
          <w:p w14:paraId="23B7C14C" w14:textId="77777777" w:rsidR="00581ACA" w:rsidRPr="00AE21E6" w:rsidRDefault="00581ACA" w:rsidP="00951501">
            <w:pPr>
              <w:jc w:val="right"/>
              <w:rPr>
                <w:color w:val="000000"/>
                <w:sz w:val="20"/>
                <w:szCs w:val="20"/>
                <w:lang w:val="es-ES_tradnl"/>
              </w:rPr>
            </w:pPr>
            <w:r w:rsidRPr="00AE21E6">
              <w:rPr>
                <w:color w:val="1E1E1E"/>
                <w:sz w:val="20"/>
                <w:lang w:val="es-ES_tradnl"/>
              </w:rPr>
              <w:t>8.221.905</w:t>
            </w:r>
          </w:p>
        </w:tc>
        <w:tc>
          <w:tcPr>
            <w:tcW w:w="599" w:type="pct"/>
            <w:shd w:val="clear" w:color="auto" w:fill="auto"/>
            <w:noWrap/>
            <w:vAlign w:val="center"/>
          </w:tcPr>
          <w:p w14:paraId="5B7F4997" w14:textId="77777777" w:rsidR="00581ACA" w:rsidRPr="00AE21E6" w:rsidRDefault="00581ACA" w:rsidP="00951501">
            <w:pPr>
              <w:jc w:val="right"/>
              <w:rPr>
                <w:color w:val="000000"/>
                <w:sz w:val="20"/>
                <w:szCs w:val="20"/>
                <w:lang w:val="es-ES_tradnl"/>
              </w:rPr>
            </w:pPr>
            <w:r w:rsidRPr="00AE21E6">
              <w:rPr>
                <w:color w:val="1E1E1E"/>
                <w:sz w:val="20"/>
                <w:lang w:val="es-ES_tradnl"/>
              </w:rPr>
              <w:t>9.164.240</w:t>
            </w:r>
          </w:p>
        </w:tc>
        <w:tc>
          <w:tcPr>
            <w:tcW w:w="688" w:type="pct"/>
            <w:shd w:val="clear" w:color="auto" w:fill="auto"/>
            <w:noWrap/>
            <w:vAlign w:val="center"/>
          </w:tcPr>
          <w:p w14:paraId="3D36FC8C" w14:textId="77777777" w:rsidR="00581ACA" w:rsidRPr="00AE21E6" w:rsidRDefault="00581ACA" w:rsidP="00951501">
            <w:pPr>
              <w:jc w:val="right"/>
              <w:rPr>
                <w:color w:val="000000"/>
                <w:sz w:val="20"/>
                <w:szCs w:val="20"/>
                <w:lang w:val="es-ES_tradnl"/>
              </w:rPr>
            </w:pPr>
            <w:r w:rsidRPr="00AE21E6">
              <w:rPr>
                <w:color w:val="1E1E1E"/>
                <w:sz w:val="20"/>
                <w:lang w:val="es-ES_tradnl"/>
              </w:rPr>
              <w:t>8.647.454</w:t>
            </w:r>
          </w:p>
        </w:tc>
      </w:tr>
    </w:tbl>
    <w:p w14:paraId="290A5A3A" w14:textId="232EC862" w:rsidR="00581ACA" w:rsidRPr="00581ACA" w:rsidRDefault="00581ACA" w:rsidP="00581ACA">
      <w:pPr>
        <w:pStyle w:val="Heading1"/>
        <w:spacing w:before="240"/>
        <w:rPr>
          <w:lang w:val="es-ES"/>
        </w:rPr>
      </w:pPr>
      <w:r w:rsidRPr="00581ACA">
        <w:rPr>
          <w:lang w:val="es-ES"/>
        </w:rPr>
        <w:t xml:space="preserve">La mayor demanda de refrigerantes </w:t>
      </w:r>
      <w:r w:rsidR="00AE21E6">
        <w:rPr>
          <w:lang w:val="es-ES"/>
        </w:rPr>
        <w:t xml:space="preserve">de </w:t>
      </w:r>
      <w:r w:rsidRPr="00581ACA">
        <w:rPr>
          <w:lang w:val="es-ES"/>
        </w:rPr>
        <w:t>HFC utilizados en el sector de mantenimiento proviene de grandes sistemas comerciales e industriales con cargas de refrigerante relativamente altas. El HCFC-22 sigue siendo el refrigerante más utilizado en los sistemas de refrigeración de los grandes edificios públicos de Sudáfrica. Aunque el sector privado ha eliminado cantidades significativas de HCFC-22, las sustancias alternativas que más se han adoptado son los refrigerantes de alto PCA, como el HFC-134a, el R-410A y el R-407C. Los refrigerantes de bajo PCA, como el HFC</w:t>
      </w:r>
      <w:r w:rsidRPr="00581ACA">
        <w:rPr>
          <w:lang w:val="es-ES"/>
        </w:rPr>
        <w:noBreakHyphen/>
        <w:t>32 o el R-290/R600a, tienen una penetración limitada debido a problemas de seguridad y capacitación.</w:t>
      </w:r>
    </w:p>
    <w:p w14:paraId="0D342191" w14:textId="6B9290D3" w:rsidR="00581ACA" w:rsidRPr="00581ACA" w:rsidRDefault="00581ACA" w:rsidP="00581ACA">
      <w:pPr>
        <w:pStyle w:val="Heading1"/>
        <w:rPr>
          <w:lang w:val="es-ES"/>
        </w:rPr>
      </w:pPr>
      <w:r w:rsidRPr="00581ACA">
        <w:rPr>
          <w:lang w:val="es-ES"/>
        </w:rPr>
        <w:t xml:space="preserve">Los edificios propiedad del sector público están equipados con numerosos y diversos sistemas de refrigeración y aire acondicionado y muchos de ellos se acercan o están ya en el fin de su vida útil. Si bien los técnicos de mantenimiento del sector público normalmente reciben capacitación, suelen disponer de poca o ninguna información sobre las últimas tendencias, tecnologías </w:t>
      </w:r>
      <w:r w:rsidR="00AE21E6">
        <w:rPr>
          <w:lang w:val="es-ES"/>
        </w:rPr>
        <w:t>y</w:t>
      </w:r>
      <w:r w:rsidRPr="00581ACA">
        <w:rPr>
          <w:lang w:val="es-ES"/>
        </w:rPr>
        <w:t xml:space="preserve"> oportunidades disponibles en el mercado para abordar cuestiones relacionadas con la mejora del rendimiento. Con estas limitaciones, así </w:t>
      </w:r>
      <w:r w:rsidRPr="00581ACA">
        <w:rPr>
          <w:lang w:val="es-ES"/>
        </w:rPr>
        <w:lastRenderedPageBreak/>
        <w:t>como las de tipo presupuestario, es poco probable que voluntariamente se pase a emplear sistemas de bajo PCA de alta eficiencia en los edificios públicos.</w:t>
      </w:r>
    </w:p>
    <w:p w14:paraId="23F86306" w14:textId="77777777" w:rsidR="00581ACA" w:rsidRPr="00581ACA" w:rsidRDefault="00581ACA" w:rsidP="00581ACA">
      <w:pPr>
        <w:pStyle w:val="Heading1"/>
        <w:rPr>
          <w:lang w:val="es-ES"/>
        </w:rPr>
      </w:pPr>
      <w:r w:rsidRPr="00581ACA">
        <w:rPr>
          <w:lang w:val="es-ES"/>
        </w:rPr>
        <w:t>La refrigeración de los grandes edificios se realiza mediante enfriadores importados (2-2,400 kW), minienfriadores y enfriadores pequeños y medianos (menos de 100 kW) con relaciones de eficiencia energética y coeficientes de rendimiento de 2,68-5,93 y 3,07-3,38 respectivamente.</w:t>
      </w:r>
    </w:p>
    <w:p w14:paraId="0AFBA6E0" w14:textId="1392974E" w:rsidR="00581ACA" w:rsidRPr="00581ACA" w:rsidRDefault="00581ACA" w:rsidP="00581ACA">
      <w:pPr>
        <w:pStyle w:val="Heading1"/>
        <w:rPr>
          <w:lang w:val="es-ES"/>
        </w:rPr>
      </w:pPr>
      <w:r w:rsidRPr="00581ACA">
        <w:rPr>
          <w:lang w:val="es-ES"/>
        </w:rPr>
        <w:t>La electricidad de</w:t>
      </w:r>
      <w:r w:rsidR="00AE21E6">
        <w:rPr>
          <w:lang w:val="es-ES"/>
        </w:rPr>
        <w:t>stinada</w:t>
      </w:r>
      <w:r w:rsidRPr="00581ACA">
        <w:rPr>
          <w:lang w:val="es-ES"/>
        </w:rPr>
        <w:t xml:space="preserve"> a la refrigeración representa el 31 por ciento de toda la electricidad consumida por los edificios y el 16 por ciento del consumo total de electricidad. En el sector comercial, la electricidad destinada a refrigeración representa el 26 por ciento del uso total y hasta la fecha no se ha regulado. Se espera que la aplicación de las normas relativas a las grandes instalaciones de aire acondicionado permita reducir significativamente las emisiones de dióxido de carbono (CO</w:t>
      </w:r>
      <w:r w:rsidRPr="00581ACA">
        <w:rPr>
          <w:vertAlign w:val="subscript"/>
          <w:lang w:val="es-ES"/>
        </w:rPr>
        <w:t>2</w:t>
      </w:r>
      <w:r w:rsidRPr="00581ACA">
        <w:rPr>
          <w:lang w:val="es-ES"/>
        </w:rPr>
        <w:t xml:space="preserve">) </w:t>
      </w:r>
      <w:r w:rsidR="00AE21E6">
        <w:rPr>
          <w:lang w:val="es-ES"/>
        </w:rPr>
        <w:t>asociadas</w:t>
      </w:r>
      <w:r w:rsidRPr="00581ACA">
        <w:rPr>
          <w:lang w:val="es-ES"/>
        </w:rPr>
        <w:t xml:space="preserve"> con el ahorro energético.</w:t>
      </w:r>
    </w:p>
    <w:p w14:paraId="733D985B" w14:textId="77777777" w:rsidR="00581ACA" w:rsidRPr="00581ACA" w:rsidRDefault="00581ACA" w:rsidP="00581ACA">
      <w:pPr>
        <w:keepNext/>
        <w:spacing w:before="240" w:after="240"/>
        <w:rPr>
          <w:u w:val="single"/>
          <w:lang w:val="es-ES"/>
        </w:rPr>
      </w:pPr>
      <w:r w:rsidRPr="00581ACA">
        <w:rPr>
          <w:u w:val="single"/>
          <w:lang w:val="es-ES"/>
        </w:rPr>
        <w:t>Consumo de HFC por los usuarios finales</w:t>
      </w:r>
    </w:p>
    <w:p w14:paraId="1D0ACD5D" w14:textId="26939168" w:rsidR="00581ACA" w:rsidRPr="00581ACA" w:rsidRDefault="00581ACA" w:rsidP="00581ACA">
      <w:pPr>
        <w:pStyle w:val="Heading1"/>
        <w:rPr>
          <w:lang w:val="es-ES"/>
        </w:rPr>
      </w:pPr>
      <w:r w:rsidRPr="00581ACA">
        <w:rPr>
          <w:lang w:val="es-ES"/>
        </w:rPr>
        <w:t xml:space="preserve">Para </w:t>
      </w:r>
      <w:r w:rsidR="00AE21E6">
        <w:rPr>
          <w:lang w:val="es-ES"/>
        </w:rPr>
        <w:t>evaluar el</w:t>
      </w:r>
      <w:r w:rsidRPr="00581ACA">
        <w:rPr>
          <w:lang w:val="es-ES"/>
        </w:rPr>
        <w:t xml:space="preserve"> nivel de referencia se han seleccionado varias instalaciones. En las visitas a los edificios y la evaluación técnica inicial se ha puesto de manifiesto que, por lo general, los datos de rendimiento de los sistemas y los parámetros técnicos no se comprenden ni registran bien, lo que indica que esta cuestión debería abordarse en el proyecto propuesto. El rendimiento actual de las instalaciones en cuanto a capacidad, eficiencia y parámetros de operación se ha estimado a partir de la limitada información disponible y de las inspecciones de los sistemas realizadas </w:t>
      </w:r>
      <w:r w:rsidR="00AE21E6">
        <w:rPr>
          <w:lang w:val="es-ES"/>
        </w:rPr>
        <w:t>durante la preparación de</w:t>
      </w:r>
      <w:r w:rsidRPr="00581ACA">
        <w:rPr>
          <w:lang w:val="es-ES"/>
        </w:rPr>
        <w:t xml:space="preserve"> este proyecto.</w:t>
      </w:r>
    </w:p>
    <w:p w14:paraId="4275330A" w14:textId="66BCEA0E" w:rsidR="00581ACA" w:rsidRPr="00581ACA" w:rsidRDefault="00581ACA" w:rsidP="00581ACA">
      <w:pPr>
        <w:pStyle w:val="Heading1"/>
        <w:rPr>
          <w:lang w:val="es-ES"/>
        </w:rPr>
      </w:pPr>
      <w:r w:rsidRPr="00581ACA">
        <w:rPr>
          <w:lang w:val="es-ES"/>
        </w:rPr>
        <w:t xml:space="preserve">Se ha observado que la mayoría de los sistemas de refrigeración evaluados son ineficientes, ya sea por su antigüedad, por una limitada disponibilidad de piezas de repuesto o porque no se están supervisando adecuadamente los equipos y procesos. Algunas de las cuestiones comunes que es necesario abordar son la ausencia de procedimientos para mantener registros de eficiencia energética y de fugas, </w:t>
      </w:r>
      <w:r w:rsidR="00AE21E6">
        <w:rPr>
          <w:lang w:val="es-ES"/>
        </w:rPr>
        <w:t>la no existencia de</w:t>
      </w:r>
      <w:r w:rsidRPr="00581ACA">
        <w:rPr>
          <w:lang w:val="es-ES"/>
        </w:rPr>
        <w:t xml:space="preserve"> una base de datos de los registros y el hecho de que las reparaciones se efectúan mediante estimaciones.</w:t>
      </w:r>
    </w:p>
    <w:p w14:paraId="2533E0B3" w14:textId="7262F6C9" w:rsidR="00581ACA" w:rsidRPr="00581ACA" w:rsidRDefault="00581ACA" w:rsidP="00581ACA">
      <w:pPr>
        <w:pStyle w:val="Heading1"/>
        <w:rPr>
          <w:lang w:val="es-ES"/>
        </w:rPr>
      </w:pPr>
      <w:r w:rsidRPr="00581ACA">
        <w:rPr>
          <w:lang w:val="es-ES"/>
        </w:rPr>
        <w:t xml:space="preserve">Un análisis prudente indica que podría lograrse un aumento del 30 por ciento en la eficiencia energética combinando la sustitución de los sistemas por otros de alta eficiencia y que empleen refrigerantes de bajo PCA </w:t>
      </w:r>
      <w:r w:rsidR="00AE21E6">
        <w:rPr>
          <w:lang w:val="es-ES"/>
        </w:rPr>
        <w:t xml:space="preserve">junto </w:t>
      </w:r>
      <w:r w:rsidRPr="00581ACA">
        <w:rPr>
          <w:lang w:val="es-ES"/>
        </w:rPr>
        <w:t>con la adopción de mejoras operativas. La aplicación de bombas de calor también podría tener un efecto positivo en aquellos casos en que se utilicen sistemas de agua caliente en el mismo lugar que sistemas de refrigeración, debido a la mala eficiencia de las calderas de vapor existentes.</w:t>
      </w:r>
    </w:p>
    <w:p w14:paraId="523FF33D" w14:textId="77777777" w:rsidR="00581ACA" w:rsidRPr="00581ACA" w:rsidRDefault="00581ACA" w:rsidP="00581ACA">
      <w:pPr>
        <w:pStyle w:val="Heading1"/>
        <w:rPr>
          <w:lang w:val="es-ES"/>
        </w:rPr>
      </w:pPr>
      <w:r w:rsidRPr="00581ACA">
        <w:rPr>
          <w:lang w:val="es-ES"/>
        </w:rPr>
        <w:t>Para la ejecución del proyecto se han seleccionado los siguientes emplazamientos:</w:t>
      </w:r>
    </w:p>
    <w:p w14:paraId="7A635E8C" w14:textId="77777777" w:rsidR="00581ACA" w:rsidRPr="00581ACA" w:rsidRDefault="00581ACA" w:rsidP="00581ACA">
      <w:pPr>
        <w:pStyle w:val="Heading2"/>
        <w:rPr>
          <w:lang w:val="es-ES"/>
        </w:rPr>
      </w:pPr>
      <w:r w:rsidRPr="00581ACA">
        <w:rPr>
          <w:lang w:val="es-ES"/>
        </w:rPr>
        <w:t xml:space="preserve">Hospital Chris Hani Baragwanath (CHB) de Johannesburgo: Con 3.400 camas y 6.760 empleados, este establecimiento es representativo de los 400 hospitales públicos del país. Entre sus sistemas de refrigeración y aire acondicionado hay enfriadores, aparatos de aire acondicionado de tipo </w:t>
      </w:r>
      <w:r w:rsidRPr="00581ACA">
        <w:rPr>
          <w:i/>
          <w:iCs/>
          <w:lang w:val="es-ES"/>
        </w:rPr>
        <w:t>split</w:t>
      </w:r>
      <w:r w:rsidRPr="00581ACA">
        <w:rPr>
          <w:lang w:val="es-ES"/>
        </w:rPr>
        <w:t xml:space="preserve"> y refrigeradores cargados con HCFC</w:t>
      </w:r>
      <w:r w:rsidRPr="00581ACA">
        <w:rPr>
          <w:lang w:val="es-ES"/>
        </w:rPr>
        <w:noBreakHyphen/>
        <w:t>22, R</w:t>
      </w:r>
      <w:r w:rsidRPr="00581ACA">
        <w:rPr>
          <w:lang w:val="es-ES"/>
        </w:rPr>
        <w:noBreakHyphen/>
        <w:t>410A, R</w:t>
      </w:r>
      <w:r w:rsidRPr="00581ACA">
        <w:rPr>
          <w:lang w:val="es-ES"/>
        </w:rPr>
        <w:noBreakHyphen/>
        <w:t>407C, HFC</w:t>
      </w:r>
      <w:r w:rsidRPr="00581ACA">
        <w:rPr>
          <w:lang w:val="es-ES"/>
        </w:rPr>
        <w:noBreakHyphen/>
        <w:t>134a, R</w:t>
      </w:r>
      <w:r w:rsidRPr="00581ACA">
        <w:rPr>
          <w:lang w:val="es-ES"/>
        </w:rPr>
        <w:noBreakHyphen/>
        <w:t>404A y R</w:t>
      </w:r>
      <w:r w:rsidRPr="00581ACA">
        <w:rPr>
          <w:lang w:val="es-ES"/>
        </w:rPr>
        <w:noBreakHyphen/>
        <w:t>507A;</w:t>
      </w:r>
    </w:p>
    <w:p w14:paraId="512F1692" w14:textId="1D42BBE2" w:rsidR="00581ACA" w:rsidRPr="00581ACA" w:rsidRDefault="00581ACA" w:rsidP="00581ACA">
      <w:pPr>
        <w:pStyle w:val="Heading2"/>
        <w:rPr>
          <w:lang w:val="es-ES"/>
        </w:rPr>
      </w:pPr>
      <w:r w:rsidRPr="00581ACA">
        <w:rPr>
          <w:lang w:val="es-ES"/>
        </w:rPr>
        <w:t xml:space="preserve">Centro Internacional de Convenciones de Durban: Este </w:t>
      </w:r>
      <w:r w:rsidR="00AE21E6">
        <w:rPr>
          <w:lang w:val="es-ES"/>
        </w:rPr>
        <w:t>centro</w:t>
      </w:r>
      <w:r w:rsidRPr="00581ACA">
        <w:rPr>
          <w:lang w:val="es-ES"/>
        </w:rPr>
        <w:t xml:space="preserve"> cuenta con tres enfriadores de HCFC</w:t>
      </w:r>
      <w:r w:rsidRPr="00581ACA">
        <w:rPr>
          <w:lang w:val="es-ES"/>
        </w:rPr>
        <w:noBreakHyphen/>
        <w:t>22, cada uno con una capacidad de 1.900 kW y una carga de refrigerante de 500</w:t>
      </w:r>
      <w:r w:rsidR="000A006A">
        <w:rPr>
          <w:lang w:val="es-ES"/>
        </w:rPr>
        <w:noBreakHyphen/>
      </w:r>
      <w:r w:rsidRPr="00581ACA">
        <w:rPr>
          <w:lang w:val="es-ES"/>
        </w:rPr>
        <w:t>600 kg; todos los enfriadores se instalaron en 1997 y hace falta sustituirlos, probablemente por sistemas de R</w:t>
      </w:r>
      <w:r w:rsidRPr="00581ACA">
        <w:rPr>
          <w:lang w:val="es-ES"/>
        </w:rPr>
        <w:noBreakHyphen/>
        <w:t>410A, puesto que ya se ha realizado un pedido para un enfriador R-410A destinado a otro edificio;</w:t>
      </w:r>
    </w:p>
    <w:p w14:paraId="1681C6AB" w14:textId="4D676838" w:rsidR="00581ACA" w:rsidRPr="00581ACA" w:rsidRDefault="00581ACA" w:rsidP="00285B1D">
      <w:pPr>
        <w:pStyle w:val="Heading2"/>
        <w:keepLines/>
        <w:rPr>
          <w:lang w:val="es-ES"/>
        </w:rPr>
      </w:pPr>
      <w:r w:rsidRPr="00581ACA">
        <w:rPr>
          <w:lang w:val="es-ES"/>
        </w:rPr>
        <w:lastRenderedPageBreak/>
        <w:t>Hospital Militar de Pretoria: Dispone de alrededor de 50 aparatos de aire acondicionado de tipo</w:t>
      </w:r>
      <w:r w:rsidR="00AE21E6">
        <w:rPr>
          <w:lang w:val="es-ES"/>
        </w:rPr>
        <w:t xml:space="preserve"> </w:t>
      </w:r>
      <w:r w:rsidRPr="00581ACA">
        <w:rPr>
          <w:i/>
          <w:iCs/>
          <w:lang w:val="es-ES"/>
        </w:rPr>
        <w:t>split</w:t>
      </w:r>
      <w:r w:rsidRPr="00581ACA">
        <w:rPr>
          <w:lang w:val="es-ES"/>
        </w:rPr>
        <w:t>, cuatro enfriadores de HCFC</w:t>
      </w:r>
      <w:r w:rsidRPr="00581ACA">
        <w:rPr>
          <w:lang w:val="es-ES"/>
        </w:rPr>
        <w:noBreakHyphen/>
        <w:t xml:space="preserve">22 y un sistema de R-410A de volumen variable de refrigerante que </w:t>
      </w:r>
      <w:r w:rsidR="00AE21E6">
        <w:rPr>
          <w:lang w:val="es-ES"/>
        </w:rPr>
        <w:t>da servicio a</w:t>
      </w:r>
      <w:r w:rsidRPr="00581ACA">
        <w:rPr>
          <w:lang w:val="es-ES"/>
        </w:rPr>
        <w:t xml:space="preserve"> las necesidades del edificio. Los enfriadores, cada uno con una carga de 370 kg, se instalaron en 1995 para dar servicio a cuatro quirófanos y es necesario sustituirlos;</w:t>
      </w:r>
    </w:p>
    <w:p w14:paraId="0BAF499E" w14:textId="77777777" w:rsidR="00581ACA" w:rsidRPr="00581ACA" w:rsidRDefault="00581ACA" w:rsidP="00581ACA">
      <w:pPr>
        <w:pStyle w:val="Heading2"/>
        <w:rPr>
          <w:lang w:val="es-ES"/>
        </w:rPr>
      </w:pPr>
      <w:r w:rsidRPr="00581ACA">
        <w:rPr>
          <w:lang w:val="es-ES"/>
        </w:rPr>
        <w:t xml:space="preserve">Clínica Dental Militar de Pretoria: Este edificio se enfría exclusivamente mediante aparatos de aire acondicionado de tipo </w:t>
      </w:r>
      <w:r w:rsidRPr="00581ACA">
        <w:rPr>
          <w:i/>
          <w:iCs/>
          <w:lang w:val="es-ES"/>
        </w:rPr>
        <w:t>split</w:t>
      </w:r>
      <w:r w:rsidRPr="00581ACA">
        <w:rPr>
          <w:lang w:val="es-ES"/>
        </w:rPr>
        <w:t xml:space="preserve"> (algunos de ellos también funcionan como bombas de calor); el sistema de ventilación del laboratorio de la clínica nunca ha funcionado correctamente; y</w:t>
      </w:r>
    </w:p>
    <w:p w14:paraId="5EA7EE6A" w14:textId="77777777" w:rsidR="00581ACA" w:rsidRPr="00581ACA" w:rsidRDefault="00581ACA" w:rsidP="00581ACA">
      <w:pPr>
        <w:pStyle w:val="Heading2"/>
        <w:rPr>
          <w:lang w:val="es-ES"/>
        </w:rPr>
      </w:pPr>
      <w:r w:rsidRPr="00581ACA">
        <w:rPr>
          <w:lang w:val="es-ES"/>
        </w:rPr>
        <w:t>Cuartel General del Ejército del Aire de Sudáfrica en Pretoria: El edificio dispone de seis enfriadores en la cubierta del edificio y otros tres enfriadores para enfriar el búnker, incluidos los equipos informáticos. Cada uno de los enfriadores tiene una carga de 40-60 kg de HCFC</w:t>
      </w:r>
      <w:r w:rsidRPr="00581ACA">
        <w:rPr>
          <w:lang w:val="es-ES"/>
        </w:rPr>
        <w:noBreakHyphen/>
        <w:t>22, con una capacidad estimada de 100 kW/año. Los tres enfriadores del búnker actualmente no están operativos, ya que son antiguos, están en mal estado y está previsto sustituirlos (probablemente por sistemas de R-410A).</w:t>
      </w:r>
    </w:p>
    <w:p w14:paraId="6B72454D" w14:textId="77777777" w:rsidR="00581ACA" w:rsidRPr="00AE21E6" w:rsidRDefault="00581ACA" w:rsidP="00581ACA">
      <w:pPr>
        <w:keepNext/>
        <w:spacing w:after="240"/>
        <w:outlineLvl w:val="0"/>
        <w:rPr>
          <w:u w:val="single"/>
          <w:lang w:val="es-ES_tradnl"/>
        </w:rPr>
      </w:pPr>
      <w:r w:rsidRPr="00AE21E6">
        <w:rPr>
          <w:u w:val="single"/>
          <w:lang w:val="es-ES_tradnl"/>
        </w:rPr>
        <w:t>Tecnología</w:t>
      </w:r>
    </w:p>
    <w:p w14:paraId="19D99149" w14:textId="77777777" w:rsidR="00581ACA" w:rsidRPr="00AE21E6" w:rsidRDefault="00581ACA" w:rsidP="00581ACA">
      <w:pPr>
        <w:pStyle w:val="Heading1"/>
        <w:rPr>
          <w:lang w:val="es-ES_tradnl"/>
        </w:rPr>
      </w:pPr>
      <w:r w:rsidRPr="00AE21E6">
        <w:rPr>
          <w:lang w:val="es-ES_tradnl"/>
        </w:rPr>
        <w:t>Los enfriadores de los emplazamientos seleccionados se sustituirán por enfriadores y bombas de calor (para aprovechar durante los meses de invierno las ventajas en cuanto a eficiencia del modo de calefacción) de R-290/R-600a muy eficientes. Uno de los proyectos servirá para mostrar el uso de R-717 en combinación con una bomba de calor independiente generadora de vapor y que empleará HFO</w:t>
      </w:r>
      <w:r w:rsidRPr="00AE21E6">
        <w:rPr>
          <w:lang w:val="es-ES_tradnl"/>
        </w:rPr>
        <w:noBreakHyphen/>
        <w:t>1233zd(E).</w:t>
      </w:r>
    </w:p>
    <w:p w14:paraId="4AA7702A" w14:textId="77777777" w:rsidR="00581ACA" w:rsidRPr="00AE21E6" w:rsidRDefault="00581ACA" w:rsidP="00581ACA">
      <w:pPr>
        <w:keepNext/>
        <w:suppressAutoHyphens/>
        <w:spacing w:before="240" w:after="240"/>
        <w:rPr>
          <w:u w:val="single"/>
          <w:lang w:val="es-ES_tradnl"/>
        </w:rPr>
      </w:pPr>
      <w:r w:rsidRPr="00AE21E6">
        <w:rPr>
          <w:u w:val="single"/>
          <w:lang w:val="es-ES_tradnl"/>
        </w:rPr>
        <w:t>Actividades propuestas</w:t>
      </w:r>
    </w:p>
    <w:p w14:paraId="1486E283" w14:textId="78E33CDE" w:rsidR="00581ACA" w:rsidRPr="00AE21E6" w:rsidRDefault="00581ACA" w:rsidP="00581ACA">
      <w:pPr>
        <w:pStyle w:val="Heading1"/>
        <w:rPr>
          <w:lang w:val="es-ES"/>
        </w:rPr>
      </w:pPr>
      <w:r w:rsidRPr="00581ACA">
        <w:rPr>
          <w:lang w:val="es-ES"/>
        </w:rPr>
        <w:t xml:space="preserve">Este proyecto está centrado en los edificios públicos de gran tamaño, que constituyen una proporción significativa de la carga nacional destinada a la refrigeración de edificios. Los sistemas de refrigeración y aire acondicionado que se sustituirán se caracterizan, en general, por su baja eficiencia y una insuficiente capacidad técnica en cuanto a rendimiento y gestión energética. Dado que son muy representativas de </w:t>
      </w:r>
      <w:r w:rsidR="00AE21E6">
        <w:rPr>
          <w:lang w:val="es-ES"/>
        </w:rPr>
        <w:t xml:space="preserve">otras </w:t>
      </w:r>
      <w:r w:rsidRPr="00581ACA">
        <w:rPr>
          <w:lang w:val="es-ES"/>
        </w:rPr>
        <w:t xml:space="preserve">instalaciones similares de toda Sudáfrica, la probabilidad de que las tecnologías de sustitución sean reproducibles es elevada. </w:t>
      </w:r>
      <w:r w:rsidRPr="00AE21E6">
        <w:rPr>
          <w:lang w:val="es-ES"/>
        </w:rPr>
        <w:t>Entre las actividades propuestas para este proyecto se incluyen:</w:t>
      </w:r>
    </w:p>
    <w:p w14:paraId="15AC7A9C" w14:textId="77777777" w:rsidR="00581ACA" w:rsidRPr="00581ACA" w:rsidRDefault="00581ACA" w:rsidP="00581ACA">
      <w:pPr>
        <w:pStyle w:val="Heading2"/>
        <w:rPr>
          <w:lang w:val="es-ES"/>
        </w:rPr>
      </w:pPr>
      <w:r w:rsidRPr="00581ACA">
        <w:rPr>
          <w:lang w:val="es-ES"/>
        </w:rPr>
        <w:t>Evaluación del rendimiento de los sistemas existentes durante al menos seis meses de funcionamiento;</w:t>
      </w:r>
    </w:p>
    <w:p w14:paraId="14E85CEF" w14:textId="77777777" w:rsidR="00581ACA" w:rsidRPr="00581ACA" w:rsidRDefault="00581ACA" w:rsidP="00581ACA">
      <w:pPr>
        <w:pStyle w:val="Heading2"/>
        <w:rPr>
          <w:lang w:val="es-ES"/>
        </w:rPr>
      </w:pPr>
      <w:r w:rsidRPr="00581ACA">
        <w:rPr>
          <w:lang w:val="es-ES"/>
        </w:rPr>
        <w:t>Diseño de especificaciones e instalación de nuevos sistemas;</w:t>
      </w:r>
    </w:p>
    <w:p w14:paraId="31420163" w14:textId="77777777" w:rsidR="00581ACA" w:rsidRPr="00581ACA" w:rsidRDefault="00581ACA" w:rsidP="00581ACA">
      <w:pPr>
        <w:pStyle w:val="Heading2"/>
        <w:rPr>
          <w:lang w:val="es-ES"/>
        </w:rPr>
      </w:pPr>
      <w:r w:rsidRPr="00581ACA">
        <w:rPr>
          <w:lang w:val="es-ES"/>
        </w:rPr>
        <w:t>Instalación de equipos de supervisión;</w:t>
      </w:r>
    </w:p>
    <w:p w14:paraId="4C3BEE28" w14:textId="77777777" w:rsidR="00581ACA" w:rsidRPr="00581ACA" w:rsidRDefault="00581ACA" w:rsidP="00581ACA">
      <w:pPr>
        <w:pStyle w:val="Heading2"/>
        <w:rPr>
          <w:lang w:val="es-ES"/>
        </w:rPr>
      </w:pPr>
      <w:r w:rsidRPr="00581ACA">
        <w:rPr>
          <w:lang w:val="es-ES"/>
        </w:rPr>
        <w:t>Evaluación del rendimiento de los nuevos sistemas durante, al menos, seis meses de funcionamiento;</w:t>
      </w:r>
    </w:p>
    <w:p w14:paraId="322C6167" w14:textId="77777777" w:rsidR="00581ACA" w:rsidRPr="00581ACA" w:rsidRDefault="00581ACA" w:rsidP="00581ACA">
      <w:pPr>
        <w:pStyle w:val="Heading2"/>
        <w:rPr>
          <w:lang w:val="es-ES"/>
        </w:rPr>
      </w:pPr>
      <w:r w:rsidRPr="00581ACA">
        <w:rPr>
          <w:lang w:val="es-ES"/>
        </w:rPr>
        <w:t>Redacción de informes de evaluación técnica y estudios de casos; y</w:t>
      </w:r>
    </w:p>
    <w:p w14:paraId="6BA18355" w14:textId="77777777" w:rsidR="00581ACA" w:rsidRPr="00581ACA" w:rsidRDefault="00581ACA" w:rsidP="00581ACA">
      <w:pPr>
        <w:pStyle w:val="Heading2"/>
        <w:rPr>
          <w:lang w:val="es-ES"/>
        </w:rPr>
      </w:pPr>
      <w:r w:rsidRPr="00581ACA">
        <w:rPr>
          <w:lang w:val="es-ES"/>
        </w:rPr>
        <w:t>Capacitación de 20 técnicos de mantenimiento del sector público.</w:t>
      </w:r>
    </w:p>
    <w:p w14:paraId="2E3848B2" w14:textId="17B263E6" w:rsidR="00581ACA" w:rsidRDefault="00581ACA" w:rsidP="00581ACA">
      <w:pPr>
        <w:pStyle w:val="Heading1"/>
        <w:rPr>
          <w:lang w:val="es-ES"/>
        </w:rPr>
      </w:pPr>
      <w:r w:rsidRPr="00581ACA">
        <w:rPr>
          <w:lang w:val="es-ES"/>
        </w:rPr>
        <w:t>El proyecto también servirá para mostrar el uso de tecnologías de supervisión y evaluación, tanto aplicada</w:t>
      </w:r>
      <w:r w:rsidR="00AE21E6">
        <w:rPr>
          <w:lang w:val="es-ES"/>
        </w:rPr>
        <w:t>s</w:t>
      </w:r>
      <w:r w:rsidRPr="00581ACA">
        <w:rPr>
          <w:lang w:val="es-ES"/>
        </w:rPr>
        <w:t xml:space="preserve"> a los sistemas existentes</w:t>
      </w:r>
      <w:r w:rsidR="00AE21E6">
        <w:rPr>
          <w:lang w:val="es-ES"/>
        </w:rPr>
        <w:t>,</w:t>
      </w:r>
      <w:r w:rsidRPr="00581ACA">
        <w:rPr>
          <w:lang w:val="es-ES"/>
        </w:rPr>
        <w:t xml:space="preserve"> a fin de establecer un rendimiento de referencia</w:t>
      </w:r>
      <w:r w:rsidR="00AE21E6">
        <w:rPr>
          <w:lang w:val="es-ES"/>
        </w:rPr>
        <w:t>,</w:t>
      </w:r>
      <w:r w:rsidRPr="00581ACA">
        <w:rPr>
          <w:lang w:val="es-ES"/>
        </w:rPr>
        <w:t xml:space="preserve"> como integrada en los nuevos equipos, así como métodos de supervisión del caudal volumétrico (agua fría) </w:t>
      </w:r>
      <w:r w:rsidR="00AE21E6">
        <w:rPr>
          <w:lang w:val="es-ES"/>
        </w:rPr>
        <w:t>para</w:t>
      </w:r>
      <w:r w:rsidRPr="00581ACA">
        <w:rPr>
          <w:lang w:val="es-ES"/>
        </w:rPr>
        <w:t xml:space="preserve"> determinar con precisión las cargas de refrigeración y el consumo de energía. Este elemento del proyecto es fundamental </w:t>
      </w:r>
      <w:r w:rsidRPr="00581ACA">
        <w:rPr>
          <w:lang w:val="es-ES"/>
        </w:rPr>
        <w:lastRenderedPageBreak/>
        <w:t>para establecer una metodología que permita evaluar otras instalaciones y poder reproducir los sistemas de demostración.</w:t>
      </w:r>
    </w:p>
    <w:p w14:paraId="40498F09" w14:textId="77777777" w:rsidR="00581ACA" w:rsidRPr="00581ACA" w:rsidRDefault="00581ACA" w:rsidP="00581ACA">
      <w:pPr>
        <w:spacing w:after="240"/>
        <w:rPr>
          <w:i/>
          <w:iCs/>
          <w:lang w:val="es-ES"/>
        </w:rPr>
      </w:pPr>
      <w:r w:rsidRPr="00581ACA">
        <w:rPr>
          <w:i/>
          <w:lang w:val="es-ES"/>
        </w:rPr>
        <w:t>Equipos de sustitución de los enfriadores</w:t>
      </w:r>
    </w:p>
    <w:p w14:paraId="610112DA" w14:textId="77777777" w:rsidR="00581ACA" w:rsidRPr="00581ACA" w:rsidRDefault="00581ACA" w:rsidP="00581ACA">
      <w:pPr>
        <w:pStyle w:val="Heading1"/>
        <w:rPr>
          <w:lang w:val="es-ES"/>
        </w:rPr>
      </w:pPr>
      <w:r w:rsidRPr="00581ACA">
        <w:rPr>
          <w:lang w:val="es-ES"/>
        </w:rPr>
        <w:t>El proyecto incluye la sustitución de 19 enfriadores en siete emplazamientos, tal como se describe más adelante. En el anexo I del presente documento se presenta información detallada sobre la situación de partida y el impacto esperado de sustituir los enfriadores en estos emplazamientos:</w:t>
      </w:r>
    </w:p>
    <w:p w14:paraId="013D1316" w14:textId="77777777" w:rsidR="00581ACA" w:rsidRPr="00581ACA" w:rsidRDefault="00581ACA" w:rsidP="00581ACA">
      <w:pPr>
        <w:pStyle w:val="Heading2"/>
        <w:rPr>
          <w:lang w:val="es-ES"/>
        </w:rPr>
      </w:pPr>
      <w:r w:rsidRPr="00581ACA">
        <w:rPr>
          <w:lang w:val="es-ES"/>
        </w:rPr>
        <w:t>Hospital CHB (dos emplazamientos): Sustitución de cuatro enfriadores de cubierta que emplean HCFC-22 con una capacidad de 231 kW y recuperación de calor para agua caliente (100 kW) por enfriadores de R-290 con modo de bomba de calor e instalaciones de recuperación de calor, lo que generará un ahorro de energía estimado del 30 por ciento (700.000 $EUA); y sustitución de dos enfriadores de los quirófanos, uno de HCFC-22 y otro de R</w:t>
      </w:r>
      <w:r w:rsidRPr="00581ACA">
        <w:rPr>
          <w:lang w:val="es-ES"/>
        </w:rPr>
        <w:noBreakHyphen/>
        <w:t>404A, por otros de R-290, lo que generará un ahorro de energía estimado del 30 por ciento (360.000 $EUA);</w:t>
      </w:r>
    </w:p>
    <w:p w14:paraId="1F11D6F6" w14:textId="77777777" w:rsidR="00581ACA" w:rsidRPr="00581ACA" w:rsidRDefault="00581ACA" w:rsidP="00581ACA">
      <w:pPr>
        <w:pStyle w:val="Heading2"/>
        <w:rPr>
          <w:lang w:val="es-ES"/>
        </w:rPr>
      </w:pPr>
      <w:r w:rsidRPr="00581ACA">
        <w:rPr>
          <w:lang w:val="es-ES"/>
        </w:rPr>
        <w:t>Centro Internacional de Convenciones (un emplazamiento): Sustitución de tres enfriadores con una capacidad nominal de 1.900 kW por un sistema de R</w:t>
      </w:r>
      <w:r w:rsidRPr="00581ACA">
        <w:rPr>
          <w:lang w:val="es-ES"/>
        </w:rPr>
        <w:noBreakHyphen/>
        <w:t>290 de gran tamaño, lo que generará un ahorro de energía estimado del 30 por ciento (2.020.000 $EUA);</w:t>
      </w:r>
    </w:p>
    <w:p w14:paraId="0A70560A" w14:textId="2AE732D2" w:rsidR="00581ACA" w:rsidRPr="00581ACA" w:rsidRDefault="00581ACA" w:rsidP="00581ACA">
      <w:pPr>
        <w:pStyle w:val="Heading2"/>
        <w:rPr>
          <w:lang w:val="es-ES"/>
        </w:rPr>
      </w:pPr>
      <w:r w:rsidRPr="00581ACA">
        <w:rPr>
          <w:lang w:val="es-ES"/>
        </w:rPr>
        <w:t>Hospital Militar (un emplazamiento): Sustitución de cuatro enfriadores de HCFC-22 por cuatro enfriadores de agua fría y sustitución de una caldera de carbón utilizada para suministrar vapor por una bomba de calor a alta presión cargada con R-717 o HFO</w:t>
      </w:r>
      <w:r w:rsidR="000A006A">
        <w:rPr>
          <w:lang w:val="es-ES"/>
        </w:rPr>
        <w:noBreakHyphen/>
      </w:r>
      <w:r w:rsidRPr="00581ACA">
        <w:rPr>
          <w:lang w:val="es-ES"/>
        </w:rPr>
        <w:t>1233zd(E), lo que generará un ahorro de energía estimado del 30 por ciento (820.000 $EUA);</w:t>
      </w:r>
    </w:p>
    <w:p w14:paraId="12A1853B" w14:textId="77777777" w:rsidR="00581ACA" w:rsidRPr="00581ACA" w:rsidRDefault="00581ACA" w:rsidP="00581ACA">
      <w:pPr>
        <w:pStyle w:val="Heading2"/>
        <w:rPr>
          <w:lang w:val="es-ES"/>
        </w:rPr>
      </w:pPr>
      <w:r w:rsidRPr="00581ACA">
        <w:rPr>
          <w:lang w:val="es-ES"/>
        </w:rPr>
        <w:t xml:space="preserve">Clínica Dental Militar (un emplazamiento): Sustitución de varios aparatos de aire acondicionado de tipo </w:t>
      </w:r>
      <w:r w:rsidRPr="00581ACA">
        <w:rPr>
          <w:i/>
          <w:iCs/>
          <w:lang w:val="es-ES"/>
        </w:rPr>
        <w:t>split</w:t>
      </w:r>
      <w:r w:rsidRPr="00581ACA">
        <w:rPr>
          <w:lang w:val="es-ES"/>
        </w:rPr>
        <w:t xml:space="preserve"> por un enfriador de agua fría, lo que permitirá obtener un ahorro de energía estimado del 30 por ciento (245.000 $EUA); y</w:t>
      </w:r>
    </w:p>
    <w:p w14:paraId="5980DE1E" w14:textId="77777777" w:rsidR="00581ACA" w:rsidRPr="00581ACA" w:rsidRDefault="00581ACA" w:rsidP="00581ACA">
      <w:pPr>
        <w:pStyle w:val="Heading2"/>
        <w:widowControl/>
        <w:rPr>
          <w:lang w:val="es-ES"/>
        </w:rPr>
      </w:pPr>
      <w:r w:rsidRPr="00581ACA">
        <w:rPr>
          <w:lang w:val="es-ES"/>
        </w:rPr>
        <w:t>Ejército del Aire de Sudáfrica (dos emplazamientos): Sustitución de seis enfriadores de HCFC-22 ubicados en el cuartel general por dos nuevos enfriadores, lo que permitirá obtener un ahorro de energía estimado en un 35 por ciento (360.000 $EUA); y sustitución de tres enfriadores del búnker por otros equipos que podrían configurarse para su funcionamiento como bomba de calor y para la recuperación de calor, lo que generará un ahorro de energía estimado del 30 por ciento (535.000 $EUA).</w:t>
      </w:r>
    </w:p>
    <w:p w14:paraId="3FD61780" w14:textId="77777777" w:rsidR="00581ACA" w:rsidRPr="00AE21E6" w:rsidRDefault="00581ACA" w:rsidP="00581ACA">
      <w:pPr>
        <w:spacing w:after="240"/>
        <w:rPr>
          <w:i/>
          <w:iCs/>
          <w:lang w:val="es-ES_tradnl"/>
        </w:rPr>
      </w:pPr>
      <w:r w:rsidRPr="00AE21E6">
        <w:rPr>
          <w:i/>
          <w:lang w:val="es-ES_tradnl"/>
        </w:rPr>
        <w:t>Supervisión del rendimiento</w:t>
      </w:r>
    </w:p>
    <w:p w14:paraId="13506F8E" w14:textId="77777777" w:rsidR="00581ACA" w:rsidRPr="00581ACA" w:rsidRDefault="00581ACA" w:rsidP="00285B1D">
      <w:pPr>
        <w:pStyle w:val="Heading1"/>
        <w:spacing w:after="720"/>
        <w:rPr>
          <w:lang w:val="es-ES"/>
        </w:rPr>
      </w:pPr>
      <w:r w:rsidRPr="00581ACA">
        <w:rPr>
          <w:lang w:val="es-ES"/>
        </w:rPr>
        <w:t>El componente de supervisión del rendimiento (10.000 $EUA por enfriador) incluye el seguimiento en tiempo real de los enfriadores sustituidos, recopilando datos que permitan hacer un análisis diario, mensual y anual de la eficiencia de los enfriadores. Entre los parámetros que se medirán están la temperatura de evaporación; temperatura de condensación; temperatura ambiente; temperatura de la sala; temperaturas del agua (entrada/salida del circuito de agua); funcionamiento de válvulas de expansión electrónicas; funcionamiento del compresor; caudal volumétrico/temperatura del agua fría calculado en kWh de refrigeración; consumo de energía (enfriador, bomba); consumo de agua (condensadores de evaporación); diferencia de temperatura de los intercambiadores de calor; porcentaje de carga y eficiencia. El sistema también contará con alarmas por pérdida de refrigerante, fallo de los componentes o variaciones de temperatura.</w:t>
      </w:r>
    </w:p>
    <w:p w14:paraId="0FD45D33" w14:textId="6517ED17" w:rsidR="00581ACA" w:rsidRPr="00B9779F" w:rsidRDefault="00581ACA" w:rsidP="00581ACA">
      <w:pPr>
        <w:pStyle w:val="Heading1"/>
        <w:numPr>
          <w:ilvl w:val="0"/>
          <w:numId w:val="0"/>
        </w:numPr>
        <w:rPr>
          <w:i/>
          <w:iCs/>
          <w:lang w:val="es-ES_tradnl"/>
        </w:rPr>
      </w:pPr>
      <w:r w:rsidRPr="00B9779F">
        <w:rPr>
          <w:i/>
          <w:lang w:val="es-ES_tradnl"/>
        </w:rPr>
        <w:lastRenderedPageBreak/>
        <w:t>Evaluación y presentación de informes</w:t>
      </w:r>
    </w:p>
    <w:p w14:paraId="6108335C" w14:textId="5BAD8450" w:rsidR="00581ACA" w:rsidRPr="00581ACA" w:rsidRDefault="00581ACA" w:rsidP="00581ACA">
      <w:pPr>
        <w:pStyle w:val="Heading1"/>
        <w:rPr>
          <w:lang w:val="es-ES"/>
        </w:rPr>
      </w:pPr>
      <w:r w:rsidRPr="00581ACA">
        <w:rPr>
          <w:lang w:val="es-ES"/>
        </w:rPr>
        <w:t xml:space="preserve">El componente de evaluación y presentación de informes (10.000 $EUA por </w:t>
      </w:r>
      <w:r w:rsidR="00B9779F">
        <w:rPr>
          <w:lang w:val="es-ES"/>
        </w:rPr>
        <w:t>enfriador</w:t>
      </w:r>
      <w:r w:rsidRPr="00581ACA">
        <w:rPr>
          <w:lang w:val="es-ES"/>
        </w:rPr>
        <w:t xml:space="preserve">) consiste en la elaboración de informes una vez ejecutado el proyecto; en ellos se indicará si los sistemas se instalaron correctamente y se documentaron de conformidad con el contrato (componentes, esquemas, pruebas de presión) y si las instalaciones cumplían con los principales parámetros definidos en el contrato (es decir, caída de presión, recuperación de calor, temperaturas) y funcionaban de manera eficiente en comparación con los sistemas anteriores, además de identificar cualquier problema de seguridad </w:t>
      </w:r>
      <w:r w:rsidR="00B9779F">
        <w:rPr>
          <w:lang w:val="es-ES"/>
        </w:rPr>
        <w:t>observado</w:t>
      </w:r>
      <w:r w:rsidRPr="00581ACA">
        <w:rPr>
          <w:lang w:val="es-ES"/>
        </w:rPr>
        <w:t xml:space="preserve"> (por ejemplo, en las evaluaciones de sensores, ventilación y alarmas).</w:t>
      </w:r>
    </w:p>
    <w:p w14:paraId="12A7355A" w14:textId="77777777" w:rsidR="00581ACA" w:rsidRPr="00B9779F" w:rsidRDefault="00581ACA" w:rsidP="00581ACA">
      <w:pPr>
        <w:spacing w:after="240"/>
        <w:rPr>
          <w:i/>
          <w:iCs/>
          <w:lang w:val="es-ES_tradnl"/>
        </w:rPr>
      </w:pPr>
      <w:r w:rsidRPr="00B9779F">
        <w:rPr>
          <w:i/>
          <w:lang w:val="es-ES_tradnl"/>
        </w:rPr>
        <w:t>Capacitación</w:t>
      </w:r>
    </w:p>
    <w:p w14:paraId="33B68ADF" w14:textId="77777777" w:rsidR="00581ACA" w:rsidRPr="00581ACA" w:rsidRDefault="00581ACA" w:rsidP="00581ACA">
      <w:pPr>
        <w:pStyle w:val="Heading1"/>
        <w:rPr>
          <w:lang w:val="es-ES"/>
        </w:rPr>
      </w:pPr>
      <w:r w:rsidRPr="00581ACA">
        <w:rPr>
          <w:lang w:val="es-ES"/>
        </w:rPr>
        <w:t>La capacitación de 20 técnicos de mantenimiento y responsables de mantenimiento del sector público (80.000 $EUA) se centrará en la supervisión adecuada del rendimiento y la recopilación de datos relevantes sobre el proyecto de eficiencia energética, así como en el mantenimiento de aplicaciones que emplean R-290 con más de 500 g de carga de refrigerante.</w:t>
      </w:r>
    </w:p>
    <w:p w14:paraId="7CFA6A4B" w14:textId="77777777" w:rsidR="00581ACA" w:rsidRPr="000222B7" w:rsidRDefault="00581ACA" w:rsidP="00581ACA">
      <w:pPr>
        <w:keepNext/>
        <w:spacing w:after="240"/>
        <w:outlineLvl w:val="0"/>
        <w:rPr>
          <w:u w:val="single"/>
        </w:rPr>
      </w:pPr>
      <w:r>
        <w:rPr>
          <w:u w:val="single"/>
        </w:rPr>
        <w:t xml:space="preserve">Costo total </w:t>
      </w:r>
      <w:r w:rsidRPr="00B9779F">
        <w:rPr>
          <w:u w:val="single"/>
          <w:lang w:val="es-ES_tradnl"/>
        </w:rPr>
        <w:t>del proyecto piloto</w:t>
      </w:r>
    </w:p>
    <w:p w14:paraId="2DCCC4EB" w14:textId="77777777" w:rsidR="00581ACA" w:rsidRPr="00581ACA" w:rsidRDefault="00581ACA" w:rsidP="00581ACA">
      <w:pPr>
        <w:pStyle w:val="Heading1"/>
        <w:rPr>
          <w:lang w:val="es-ES"/>
        </w:rPr>
      </w:pPr>
      <w:r w:rsidRPr="00581ACA">
        <w:rPr>
          <w:lang w:val="es-ES"/>
        </w:rPr>
        <w:t>El proyecto se ejecutará en 36 meses. En el cuadro 2 figura un desglose de los costos del proyecto para cada una de las actividades y componentes relacionados en cada uno de los siete emplazamientos.</w:t>
      </w:r>
    </w:p>
    <w:p w14:paraId="23AB4703" w14:textId="77777777" w:rsidR="00581ACA" w:rsidRPr="00581ACA" w:rsidRDefault="00581ACA" w:rsidP="00581ACA">
      <w:pPr>
        <w:rPr>
          <w:b/>
          <w:bCs/>
          <w:lang w:val="es-ES"/>
        </w:rPr>
      </w:pPr>
      <w:r w:rsidRPr="00581ACA">
        <w:rPr>
          <w:b/>
          <w:lang w:val="es-ES"/>
        </w:rPr>
        <w:t>Cuadro 2. Desglose de los costos de sustitución de 19 enfriadores en siete emplazamientos de Sudáfrica ( $EUA)</w:t>
      </w:r>
    </w:p>
    <w:tbl>
      <w:tblPr>
        <w:tblW w:w="4955" w:type="pct"/>
        <w:tblInd w:w="85" w:type="dxa"/>
        <w:tblLayout w:type="fixed"/>
        <w:tblCellMar>
          <w:left w:w="85" w:type="dxa"/>
          <w:right w:w="85" w:type="dxa"/>
        </w:tblCellMar>
        <w:tblLook w:val="04A0" w:firstRow="1" w:lastRow="0" w:firstColumn="1" w:lastColumn="0" w:noHBand="0" w:noVBand="1"/>
      </w:tblPr>
      <w:tblGrid>
        <w:gridCol w:w="2041"/>
        <w:gridCol w:w="991"/>
        <w:gridCol w:w="991"/>
        <w:gridCol w:w="990"/>
        <w:gridCol w:w="1134"/>
        <w:gridCol w:w="1129"/>
        <w:gridCol w:w="993"/>
        <w:gridCol w:w="997"/>
      </w:tblGrid>
      <w:tr w:rsidR="00581ACA" w:rsidRPr="00FC6B62" w14:paraId="7271925B" w14:textId="77777777" w:rsidTr="00B9779F">
        <w:trPr>
          <w:trHeight w:val="419"/>
          <w:tblHeader/>
        </w:trPr>
        <w:tc>
          <w:tcPr>
            <w:tcW w:w="1101" w:type="pct"/>
            <w:vMerge w:val="restart"/>
            <w:tcBorders>
              <w:top w:val="single" w:sz="4" w:space="0" w:color="auto"/>
              <w:left w:val="single" w:sz="4" w:space="0" w:color="auto"/>
              <w:right w:val="single" w:sz="4" w:space="0" w:color="auto"/>
            </w:tcBorders>
            <w:shd w:val="clear" w:color="auto" w:fill="auto"/>
            <w:vAlign w:val="center"/>
            <w:hideMark/>
          </w:tcPr>
          <w:p w14:paraId="7CCFF72F"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Concepto</w:t>
            </w:r>
          </w:p>
        </w:tc>
        <w:tc>
          <w:tcPr>
            <w:tcW w:w="1070" w:type="pct"/>
            <w:gridSpan w:val="2"/>
            <w:tcBorders>
              <w:top w:val="single" w:sz="4" w:space="0" w:color="auto"/>
              <w:left w:val="nil"/>
              <w:bottom w:val="single" w:sz="4" w:space="0" w:color="auto"/>
              <w:right w:val="single" w:sz="4" w:space="0" w:color="auto"/>
            </w:tcBorders>
            <w:shd w:val="clear" w:color="auto" w:fill="auto"/>
            <w:vAlign w:val="center"/>
            <w:hideMark/>
          </w:tcPr>
          <w:p w14:paraId="514AAFA6"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Hospital CHB</w:t>
            </w:r>
          </w:p>
        </w:tc>
        <w:tc>
          <w:tcPr>
            <w:tcW w:w="534" w:type="pct"/>
            <w:vMerge w:val="restart"/>
            <w:tcBorders>
              <w:top w:val="single" w:sz="4" w:space="0" w:color="auto"/>
              <w:left w:val="nil"/>
              <w:right w:val="single" w:sz="4" w:space="0" w:color="auto"/>
            </w:tcBorders>
            <w:shd w:val="clear" w:color="auto" w:fill="auto"/>
            <w:vAlign w:val="center"/>
            <w:hideMark/>
          </w:tcPr>
          <w:p w14:paraId="39414A99"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Centro Internacional de Convenciones</w:t>
            </w:r>
          </w:p>
        </w:tc>
        <w:tc>
          <w:tcPr>
            <w:tcW w:w="612" w:type="pct"/>
            <w:vMerge w:val="restart"/>
            <w:tcBorders>
              <w:top w:val="single" w:sz="4" w:space="0" w:color="auto"/>
              <w:left w:val="nil"/>
              <w:right w:val="single" w:sz="4" w:space="0" w:color="auto"/>
            </w:tcBorders>
            <w:shd w:val="clear" w:color="auto" w:fill="auto"/>
            <w:vAlign w:val="center"/>
            <w:hideMark/>
          </w:tcPr>
          <w:p w14:paraId="18D79A83"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Hospital Militar</w:t>
            </w:r>
          </w:p>
        </w:tc>
        <w:tc>
          <w:tcPr>
            <w:tcW w:w="609" w:type="pct"/>
            <w:vMerge w:val="restart"/>
            <w:tcBorders>
              <w:top w:val="single" w:sz="4" w:space="0" w:color="auto"/>
              <w:left w:val="nil"/>
              <w:right w:val="single" w:sz="4" w:space="0" w:color="auto"/>
            </w:tcBorders>
            <w:shd w:val="clear" w:color="auto" w:fill="auto"/>
            <w:vAlign w:val="center"/>
          </w:tcPr>
          <w:p w14:paraId="224F5FA5"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Clínica Dental Militar</w:t>
            </w:r>
          </w:p>
        </w:tc>
        <w:tc>
          <w:tcPr>
            <w:tcW w:w="1074" w:type="pct"/>
            <w:gridSpan w:val="2"/>
            <w:tcBorders>
              <w:top w:val="single" w:sz="4" w:space="0" w:color="auto"/>
              <w:left w:val="nil"/>
              <w:bottom w:val="single" w:sz="4" w:space="0" w:color="auto"/>
              <w:right w:val="single" w:sz="4" w:space="0" w:color="auto"/>
            </w:tcBorders>
            <w:shd w:val="clear" w:color="auto" w:fill="auto"/>
            <w:vAlign w:val="center"/>
            <w:hideMark/>
          </w:tcPr>
          <w:p w14:paraId="5A14FE6D"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Ejército del Aire de Sudáfrica</w:t>
            </w:r>
          </w:p>
        </w:tc>
      </w:tr>
      <w:tr w:rsidR="00581ACA" w:rsidRPr="00B9779F" w14:paraId="0E797BE0" w14:textId="77777777" w:rsidTr="00B9779F">
        <w:trPr>
          <w:trHeight w:val="419"/>
          <w:tblHeader/>
        </w:trPr>
        <w:tc>
          <w:tcPr>
            <w:tcW w:w="1101" w:type="pct"/>
            <w:vMerge/>
            <w:tcBorders>
              <w:left w:val="single" w:sz="4" w:space="0" w:color="auto"/>
              <w:bottom w:val="single" w:sz="4" w:space="0" w:color="auto"/>
              <w:right w:val="single" w:sz="4" w:space="0" w:color="auto"/>
            </w:tcBorders>
            <w:shd w:val="clear" w:color="auto" w:fill="auto"/>
            <w:vAlign w:val="center"/>
          </w:tcPr>
          <w:p w14:paraId="0A08A971" w14:textId="77777777" w:rsidR="00581ACA" w:rsidRPr="00B9779F" w:rsidRDefault="00581ACA" w:rsidP="00951501">
            <w:pPr>
              <w:jc w:val="center"/>
              <w:rPr>
                <w:b/>
                <w:bCs/>
                <w:color w:val="000000"/>
                <w:sz w:val="18"/>
                <w:szCs w:val="18"/>
                <w:lang w:val="es-ES_tradnl" w:eastAsia="en-CA"/>
              </w:rPr>
            </w:pPr>
          </w:p>
        </w:tc>
        <w:tc>
          <w:tcPr>
            <w:tcW w:w="535" w:type="pct"/>
            <w:tcBorders>
              <w:top w:val="single" w:sz="4" w:space="0" w:color="auto"/>
              <w:left w:val="nil"/>
              <w:bottom w:val="single" w:sz="4" w:space="0" w:color="auto"/>
              <w:right w:val="single" w:sz="4" w:space="0" w:color="auto"/>
            </w:tcBorders>
            <w:shd w:val="clear" w:color="auto" w:fill="auto"/>
            <w:vAlign w:val="center"/>
          </w:tcPr>
          <w:p w14:paraId="09591B9C"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Cubierta</w:t>
            </w:r>
          </w:p>
        </w:tc>
        <w:tc>
          <w:tcPr>
            <w:tcW w:w="535" w:type="pct"/>
            <w:tcBorders>
              <w:top w:val="single" w:sz="4" w:space="0" w:color="auto"/>
              <w:left w:val="nil"/>
              <w:bottom w:val="single" w:sz="4" w:space="0" w:color="auto"/>
              <w:right w:val="single" w:sz="4" w:space="0" w:color="auto"/>
            </w:tcBorders>
            <w:shd w:val="clear" w:color="auto" w:fill="auto"/>
            <w:vAlign w:val="center"/>
          </w:tcPr>
          <w:p w14:paraId="3A84F50E" w14:textId="77777777" w:rsidR="00581ACA" w:rsidRPr="00B9779F" w:rsidRDefault="00581ACA" w:rsidP="00951501">
            <w:pPr>
              <w:ind w:left="-90" w:right="-81"/>
              <w:jc w:val="center"/>
              <w:rPr>
                <w:b/>
                <w:bCs/>
                <w:color w:val="000000"/>
                <w:sz w:val="18"/>
                <w:szCs w:val="18"/>
                <w:lang w:val="es-ES_tradnl"/>
              </w:rPr>
            </w:pPr>
            <w:r w:rsidRPr="00B9779F">
              <w:rPr>
                <w:b/>
                <w:color w:val="000000"/>
                <w:sz w:val="18"/>
                <w:szCs w:val="18"/>
                <w:lang w:val="es-ES_tradnl"/>
              </w:rPr>
              <w:t>Quirófano</w:t>
            </w:r>
          </w:p>
        </w:tc>
        <w:tc>
          <w:tcPr>
            <w:tcW w:w="534" w:type="pct"/>
            <w:vMerge/>
            <w:tcBorders>
              <w:left w:val="nil"/>
              <w:bottom w:val="single" w:sz="4" w:space="0" w:color="auto"/>
              <w:right w:val="single" w:sz="4" w:space="0" w:color="auto"/>
            </w:tcBorders>
            <w:shd w:val="clear" w:color="auto" w:fill="auto"/>
            <w:vAlign w:val="center"/>
          </w:tcPr>
          <w:p w14:paraId="19B9FB92" w14:textId="77777777" w:rsidR="00581ACA" w:rsidRPr="00B9779F" w:rsidRDefault="00581ACA" w:rsidP="00951501">
            <w:pPr>
              <w:jc w:val="center"/>
              <w:rPr>
                <w:b/>
                <w:bCs/>
                <w:color w:val="000000"/>
                <w:sz w:val="18"/>
                <w:szCs w:val="18"/>
                <w:lang w:val="es-ES_tradnl" w:eastAsia="en-CA"/>
              </w:rPr>
            </w:pPr>
          </w:p>
        </w:tc>
        <w:tc>
          <w:tcPr>
            <w:tcW w:w="612" w:type="pct"/>
            <w:vMerge/>
            <w:tcBorders>
              <w:left w:val="nil"/>
              <w:bottom w:val="single" w:sz="4" w:space="0" w:color="auto"/>
              <w:right w:val="single" w:sz="4" w:space="0" w:color="auto"/>
            </w:tcBorders>
            <w:shd w:val="clear" w:color="auto" w:fill="auto"/>
            <w:vAlign w:val="center"/>
          </w:tcPr>
          <w:p w14:paraId="0EF4CF95" w14:textId="77777777" w:rsidR="00581ACA" w:rsidRPr="00B9779F" w:rsidRDefault="00581ACA" w:rsidP="00951501">
            <w:pPr>
              <w:jc w:val="center"/>
              <w:rPr>
                <w:b/>
                <w:bCs/>
                <w:color w:val="000000"/>
                <w:sz w:val="18"/>
                <w:szCs w:val="18"/>
                <w:lang w:val="es-ES_tradnl" w:eastAsia="en-CA"/>
              </w:rPr>
            </w:pPr>
          </w:p>
        </w:tc>
        <w:tc>
          <w:tcPr>
            <w:tcW w:w="609" w:type="pct"/>
            <w:vMerge/>
            <w:tcBorders>
              <w:left w:val="nil"/>
              <w:bottom w:val="single" w:sz="4" w:space="0" w:color="auto"/>
              <w:right w:val="single" w:sz="4" w:space="0" w:color="auto"/>
            </w:tcBorders>
            <w:shd w:val="clear" w:color="auto" w:fill="auto"/>
            <w:vAlign w:val="center"/>
          </w:tcPr>
          <w:p w14:paraId="60CC3BCD" w14:textId="77777777" w:rsidR="00581ACA" w:rsidRPr="00B9779F" w:rsidRDefault="00581ACA" w:rsidP="00951501">
            <w:pPr>
              <w:jc w:val="center"/>
              <w:rPr>
                <w:b/>
                <w:bCs/>
                <w:color w:val="000000"/>
                <w:sz w:val="18"/>
                <w:szCs w:val="18"/>
                <w:lang w:val="es-ES_tradnl" w:eastAsia="en-CA"/>
              </w:rPr>
            </w:pPr>
          </w:p>
        </w:tc>
        <w:tc>
          <w:tcPr>
            <w:tcW w:w="536" w:type="pct"/>
            <w:tcBorders>
              <w:top w:val="single" w:sz="4" w:space="0" w:color="auto"/>
              <w:left w:val="nil"/>
              <w:bottom w:val="single" w:sz="4" w:space="0" w:color="auto"/>
              <w:right w:val="single" w:sz="4" w:space="0" w:color="auto"/>
            </w:tcBorders>
            <w:shd w:val="clear" w:color="auto" w:fill="auto"/>
            <w:vAlign w:val="center"/>
          </w:tcPr>
          <w:p w14:paraId="161F1BEA"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Cuartel General</w:t>
            </w:r>
          </w:p>
        </w:tc>
        <w:tc>
          <w:tcPr>
            <w:tcW w:w="538" w:type="pct"/>
            <w:tcBorders>
              <w:top w:val="single" w:sz="4" w:space="0" w:color="auto"/>
              <w:left w:val="nil"/>
              <w:bottom w:val="single" w:sz="4" w:space="0" w:color="auto"/>
              <w:right w:val="single" w:sz="4" w:space="0" w:color="auto"/>
            </w:tcBorders>
            <w:shd w:val="clear" w:color="auto" w:fill="auto"/>
            <w:vAlign w:val="center"/>
          </w:tcPr>
          <w:p w14:paraId="427E9DD3"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Búnker</w:t>
            </w:r>
          </w:p>
        </w:tc>
      </w:tr>
      <w:tr w:rsidR="00581ACA" w:rsidRPr="00B9779F" w14:paraId="1FDD577E" w14:textId="77777777" w:rsidTr="00B9779F">
        <w:trPr>
          <w:trHeight w:val="480"/>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6591FA25"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Tecnología inicial de referencia</w:t>
            </w:r>
          </w:p>
        </w:tc>
        <w:tc>
          <w:tcPr>
            <w:tcW w:w="535" w:type="pct"/>
            <w:tcBorders>
              <w:top w:val="nil"/>
              <w:left w:val="nil"/>
              <w:bottom w:val="single" w:sz="4" w:space="0" w:color="auto"/>
              <w:right w:val="single" w:sz="4" w:space="0" w:color="auto"/>
            </w:tcBorders>
            <w:shd w:val="clear" w:color="auto" w:fill="auto"/>
            <w:noWrap/>
            <w:vAlign w:val="center"/>
            <w:hideMark/>
          </w:tcPr>
          <w:p w14:paraId="2C363901"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HCFC-22</w:t>
            </w:r>
          </w:p>
        </w:tc>
        <w:tc>
          <w:tcPr>
            <w:tcW w:w="535" w:type="pct"/>
            <w:tcBorders>
              <w:top w:val="nil"/>
              <w:left w:val="nil"/>
              <w:bottom w:val="single" w:sz="4" w:space="0" w:color="auto"/>
              <w:right w:val="single" w:sz="4" w:space="0" w:color="auto"/>
            </w:tcBorders>
            <w:shd w:val="clear" w:color="auto" w:fill="auto"/>
            <w:noWrap/>
            <w:vAlign w:val="center"/>
            <w:hideMark/>
          </w:tcPr>
          <w:p w14:paraId="3735B3DB" w14:textId="77777777" w:rsidR="00581ACA" w:rsidRPr="00B9779F" w:rsidRDefault="00581ACA" w:rsidP="00951501">
            <w:pPr>
              <w:ind w:left="-90" w:right="-86"/>
              <w:jc w:val="center"/>
              <w:rPr>
                <w:color w:val="000000"/>
                <w:sz w:val="18"/>
                <w:szCs w:val="18"/>
                <w:lang w:val="es-ES_tradnl"/>
              </w:rPr>
            </w:pPr>
            <w:r w:rsidRPr="00B9779F">
              <w:rPr>
                <w:color w:val="000000"/>
                <w:sz w:val="18"/>
                <w:szCs w:val="18"/>
                <w:lang w:val="es-ES_tradnl"/>
              </w:rPr>
              <w:t>HCFC-22/ R</w:t>
            </w:r>
            <w:r w:rsidRPr="00B9779F">
              <w:rPr>
                <w:color w:val="000000"/>
                <w:sz w:val="18"/>
                <w:szCs w:val="18"/>
                <w:lang w:val="es-ES_tradnl"/>
              </w:rPr>
              <w:noBreakHyphen/>
              <w:t>404A</w:t>
            </w:r>
          </w:p>
        </w:tc>
        <w:tc>
          <w:tcPr>
            <w:tcW w:w="534" w:type="pct"/>
            <w:tcBorders>
              <w:top w:val="nil"/>
              <w:left w:val="nil"/>
              <w:bottom w:val="single" w:sz="4" w:space="0" w:color="auto"/>
              <w:right w:val="single" w:sz="4" w:space="0" w:color="auto"/>
            </w:tcBorders>
            <w:shd w:val="clear" w:color="auto" w:fill="auto"/>
            <w:noWrap/>
            <w:vAlign w:val="center"/>
            <w:hideMark/>
          </w:tcPr>
          <w:p w14:paraId="22419FE4" w14:textId="77777777" w:rsidR="00581ACA" w:rsidRPr="00B9779F" w:rsidRDefault="00581ACA" w:rsidP="00951501">
            <w:pPr>
              <w:ind w:left="-80"/>
              <w:jc w:val="center"/>
              <w:rPr>
                <w:color w:val="000000"/>
                <w:sz w:val="18"/>
                <w:szCs w:val="18"/>
                <w:lang w:val="es-ES_tradnl"/>
              </w:rPr>
            </w:pPr>
            <w:r w:rsidRPr="00B9779F">
              <w:rPr>
                <w:color w:val="000000"/>
                <w:sz w:val="18"/>
                <w:szCs w:val="18"/>
                <w:lang w:val="es-ES_tradnl"/>
              </w:rPr>
              <w:t>HCFC-22</w:t>
            </w:r>
          </w:p>
        </w:tc>
        <w:tc>
          <w:tcPr>
            <w:tcW w:w="612" w:type="pct"/>
            <w:tcBorders>
              <w:top w:val="nil"/>
              <w:left w:val="nil"/>
              <w:bottom w:val="single" w:sz="4" w:space="0" w:color="auto"/>
              <w:right w:val="single" w:sz="4" w:space="0" w:color="auto"/>
            </w:tcBorders>
            <w:shd w:val="clear" w:color="auto" w:fill="auto"/>
            <w:noWrap/>
            <w:vAlign w:val="center"/>
            <w:hideMark/>
          </w:tcPr>
          <w:p w14:paraId="4A9FC4AB"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HCFC-22</w:t>
            </w:r>
          </w:p>
        </w:tc>
        <w:tc>
          <w:tcPr>
            <w:tcW w:w="609" w:type="pct"/>
            <w:tcBorders>
              <w:top w:val="nil"/>
              <w:left w:val="nil"/>
              <w:bottom w:val="single" w:sz="4" w:space="0" w:color="auto"/>
              <w:right w:val="single" w:sz="4" w:space="0" w:color="auto"/>
            </w:tcBorders>
            <w:shd w:val="clear" w:color="auto" w:fill="auto"/>
            <w:noWrap/>
            <w:vAlign w:val="center"/>
            <w:hideMark/>
          </w:tcPr>
          <w:p w14:paraId="6E48C1F7"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HCFC-22</w:t>
            </w:r>
          </w:p>
        </w:tc>
        <w:tc>
          <w:tcPr>
            <w:tcW w:w="536" w:type="pct"/>
            <w:tcBorders>
              <w:top w:val="nil"/>
              <w:left w:val="nil"/>
              <w:bottom w:val="single" w:sz="4" w:space="0" w:color="auto"/>
              <w:right w:val="single" w:sz="4" w:space="0" w:color="auto"/>
            </w:tcBorders>
            <w:shd w:val="clear" w:color="auto" w:fill="auto"/>
            <w:noWrap/>
            <w:vAlign w:val="center"/>
            <w:hideMark/>
          </w:tcPr>
          <w:p w14:paraId="78460582"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HCFC-22</w:t>
            </w:r>
          </w:p>
        </w:tc>
        <w:tc>
          <w:tcPr>
            <w:tcW w:w="538" w:type="pct"/>
            <w:tcBorders>
              <w:top w:val="nil"/>
              <w:left w:val="nil"/>
              <w:bottom w:val="single" w:sz="4" w:space="0" w:color="auto"/>
              <w:right w:val="single" w:sz="4" w:space="0" w:color="auto"/>
            </w:tcBorders>
            <w:shd w:val="clear" w:color="auto" w:fill="auto"/>
            <w:noWrap/>
            <w:vAlign w:val="center"/>
            <w:hideMark/>
          </w:tcPr>
          <w:p w14:paraId="314E31E8" w14:textId="77777777" w:rsidR="00581ACA" w:rsidRPr="00B9779F" w:rsidRDefault="00581ACA" w:rsidP="00951501">
            <w:pPr>
              <w:ind w:left="-147" w:right="-86"/>
              <w:jc w:val="center"/>
              <w:rPr>
                <w:color w:val="000000"/>
                <w:sz w:val="18"/>
                <w:szCs w:val="18"/>
                <w:lang w:val="es-ES_tradnl"/>
              </w:rPr>
            </w:pPr>
            <w:r w:rsidRPr="00B9779F">
              <w:rPr>
                <w:color w:val="000000"/>
                <w:sz w:val="18"/>
                <w:szCs w:val="18"/>
                <w:lang w:val="es-ES_tradnl"/>
              </w:rPr>
              <w:t>HCFC-22</w:t>
            </w:r>
          </w:p>
        </w:tc>
      </w:tr>
      <w:tr w:rsidR="00581ACA" w:rsidRPr="00FC6B62" w14:paraId="6B444C11" w14:textId="77777777" w:rsidTr="00B9779F">
        <w:trPr>
          <w:trHeight w:val="206"/>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097237D2"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Tecnología de sustitución</w:t>
            </w:r>
          </w:p>
        </w:tc>
        <w:tc>
          <w:tcPr>
            <w:tcW w:w="535" w:type="pct"/>
            <w:tcBorders>
              <w:top w:val="nil"/>
              <w:left w:val="nil"/>
              <w:bottom w:val="single" w:sz="4" w:space="0" w:color="auto"/>
              <w:right w:val="single" w:sz="4" w:space="0" w:color="auto"/>
            </w:tcBorders>
            <w:shd w:val="clear" w:color="auto" w:fill="auto"/>
            <w:noWrap/>
            <w:vAlign w:val="center"/>
            <w:hideMark/>
          </w:tcPr>
          <w:p w14:paraId="068250AC" w14:textId="77777777" w:rsidR="00B9779F" w:rsidRDefault="00581ACA" w:rsidP="00951501">
            <w:pPr>
              <w:ind w:left="-88" w:right="-84"/>
              <w:jc w:val="center"/>
              <w:rPr>
                <w:color w:val="000000"/>
                <w:sz w:val="18"/>
                <w:szCs w:val="18"/>
                <w:lang w:val="es-ES_tradnl"/>
              </w:rPr>
            </w:pPr>
            <w:r w:rsidRPr="00B9779F">
              <w:rPr>
                <w:color w:val="000000"/>
                <w:sz w:val="18"/>
                <w:szCs w:val="18"/>
                <w:lang w:val="es-ES_tradnl"/>
              </w:rPr>
              <w:t xml:space="preserve">Bomba de calor de </w:t>
            </w:r>
          </w:p>
          <w:p w14:paraId="7DD42BDB" w14:textId="1277519B" w:rsidR="00581ACA" w:rsidRPr="00B9779F" w:rsidRDefault="00581ACA" w:rsidP="00951501">
            <w:pPr>
              <w:ind w:left="-88" w:right="-84"/>
              <w:jc w:val="center"/>
              <w:rPr>
                <w:color w:val="000000"/>
                <w:sz w:val="18"/>
                <w:szCs w:val="18"/>
                <w:lang w:val="es-ES_tradnl"/>
              </w:rPr>
            </w:pPr>
            <w:r w:rsidRPr="00B9779F">
              <w:rPr>
                <w:color w:val="000000"/>
                <w:sz w:val="18"/>
                <w:szCs w:val="18"/>
                <w:lang w:val="es-ES_tradnl"/>
              </w:rPr>
              <w:t>R-290</w:t>
            </w:r>
          </w:p>
        </w:tc>
        <w:tc>
          <w:tcPr>
            <w:tcW w:w="535" w:type="pct"/>
            <w:tcBorders>
              <w:top w:val="nil"/>
              <w:left w:val="nil"/>
              <w:bottom w:val="single" w:sz="4" w:space="0" w:color="auto"/>
              <w:right w:val="single" w:sz="4" w:space="0" w:color="auto"/>
            </w:tcBorders>
            <w:shd w:val="clear" w:color="auto" w:fill="auto"/>
            <w:noWrap/>
            <w:vAlign w:val="center"/>
            <w:hideMark/>
          </w:tcPr>
          <w:p w14:paraId="4FA37615"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Enfriador de R-290</w:t>
            </w:r>
          </w:p>
        </w:tc>
        <w:tc>
          <w:tcPr>
            <w:tcW w:w="534" w:type="pct"/>
            <w:tcBorders>
              <w:top w:val="nil"/>
              <w:left w:val="nil"/>
              <w:bottom w:val="single" w:sz="4" w:space="0" w:color="auto"/>
              <w:right w:val="single" w:sz="4" w:space="0" w:color="auto"/>
            </w:tcBorders>
            <w:shd w:val="clear" w:color="auto" w:fill="auto"/>
            <w:noWrap/>
            <w:vAlign w:val="center"/>
            <w:hideMark/>
          </w:tcPr>
          <w:p w14:paraId="4CF5D17B"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Enfriador de R-290</w:t>
            </w:r>
          </w:p>
        </w:tc>
        <w:tc>
          <w:tcPr>
            <w:tcW w:w="612" w:type="pct"/>
            <w:tcBorders>
              <w:top w:val="nil"/>
              <w:left w:val="nil"/>
              <w:bottom w:val="single" w:sz="4" w:space="0" w:color="auto"/>
              <w:right w:val="single" w:sz="4" w:space="0" w:color="auto"/>
            </w:tcBorders>
            <w:shd w:val="clear" w:color="auto" w:fill="auto"/>
            <w:noWrap/>
            <w:vAlign w:val="center"/>
            <w:hideMark/>
          </w:tcPr>
          <w:p w14:paraId="0D722AF6" w14:textId="77777777" w:rsidR="00581ACA" w:rsidRPr="00B9779F" w:rsidRDefault="00581ACA" w:rsidP="00951501">
            <w:pPr>
              <w:ind w:left="-82" w:right="-81"/>
              <w:jc w:val="center"/>
              <w:rPr>
                <w:color w:val="000000"/>
                <w:sz w:val="18"/>
                <w:szCs w:val="18"/>
                <w:lang w:val="es-ES_tradnl"/>
              </w:rPr>
            </w:pPr>
            <w:r w:rsidRPr="00B9779F">
              <w:rPr>
                <w:color w:val="000000"/>
                <w:sz w:val="18"/>
                <w:szCs w:val="18"/>
                <w:lang w:val="es-ES_tradnl"/>
              </w:rPr>
              <w:t>R-717</w:t>
            </w:r>
            <w:r w:rsidRPr="00B9779F">
              <w:rPr>
                <w:color w:val="000000"/>
                <w:sz w:val="18"/>
                <w:szCs w:val="18"/>
                <w:lang w:val="es-ES_tradnl"/>
              </w:rPr>
              <w:br/>
              <w:t>R</w:t>
            </w:r>
            <w:r w:rsidRPr="00B9779F">
              <w:rPr>
                <w:color w:val="000000"/>
                <w:sz w:val="18"/>
                <w:szCs w:val="18"/>
                <w:lang w:val="es-ES_tradnl"/>
              </w:rPr>
              <w:noBreakHyphen/>
              <w:t>1233zd(E)</w:t>
            </w:r>
          </w:p>
        </w:tc>
        <w:tc>
          <w:tcPr>
            <w:tcW w:w="609" w:type="pct"/>
            <w:tcBorders>
              <w:top w:val="nil"/>
              <w:left w:val="nil"/>
              <w:bottom w:val="single" w:sz="4" w:space="0" w:color="auto"/>
              <w:right w:val="single" w:sz="4" w:space="0" w:color="auto"/>
            </w:tcBorders>
            <w:shd w:val="clear" w:color="auto" w:fill="auto"/>
            <w:noWrap/>
            <w:vAlign w:val="center"/>
            <w:hideMark/>
          </w:tcPr>
          <w:p w14:paraId="1B687C5A" w14:textId="77777777" w:rsidR="00B9779F" w:rsidRDefault="00581ACA" w:rsidP="00B9779F">
            <w:pPr>
              <w:jc w:val="center"/>
              <w:rPr>
                <w:color w:val="000000"/>
                <w:sz w:val="18"/>
                <w:szCs w:val="18"/>
                <w:lang w:val="pt-BR"/>
              </w:rPr>
            </w:pPr>
            <w:r w:rsidRPr="00B9779F">
              <w:rPr>
                <w:color w:val="000000"/>
                <w:sz w:val="18"/>
                <w:szCs w:val="18"/>
                <w:lang w:val="pt-BR"/>
              </w:rPr>
              <w:t>Bomba de calor</w:t>
            </w:r>
            <w:r w:rsidR="00B9779F">
              <w:rPr>
                <w:color w:val="000000"/>
                <w:sz w:val="18"/>
                <w:szCs w:val="18"/>
                <w:lang w:val="pt-BR"/>
              </w:rPr>
              <w:t xml:space="preserve"> </w:t>
            </w:r>
            <w:r w:rsidRPr="00B9779F">
              <w:rPr>
                <w:color w:val="000000"/>
                <w:sz w:val="18"/>
                <w:szCs w:val="18"/>
                <w:lang w:val="pt-BR"/>
              </w:rPr>
              <w:t xml:space="preserve">de </w:t>
            </w:r>
          </w:p>
          <w:p w14:paraId="6FE6D995" w14:textId="2EF58127" w:rsidR="00581ACA" w:rsidRPr="00B9779F" w:rsidRDefault="00581ACA" w:rsidP="00B9779F">
            <w:pPr>
              <w:jc w:val="center"/>
              <w:rPr>
                <w:color w:val="000000"/>
                <w:sz w:val="18"/>
                <w:szCs w:val="18"/>
                <w:lang w:val="pt-BR"/>
              </w:rPr>
            </w:pPr>
            <w:r w:rsidRPr="00B9779F">
              <w:rPr>
                <w:color w:val="000000"/>
                <w:sz w:val="18"/>
                <w:szCs w:val="18"/>
                <w:lang w:val="pt-BR"/>
              </w:rPr>
              <w:t>R-290</w:t>
            </w:r>
          </w:p>
        </w:tc>
        <w:tc>
          <w:tcPr>
            <w:tcW w:w="536" w:type="pct"/>
            <w:tcBorders>
              <w:top w:val="nil"/>
              <w:left w:val="nil"/>
              <w:bottom w:val="single" w:sz="4" w:space="0" w:color="auto"/>
              <w:right w:val="single" w:sz="4" w:space="0" w:color="auto"/>
            </w:tcBorders>
            <w:shd w:val="clear" w:color="auto" w:fill="auto"/>
            <w:noWrap/>
            <w:vAlign w:val="center"/>
            <w:hideMark/>
          </w:tcPr>
          <w:p w14:paraId="40AECFF6" w14:textId="77777777" w:rsidR="00B9779F" w:rsidRDefault="00581ACA" w:rsidP="00B9779F">
            <w:pPr>
              <w:jc w:val="center"/>
              <w:rPr>
                <w:color w:val="000000"/>
                <w:sz w:val="18"/>
                <w:szCs w:val="18"/>
                <w:lang w:val="pt-BR"/>
              </w:rPr>
            </w:pPr>
            <w:r w:rsidRPr="00B9779F">
              <w:rPr>
                <w:color w:val="000000"/>
                <w:sz w:val="18"/>
                <w:szCs w:val="18"/>
                <w:lang w:val="pt-BR"/>
              </w:rPr>
              <w:t>Bomba de calor</w:t>
            </w:r>
            <w:r w:rsidR="00B9779F">
              <w:rPr>
                <w:color w:val="000000"/>
                <w:sz w:val="18"/>
                <w:szCs w:val="18"/>
                <w:lang w:val="pt-BR"/>
              </w:rPr>
              <w:t xml:space="preserve"> </w:t>
            </w:r>
            <w:r w:rsidRPr="00B9779F">
              <w:rPr>
                <w:color w:val="000000"/>
                <w:sz w:val="18"/>
                <w:szCs w:val="18"/>
                <w:lang w:val="pt-BR"/>
              </w:rPr>
              <w:t xml:space="preserve">de </w:t>
            </w:r>
          </w:p>
          <w:p w14:paraId="06362E81" w14:textId="390CF20E" w:rsidR="00581ACA" w:rsidRPr="00B9779F" w:rsidRDefault="00581ACA" w:rsidP="00B9779F">
            <w:pPr>
              <w:jc w:val="center"/>
              <w:rPr>
                <w:color w:val="000000"/>
                <w:sz w:val="18"/>
                <w:szCs w:val="18"/>
                <w:lang w:val="pt-BR"/>
              </w:rPr>
            </w:pPr>
            <w:r w:rsidRPr="00B9779F">
              <w:rPr>
                <w:color w:val="000000"/>
                <w:sz w:val="18"/>
                <w:szCs w:val="18"/>
                <w:lang w:val="pt-BR"/>
              </w:rPr>
              <w:t>R-290</w:t>
            </w:r>
          </w:p>
        </w:tc>
        <w:tc>
          <w:tcPr>
            <w:tcW w:w="538" w:type="pct"/>
            <w:tcBorders>
              <w:top w:val="nil"/>
              <w:left w:val="nil"/>
              <w:bottom w:val="single" w:sz="4" w:space="0" w:color="auto"/>
              <w:right w:val="single" w:sz="4" w:space="0" w:color="auto"/>
            </w:tcBorders>
            <w:shd w:val="clear" w:color="auto" w:fill="auto"/>
            <w:noWrap/>
            <w:vAlign w:val="center"/>
            <w:hideMark/>
          </w:tcPr>
          <w:p w14:paraId="67A2CAA0" w14:textId="2876BD3C" w:rsidR="00581ACA" w:rsidRPr="00B9779F" w:rsidRDefault="00581ACA" w:rsidP="00B9779F">
            <w:pPr>
              <w:tabs>
                <w:tab w:val="left" w:pos="512"/>
              </w:tabs>
              <w:ind w:left="-147" w:right="-86"/>
              <w:jc w:val="center"/>
              <w:rPr>
                <w:color w:val="000000"/>
                <w:sz w:val="18"/>
                <w:szCs w:val="18"/>
                <w:lang w:val="pt-BR"/>
              </w:rPr>
            </w:pPr>
            <w:r w:rsidRPr="00B9779F">
              <w:rPr>
                <w:color w:val="000000"/>
                <w:sz w:val="18"/>
                <w:szCs w:val="18"/>
                <w:lang w:val="pt-BR"/>
              </w:rPr>
              <w:t>Bomba de calor</w:t>
            </w:r>
            <w:r w:rsidR="00B9779F">
              <w:rPr>
                <w:color w:val="000000"/>
                <w:sz w:val="18"/>
                <w:szCs w:val="18"/>
                <w:lang w:val="pt-BR"/>
              </w:rPr>
              <w:t xml:space="preserve"> </w:t>
            </w:r>
            <w:r w:rsidRPr="00B9779F">
              <w:rPr>
                <w:color w:val="000000"/>
                <w:sz w:val="18"/>
                <w:szCs w:val="18"/>
                <w:lang w:val="pt-BR"/>
              </w:rPr>
              <w:t>de R</w:t>
            </w:r>
            <w:r w:rsidRPr="00B9779F">
              <w:rPr>
                <w:color w:val="000000"/>
                <w:sz w:val="18"/>
                <w:szCs w:val="18"/>
                <w:lang w:val="pt-BR"/>
              </w:rPr>
              <w:noBreakHyphen/>
              <w:t>290</w:t>
            </w:r>
          </w:p>
        </w:tc>
      </w:tr>
      <w:tr w:rsidR="00581ACA" w:rsidRPr="00B9779F" w14:paraId="75ACA373" w14:textId="77777777" w:rsidTr="00B9779F">
        <w:trPr>
          <w:trHeight w:val="43"/>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36271041" w14:textId="77777777" w:rsidR="00581ACA" w:rsidRPr="00B9779F" w:rsidRDefault="00581ACA" w:rsidP="00951501">
            <w:pPr>
              <w:ind w:right="-86"/>
              <w:jc w:val="left"/>
              <w:rPr>
                <w:color w:val="000000"/>
                <w:sz w:val="18"/>
                <w:szCs w:val="18"/>
                <w:lang w:val="es-ES_tradnl"/>
              </w:rPr>
            </w:pPr>
            <w:r w:rsidRPr="00B9779F">
              <w:rPr>
                <w:color w:val="000000"/>
                <w:sz w:val="18"/>
                <w:szCs w:val="18"/>
                <w:lang w:val="es-ES_tradnl"/>
              </w:rPr>
              <w:t>N.º de equipos sustituidos</w:t>
            </w:r>
          </w:p>
        </w:tc>
        <w:tc>
          <w:tcPr>
            <w:tcW w:w="535" w:type="pct"/>
            <w:tcBorders>
              <w:top w:val="nil"/>
              <w:left w:val="nil"/>
              <w:bottom w:val="single" w:sz="4" w:space="0" w:color="auto"/>
              <w:right w:val="single" w:sz="4" w:space="0" w:color="auto"/>
            </w:tcBorders>
            <w:shd w:val="clear" w:color="auto" w:fill="auto"/>
            <w:noWrap/>
            <w:vAlign w:val="center"/>
            <w:hideMark/>
          </w:tcPr>
          <w:p w14:paraId="13A74CA2"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4</w:t>
            </w:r>
          </w:p>
        </w:tc>
        <w:tc>
          <w:tcPr>
            <w:tcW w:w="535" w:type="pct"/>
            <w:tcBorders>
              <w:top w:val="nil"/>
              <w:left w:val="nil"/>
              <w:bottom w:val="single" w:sz="4" w:space="0" w:color="auto"/>
              <w:right w:val="single" w:sz="4" w:space="0" w:color="auto"/>
            </w:tcBorders>
            <w:shd w:val="clear" w:color="auto" w:fill="auto"/>
            <w:noWrap/>
            <w:vAlign w:val="center"/>
            <w:hideMark/>
          </w:tcPr>
          <w:p w14:paraId="14338D1D"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2</w:t>
            </w:r>
          </w:p>
        </w:tc>
        <w:tc>
          <w:tcPr>
            <w:tcW w:w="534" w:type="pct"/>
            <w:tcBorders>
              <w:top w:val="nil"/>
              <w:left w:val="nil"/>
              <w:bottom w:val="single" w:sz="4" w:space="0" w:color="auto"/>
              <w:right w:val="single" w:sz="4" w:space="0" w:color="auto"/>
            </w:tcBorders>
            <w:shd w:val="clear" w:color="auto" w:fill="auto"/>
            <w:noWrap/>
            <w:vAlign w:val="center"/>
            <w:hideMark/>
          </w:tcPr>
          <w:p w14:paraId="18B95619"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3</w:t>
            </w:r>
          </w:p>
        </w:tc>
        <w:tc>
          <w:tcPr>
            <w:tcW w:w="612" w:type="pct"/>
            <w:tcBorders>
              <w:top w:val="nil"/>
              <w:left w:val="nil"/>
              <w:bottom w:val="single" w:sz="4" w:space="0" w:color="auto"/>
              <w:right w:val="single" w:sz="4" w:space="0" w:color="auto"/>
            </w:tcBorders>
            <w:shd w:val="clear" w:color="auto" w:fill="auto"/>
            <w:noWrap/>
            <w:vAlign w:val="center"/>
            <w:hideMark/>
          </w:tcPr>
          <w:p w14:paraId="1928B847"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4</w:t>
            </w:r>
          </w:p>
        </w:tc>
        <w:tc>
          <w:tcPr>
            <w:tcW w:w="609" w:type="pct"/>
            <w:tcBorders>
              <w:top w:val="nil"/>
              <w:left w:val="nil"/>
              <w:bottom w:val="single" w:sz="4" w:space="0" w:color="auto"/>
              <w:right w:val="single" w:sz="4" w:space="0" w:color="auto"/>
            </w:tcBorders>
            <w:shd w:val="clear" w:color="auto" w:fill="auto"/>
            <w:noWrap/>
            <w:vAlign w:val="center"/>
            <w:hideMark/>
          </w:tcPr>
          <w:p w14:paraId="4A32424D"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1</w:t>
            </w:r>
          </w:p>
        </w:tc>
        <w:tc>
          <w:tcPr>
            <w:tcW w:w="536" w:type="pct"/>
            <w:tcBorders>
              <w:top w:val="nil"/>
              <w:left w:val="nil"/>
              <w:bottom w:val="single" w:sz="4" w:space="0" w:color="auto"/>
              <w:right w:val="single" w:sz="4" w:space="0" w:color="auto"/>
            </w:tcBorders>
            <w:shd w:val="clear" w:color="auto" w:fill="auto"/>
            <w:noWrap/>
            <w:vAlign w:val="center"/>
            <w:hideMark/>
          </w:tcPr>
          <w:p w14:paraId="05265AE5"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2</w:t>
            </w:r>
          </w:p>
        </w:tc>
        <w:tc>
          <w:tcPr>
            <w:tcW w:w="538" w:type="pct"/>
            <w:tcBorders>
              <w:top w:val="nil"/>
              <w:left w:val="nil"/>
              <w:bottom w:val="single" w:sz="4" w:space="0" w:color="auto"/>
              <w:right w:val="single" w:sz="4" w:space="0" w:color="auto"/>
            </w:tcBorders>
            <w:shd w:val="clear" w:color="auto" w:fill="auto"/>
            <w:noWrap/>
            <w:vAlign w:val="center"/>
            <w:hideMark/>
          </w:tcPr>
          <w:p w14:paraId="2B79AB48"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3</w:t>
            </w:r>
          </w:p>
        </w:tc>
      </w:tr>
      <w:tr w:rsidR="00581ACA" w:rsidRPr="00B9779F" w14:paraId="6C231C1D" w14:textId="77777777" w:rsidTr="00B9779F">
        <w:trPr>
          <w:trHeight w:val="217"/>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7B0758C0"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Costo unitario</w:t>
            </w:r>
          </w:p>
        </w:tc>
        <w:tc>
          <w:tcPr>
            <w:tcW w:w="535" w:type="pct"/>
            <w:tcBorders>
              <w:top w:val="nil"/>
              <w:left w:val="nil"/>
              <w:bottom w:val="single" w:sz="4" w:space="0" w:color="auto"/>
              <w:right w:val="single" w:sz="4" w:space="0" w:color="auto"/>
            </w:tcBorders>
            <w:shd w:val="clear" w:color="auto" w:fill="auto"/>
            <w:noWrap/>
            <w:vAlign w:val="center"/>
            <w:hideMark/>
          </w:tcPr>
          <w:p w14:paraId="63E4C631"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535" w:type="pct"/>
            <w:tcBorders>
              <w:top w:val="nil"/>
              <w:left w:val="nil"/>
              <w:bottom w:val="single" w:sz="4" w:space="0" w:color="auto"/>
              <w:right w:val="single" w:sz="4" w:space="0" w:color="auto"/>
            </w:tcBorders>
            <w:shd w:val="clear" w:color="auto" w:fill="auto"/>
            <w:noWrap/>
            <w:vAlign w:val="center"/>
            <w:hideMark/>
          </w:tcPr>
          <w:p w14:paraId="5A943D29"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534" w:type="pct"/>
            <w:tcBorders>
              <w:top w:val="nil"/>
              <w:left w:val="nil"/>
              <w:bottom w:val="single" w:sz="4" w:space="0" w:color="auto"/>
              <w:right w:val="single" w:sz="4" w:space="0" w:color="auto"/>
            </w:tcBorders>
            <w:shd w:val="clear" w:color="auto" w:fill="auto"/>
            <w:noWrap/>
            <w:vAlign w:val="center"/>
            <w:hideMark/>
          </w:tcPr>
          <w:p w14:paraId="03FB354D"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600.000</w:t>
            </w:r>
          </w:p>
        </w:tc>
        <w:tc>
          <w:tcPr>
            <w:tcW w:w="612" w:type="pct"/>
            <w:tcBorders>
              <w:top w:val="nil"/>
              <w:left w:val="nil"/>
              <w:bottom w:val="single" w:sz="4" w:space="0" w:color="auto"/>
              <w:right w:val="single" w:sz="4" w:space="0" w:color="auto"/>
            </w:tcBorders>
            <w:shd w:val="clear" w:color="auto" w:fill="auto"/>
            <w:noWrap/>
            <w:vAlign w:val="center"/>
            <w:hideMark/>
          </w:tcPr>
          <w:p w14:paraId="5738718F"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609" w:type="pct"/>
            <w:tcBorders>
              <w:top w:val="nil"/>
              <w:left w:val="nil"/>
              <w:bottom w:val="single" w:sz="4" w:space="0" w:color="auto"/>
              <w:right w:val="single" w:sz="4" w:space="0" w:color="auto"/>
            </w:tcBorders>
            <w:shd w:val="clear" w:color="auto" w:fill="auto"/>
            <w:noWrap/>
            <w:vAlign w:val="center"/>
            <w:hideMark/>
          </w:tcPr>
          <w:p w14:paraId="2B6969B2"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536" w:type="pct"/>
            <w:tcBorders>
              <w:top w:val="nil"/>
              <w:left w:val="nil"/>
              <w:bottom w:val="single" w:sz="4" w:space="0" w:color="auto"/>
              <w:right w:val="single" w:sz="4" w:space="0" w:color="auto"/>
            </w:tcBorders>
            <w:shd w:val="clear" w:color="auto" w:fill="auto"/>
            <w:noWrap/>
            <w:vAlign w:val="center"/>
            <w:hideMark/>
          </w:tcPr>
          <w:p w14:paraId="060896FA"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538" w:type="pct"/>
            <w:tcBorders>
              <w:top w:val="nil"/>
              <w:left w:val="nil"/>
              <w:bottom w:val="single" w:sz="4" w:space="0" w:color="auto"/>
              <w:right w:val="single" w:sz="4" w:space="0" w:color="auto"/>
            </w:tcBorders>
            <w:shd w:val="clear" w:color="auto" w:fill="auto"/>
            <w:noWrap/>
            <w:vAlign w:val="center"/>
            <w:hideMark/>
          </w:tcPr>
          <w:p w14:paraId="1294A8F9"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r>
      <w:tr w:rsidR="00581ACA" w:rsidRPr="00B9779F" w14:paraId="4F69F0E9" w14:textId="77777777" w:rsidTr="00B9779F">
        <w:trPr>
          <w:trHeight w:val="83"/>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19FA8590"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Costo total de los equipos</w:t>
            </w:r>
          </w:p>
        </w:tc>
        <w:tc>
          <w:tcPr>
            <w:tcW w:w="535" w:type="pct"/>
            <w:tcBorders>
              <w:top w:val="nil"/>
              <w:left w:val="nil"/>
              <w:bottom w:val="single" w:sz="4" w:space="0" w:color="auto"/>
              <w:right w:val="single" w:sz="4" w:space="0" w:color="auto"/>
            </w:tcBorders>
            <w:shd w:val="clear" w:color="auto" w:fill="auto"/>
            <w:noWrap/>
            <w:vAlign w:val="center"/>
            <w:hideMark/>
          </w:tcPr>
          <w:p w14:paraId="3AE2B70F"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600.000</w:t>
            </w:r>
          </w:p>
        </w:tc>
        <w:tc>
          <w:tcPr>
            <w:tcW w:w="535" w:type="pct"/>
            <w:tcBorders>
              <w:top w:val="nil"/>
              <w:left w:val="nil"/>
              <w:bottom w:val="single" w:sz="4" w:space="0" w:color="auto"/>
              <w:right w:val="single" w:sz="4" w:space="0" w:color="auto"/>
            </w:tcBorders>
            <w:shd w:val="clear" w:color="auto" w:fill="auto"/>
            <w:noWrap/>
            <w:vAlign w:val="center"/>
            <w:hideMark/>
          </w:tcPr>
          <w:p w14:paraId="26959ACF"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300.000</w:t>
            </w:r>
          </w:p>
        </w:tc>
        <w:tc>
          <w:tcPr>
            <w:tcW w:w="534" w:type="pct"/>
            <w:tcBorders>
              <w:top w:val="nil"/>
              <w:left w:val="nil"/>
              <w:bottom w:val="single" w:sz="4" w:space="0" w:color="auto"/>
              <w:right w:val="single" w:sz="4" w:space="0" w:color="auto"/>
            </w:tcBorders>
            <w:shd w:val="clear" w:color="auto" w:fill="auto"/>
            <w:noWrap/>
            <w:vAlign w:val="center"/>
            <w:hideMark/>
          </w:tcPr>
          <w:p w14:paraId="5460C14D"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1.800.000</w:t>
            </w:r>
          </w:p>
        </w:tc>
        <w:tc>
          <w:tcPr>
            <w:tcW w:w="612" w:type="pct"/>
            <w:tcBorders>
              <w:top w:val="nil"/>
              <w:left w:val="nil"/>
              <w:bottom w:val="single" w:sz="4" w:space="0" w:color="auto"/>
              <w:right w:val="single" w:sz="4" w:space="0" w:color="auto"/>
            </w:tcBorders>
            <w:shd w:val="clear" w:color="auto" w:fill="auto"/>
            <w:noWrap/>
            <w:vAlign w:val="center"/>
            <w:hideMark/>
          </w:tcPr>
          <w:p w14:paraId="1EE49977"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700.000</w:t>
            </w:r>
          </w:p>
        </w:tc>
        <w:tc>
          <w:tcPr>
            <w:tcW w:w="609" w:type="pct"/>
            <w:tcBorders>
              <w:top w:val="nil"/>
              <w:left w:val="nil"/>
              <w:bottom w:val="single" w:sz="4" w:space="0" w:color="auto"/>
              <w:right w:val="single" w:sz="4" w:space="0" w:color="auto"/>
            </w:tcBorders>
            <w:shd w:val="clear" w:color="auto" w:fill="auto"/>
            <w:noWrap/>
            <w:vAlign w:val="center"/>
            <w:hideMark/>
          </w:tcPr>
          <w:p w14:paraId="42E032B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200.000</w:t>
            </w:r>
          </w:p>
        </w:tc>
        <w:tc>
          <w:tcPr>
            <w:tcW w:w="536" w:type="pct"/>
            <w:tcBorders>
              <w:top w:val="nil"/>
              <w:left w:val="nil"/>
              <w:bottom w:val="single" w:sz="4" w:space="0" w:color="auto"/>
              <w:right w:val="single" w:sz="4" w:space="0" w:color="auto"/>
            </w:tcBorders>
            <w:shd w:val="clear" w:color="auto" w:fill="auto"/>
            <w:noWrap/>
            <w:vAlign w:val="center"/>
            <w:hideMark/>
          </w:tcPr>
          <w:p w14:paraId="2E055637"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300.000</w:t>
            </w:r>
          </w:p>
        </w:tc>
        <w:tc>
          <w:tcPr>
            <w:tcW w:w="538" w:type="pct"/>
            <w:tcBorders>
              <w:top w:val="nil"/>
              <w:left w:val="nil"/>
              <w:bottom w:val="single" w:sz="4" w:space="0" w:color="auto"/>
              <w:right w:val="single" w:sz="4" w:space="0" w:color="auto"/>
            </w:tcBorders>
            <w:shd w:val="clear" w:color="auto" w:fill="auto"/>
            <w:noWrap/>
            <w:vAlign w:val="center"/>
            <w:hideMark/>
          </w:tcPr>
          <w:p w14:paraId="1DC9526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450.000</w:t>
            </w:r>
          </w:p>
        </w:tc>
      </w:tr>
      <w:tr w:rsidR="00581ACA" w:rsidRPr="00B9779F" w14:paraId="29B96FBA" w14:textId="77777777" w:rsidTr="00B9779F">
        <w:trPr>
          <w:trHeight w:val="129"/>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2E4BF1CA"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Diseño (10 %)</w:t>
            </w:r>
          </w:p>
        </w:tc>
        <w:tc>
          <w:tcPr>
            <w:tcW w:w="535" w:type="pct"/>
            <w:tcBorders>
              <w:top w:val="nil"/>
              <w:left w:val="nil"/>
              <w:bottom w:val="single" w:sz="4" w:space="0" w:color="auto"/>
              <w:right w:val="single" w:sz="4" w:space="0" w:color="auto"/>
            </w:tcBorders>
            <w:shd w:val="clear" w:color="auto" w:fill="auto"/>
            <w:noWrap/>
            <w:vAlign w:val="center"/>
            <w:hideMark/>
          </w:tcPr>
          <w:p w14:paraId="32878F6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60.000</w:t>
            </w:r>
          </w:p>
        </w:tc>
        <w:tc>
          <w:tcPr>
            <w:tcW w:w="535" w:type="pct"/>
            <w:tcBorders>
              <w:top w:val="nil"/>
              <w:left w:val="nil"/>
              <w:bottom w:val="single" w:sz="4" w:space="0" w:color="auto"/>
              <w:right w:val="single" w:sz="4" w:space="0" w:color="auto"/>
            </w:tcBorders>
            <w:shd w:val="clear" w:color="auto" w:fill="auto"/>
            <w:noWrap/>
            <w:vAlign w:val="center"/>
            <w:hideMark/>
          </w:tcPr>
          <w:p w14:paraId="15942A2C"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w:t>
            </w:r>
          </w:p>
        </w:tc>
        <w:tc>
          <w:tcPr>
            <w:tcW w:w="534" w:type="pct"/>
            <w:tcBorders>
              <w:top w:val="nil"/>
              <w:left w:val="nil"/>
              <w:bottom w:val="single" w:sz="4" w:space="0" w:color="auto"/>
              <w:right w:val="single" w:sz="4" w:space="0" w:color="auto"/>
            </w:tcBorders>
            <w:shd w:val="clear" w:color="auto" w:fill="auto"/>
            <w:noWrap/>
            <w:vAlign w:val="center"/>
            <w:hideMark/>
          </w:tcPr>
          <w:p w14:paraId="70229AB8"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180.000</w:t>
            </w:r>
          </w:p>
        </w:tc>
        <w:tc>
          <w:tcPr>
            <w:tcW w:w="612" w:type="pct"/>
            <w:tcBorders>
              <w:top w:val="nil"/>
              <w:left w:val="nil"/>
              <w:bottom w:val="single" w:sz="4" w:space="0" w:color="auto"/>
              <w:right w:val="single" w:sz="4" w:space="0" w:color="auto"/>
            </w:tcBorders>
            <w:shd w:val="clear" w:color="auto" w:fill="auto"/>
            <w:noWrap/>
            <w:vAlign w:val="center"/>
            <w:hideMark/>
          </w:tcPr>
          <w:p w14:paraId="7A9682A5"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70.000</w:t>
            </w:r>
          </w:p>
        </w:tc>
        <w:tc>
          <w:tcPr>
            <w:tcW w:w="609" w:type="pct"/>
            <w:tcBorders>
              <w:top w:val="nil"/>
              <w:left w:val="nil"/>
              <w:bottom w:val="single" w:sz="4" w:space="0" w:color="auto"/>
              <w:right w:val="single" w:sz="4" w:space="0" w:color="auto"/>
            </w:tcBorders>
            <w:shd w:val="clear" w:color="auto" w:fill="auto"/>
            <w:noWrap/>
            <w:vAlign w:val="center"/>
            <w:hideMark/>
          </w:tcPr>
          <w:p w14:paraId="7B1EF33E"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20.000</w:t>
            </w:r>
          </w:p>
        </w:tc>
        <w:tc>
          <w:tcPr>
            <w:tcW w:w="536" w:type="pct"/>
            <w:tcBorders>
              <w:top w:val="nil"/>
              <w:left w:val="nil"/>
              <w:bottom w:val="single" w:sz="4" w:space="0" w:color="auto"/>
              <w:right w:val="single" w:sz="4" w:space="0" w:color="auto"/>
            </w:tcBorders>
            <w:shd w:val="clear" w:color="auto" w:fill="auto"/>
            <w:noWrap/>
            <w:vAlign w:val="center"/>
            <w:hideMark/>
          </w:tcPr>
          <w:p w14:paraId="6D6682BD"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w:t>
            </w:r>
          </w:p>
        </w:tc>
        <w:tc>
          <w:tcPr>
            <w:tcW w:w="538" w:type="pct"/>
            <w:tcBorders>
              <w:top w:val="nil"/>
              <w:left w:val="nil"/>
              <w:bottom w:val="single" w:sz="4" w:space="0" w:color="auto"/>
              <w:right w:val="single" w:sz="4" w:space="0" w:color="auto"/>
            </w:tcBorders>
            <w:shd w:val="clear" w:color="auto" w:fill="auto"/>
            <w:noWrap/>
            <w:vAlign w:val="center"/>
            <w:hideMark/>
          </w:tcPr>
          <w:p w14:paraId="10B2782F"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45.000</w:t>
            </w:r>
          </w:p>
        </w:tc>
      </w:tr>
      <w:tr w:rsidR="00581ACA" w:rsidRPr="00B9779F" w14:paraId="304CAF43" w14:textId="77777777" w:rsidTr="00B9779F">
        <w:trPr>
          <w:trHeight w:val="230"/>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4A000571"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 xml:space="preserve">Supervisión del rendimiento </w:t>
            </w:r>
          </w:p>
        </w:tc>
        <w:tc>
          <w:tcPr>
            <w:tcW w:w="535" w:type="pct"/>
            <w:tcBorders>
              <w:top w:val="nil"/>
              <w:left w:val="nil"/>
              <w:bottom w:val="single" w:sz="4" w:space="0" w:color="auto"/>
              <w:right w:val="single" w:sz="4" w:space="0" w:color="auto"/>
            </w:tcBorders>
            <w:shd w:val="clear" w:color="auto" w:fill="auto"/>
            <w:noWrap/>
            <w:vAlign w:val="center"/>
            <w:hideMark/>
          </w:tcPr>
          <w:p w14:paraId="7DDD95D7"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40.000</w:t>
            </w:r>
          </w:p>
        </w:tc>
        <w:tc>
          <w:tcPr>
            <w:tcW w:w="535" w:type="pct"/>
            <w:tcBorders>
              <w:top w:val="nil"/>
              <w:left w:val="nil"/>
              <w:bottom w:val="single" w:sz="4" w:space="0" w:color="auto"/>
              <w:right w:val="single" w:sz="4" w:space="0" w:color="auto"/>
            </w:tcBorders>
            <w:shd w:val="clear" w:color="auto" w:fill="auto"/>
            <w:noWrap/>
            <w:vAlign w:val="center"/>
            <w:hideMark/>
          </w:tcPr>
          <w:p w14:paraId="38CA587C"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20.000</w:t>
            </w:r>
          </w:p>
        </w:tc>
        <w:tc>
          <w:tcPr>
            <w:tcW w:w="534" w:type="pct"/>
            <w:tcBorders>
              <w:top w:val="nil"/>
              <w:left w:val="nil"/>
              <w:bottom w:val="single" w:sz="4" w:space="0" w:color="auto"/>
              <w:right w:val="single" w:sz="4" w:space="0" w:color="auto"/>
            </w:tcBorders>
            <w:shd w:val="clear" w:color="auto" w:fill="auto"/>
            <w:noWrap/>
            <w:vAlign w:val="center"/>
            <w:hideMark/>
          </w:tcPr>
          <w:p w14:paraId="45B15ECB"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w:t>
            </w:r>
          </w:p>
        </w:tc>
        <w:tc>
          <w:tcPr>
            <w:tcW w:w="612" w:type="pct"/>
            <w:tcBorders>
              <w:top w:val="nil"/>
              <w:left w:val="nil"/>
              <w:bottom w:val="single" w:sz="4" w:space="0" w:color="auto"/>
              <w:right w:val="single" w:sz="4" w:space="0" w:color="auto"/>
            </w:tcBorders>
            <w:shd w:val="clear" w:color="auto" w:fill="auto"/>
            <w:noWrap/>
            <w:vAlign w:val="center"/>
            <w:hideMark/>
          </w:tcPr>
          <w:p w14:paraId="408E721B"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40.000</w:t>
            </w:r>
          </w:p>
        </w:tc>
        <w:tc>
          <w:tcPr>
            <w:tcW w:w="609" w:type="pct"/>
            <w:tcBorders>
              <w:top w:val="nil"/>
              <w:left w:val="nil"/>
              <w:bottom w:val="single" w:sz="4" w:space="0" w:color="auto"/>
              <w:right w:val="single" w:sz="4" w:space="0" w:color="auto"/>
            </w:tcBorders>
            <w:shd w:val="clear" w:color="auto" w:fill="auto"/>
            <w:noWrap/>
            <w:vAlign w:val="center"/>
            <w:hideMark/>
          </w:tcPr>
          <w:p w14:paraId="33BC3FEA"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w:t>
            </w:r>
          </w:p>
        </w:tc>
        <w:tc>
          <w:tcPr>
            <w:tcW w:w="536" w:type="pct"/>
            <w:tcBorders>
              <w:top w:val="nil"/>
              <w:left w:val="nil"/>
              <w:bottom w:val="single" w:sz="4" w:space="0" w:color="auto"/>
              <w:right w:val="single" w:sz="4" w:space="0" w:color="auto"/>
            </w:tcBorders>
            <w:shd w:val="clear" w:color="auto" w:fill="auto"/>
            <w:noWrap/>
            <w:vAlign w:val="center"/>
            <w:hideMark/>
          </w:tcPr>
          <w:p w14:paraId="57ECC022"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20.000</w:t>
            </w:r>
          </w:p>
        </w:tc>
        <w:tc>
          <w:tcPr>
            <w:tcW w:w="538" w:type="pct"/>
            <w:tcBorders>
              <w:top w:val="nil"/>
              <w:left w:val="nil"/>
              <w:bottom w:val="single" w:sz="4" w:space="0" w:color="auto"/>
              <w:right w:val="single" w:sz="4" w:space="0" w:color="auto"/>
            </w:tcBorders>
            <w:shd w:val="clear" w:color="auto" w:fill="auto"/>
            <w:noWrap/>
            <w:vAlign w:val="center"/>
            <w:hideMark/>
          </w:tcPr>
          <w:p w14:paraId="3093C72C"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w:t>
            </w:r>
          </w:p>
        </w:tc>
      </w:tr>
      <w:tr w:rsidR="00581ACA" w:rsidRPr="00B9779F" w14:paraId="7EA457ED" w14:textId="77777777" w:rsidTr="00B9779F">
        <w:trPr>
          <w:trHeight w:val="296"/>
        </w:trPr>
        <w:tc>
          <w:tcPr>
            <w:tcW w:w="1101" w:type="pct"/>
            <w:tcBorders>
              <w:top w:val="nil"/>
              <w:left w:val="single" w:sz="4" w:space="0" w:color="auto"/>
              <w:bottom w:val="single" w:sz="4" w:space="0" w:color="auto"/>
              <w:right w:val="single" w:sz="4" w:space="0" w:color="auto"/>
            </w:tcBorders>
            <w:shd w:val="clear" w:color="auto" w:fill="auto"/>
            <w:vAlign w:val="center"/>
            <w:hideMark/>
          </w:tcPr>
          <w:p w14:paraId="08EC73BC"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Evaluación y elaboración de informes</w:t>
            </w:r>
          </w:p>
        </w:tc>
        <w:tc>
          <w:tcPr>
            <w:tcW w:w="535" w:type="pct"/>
            <w:tcBorders>
              <w:top w:val="nil"/>
              <w:left w:val="nil"/>
              <w:bottom w:val="single" w:sz="4" w:space="0" w:color="auto"/>
              <w:right w:val="single" w:sz="4" w:space="0" w:color="auto"/>
            </w:tcBorders>
            <w:shd w:val="clear" w:color="auto" w:fill="auto"/>
            <w:noWrap/>
            <w:vAlign w:val="center"/>
            <w:hideMark/>
          </w:tcPr>
          <w:p w14:paraId="7220B754"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535" w:type="pct"/>
            <w:tcBorders>
              <w:top w:val="nil"/>
              <w:left w:val="nil"/>
              <w:bottom w:val="single" w:sz="4" w:space="0" w:color="auto"/>
              <w:right w:val="single" w:sz="4" w:space="0" w:color="auto"/>
            </w:tcBorders>
            <w:shd w:val="clear" w:color="auto" w:fill="auto"/>
            <w:noWrap/>
            <w:vAlign w:val="center"/>
            <w:hideMark/>
          </w:tcPr>
          <w:p w14:paraId="6C260F05"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534" w:type="pct"/>
            <w:tcBorders>
              <w:top w:val="nil"/>
              <w:left w:val="nil"/>
              <w:bottom w:val="single" w:sz="4" w:space="0" w:color="auto"/>
              <w:right w:val="single" w:sz="4" w:space="0" w:color="auto"/>
            </w:tcBorders>
            <w:shd w:val="clear" w:color="auto" w:fill="auto"/>
            <w:noWrap/>
            <w:vAlign w:val="center"/>
            <w:hideMark/>
          </w:tcPr>
          <w:p w14:paraId="0B1B164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612" w:type="pct"/>
            <w:tcBorders>
              <w:top w:val="nil"/>
              <w:left w:val="nil"/>
              <w:bottom w:val="single" w:sz="4" w:space="0" w:color="auto"/>
              <w:right w:val="single" w:sz="4" w:space="0" w:color="auto"/>
            </w:tcBorders>
            <w:shd w:val="clear" w:color="auto" w:fill="auto"/>
            <w:noWrap/>
            <w:vAlign w:val="center"/>
            <w:hideMark/>
          </w:tcPr>
          <w:p w14:paraId="29314A3A"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609" w:type="pct"/>
            <w:tcBorders>
              <w:top w:val="nil"/>
              <w:left w:val="nil"/>
              <w:bottom w:val="single" w:sz="4" w:space="0" w:color="auto"/>
              <w:right w:val="single" w:sz="4" w:space="0" w:color="auto"/>
            </w:tcBorders>
            <w:shd w:val="clear" w:color="auto" w:fill="auto"/>
            <w:noWrap/>
            <w:vAlign w:val="center"/>
            <w:hideMark/>
          </w:tcPr>
          <w:p w14:paraId="62F956A7"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536" w:type="pct"/>
            <w:tcBorders>
              <w:top w:val="nil"/>
              <w:left w:val="nil"/>
              <w:bottom w:val="single" w:sz="4" w:space="0" w:color="auto"/>
              <w:right w:val="single" w:sz="4" w:space="0" w:color="auto"/>
            </w:tcBorders>
            <w:shd w:val="clear" w:color="auto" w:fill="auto"/>
            <w:noWrap/>
            <w:vAlign w:val="center"/>
            <w:hideMark/>
          </w:tcPr>
          <w:p w14:paraId="127E3EBB"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538" w:type="pct"/>
            <w:tcBorders>
              <w:top w:val="nil"/>
              <w:left w:val="nil"/>
              <w:bottom w:val="single" w:sz="4" w:space="0" w:color="auto"/>
              <w:right w:val="single" w:sz="4" w:space="0" w:color="auto"/>
            </w:tcBorders>
            <w:shd w:val="clear" w:color="auto" w:fill="auto"/>
            <w:noWrap/>
            <w:vAlign w:val="center"/>
            <w:hideMark/>
          </w:tcPr>
          <w:p w14:paraId="10393B4B"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r>
      <w:tr w:rsidR="00581ACA" w:rsidRPr="00B9779F" w14:paraId="7EF328EE" w14:textId="77777777" w:rsidTr="00B9779F">
        <w:trPr>
          <w:trHeight w:val="43"/>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CE1B55" w14:textId="77777777" w:rsidR="00581ACA" w:rsidRPr="00B9779F" w:rsidRDefault="00581ACA" w:rsidP="00951501">
            <w:pPr>
              <w:jc w:val="left"/>
              <w:rPr>
                <w:b/>
                <w:bCs/>
                <w:color w:val="000000"/>
                <w:sz w:val="18"/>
                <w:szCs w:val="18"/>
                <w:lang w:val="es-ES_tradnl"/>
              </w:rPr>
            </w:pPr>
            <w:r w:rsidRPr="00B9779F">
              <w:rPr>
                <w:b/>
                <w:color w:val="000000"/>
                <w:sz w:val="18"/>
                <w:szCs w:val="18"/>
                <w:lang w:val="es-ES_tradnl"/>
              </w:rPr>
              <w:t>Costo total ($EUA)</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5AFB45A6"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710.000</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14:paraId="74ABCCDE"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360.000</w:t>
            </w:r>
          </w:p>
        </w:tc>
        <w:tc>
          <w:tcPr>
            <w:tcW w:w="534" w:type="pct"/>
            <w:tcBorders>
              <w:top w:val="single" w:sz="4" w:space="0" w:color="auto"/>
              <w:left w:val="nil"/>
              <w:bottom w:val="single" w:sz="4" w:space="0" w:color="auto"/>
              <w:right w:val="single" w:sz="4" w:space="0" w:color="auto"/>
            </w:tcBorders>
            <w:shd w:val="clear" w:color="auto" w:fill="auto"/>
            <w:noWrap/>
            <w:vAlign w:val="center"/>
            <w:hideMark/>
          </w:tcPr>
          <w:p w14:paraId="7DDF5023"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2.020.000</w:t>
            </w:r>
          </w:p>
        </w:tc>
        <w:tc>
          <w:tcPr>
            <w:tcW w:w="612" w:type="pct"/>
            <w:tcBorders>
              <w:top w:val="single" w:sz="4" w:space="0" w:color="auto"/>
              <w:left w:val="nil"/>
              <w:bottom w:val="single" w:sz="4" w:space="0" w:color="auto"/>
              <w:right w:val="single" w:sz="4" w:space="0" w:color="auto"/>
            </w:tcBorders>
            <w:shd w:val="clear" w:color="auto" w:fill="auto"/>
            <w:noWrap/>
            <w:vAlign w:val="center"/>
            <w:hideMark/>
          </w:tcPr>
          <w:p w14:paraId="7B1259B4"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820.000</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0A084C80"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245.000</w:t>
            </w:r>
          </w:p>
        </w:tc>
        <w:tc>
          <w:tcPr>
            <w:tcW w:w="536" w:type="pct"/>
            <w:tcBorders>
              <w:top w:val="single" w:sz="4" w:space="0" w:color="auto"/>
              <w:left w:val="nil"/>
              <w:bottom w:val="single" w:sz="4" w:space="0" w:color="auto"/>
              <w:right w:val="single" w:sz="4" w:space="0" w:color="auto"/>
            </w:tcBorders>
            <w:shd w:val="clear" w:color="auto" w:fill="auto"/>
            <w:noWrap/>
            <w:vAlign w:val="center"/>
            <w:hideMark/>
          </w:tcPr>
          <w:p w14:paraId="7B6B7295"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360.000</w:t>
            </w:r>
          </w:p>
        </w:tc>
        <w:tc>
          <w:tcPr>
            <w:tcW w:w="538" w:type="pct"/>
            <w:tcBorders>
              <w:top w:val="single" w:sz="4" w:space="0" w:color="auto"/>
              <w:left w:val="nil"/>
              <w:bottom w:val="single" w:sz="4" w:space="0" w:color="auto"/>
              <w:right w:val="single" w:sz="4" w:space="0" w:color="auto"/>
            </w:tcBorders>
            <w:shd w:val="clear" w:color="auto" w:fill="auto"/>
            <w:noWrap/>
            <w:vAlign w:val="center"/>
            <w:hideMark/>
          </w:tcPr>
          <w:p w14:paraId="6417C526"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535.000</w:t>
            </w:r>
          </w:p>
        </w:tc>
      </w:tr>
      <w:tr w:rsidR="00581ACA" w:rsidRPr="00B9779F" w14:paraId="3435D3D2" w14:textId="77777777" w:rsidTr="00951501">
        <w:trPr>
          <w:trHeight w:val="111"/>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51762267"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 xml:space="preserve">Capacitación </w:t>
            </w:r>
          </w:p>
        </w:tc>
        <w:tc>
          <w:tcPr>
            <w:tcW w:w="3899" w:type="pct"/>
            <w:gridSpan w:val="7"/>
            <w:tcBorders>
              <w:top w:val="single" w:sz="4" w:space="0" w:color="auto"/>
              <w:left w:val="nil"/>
              <w:bottom w:val="single" w:sz="4" w:space="0" w:color="auto"/>
              <w:right w:val="single" w:sz="4" w:space="0" w:color="auto"/>
            </w:tcBorders>
            <w:shd w:val="clear" w:color="auto" w:fill="auto"/>
            <w:noWrap/>
            <w:vAlign w:val="center"/>
          </w:tcPr>
          <w:p w14:paraId="3C12B1A5"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80.000</w:t>
            </w:r>
          </w:p>
        </w:tc>
      </w:tr>
      <w:tr w:rsidR="00581ACA" w:rsidRPr="00B9779F" w14:paraId="5D1CAC6D" w14:textId="77777777" w:rsidTr="00951501">
        <w:trPr>
          <w:trHeight w:val="156"/>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tcPr>
          <w:p w14:paraId="100BE0B4" w14:textId="77777777" w:rsidR="00581ACA" w:rsidRPr="00B9779F" w:rsidRDefault="00581ACA" w:rsidP="00951501">
            <w:pPr>
              <w:jc w:val="left"/>
              <w:rPr>
                <w:b/>
                <w:bCs/>
                <w:color w:val="000000"/>
                <w:sz w:val="18"/>
                <w:szCs w:val="18"/>
                <w:lang w:val="es-ES_tradnl"/>
              </w:rPr>
            </w:pPr>
            <w:r w:rsidRPr="00B9779F">
              <w:rPr>
                <w:b/>
                <w:color w:val="000000"/>
                <w:sz w:val="18"/>
                <w:szCs w:val="18"/>
                <w:lang w:val="es-ES_tradnl"/>
              </w:rPr>
              <w:t>Suma Total ($EUA)</w:t>
            </w:r>
          </w:p>
        </w:tc>
        <w:tc>
          <w:tcPr>
            <w:tcW w:w="3899" w:type="pct"/>
            <w:gridSpan w:val="7"/>
            <w:tcBorders>
              <w:top w:val="single" w:sz="4" w:space="0" w:color="auto"/>
              <w:left w:val="nil"/>
              <w:bottom w:val="single" w:sz="4" w:space="0" w:color="auto"/>
              <w:right w:val="single" w:sz="4" w:space="0" w:color="auto"/>
            </w:tcBorders>
            <w:shd w:val="clear" w:color="auto" w:fill="auto"/>
            <w:noWrap/>
            <w:vAlign w:val="center"/>
          </w:tcPr>
          <w:p w14:paraId="32B822D2"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5.130.000</w:t>
            </w:r>
          </w:p>
        </w:tc>
      </w:tr>
    </w:tbl>
    <w:p w14:paraId="300FBF25" w14:textId="77777777" w:rsidR="00581ACA" w:rsidRPr="00367B2E" w:rsidRDefault="00581ACA" w:rsidP="00581ACA">
      <w:pPr>
        <w:rPr>
          <w:sz w:val="18"/>
          <w:szCs w:val="18"/>
        </w:rPr>
      </w:pPr>
    </w:p>
    <w:p w14:paraId="6724B758" w14:textId="77777777" w:rsidR="00581ACA" w:rsidRPr="00581ACA" w:rsidRDefault="00581ACA" w:rsidP="00581ACA">
      <w:pPr>
        <w:spacing w:before="360" w:after="240"/>
        <w:jc w:val="center"/>
        <w:rPr>
          <w:b/>
          <w:lang w:val="es-ES"/>
        </w:rPr>
      </w:pPr>
      <w:r w:rsidRPr="00581ACA">
        <w:rPr>
          <w:b/>
          <w:lang w:val="es-ES"/>
        </w:rPr>
        <w:t>OBSERVACIONES Y RECOMENDACIÓN DE LA SECRETARÍA</w:t>
      </w:r>
    </w:p>
    <w:p w14:paraId="069AA10F" w14:textId="77777777" w:rsidR="00581ACA" w:rsidRPr="00581ACA" w:rsidRDefault="00581ACA" w:rsidP="00581ACA">
      <w:pPr>
        <w:rPr>
          <w:b/>
          <w:lang w:val="es-ES"/>
        </w:rPr>
      </w:pPr>
      <w:r w:rsidRPr="00581ACA">
        <w:rPr>
          <w:b/>
          <w:lang w:val="es-ES"/>
        </w:rPr>
        <w:t>OBSERVACIONES</w:t>
      </w:r>
    </w:p>
    <w:p w14:paraId="75217A1D" w14:textId="77739935" w:rsidR="00581ACA" w:rsidRPr="00581ACA" w:rsidRDefault="00581ACA" w:rsidP="00581ACA">
      <w:pPr>
        <w:spacing w:before="240" w:after="240"/>
        <w:rPr>
          <w:u w:val="single"/>
          <w:lang w:val="es-ES"/>
        </w:rPr>
      </w:pPr>
      <w:r w:rsidRPr="00581ACA">
        <w:rPr>
          <w:u w:val="single"/>
          <w:lang w:val="es-ES"/>
        </w:rPr>
        <w:t xml:space="preserve">Coordinación institucional y </w:t>
      </w:r>
      <w:r w:rsidR="00B9779F">
        <w:rPr>
          <w:u w:val="single"/>
          <w:lang w:val="es-ES"/>
        </w:rPr>
        <w:t>elaboración</w:t>
      </w:r>
      <w:r w:rsidRPr="00581ACA">
        <w:rPr>
          <w:u w:val="single"/>
          <w:lang w:val="es-ES"/>
        </w:rPr>
        <w:t xml:space="preserve"> de estándares mínimos de eficiencia energética</w:t>
      </w:r>
    </w:p>
    <w:p w14:paraId="2056972F" w14:textId="77777777" w:rsidR="00581ACA" w:rsidRPr="00581ACA" w:rsidRDefault="00581ACA" w:rsidP="00581ACA">
      <w:pPr>
        <w:pStyle w:val="Heading1"/>
        <w:rPr>
          <w:lang w:val="es-ES"/>
        </w:rPr>
      </w:pPr>
      <w:r w:rsidRPr="00581ACA">
        <w:rPr>
          <w:lang w:val="es-ES"/>
        </w:rPr>
        <w:t xml:space="preserve">La ONUDI confirmó que en la ejecución del proyecto habría representantes del Ministerio de Recursos Minerales y Energía que colaborarían con la Dependencia Nacional del Ozono. El Gobierno considera que está colaboración es esencial, dado su papel en el desarrollo del Plan Nacional de </w:t>
      </w:r>
      <w:r w:rsidRPr="00581ACA">
        <w:rPr>
          <w:lang w:val="es-ES"/>
        </w:rPr>
        <w:lastRenderedPageBreak/>
        <w:t>Refrigeración de Sudáfrica y el plan de ejecución de Kigali para los HFC. El proyecto servirá como plataforma para desarrollar unos estándares mínimos de eficiencia energética para enfriadores y sistemas de refrigeración de grandes edificios, en línea con el Plan Nacional de Refrigeración. Uno de los retos a la hora de elaborar los estándares mínimos de eficiencia energética de Sudáfrica es la necesidad de que los sistemas sean eficientes en diferentes climas. Determinados parámetros de Sudáfrica, como las temperaturas ambiente, la humedad o las horas de funcionamiento, son diferentes a los establecidos en los estándares mínimos de eficiencia energética existentes, como la directiva de diseño ecológico de la Unión Europea. La demostración de aplicaciones de enfriadores en diferentes zonas climáticas, incluida una supervisión adecuada de los sistemas, proporcionará información sobre estos parámetros, lo que contribuirá al desarrollo de estándares mínimos de eficiencia energética para los sistemas de aire acondicionado de gran tamaño en Sudáfrica.</w:t>
      </w:r>
    </w:p>
    <w:p w14:paraId="34F2A83D" w14:textId="77777777" w:rsidR="00581ACA" w:rsidRPr="00581ACA" w:rsidRDefault="00581ACA" w:rsidP="00581ACA">
      <w:pPr>
        <w:rPr>
          <w:u w:val="single"/>
          <w:lang w:val="es-ES"/>
        </w:rPr>
      </w:pPr>
      <w:r w:rsidRPr="00581ACA">
        <w:rPr>
          <w:u w:val="single"/>
          <w:lang w:val="es-ES"/>
        </w:rPr>
        <w:t>Relación con la reducción de los HFC y el plan de ejecución de Kigali para los HFC</w:t>
      </w:r>
    </w:p>
    <w:p w14:paraId="5C2CEE8C" w14:textId="4D7D9171" w:rsidR="00581ACA" w:rsidRPr="00581ACA" w:rsidRDefault="00581ACA" w:rsidP="00581ACA">
      <w:pPr>
        <w:pStyle w:val="Heading1"/>
        <w:spacing w:before="240"/>
        <w:rPr>
          <w:lang w:val="es-ES"/>
        </w:rPr>
      </w:pPr>
      <w:r w:rsidRPr="00581ACA">
        <w:rPr>
          <w:lang w:val="es-ES"/>
        </w:rPr>
        <w:t>Observando que la mayoría de los enfriadores incluidos en la demostración empleaban HCFC-22, no HFC, la Secretaría expresó su preocupación por el papel que jugaría este proyecto en el contexto de la reducción de los HFC. La ONUDI explicó que los resultados de este proyecto piloto aportarán información esencial para el KIP de Sudáfrica, que actualmente se está desarrollando y cuya comunicación está prevista para 2024. El objetivo del proyecto piloto es demostrar que puede hacerse la transición a refrigerantes de bajo PCA sin pasar por el uso de HFC de transición, una estrategia clave para el KIP. Las demostraciones ayudarán a frenar el crecimiento de los bancos de equipos de HFC instalados y el correspondiente consumo en tareas de mantenimiento</w:t>
      </w:r>
      <w:r w:rsidR="00B9779F">
        <w:rPr>
          <w:lang w:val="es-ES"/>
        </w:rPr>
        <w:t xml:space="preserve"> futuras</w:t>
      </w:r>
      <w:r w:rsidRPr="00581ACA">
        <w:rPr>
          <w:lang w:val="es-ES"/>
        </w:rPr>
        <w:t>, puesto que permitirán influir sobre los propietarios de edificios para que hagan la transición a tecnologías de bajo PCA cuando vayan a sustituir equipos tanto de HCFC como de HFC. Esto es especialmente importante en el caso de los enfriadores, que generalmente se mantienen operativos durante más de 20 años. El proyecto también facilitará hacer un estudio de casos y desarrollar las capacidades de los técnicos y los propietarios de los edificios, lo que ayudará a hacer la transición descrita en el KIP. La Secretaría considera que, en el contexto de Sudáfrica, dado la considerable cantidad de enfriadores de HCFC</w:t>
      </w:r>
      <w:r w:rsidRPr="00581ACA">
        <w:rPr>
          <w:lang w:val="es-ES"/>
        </w:rPr>
        <w:noBreakHyphen/>
        <w:t>22 que es necesario poner fuera de servicio, la demostración de alternativas de bajo PCA contribuirá a evitar que se instalen nuevos enfriadores que empleen HFC, así como el consumo futuro de esta sustancia en tareas de mantenimiento.</w:t>
      </w:r>
    </w:p>
    <w:p w14:paraId="42C84827" w14:textId="30F892E2" w:rsidR="00581ACA" w:rsidRPr="00581ACA" w:rsidRDefault="00581ACA" w:rsidP="00581ACA">
      <w:pPr>
        <w:keepNext/>
        <w:spacing w:after="240"/>
        <w:rPr>
          <w:lang w:val="es-ES"/>
        </w:rPr>
      </w:pPr>
      <w:r w:rsidRPr="00581ACA">
        <w:rPr>
          <w:u w:val="single"/>
          <w:lang w:val="es-ES"/>
        </w:rPr>
        <w:t>Cuestiones técnicas y de costos</w:t>
      </w:r>
    </w:p>
    <w:p w14:paraId="1884CB19" w14:textId="77777777" w:rsidR="00581ACA" w:rsidRPr="00581ACA" w:rsidRDefault="00581ACA" w:rsidP="00581ACA">
      <w:pPr>
        <w:pStyle w:val="Heading1"/>
        <w:keepNext/>
        <w:numPr>
          <w:ilvl w:val="0"/>
          <w:numId w:val="0"/>
        </w:numPr>
        <w:rPr>
          <w:i/>
          <w:iCs/>
          <w:lang w:val="es-ES"/>
        </w:rPr>
      </w:pPr>
      <w:r w:rsidRPr="00581ACA">
        <w:rPr>
          <w:i/>
          <w:lang w:val="es-ES"/>
        </w:rPr>
        <w:t>Alcance de la propuesta</w:t>
      </w:r>
    </w:p>
    <w:p w14:paraId="39704A23" w14:textId="77777777" w:rsidR="00581ACA" w:rsidRPr="00581ACA" w:rsidRDefault="00581ACA" w:rsidP="00581ACA">
      <w:pPr>
        <w:pStyle w:val="Heading1"/>
        <w:keepNext/>
        <w:rPr>
          <w:lang w:val="es-ES"/>
        </w:rPr>
      </w:pPr>
      <w:r w:rsidRPr="00581ACA">
        <w:rPr>
          <w:lang w:val="es-ES"/>
        </w:rPr>
        <w:t>De acuerdo con la comunicación inicial, el proyecto propone sustituir 19 enfriadores situados en siete emplazamientos por un costo de 5.130.000 $EUA. Todos los emplazamientos, excepto uno, están utilizando actualmente HCFC en lugar de HFC, y existen varios subproyectos que tienen por objeto mostrar la sustitución de tipos similares de equipos. La ONUDI explicó que, dado que el proyecto estaba concebido para demostrar la adopción de tecnologías de bajo PCA en diversas condiciones y climas, era difícil seleccionar solo unas pocas demostraciones. Sin embargo, teniendo en cuenta los plazos disponibles para la ejecución del proyecto y la naturaleza experimental de los proyectos en el marco de la decisión 91/65, la Secretaría debatió posibles enfoques para seleccionar una muestra piloto representativa de enfriadores que permitiera obtener suficiente información para ayudar a desarrollar estándares mínimos de eficiencia energética y mostrar el ahorro de energía a otros usuarios.</w:t>
      </w:r>
    </w:p>
    <w:p w14:paraId="23D8E234" w14:textId="77777777" w:rsidR="00581ACA" w:rsidRPr="00581ACA" w:rsidRDefault="00581ACA" w:rsidP="00581ACA">
      <w:pPr>
        <w:pStyle w:val="Heading1"/>
        <w:rPr>
          <w:lang w:val="es-ES"/>
        </w:rPr>
      </w:pPr>
      <w:r w:rsidRPr="00581ACA">
        <w:rPr>
          <w:lang w:val="es-ES"/>
        </w:rPr>
        <w:t>La selección final de los proyectos de demostración se hizo a partir de una combinación de parámetros, incluidos los posibles ahorros de eficiencia energética y la relación de costo a eficacia general de la introducción de sistemas que empleen refrigerantes de bajo PCA; el impacto en la reducción de los HFC; la disposición de los usuarios finales para llevar a cabo la inversión y proporcionar cofinanciación; la confirmación de que los equipos iniciales estaban plenamente operativos y que su sustitución generaría ahorros de energía; la reducción total de emisiones en toneladas de CO</w:t>
      </w:r>
      <w:r w:rsidRPr="00581ACA">
        <w:rPr>
          <w:vertAlign w:val="subscript"/>
          <w:lang w:val="es-ES"/>
        </w:rPr>
        <w:t>2</w:t>
      </w:r>
      <w:r w:rsidRPr="00581ACA">
        <w:rPr>
          <w:lang w:val="es-ES"/>
        </w:rPr>
        <w:t xml:space="preserve"> eq; y el potencial y facilidad de reproducibilidad. Tras deliberar al respecto, la ONUDI convino mantener la sustitución de un enfriador de </w:t>
      </w:r>
      <w:r w:rsidRPr="00581ACA">
        <w:rPr>
          <w:lang w:val="es-ES"/>
        </w:rPr>
        <w:lastRenderedPageBreak/>
        <w:t>R</w:t>
      </w:r>
      <w:r w:rsidRPr="00581ACA">
        <w:rPr>
          <w:lang w:val="es-ES"/>
        </w:rPr>
        <w:noBreakHyphen/>
        <w:t>404A y otro de HCFC</w:t>
      </w:r>
      <w:r w:rsidRPr="00581ACA">
        <w:rPr>
          <w:lang w:val="es-ES"/>
        </w:rPr>
        <w:noBreakHyphen/>
        <w:t>22 del Hospital CHB de Johannesburgo, así como la sustitución de tres enfriadores del Centro Internacional de Convenciones de Durban, como se indica a continuación:</w:t>
      </w:r>
    </w:p>
    <w:p w14:paraId="526AB54A" w14:textId="77777777" w:rsidR="00581ACA" w:rsidRPr="00581ACA" w:rsidRDefault="00581ACA" w:rsidP="00581ACA">
      <w:pPr>
        <w:pStyle w:val="Heading2"/>
        <w:rPr>
          <w:lang w:val="es-ES"/>
        </w:rPr>
      </w:pPr>
      <w:r w:rsidRPr="00581ACA">
        <w:rPr>
          <w:lang w:val="es-ES"/>
        </w:rPr>
        <w:t>Hospital CHB (hospital): El proyecto financiará una de las cuatro sustituciones de enfriadores propuestas, incluida la recuperación de calor para agua caliente (que actualmente se hace mediante calderas de generación de vapor a partir de carbón). Este proyecto generará uno de los mayores ahorros de energía en kW/h procedentes de la refrigeración y la recuperación de calor, tiene una mejor relación de costo a eficacia que otras sustituciones y su potencial de reproducibilidad en otros hospitales es alto;</w:t>
      </w:r>
    </w:p>
    <w:p w14:paraId="62B9ADE6" w14:textId="77777777" w:rsidR="00581ACA" w:rsidRPr="00581ACA" w:rsidRDefault="00581ACA" w:rsidP="00581ACA">
      <w:pPr>
        <w:pStyle w:val="Heading2"/>
        <w:rPr>
          <w:lang w:val="es-ES"/>
        </w:rPr>
      </w:pPr>
      <w:r w:rsidRPr="00581ACA">
        <w:rPr>
          <w:lang w:val="es-ES"/>
        </w:rPr>
        <w:t>Hospital CHB (quirófanos): De los dos enfriadores que se propone sustituir, el proyecto financiará el que utiliza R-404A. Este proyecto tiene como objetivo demostrar el uso de enfriadores de R</w:t>
      </w:r>
      <w:r w:rsidRPr="00581ACA">
        <w:rPr>
          <w:lang w:val="es-ES"/>
        </w:rPr>
        <w:noBreakHyphen/>
        <w:t>290 en condiciones operativas difíciles, ya que los enfriadores que se sustituirán están dentro de recintos cerrados por paredes y tienen mala ventilación, una situación que no es infrecuente en otros edificios. Este proyecto también podría reproducirse en otros hospitales que dispongan de enfriadores de HFC; y</w:t>
      </w:r>
    </w:p>
    <w:p w14:paraId="08513E7A" w14:textId="77777777" w:rsidR="00581ACA" w:rsidRPr="00581ACA" w:rsidRDefault="00581ACA" w:rsidP="00581ACA">
      <w:pPr>
        <w:pStyle w:val="Heading2"/>
        <w:rPr>
          <w:lang w:val="es-ES"/>
        </w:rPr>
      </w:pPr>
      <w:r w:rsidRPr="00581ACA">
        <w:rPr>
          <w:lang w:val="es-ES"/>
        </w:rPr>
        <w:t>Centro Internacional de Convenciones de Durban: Este emplazamiento se mantendrá debido a la relación de costo a eficacia del proyecto y a su impacto en el ahorro de energía. Observando que el Centro Internacional de Convenciones tiene previsto sustituir sus enfriadores (adoptando una tecnología de R-410A) y proporcionar cofinanciación, el proyecto solo financiará un tercio de los fondos necesarios para efectuar la sustitución completa. Este nivel de financiación es equivalente a la diferencia de costo de sustituir tres enfriadores utilizando R-290 en lugar de R</w:t>
      </w:r>
      <w:r w:rsidRPr="00581ACA">
        <w:rPr>
          <w:lang w:val="es-ES"/>
        </w:rPr>
        <w:noBreakHyphen/>
        <w:t>410A, o al costo de reemplazar uno de los tres enfriadores.</w:t>
      </w:r>
    </w:p>
    <w:p w14:paraId="2FD693B5" w14:textId="77777777" w:rsidR="00581ACA" w:rsidRPr="00B9779F" w:rsidRDefault="00581ACA" w:rsidP="00581ACA">
      <w:pPr>
        <w:pStyle w:val="Heading1"/>
        <w:numPr>
          <w:ilvl w:val="0"/>
          <w:numId w:val="0"/>
        </w:numPr>
        <w:rPr>
          <w:i/>
          <w:iCs/>
          <w:lang w:val="es-ES_tradnl"/>
        </w:rPr>
      </w:pPr>
      <w:r w:rsidRPr="00B9779F">
        <w:rPr>
          <w:i/>
          <w:lang w:val="es-ES_tradnl"/>
        </w:rPr>
        <w:t>Tecnología</w:t>
      </w:r>
    </w:p>
    <w:p w14:paraId="55ED41DF" w14:textId="77777777" w:rsidR="00581ACA" w:rsidRPr="00581ACA" w:rsidRDefault="00581ACA" w:rsidP="00581ACA">
      <w:pPr>
        <w:pStyle w:val="Heading1"/>
        <w:rPr>
          <w:lang w:val="es-ES"/>
        </w:rPr>
      </w:pPr>
      <w:r w:rsidRPr="00581ACA">
        <w:rPr>
          <w:lang w:val="es-ES"/>
        </w:rPr>
        <w:t>Las únicas aplicaciones cargadas con R-290 que se fabrican actualmente en Sudáfrica son pequeños equipos de condensación para supermercados. La ONUDI confirmó que era posible importar enfriadores de R-290 y que se disponía de proveedores.</w:t>
      </w:r>
    </w:p>
    <w:p w14:paraId="0A04EDEB" w14:textId="77777777" w:rsidR="00581ACA" w:rsidRPr="00B9779F" w:rsidRDefault="00581ACA" w:rsidP="00581ACA">
      <w:pPr>
        <w:keepNext/>
        <w:spacing w:after="240"/>
        <w:rPr>
          <w:i/>
          <w:iCs/>
          <w:lang w:val="es-ES_tradnl"/>
        </w:rPr>
      </w:pPr>
      <w:r w:rsidRPr="00B9779F">
        <w:rPr>
          <w:i/>
          <w:lang w:val="es-ES_tradnl"/>
        </w:rPr>
        <w:t>Supervisión del rendimiento</w:t>
      </w:r>
    </w:p>
    <w:p w14:paraId="7A28050B" w14:textId="12E8A348" w:rsidR="00581ACA" w:rsidRPr="00581ACA" w:rsidRDefault="00581ACA" w:rsidP="00581ACA">
      <w:pPr>
        <w:pStyle w:val="Heading1"/>
        <w:rPr>
          <w:lang w:val="es-ES"/>
        </w:rPr>
      </w:pPr>
      <w:r w:rsidRPr="00581ACA">
        <w:rPr>
          <w:lang w:val="es-ES"/>
        </w:rPr>
        <w:t xml:space="preserve">Observando que actualmente no se está supervisando la eficiencia de los enfriadores iniciales de referencia, la Secretaría solicitó a la ONUDI más información sobre cómo se asegurará de que se midan adecuadamente los efectos del proyecto en cuanto a la mejora de la eficiencia energética. La ONUDI explicó que era posible supervisar el consumo de energía midiendo los principales parámetros </w:t>
      </w:r>
      <w:r w:rsidR="00B9779F">
        <w:rPr>
          <w:lang w:val="es-ES"/>
        </w:rPr>
        <w:t>que sean</w:t>
      </w:r>
      <w:r w:rsidRPr="00581ACA">
        <w:rPr>
          <w:lang w:val="es-ES"/>
        </w:rPr>
        <w:t xml:space="preserve"> técnicamente posibles y haciendo cálculos a partir de ellos. Los plazos para hacer estas mediciones serían de al menos seis meses desde el momento en que se inicie el proyecto hasta la entrega e instalación de los nuevos enfriadores. Las mediciones y la supervisión </w:t>
      </w:r>
      <w:r w:rsidR="00B9779F">
        <w:rPr>
          <w:lang w:val="es-ES"/>
        </w:rPr>
        <w:t>se efectuará por parte</w:t>
      </w:r>
      <w:r w:rsidRPr="00581ACA">
        <w:rPr>
          <w:lang w:val="es-ES"/>
        </w:rPr>
        <w:t xml:space="preserve"> expertos externos, mientras que la ONUDI </w:t>
      </w:r>
      <w:r w:rsidR="00B9779F">
        <w:rPr>
          <w:lang w:val="es-ES"/>
        </w:rPr>
        <w:t>será quien defina</w:t>
      </w:r>
      <w:r w:rsidRPr="00581ACA">
        <w:rPr>
          <w:lang w:val="es-ES"/>
        </w:rPr>
        <w:t xml:space="preserve"> los requisitos de los sistemas de medición en cooperación con la Dependencia Nacional del Ozono y los órganos responsables de elaborar los estándares mínimos de eficiencia energética correspondientes.</w:t>
      </w:r>
    </w:p>
    <w:p w14:paraId="6C566B6F" w14:textId="77777777" w:rsidR="00581ACA" w:rsidRPr="00B9779F" w:rsidRDefault="00581ACA" w:rsidP="00581ACA">
      <w:pPr>
        <w:keepNext/>
        <w:spacing w:after="240"/>
        <w:rPr>
          <w:u w:val="single"/>
          <w:lang w:val="es-ES_tradnl"/>
        </w:rPr>
      </w:pPr>
      <w:r w:rsidRPr="00B9779F">
        <w:rPr>
          <w:u w:val="single"/>
          <w:lang w:val="es-ES_tradnl"/>
        </w:rPr>
        <w:t>Costo convenido del proyecto piloto</w:t>
      </w:r>
    </w:p>
    <w:p w14:paraId="4A6465A7" w14:textId="77777777" w:rsidR="00581ACA" w:rsidRDefault="00581ACA" w:rsidP="00581ACA">
      <w:pPr>
        <w:pStyle w:val="Heading1"/>
        <w:rPr>
          <w:lang w:val="es-ES"/>
        </w:rPr>
      </w:pPr>
      <w:r w:rsidRPr="00581ACA">
        <w:rPr>
          <w:lang w:val="es-ES"/>
        </w:rPr>
        <w:t xml:space="preserve">El presupuesto del proyecto se ha ajustado de acuerdo con la priorización de los enfriadores que se incluirán. El ajuste más significativo está relacionado con la reducción de la cantidad de equipos sustituidos, de 19 enfriadores en siete emplazamientos a tres enfriadores en tres emplazamientos. El costo de la capacitación también se ha ajustado de 80.000 $EUA a 50.000 $EUA. El costo total revisado de la propuesta es de 1.120.000 $EUA. En el cuadro 3 se presenta el cálculo revisado de los costos y una </w:t>
      </w:r>
      <w:r w:rsidRPr="00581ACA">
        <w:rPr>
          <w:lang w:val="es-ES"/>
        </w:rPr>
        <w:lastRenderedPageBreak/>
        <w:t>estimación facilitada por la ONUDI de los ahorros que se conseguirían como consecuencia de la eficiencia energética.</w:t>
      </w:r>
    </w:p>
    <w:p w14:paraId="089C99E7" w14:textId="77777777" w:rsidR="00581ACA" w:rsidRPr="00581ACA" w:rsidRDefault="00581ACA" w:rsidP="00285B1D">
      <w:pPr>
        <w:ind w:left="113"/>
        <w:rPr>
          <w:b/>
          <w:bCs/>
          <w:lang w:val="es-ES"/>
        </w:rPr>
      </w:pPr>
      <w:r w:rsidRPr="00581ACA">
        <w:rPr>
          <w:b/>
          <w:lang w:val="es-ES"/>
        </w:rPr>
        <w:t>Cuadro 3. Costo convenido para el proyecto piloto y ahorros de energía estimados ($EUA)</w:t>
      </w:r>
    </w:p>
    <w:tbl>
      <w:tblPr>
        <w:tblW w:w="4942" w:type="pct"/>
        <w:tblInd w:w="108" w:type="dxa"/>
        <w:tblLayout w:type="fixed"/>
        <w:tblLook w:val="04A0" w:firstRow="1" w:lastRow="0" w:firstColumn="1" w:lastColumn="0" w:noHBand="0" w:noVBand="1"/>
      </w:tblPr>
      <w:tblGrid>
        <w:gridCol w:w="3147"/>
        <w:gridCol w:w="1418"/>
        <w:gridCol w:w="1843"/>
        <w:gridCol w:w="1843"/>
        <w:gridCol w:w="991"/>
      </w:tblGrid>
      <w:tr w:rsidR="00B9779F" w:rsidRPr="000C3F39" w14:paraId="5489D1C4" w14:textId="77777777" w:rsidTr="00B9779F">
        <w:trPr>
          <w:trHeight w:val="46"/>
          <w:tblHeader/>
        </w:trPr>
        <w:tc>
          <w:tcPr>
            <w:tcW w:w="1703" w:type="pct"/>
            <w:vMerge w:val="restart"/>
            <w:tcBorders>
              <w:top w:val="single" w:sz="4" w:space="0" w:color="auto"/>
              <w:left w:val="single" w:sz="4" w:space="0" w:color="auto"/>
              <w:right w:val="single" w:sz="4" w:space="0" w:color="auto"/>
            </w:tcBorders>
            <w:shd w:val="clear" w:color="auto" w:fill="auto"/>
            <w:vAlign w:val="center"/>
            <w:hideMark/>
          </w:tcPr>
          <w:p w14:paraId="7AC8EB69"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Concepto</w:t>
            </w:r>
          </w:p>
        </w:tc>
        <w:tc>
          <w:tcPr>
            <w:tcW w:w="1764" w:type="pct"/>
            <w:gridSpan w:val="2"/>
            <w:tcBorders>
              <w:top w:val="single" w:sz="4" w:space="0" w:color="auto"/>
              <w:left w:val="nil"/>
              <w:bottom w:val="single" w:sz="4" w:space="0" w:color="auto"/>
              <w:right w:val="single" w:sz="4" w:space="0" w:color="auto"/>
            </w:tcBorders>
            <w:shd w:val="clear" w:color="auto" w:fill="auto"/>
            <w:vAlign w:val="center"/>
            <w:hideMark/>
          </w:tcPr>
          <w:p w14:paraId="08FC19B4"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 xml:space="preserve">Hospital CHB </w:t>
            </w:r>
          </w:p>
        </w:tc>
        <w:tc>
          <w:tcPr>
            <w:tcW w:w="997" w:type="pct"/>
            <w:vMerge w:val="restart"/>
            <w:tcBorders>
              <w:top w:val="single" w:sz="4" w:space="0" w:color="auto"/>
              <w:left w:val="nil"/>
              <w:right w:val="single" w:sz="4" w:space="0" w:color="auto"/>
            </w:tcBorders>
            <w:shd w:val="clear" w:color="auto" w:fill="auto"/>
            <w:vAlign w:val="center"/>
            <w:hideMark/>
          </w:tcPr>
          <w:p w14:paraId="4A72B9EC"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Centro Internacional de Convenciones</w:t>
            </w:r>
          </w:p>
        </w:tc>
        <w:tc>
          <w:tcPr>
            <w:tcW w:w="536" w:type="pct"/>
            <w:vMerge w:val="restart"/>
            <w:tcBorders>
              <w:top w:val="single" w:sz="4" w:space="0" w:color="auto"/>
              <w:left w:val="nil"/>
              <w:right w:val="single" w:sz="4" w:space="0" w:color="auto"/>
            </w:tcBorders>
            <w:vAlign w:val="center"/>
          </w:tcPr>
          <w:p w14:paraId="2E538108"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Total</w:t>
            </w:r>
          </w:p>
        </w:tc>
      </w:tr>
      <w:tr w:rsidR="00B9779F" w:rsidRPr="000C3F39" w14:paraId="4580DA79" w14:textId="77777777" w:rsidTr="00B9779F">
        <w:trPr>
          <w:trHeight w:val="46"/>
          <w:tblHeader/>
        </w:trPr>
        <w:tc>
          <w:tcPr>
            <w:tcW w:w="1703" w:type="pct"/>
            <w:vMerge/>
            <w:tcBorders>
              <w:left w:val="single" w:sz="4" w:space="0" w:color="auto"/>
              <w:bottom w:val="single" w:sz="4" w:space="0" w:color="auto"/>
              <w:right w:val="single" w:sz="4" w:space="0" w:color="auto"/>
            </w:tcBorders>
            <w:shd w:val="clear" w:color="auto" w:fill="auto"/>
            <w:vAlign w:val="center"/>
          </w:tcPr>
          <w:p w14:paraId="46413F71" w14:textId="77777777" w:rsidR="00581ACA" w:rsidRPr="00B9779F" w:rsidRDefault="00581ACA" w:rsidP="00951501">
            <w:pPr>
              <w:jc w:val="center"/>
              <w:rPr>
                <w:b/>
                <w:bCs/>
                <w:color w:val="000000"/>
                <w:sz w:val="18"/>
                <w:szCs w:val="18"/>
                <w:lang w:val="es-ES_tradnl" w:eastAsia="en-CA"/>
              </w:rPr>
            </w:pPr>
          </w:p>
        </w:tc>
        <w:tc>
          <w:tcPr>
            <w:tcW w:w="767" w:type="pct"/>
            <w:tcBorders>
              <w:top w:val="single" w:sz="4" w:space="0" w:color="auto"/>
              <w:left w:val="nil"/>
              <w:bottom w:val="single" w:sz="4" w:space="0" w:color="auto"/>
              <w:right w:val="single" w:sz="4" w:space="0" w:color="auto"/>
            </w:tcBorders>
            <w:shd w:val="clear" w:color="auto" w:fill="auto"/>
            <w:vAlign w:val="center"/>
          </w:tcPr>
          <w:p w14:paraId="502BB9D3" w14:textId="77777777" w:rsidR="00581ACA" w:rsidRPr="00B9779F" w:rsidRDefault="00581ACA" w:rsidP="00951501">
            <w:pPr>
              <w:jc w:val="center"/>
              <w:rPr>
                <w:b/>
                <w:bCs/>
                <w:color w:val="000000"/>
                <w:sz w:val="18"/>
                <w:szCs w:val="18"/>
                <w:lang w:val="es-ES_tradnl"/>
              </w:rPr>
            </w:pPr>
            <w:r w:rsidRPr="00B9779F">
              <w:rPr>
                <w:b/>
                <w:color w:val="000000"/>
                <w:sz w:val="18"/>
                <w:szCs w:val="18"/>
                <w:lang w:val="es-ES_tradnl"/>
              </w:rPr>
              <w:t>Cubierta</w:t>
            </w:r>
          </w:p>
        </w:tc>
        <w:tc>
          <w:tcPr>
            <w:tcW w:w="997" w:type="pct"/>
            <w:tcBorders>
              <w:top w:val="single" w:sz="4" w:space="0" w:color="auto"/>
              <w:left w:val="nil"/>
              <w:bottom w:val="single" w:sz="4" w:space="0" w:color="auto"/>
              <w:right w:val="single" w:sz="4" w:space="0" w:color="auto"/>
            </w:tcBorders>
            <w:shd w:val="clear" w:color="auto" w:fill="auto"/>
            <w:vAlign w:val="center"/>
          </w:tcPr>
          <w:p w14:paraId="3884C372" w14:textId="77777777" w:rsidR="00581ACA" w:rsidRPr="00B9779F" w:rsidRDefault="00581ACA" w:rsidP="00951501">
            <w:pPr>
              <w:ind w:left="-109" w:right="-105"/>
              <w:jc w:val="center"/>
              <w:rPr>
                <w:b/>
                <w:bCs/>
                <w:color w:val="000000"/>
                <w:sz w:val="18"/>
                <w:szCs w:val="18"/>
                <w:lang w:val="es-ES_tradnl"/>
              </w:rPr>
            </w:pPr>
            <w:r w:rsidRPr="00B9779F">
              <w:rPr>
                <w:b/>
                <w:color w:val="000000"/>
                <w:sz w:val="18"/>
                <w:szCs w:val="18"/>
                <w:lang w:val="es-ES_tradnl"/>
              </w:rPr>
              <w:t>Quirófano</w:t>
            </w:r>
          </w:p>
        </w:tc>
        <w:tc>
          <w:tcPr>
            <w:tcW w:w="997" w:type="pct"/>
            <w:vMerge/>
            <w:tcBorders>
              <w:left w:val="nil"/>
              <w:bottom w:val="single" w:sz="4" w:space="0" w:color="auto"/>
              <w:right w:val="single" w:sz="4" w:space="0" w:color="auto"/>
            </w:tcBorders>
            <w:shd w:val="clear" w:color="auto" w:fill="auto"/>
            <w:vAlign w:val="center"/>
          </w:tcPr>
          <w:p w14:paraId="584AC68D" w14:textId="77777777" w:rsidR="00581ACA" w:rsidRPr="00B9779F" w:rsidRDefault="00581ACA" w:rsidP="00951501">
            <w:pPr>
              <w:jc w:val="center"/>
              <w:rPr>
                <w:b/>
                <w:bCs/>
                <w:color w:val="000000"/>
                <w:sz w:val="18"/>
                <w:szCs w:val="18"/>
                <w:lang w:val="es-ES_tradnl" w:eastAsia="en-CA"/>
              </w:rPr>
            </w:pPr>
          </w:p>
        </w:tc>
        <w:tc>
          <w:tcPr>
            <w:tcW w:w="536" w:type="pct"/>
            <w:vMerge/>
            <w:tcBorders>
              <w:left w:val="nil"/>
              <w:bottom w:val="single" w:sz="4" w:space="0" w:color="auto"/>
              <w:right w:val="single" w:sz="4" w:space="0" w:color="auto"/>
            </w:tcBorders>
            <w:vAlign w:val="center"/>
          </w:tcPr>
          <w:p w14:paraId="47AFFCC5" w14:textId="77777777" w:rsidR="00581ACA" w:rsidRPr="00B9779F" w:rsidRDefault="00581ACA" w:rsidP="00951501">
            <w:pPr>
              <w:jc w:val="center"/>
              <w:rPr>
                <w:b/>
                <w:bCs/>
                <w:color w:val="000000"/>
                <w:sz w:val="18"/>
                <w:szCs w:val="18"/>
                <w:lang w:val="es-ES_tradnl" w:eastAsia="en-CA"/>
              </w:rPr>
            </w:pPr>
          </w:p>
        </w:tc>
      </w:tr>
      <w:tr w:rsidR="00B9779F" w:rsidRPr="000C3F39" w14:paraId="3CB132B3" w14:textId="77777777" w:rsidTr="00B9779F">
        <w:trPr>
          <w:trHeight w:val="206"/>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7B4A23AD" w14:textId="0B5DC67F" w:rsidR="00581ACA" w:rsidRPr="00B9779F" w:rsidRDefault="00581ACA" w:rsidP="00951501">
            <w:pPr>
              <w:jc w:val="left"/>
              <w:rPr>
                <w:color w:val="000000"/>
                <w:sz w:val="18"/>
                <w:szCs w:val="18"/>
                <w:lang w:val="es-ES_tradnl"/>
              </w:rPr>
            </w:pPr>
            <w:r w:rsidRPr="00B9779F">
              <w:rPr>
                <w:color w:val="000000"/>
                <w:sz w:val="18"/>
                <w:szCs w:val="18"/>
                <w:lang w:val="es-ES_tradnl"/>
              </w:rPr>
              <w:t xml:space="preserve">Tecnología </w:t>
            </w:r>
            <w:r w:rsidR="00B9779F">
              <w:rPr>
                <w:color w:val="000000"/>
                <w:sz w:val="18"/>
                <w:szCs w:val="18"/>
                <w:lang w:val="es-ES_tradnl"/>
              </w:rPr>
              <w:t>de partida</w:t>
            </w:r>
          </w:p>
        </w:tc>
        <w:tc>
          <w:tcPr>
            <w:tcW w:w="767" w:type="pct"/>
            <w:tcBorders>
              <w:top w:val="nil"/>
              <w:left w:val="nil"/>
              <w:bottom w:val="single" w:sz="4" w:space="0" w:color="auto"/>
              <w:right w:val="single" w:sz="4" w:space="0" w:color="auto"/>
            </w:tcBorders>
            <w:shd w:val="clear" w:color="auto" w:fill="auto"/>
            <w:noWrap/>
            <w:vAlign w:val="center"/>
            <w:hideMark/>
          </w:tcPr>
          <w:p w14:paraId="6647AE3D"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HCFC-22</w:t>
            </w:r>
          </w:p>
        </w:tc>
        <w:tc>
          <w:tcPr>
            <w:tcW w:w="997" w:type="pct"/>
            <w:tcBorders>
              <w:top w:val="nil"/>
              <w:left w:val="nil"/>
              <w:bottom w:val="single" w:sz="4" w:space="0" w:color="auto"/>
              <w:right w:val="single" w:sz="4" w:space="0" w:color="auto"/>
            </w:tcBorders>
            <w:shd w:val="clear" w:color="auto" w:fill="auto"/>
            <w:noWrap/>
            <w:vAlign w:val="center"/>
            <w:hideMark/>
          </w:tcPr>
          <w:p w14:paraId="66F446E1"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R-404A</w:t>
            </w:r>
          </w:p>
        </w:tc>
        <w:tc>
          <w:tcPr>
            <w:tcW w:w="997" w:type="pct"/>
            <w:tcBorders>
              <w:top w:val="nil"/>
              <w:left w:val="nil"/>
              <w:bottom w:val="single" w:sz="4" w:space="0" w:color="auto"/>
              <w:right w:val="single" w:sz="4" w:space="0" w:color="auto"/>
            </w:tcBorders>
            <w:shd w:val="clear" w:color="auto" w:fill="auto"/>
            <w:noWrap/>
            <w:vAlign w:val="center"/>
            <w:hideMark/>
          </w:tcPr>
          <w:p w14:paraId="44501515"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HCFC-22</w:t>
            </w:r>
          </w:p>
        </w:tc>
        <w:tc>
          <w:tcPr>
            <w:tcW w:w="536" w:type="pct"/>
            <w:tcBorders>
              <w:top w:val="nil"/>
              <w:left w:val="nil"/>
              <w:bottom w:val="single" w:sz="4" w:space="0" w:color="auto"/>
              <w:right w:val="single" w:sz="4" w:space="0" w:color="auto"/>
            </w:tcBorders>
            <w:shd w:val="clear" w:color="auto" w:fill="F2F2F2" w:themeFill="background1" w:themeFillShade="F2"/>
          </w:tcPr>
          <w:p w14:paraId="4F459D52" w14:textId="77777777" w:rsidR="00581ACA" w:rsidRPr="00B9779F" w:rsidRDefault="00581ACA" w:rsidP="00951501">
            <w:pPr>
              <w:jc w:val="center"/>
              <w:rPr>
                <w:color w:val="000000"/>
                <w:sz w:val="18"/>
                <w:szCs w:val="18"/>
                <w:highlight w:val="lightGray"/>
                <w:lang w:val="es-ES_tradnl" w:eastAsia="en-CA"/>
              </w:rPr>
            </w:pPr>
          </w:p>
        </w:tc>
      </w:tr>
      <w:tr w:rsidR="00B9779F" w:rsidRPr="000C3F39" w14:paraId="0131A0E4" w14:textId="77777777" w:rsidTr="00B9779F">
        <w:trPr>
          <w:trHeight w:val="97"/>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74F2C3AF"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Tecnología de sustitución</w:t>
            </w:r>
          </w:p>
        </w:tc>
        <w:tc>
          <w:tcPr>
            <w:tcW w:w="767" w:type="pct"/>
            <w:tcBorders>
              <w:top w:val="nil"/>
              <w:left w:val="nil"/>
              <w:bottom w:val="single" w:sz="4" w:space="0" w:color="auto"/>
              <w:right w:val="single" w:sz="4" w:space="0" w:color="auto"/>
            </w:tcBorders>
            <w:shd w:val="clear" w:color="auto" w:fill="auto"/>
            <w:noWrap/>
            <w:vAlign w:val="center"/>
            <w:hideMark/>
          </w:tcPr>
          <w:p w14:paraId="2049F56E" w14:textId="77777777" w:rsidR="00581ACA" w:rsidRPr="00B9779F" w:rsidRDefault="00581ACA" w:rsidP="00951501">
            <w:pPr>
              <w:jc w:val="center"/>
              <w:rPr>
                <w:color w:val="000000"/>
                <w:sz w:val="18"/>
                <w:szCs w:val="18"/>
                <w:lang w:val="pt-BR"/>
              </w:rPr>
            </w:pPr>
            <w:r w:rsidRPr="00B9779F">
              <w:rPr>
                <w:color w:val="000000"/>
                <w:sz w:val="18"/>
                <w:szCs w:val="18"/>
                <w:lang w:val="pt-BR"/>
              </w:rPr>
              <w:t>Bomba de calor de R-290</w:t>
            </w:r>
          </w:p>
        </w:tc>
        <w:tc>
          <w:tcPr>
            <w:tcW w:w="997" w:type="pct"/>
            <w:tcBorders>
              <w:top w:val="nil"/>
              <w:left w:val="nil"/>
              <w:bottom w:val="single" w:sz="4" w:space="0" w:color="auto"/>
              <w:right w:val="single" w:sz="4" w:space="0" w:color="auto"/>
            </w:tcBorders>
            <w:shd w:val="clear" w:color="auto" w:fill="auto"/>
            <w:noWrap/>
            <w:vAlign w:val="center"/>
            <w:hideMark/>
          </w:tcPr>
          <w:p w14:paraId="50594351"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Enfriador de R-290</w:t>
            </w:r>
          </w:p>
        </w:tc>
        <w:tc>
          <w:tcPr>
            <w:tcW w:w="997" w:type="pct"/>
            <w:tcBorders>
              <w:top w:val="nil"/>
              <w:left w:val="nil"/>
              <w:bottom w:val="single" w:sz="4" w:space="0" w:color="auto"/>
              <w:right w:val="single" w:sz="4" w:space="0" w:color="auto"/>
            </w:tcBorders>
            <w:shd w:val="clear" w:color="auto" w:fill="auto"/>
            <w:noWrap/>
            <w:vAlign w:val="center"/>
            <w:hideMark/>
          </w:tcPr>
          <w:p w14:paraId="0B7869C6"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Enfriador de R-290</w:t>
            </w:r>
          </w:p>
        </w:tc>
        <w:tc>
          <w:tcPr>
            <w:tcW w:w="536" w:type="pct"/>
            <w:tcBorders>
              <w:top w:val="nil"/>
              <w:left w:val="nil"/>
              <w:bottom w:val="single" w:sz="4" w:space="0" w:color="auto"/>
              <w:right w:val="single" w:sz="4" w:space="0" w:color="auto"/>
            </w:tcBorders>
            <w:shd w:val="clear" w:color="auto" w:fill="F2F2F2" w:themeFill="background1" w:themeFillShade="F2"/>
          </w:tcPr>
          <w:p w14:paraId="257E8143" w14:textId="77777777" w:rsidR="00581ACA" w:rsidRPr="00B9779F" w:rsidRDefault="00581ACA" w:rsidP="00951501">
            <w:pPr>
              <w:jc w:val="center"/>
              <w:rPr>
                <w:color w:val="000000"/>
                <w:sz w:val="18"/>
                <w:szCs w:val="18"/>
                <w:highlight w:val="lightGray"/>
                <w:lang w:val="es-ES_tradnl" w:eastAsia="en-CA"/>
              </w:rPr>
            </w:pPr>
          </w:p>
        </w:tc>
      </w:tr>
      <w:tr w:rsidR="00B9779F" w:rsidRPr="000C3F39" w14:paraId="7C36B230" w14:textId="77777777" w:rsidTr="00B9779F">
        <w:trPr>
          <w:trHeight w:val="142"/>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67F5EB1F"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Cantidad de enfriadores</w:t>
            </w:r>
          </w:p>
        </w:tc>
        <w:tc>
          <w:tcPr>
            <w:tcW w:w="767" w:type="pct"/>
            <w:tcBorders>
              <w:top w:val="nil"/>
              <w:left w:val="nil"/>
              <w:bottom w:val="single" w:sz="4" w:space="0" w:color="auto"/>
              <w:right w:val="single" w:sz="4" w:space="0" w:color="auto"/>
            </w:tcBorders>
            <w:shd w:val="clear" w:color="auto" w:fill="auto"/>
            <w:noWrap/>
            <w:vAlign w:val="center"/>
            <w:hideMark/>
          </w:tcPr>
          <w:p w14:paraId="6049E91D"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1</w:t>
            </w:r>
          </w:p>
        </w:tc>
        <w:tc>
          <w:tcPr>
            <w:tcW w:w="997" w:type="pct"/>
            <w:tcBorders>
              <w:top w:val="nil"/>
              <w:left w:val="nil"/>
              <w:bottom w:val="single" w:sz="4" w:space="0" w:color="auto"/>
              <w:right w:val="single" w:sz="4" w:space="0" w:color="auto"/>
            </w:tcBorders>
            <w:shd w:val="clear" w:color="auto" w:fill="auto"/>
            <w:noWrap/>
            <w:vAlign w:val="center"/>
            <w:hideMark/>
          </w:tcPr>
          <w:p w14:paraId="0E80F593"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1</w:t>
            </w:r>
          </w:p>
        </w:tc>
        <w:tc>
          <w:tcPr>
            <w:tcW w:w="997" w:type="pct"/>
            <w:tcBorders>
              <w:top w:val="nil"/>
              <w:left w:val="nil"/>
              <w:bottom w:val="single" w:sz="4" w:space="0" w:color="auto"/>
              <w:right w:val="single" w:sz="4" w:space="0" w:color="auto"/>
            </w:tcBorders>
            <w:shd w:val="clear" w:color="auto" w:fill="FFFFFF" w:themeFill="background1"/>
            <w:noWrap/>
            <w:vAlign w:val="center"/>
            <w:hideMark/>
          </w:tcPr>
          <w:p w14:paraId="0459BB6F" w14:textId="77777777" w:rsidR="00581ACA" w:rsidRPr="00B9779F" w:rsidRDefault="00581ACA" w:rsidP="00951501">
            <w:pPr>
              <w:jc w:val="center"/>
              <w:rPr>
                <w:color w:val="000000"/>
                <w:sz w:val="18"/>
                <w:szCs w:val="18"/>
                <w:lang w:val="es-ES_tradnl"/>
              </w:rPr>
            </w:pPr>
            <w:r w:rsidRPr="00B9779F">
              <w:rPr>
                <w:color w:val="000000"/>
                <w:sz w:val="18"/>
                <w:szCs w:val="18"/>
                <w:lang w:val="es-ES_tradnl"/>
              </w:rPr>
              <w:t>1*</w:t>
            </w:r>
          </w:p>
        </w:tc>
        <w:tc>
          <w:tcPr>
            <w:tcW w:w="536" w:type="pct"/>
            <w:tcBorders>
              <w:top w:val="nil"/>
              <w:left w:val="nil"/>
              <w:bottom w:val="single" w:sz="4" w:space="0" w:color="auto"/>
              <w:right w:val="single" w:sz="4" w:space="0" w:color="auto"/>
            </w:tcBorders>
            <w:shd w:val="clear" w:color="auto" w:fill="FFFFFF" w:themeFill="background1"/>
          </w:tcPr>
          <w:p w14:paraId="01783931" w14:textId="77777777" w:rsidR="00581ACA" w:rsidRPr="00B9779F" w:rsidRDefault="00581ACA" w:rsidP="00951501">
            <w:pPr>
              <w:jc w:val="center"/>
              <w:rPr>
                <w:color w:val="000000"/>
                <w:sz w:val="18"/>
                <w:szCs w:val="18"/>
                <w:highlight w:val="lightGray"/>
                <w:lang w:val="es-ES_tradnl"/>
              </w:rPr>
            </w:pPr>
            <w:r w:rsidRPr="00B9779F">
              <w:rPr>
                <w:color w:val="000000"/>
                <w:sz w:val="18"/>
                <w:szCs w:val="18"/>
                <w:lang w:val="es-ES_tradnl"/>
              </w:rPr>
              <w:t>3</w:t>
            </w:r>
          </w:p>
        </w:tc>
      </w:tr>
      <w:tr w:rsidR="00B9779F" w:rsidRPr="000C3F39" w14:paraId="5BCFD0D6" w14:textId="77777777" w:rsidTr="00B9779F">
        <w:trPr>
          <w:trHeight w:val="47"/>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595ECDC7"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Costo unitario</w:t>
            </w:r>
          </w:p>
        </w:tc>
        <w:tc>
          <w:tcPr>
            <w:tcW w:w="767" w:type="pct"/>
            <w:tcBorders>
              <w:top w:val="nil"/>
              <w:left w:val="nil"/>
              <w:bottom w:val="single" w:sz="4" w:space="0" w:color="auto"/>
              <w:right w:val="single" w:sz="4" w:space="0" w:color="auto"/>
            </w:tcBorders>
            <w:shd w:val="clear" w:color="auto" w:fill="auto"/>
            <w:noWrap/>
            <w:vAlign w:val="center"/>
            <w:hideMark/>
          </w:tcPr>
          <w:p w14:paraId="250937B7"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997" w:type="pct"/>
            <w:tcBorders>
              <w:top w:val="nil"/>
              <w:left w:val="nil"/>
              <w:bottom w:val="single" w:sz="4" w:space="0" w:color="auto"/>
              <w:right w:val="single" w:sz="4" w:space="0" w:color="auto"/>
            </w:tcBorders>
            <w:shd w:val="clear" w:color="auto" w:fill="auto"/>
            <w:noWrap/>
            <w:vAlign w:val="center"/>
            <w:hideMark/>
          </w:tcPr>
          <w:p w14:paraId="6DAB3AF3"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997" w:type="pct"/>
            <w:tcBorders>
              <w:top w:val="nil"/>
              <w:left w:val="nil"/>
              <w:bottom w:val="single" w:sz="4" w:space="0" w:color="auto"/>
              <w:right w:val="single" w:sz="4" w:space="0" w:color="auto"/>
            </w:tcBorders>
            <w:shd w:val="clear" w:color="auto" w:fill="auto"/>
            <w:noWrap/>
            <w:vAlign w:val="center"/>
            <w:hideMark/>
          </w:tcPr>
          <w:p w14:paraId="5D016374"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600.000</w:t>
            </w:r>
          </w:p>
        </w:tc>
        <w:tc>
          <w:tcPr>
            <w:tcW w:w="536" w:type="pct"/>
            <w:tcBorders>
              <w:top w:val="nil"/>
              <w:left w:val="nil"/>
              <w:bottom w:val="single" w:sz="4" w:space="0" w:color="auto"/>
              <w:right w:val="single" w:sz="4" w:space="0" w:color="auto"/>
            </w:tcBorders>
            <w:shd w:val="clear" w:color="auto" w:fill="auto"/>
          </w:tcPr>
          <w:p w14:paraId="195137A1"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900.000</w:t>
            </w:r>
          </w:p>
        </w:tc>
      </w:tr>
      <w:tr w:rsidR="00B9779F" w:rsidRPr="000C3F39" w14:paraId="5AA0B23A" w14:textId="77777777" w:rsidTr="00B9779F">
        <w:trPr>
          <w:trHeight w:val="79"/>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4E8B882B"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Costo total de los equipos</w:t>
            </w:r>
          </w:p>
        </w:tc>
        <w:tc>
          <w:tcPr>
            <w:tcW w:w="767" w:type="pct"/>
            <w:tcBorders>
              <w:top w:val="nil"/>
              <w:left w:val="nil"/>
              <w:bottom w:val="single" w:sz="4" w:space="0" w:color="auto"/>
              <w:right w:val="single" w:sz="4" w:space="0" w:color="auto"/>
            </w:tcBorders>
            <w:shd w:val="clear" w:color="auto" w:fill="auto"/>
            <w:noWrap/>
            <w:vAlign w:val="center"/>
            <w:hideMark/>
          </w:tcPr>
          <w:p w14:paraId="59F3BF13"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997" w:type="pct"/>
            <w:tcBorders>
              <w:top w:val="nil"/>
              <w:left w:val="nil"/>
              <w:bottom w:val="single" w:sz="4" w:space="0" w:color="auto"/>
              <w:right w:val="single" w:sz="4" w:space="0" w:color="auto"/>
            </w:tcBorders>
            <w:shd w:val="clear" w:color="auto" w:fill="auto"/>
            <w:noWrap/>
            <w:vAlign w:val="center"/>
            <w:hideMark/>
          </w:tcPr>
          <w:p w14:paraId="76F6137E"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150.000</w:t>
            </w:r>
          </w:p>
        </w:tc>
        <w:tc>
          <w:tcPr>
            <w:tcW w:w="997" w:type="pct"/>
            <w:tcBorders>
              <w:top w:val="nil"/>
              <w:left w:val="nil"/>
              <w:bottom w:val="single" w:sz="4" w:space="0" w:color="auto"/>
              <w:right w:val="single" w:sz="4" w:space="0" w:color="auto"/>
            </w:tcBorders>
            <w:shd w:val="clear" w:color="auto" w:fill="auto"/>
            <w:noWrap/>
            <w:vAlign w:val="center"/>
            <w:hideMark/>
          </w:tcPr>
          <w:p w14:paraId="5956AF93"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600.000</w:t>
            </w:r>
          </w:p>
        </w:tc>
        <w:tc>
          <w:tcPr>
            <w:tcW w:w="536" w:type="pct"/>
            <w:tcBorders>
              <w:top w:val="nil"/>
              <w:left w:val="nil"/>
              <w:bottom w:val="single" w:sz="4" w:space="0" w:color="auto"/>
              <w:right w:val="single" w:sz="4" w:space="0" w:color="auto"/>
            </w:tcBorders>
            <w:shd w:val="clear" w:color="auto" w:fill="auto"/>
          </w:tcPr>
          <w:p w14:paraId="6D9A7C55"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900.000</w:t>
            </w:r>
          </w:p>
        </w:tc>
      </w:tr>
      <w:tr w:rsidR="00B9779F" w:rsidRPr="000C3F39" w14:paraId="49E45200" w14:textId="77777777" w:rsidTr="00B9779F">
        <w:trPr>
          <w:trHeight w:val="124"/>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61E243E5"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Diseño (10 %)</w:t>
            </w:r>
          </w:p>
        </w:tc>
        <w:tc>
          <w:tcPr>
            <w:tcW w:w="767" w:type="pct"/>
            <w:tcBorders>
              <w:top w:val="nil"/>
              <w:left w:val="nil"/>
              <w:bottom w:val="single" w:sz="4" w:space="0" w:color="auto"/>
              <w:right w:val="single" w:sz="4" w:space="0" w:color="auto"/>
            </w:tcBorders>
            <w:shd w:val="clear" w:color="auto" w:fill="auto"/>
            <w:noWrap/>
            <w:vAlign w:val="center"/>
            <w:hideMark/>
          </w:tcPr>
          <w:p w14:paraId="40538674"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w:t>
            </w:r>
          </w:p>
        </w:tc>
        <w:tc>
          <w:tcPr>
            <w:tcW w:w="997" w:type="pct"/>
            <w:tcBorders>
              <w:top w:val="nil"/>
              <w:left w:val="nil"/>
              <w:bottom w:val="single" w:sz="4" w:space="0" w:color="auto"/>
              <w:right w:val="single" w:sz="4" w:space="0" w:color="auto"/>
            </w:tcBorders>
            <w:shd w:val="clear" w:color="auto" w:fill="auto"/>
            <w:noWrap/>
            <w:vAlign w:val="center"/>
            <w:hideMark/>
          </w:tcPr>
          <w:p w14:paraId="5F59D6F2"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15.000</w:t>
            </w:r>
          </w:p>
        </w:tc>
        <w:tc>
          <w:tcPr>
            <w:tcW w:w="997" w:type="pct"/>
            <w:tcBorders>
              <w:top w:val="nil"/>
              <w:left w:val="nil"/>
              <w:bottom w:val="single" w:sz="4" w:space="0" w:color="auto"/>
              <w:right w:val="single" w:sz="4" w:space="0" w:color="auto"/>
            </w:tcBorders>
            <w:shd w:val="clear" w:color="auto" w:fill="auto"/>
            <w:noWrap/>
            <w:vAlign w:val="center"/>
            <w:hideMark/>
          </w:tcPr>
          <w:p w14:paraId="1497F4B5"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60.000</w:t>
            </w:r>
          </w:p>
        </w:tc>
        <w:tc>
          <w:tcPr>
            <w:tcW w:w="536" w:type="pct"/>
            <w:tcBorders>
              <w:top w:val="nil"/>
              <w:left w:val="nil"/>
              <w:bottom w:val="single" w:sz="4" w:space="0" w:color="auto"/>
              <w:right w:val="single" w:sz="4" w:space="0" w:color="auto"/>
            </w:tcBorders>
            <w:shd w:val="clear" w:color="auto" w:fill="auto"/>
          </w:tcPr>
          <w:p w14:paraId="249381B9"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90.000</w:t>
            </w:r>
          </w:p>
        </w:tc>
      </w:tr>
      <w:tr w:rsidR="00B9779F" w:rsidRPr="000C3F39" w14:paraId="78EC7B38" w14:textId="77777777" w:rsidTr="00B9779F">
        <w:trPr>
          <w:trHeight w:val="42"/>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572AA1E4"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 xml:space="preserve">Supervisión del rendimiento </w:t>
            </w:r>
          </w:p>
        </w:tc>
        <w:tc>
          <w:tcPr>
            <w:tcW w:w="767" w:type="pct"/>
            <w:tcBorders>
              <w:top w:val="nil"/>
              <w:left w:val="nil"/>
              <w:bottom w:val="single" w:sz="4" w:space="0" w:color="auto"/>
              <w:right w:val="single" w:sz="4" w:space="0" w:color="auto"/>
            </w:tcBorders>
            <w:shd w:val="clear" w:color="auto" w:fill="auto"/>
            <w:noWrap/>
            <w:vAlign w:val="center"/>
            <w:hideMark/>
          </w:tcPr>
          <w:p w14:paraId="19918424"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997" w:type="pct"/>
            <w:tcBorders>
              <w:top w:val="nil"/>
              <w:left w:val="nil"/>
              <w:bottom w:val="single" w:sz="4" w:space="0" w:color="auto"/>
              <w:right w:val="single" w:sz="4" w:space="0" w:color="auto"/>
            </w:tcBorders>
            <w:shd w:val="clear" w:color="auto" w:fill="auto"/>
            <w:noWrap/>
            <w:vAlign w:val="center"/>
            <w:hideMark/>
          </w:tcPr>
          <w:p w14:paraId="7E872A86"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997" w:type="pct"/>
            <w:tcBorders>
              <w:top w:val="nil"/>
              <w:left w:val="nil"/>
              <w:bottom w:val="single" w:sz="4" w:space="0" w:color="auto"/>
              <w:right w:val="single" w:sz="4" w:space="0" w:color="auto"/>
            </w:tcBorders>
            <w:shd w:val="clear" w:color="auto" w:fill="auto"/>
            <w:noWrap/>
            <w:vAlign w:val="center"/>
            <w:hideMark/>
          </w:tcPr>
          <w:p w14:paraId="22774188"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w:t>
            </w:r>
          </w:p>
        </w:tc>
        <w:tc>
          <w:tcPr>
            <w:tcW w:w="536" w:type="pct"/>
            <w:tcBorders>
              <w:top w:val="nil"/>
              <w:left w:val="nil"/>
              <w:bottom w:val="single" w:sz="4" w:space="0" w:color="auto"/>
              <w:right w:val="single" w:sz="4" w:space="0" w:color="auto"/>
            </w:tcBorders>
            <w:shd w:val="clear" w:color="auto" w:fill="auto"/>
          </w:tcPr>
          <w:p w14:paraId="5419B2C8"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50.000</w:t>
            </w:r>
          </w:p>
        </w:tc>
      </w:tr>
      <w:tr w:rsidR="00B9779F" w:rsidRPr="000C3F39" w14:paraId="5C4D7564" w14:textId="77777777" w:rsidTr="00B9779F">
        <w:trPr>
          <w:trHeight w:val="74"/>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23400802"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Evaluación y elaboración de informes</w:t>
            </w:r>
          </w:p>
        </w:tc>
        <w:tc>
          <w:tcPr>
            <w:tcW w:w="767" w:type="pct"/>
            <w:tcBorders>
              <w:top w:val="nil"/>
              <w:left w:val="nil"/>
              <w:bottom w:val="single" w:sz="4" w:space="0" w:color="auto"/>
              <w:right w:val="single" w:sz="4" w:space="0" w:color="auto"/>
            </w:tcBorders>
            <w:shd w:val="clear" w:color="auto" w:fill="auto"/>
            <w:noWrap/>
            <w:vAlign w:val="center"/>
            <w:hideMark/>
          </w:tcPr>
          <w:p w14:paraId="6A800785"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997" w:type="pct"/>
            <w:tcBorders>
              <w:top w:val="nil"/>
              <w:left w:val="nil"/>
              <w:bottom w:val="single" w:sz="4" w:space="0" w:color="auto"/>
              <w:right w:val="single" w:sz="4" w:space="0" w:color="auto"/>
            </w:tcBorders>
            <w:shd w:val="clear" w:color="auto" w:fill="auto"/>
            <w:noWrap/>
            <w:vAlign w:val="center"/>
            <w:hideMark/>
          </w:tcPr>
          <w:p w14:paraId="4CAD6E81"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997" w:type="pct"/>
            <w:tcBorders>
              <w:top w:val="nil"/>
              <w:left w:val="nil"/>
              <w:bottom w:val="single" w:sz="4" w:space="0" w:color="auto"/>
              <w:right w:val="single" w:sz="4" w:space="0" w:color="auto"/>
            </w:tcBorders>
            <w:shd w:val="clear" w:color="auto" w:fill="auto"/>
            <w:noWrap/>
            <w:vAlign w:val="center"/>
            <w:hideMark/>
          </w:tcPr>
          <w:p w14:paraId="3475280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10.000</w:t>
            </w:r>
          </w:p>
        </w:tc>
        <w:tc>
          <w:tcPr>
            <w:tcW w:w="536" w:type="pct"/>
            <w:tcBorders>
              <w:top w:val="nil"/>
              <w:left w:val="nil"/>
              <w:bottom w:val="single" w:sz="4" w:space="0" w:color="auto"/>
              <w:right w:val="single" w:sz="4" w:space="0" w:color="auto"/>
            </w:tcBorders>
            <w:shd w:val="clear" w:color="auto" w:fill="auto"/>
          </w:tcPr>
          <w:p w14:paraId="0D8C596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30.000</w:t>
            </w:r>
          </w:p>
        </w:tc>
      </w:tr>
      <w:tr w:rsidR="00B9779F" w:rsidRPr="000C3F39" w14:paraId="013A38BC" w14:textId="77777777" w:rsidTr="00B9779F">
        <w:trPr>
          <w:trHeight w:val="42"/>
        </w:trPr>
        <w:tc>
          <w:tcPr>
            <w:tcW w:w="1703" w:type="pct"/>
            <w:tcBorders>
              <w:top w:val="nil"/>
              <w:left w:val="single" w:sz="4" w:space="0" w:color="auto"/>
              <w:bottom w:val="single" w:sz="4" w:space="0" w:color="auto"/>
              <w:right w:val="single" w:sz="4" w:space="0" w:color="auto"/>
            </w:tcBorders>
            <w:shd w:val="clear" w:color="auto" w:fill="auto"/>
            <w:noWrap/>
            <w:vAlign w:val="center"/>
            <w:hideMark/>
          </w:tcPr>
          <w:p w14:paraId="229D5C0A" w14:textId="77777777" w:rsidR="00581ACA" w:rsidRPr="00B9779F" w:rsidRDefault="00581ACA" w:rsidP="00951501">
            <w:pPr>
              <w:jc w:val="left"/>
              <w:rPr>
                <w:b/>
                <w:bCs/>
                <w:color w:val="000000"/>
                <w:sz w:val="18"/>
                <w:szCs w:val="18"/>
                <w:lang w:val="es-ES_tradnl"/>
              </w:rPr>
            </w:pPr>
            <w:r w:rsidRPr="00B9779F">
              <w:rPr>
                <w:b/>
                <w:color w:val="000000"/>
                <w:sz w:val="18"/>
                <w:szCs w:val="18"/>
                <w:lang w:val="es-ES_tradnl"/>
              </w:rPr>
              <w:t>Costo total por emplazamiento</w:t>
            </w:r>
          </w:p>
        </w:tc>
        <w:tc>
          <w:tcPr>
            <w:tcW w:w="767" w:type="pct"/>
            <w:tcBorders>
              <w:top w:val="nil"/>
              <w:left w:val="nil"/>
              <w:bottom w:val="single" w:sz="4" w:space="0" w:color="auto"/>
              <w:right w:val="single" w:sz="4" w:space="0" w:color="auto"/>
            </w:tcBorders>
            <w:shd w:val="clear" w:color="auto" w:fill="auto"/>
            <w:noWrap/>
            <w:vAlign w:val="center"/>
            <w:hideMark/>
          </w:tcPr>
          <w:p w14:paraId="09E0B5E4"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185.000</w:t>
            </w:r>
          </w:p>
        </w:tc>
        <w:tc>
          <w:tcPr>
            <w:tcW w:w="997" w:type="pct"/>
            <w:tcBorders>
              <w:top w:val="nil"/>
              <w:left w:val="nil"/>
              <w:bottom w:val="single" w:sz="4" w:space="0" w:color="auto"/>
              <w:right w:val="single" w:sz="4" w:space="0" w:color="auto"/>
            </w:tcBorders>
            <w:shd w:val="clear" w:color="auto" w:fill="auto"/>
            <w:noWrap/>
            <w:vAlign w:val="center"/>
            <w:hideMark/>
          </w:tcPr>
          <w:p w14:paraId="0CAE9F88"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185.000</w:t>
            </w:r>
          </w:p>
        </w:tc>
        <w:tc>
          <w:tcPr>
            <w:tcW w:w="997" w:type="pct"/>
            <w:tcBorders>
              <w:top w:val="nil"/>
              <w:left w:val="nil"/>
              <w:bottom w:val="single" w:sz="4" w:space="0" w:color="auto"/>
              <w:right w:val="single" w:sz="4" w:space="0" w:color="auto"/>
            </w:tcBorders>
            <w:shd w:val="clear" w:color="auto" w:fill="auto"/>
            <w:noWrap/>
            <w:vAlign w:val="center"/>
            <w:hideMark/>
          </w:tcPr>
          <w:p w14:paraId="222AE49F"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700.000</w:t>
            </w:r>
          </w:p>
        </w:tc>
        <w:tc>
          <w:tcPr>
            <w:tcW w:w="536" w:type="pct"/>
            <w:tcBorders>
              <w:top w:val="nil"/>
              <w:left w:val="nil"/>
              <w:bottom w:val="single" w:sz="4" w:space="0" w:color="auto"/>
              <w:right w:val="single" w:sz="4" w:space="0" w:color="auto"/>
            </w:tcBorders>
            <w:shd w:val="clear" w:color="auto" w:fill="auto"/>
          </w:tcPr>
          <w:p w14:paraId="629174C9"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1.070.000</w:t>
            </w:r>
          </w:p>
        </w:tc>
      </w:tr>
      <w:tr w:rsidR="00581ACA" w:rsidRPr="000C3F39" w14:paraId="271442D4" w14:textId="77777777" w:rsidTr="00B9779F">
        <w:trPr>
          <w:trHeight w:val="42"/>
        </w:trPr>
        <w:tc>
          <w:tcPr>
            <w:tcW w:w="4464" w:type="pct"/>
            <w:gridSpan w:val="4"/>
            <w:tcBorders>
              <w:top w:val="nil"/>
              <w:left w:val="single" w:sz="4" w:space="0" w:color="auto"/>
              <w:bottom w:val="single" w:sz="4" w:space="0" w:color="auto"/>
              <w:right w:val="single" w:sz="4" w:space="0" w:color="000000"/>
            </w:tcBorders>
            <w:shd w:val="clear" w:color="auto" w:fill="auto"/>
            <w:noWrap/>
            <w:vAlign w:val="center"/>
            <w:hideMark/>
          </w:tcPr>
          <w:p w14:paraId="319F457C"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Capacitación</w:t>
            </w:r>
          </w:p>
        </w:tc>
        <w:tc>
          <w:tcPr>
            <w:tcW w:w="536" w:type="pct"/>
            <w:tcBorders>
              <w:top w:val="single" w:sz="4" w:space="0" w:color="auto"/>
              <w:left w:val="nil"/>
              <w:bottom w:val="single" w:sz="4" w:space="0" w:color="auto"/>
              <w:right w:val="single" w:sz="4" w:space="0" w:color="000000"/>
            </w:tcBorders>
            <w:shd w:val="clear" w:color="auto" w:fill="auto"/>
          </w:tcPr>
          <w:p w14:paraId="463980F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50.000</w:t>
            </w:r>
          </w:p>
        </w:tc>
      </w:tr>
      <w:tr w:rsidR="00581ACA" w:rsidRPr="000C3F39" w14:paraId="2D84B55E" w14:textId="77777777" w:rsidTr="00B9779F">
        <w:trPr>
          <w:trHeight w:val="57"/>
        </w:trPr>
        <w:tc>
          <w:tcPr>
            <w:tcW w:w="4464" w:type="pct"/>
            <w:gridSpan w:val="4"/>
            <w:tcBorders>
              <w:top w:val="nil"/>
              <w:left w:val="single" w:sz="4" w:space="0" w:color="auto"/>
              <w:bottom w:val="single" w:sz="4" w:space="0" w:color="auto"/>
              <w:right w:val="single" w:sz="4" w:space="0" w:color="000000"/>
            </w:tcBorders>
            <w:shd w:val="clear" w:color="auto" w:fill="auto"/>
            <w:noWrap/>
            <w:vAlign w:val="center"/>
            <w:hideMark/>
          </w:tcPr>
          <w:p w14:paraId="4F5493AF" w14:textId="77777777" w:rsidR="00581ACA" w:rsidRPr="00B9779F" w:rsidRDefault="00581ACA" w:rsidP="00951501">
            <w:pPr>
              <w:jc w:val="left"/>
              <w:rPr>
                <w:b/>
                <w:bCs/>
                <w:color w:val="000000"/>
                <w:sz w:val="18"/>
                <w:szCs w:val="18"/>
                <w:lang w:val="es-ES_tradnl"/>
              </w:rPr>
            </w:pPr>
            <w:r w:rsidRPr="00B9779F">
              <w:rPr>
                <w:b/>
                <w:color w:val="000000"/>
                <w:sz w:val="18"/>
                <w:szCs w:val="18"/>
                <w:lang w:val="es-ES_tradnl"/>
              </w:rPr>
              <w:t>Total ($EUA)</w:t>
            </w:r>
          </w:p>
        </w:tc>
        <w:tc>
          <w:tcPr>
            <w:tcW w:w="536" w:type="pct"/>
            <w:tcBorders>
              <w:top w:val="single" w:sz="4" w:space="0" w:color="auto"/>
              <w:left w:val="nil"/>
              <w:bottom w:val="single" w:sz="4" w:space="0" w:color="auto"/>
              <w:right w:val="single" w:sz="4" w:space="0" w:color="000000"/>
            </w:tcBorders>
          </w:tcPr>
          <w:p w14:paraId="7AB28427" w14:textId="77777777" w:rsidR="00581ACA" w:rsidRPr="00B9779F" w:rsidRDefault="00581ACA" w:rsidP="00951501">
            <w:pPr>
              <w:jc w:val="right"/>
              <w:rPr>
                <w:b/>
                <w:bCs/>
                <w:color w:val="000000"/>
                <w:sz w:val="18"/>
                <w:szCs w:val="18"/>
                <w:lang w:val="es-ES_tradnl"/>
              </w:rPr>
            </w:pPr>
            <w:r w:rsidRPr="00B9779F">
              <w:rPr>
                <w:b/>
                <w:color w:val="000000"/>
                <w:sz w:val="18"/>
                <w:szCs w:val="18"/>
                <w:lang w:val="es-ES_tradnl"/>
              </w:rPr>
              <w:t>1.120.000</w:t>
            </w:r>
          </w:p>
        </w:tc>
      </w:tr>
      <w:tr w:rsidR="00581ACA" w:rsidRPr="00FC6B62" w14:paraId="356B2A08" w14:textId="77777777" w:rsidTr="00B9779F">
        <w:trPr>
          <w:trHeight w:val="42"/>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14:paraId="572EB1E3" w14:textId="77777777" w:rsidR="00581ACA" w:rsidRPr="00B9779F" w:rsidRDefault="00581ACA" w:rsidP="00951501">
            <w:pPr>
              <w:jc w:val="left"/>
              <w:rPr>
                <w:b/>
                <w:bCs/>
                <w:color w:val="000000"/>
                <w:sz w:val="18"/>
                <w:szCs w:val="18"/>
                <w:lang w:val="es-ES_tradnl"/>
              </w:rPr>
            </w:pPr>
            <w:r w:rsidRPr="00B9779F">
              <w:rPr>
                <w:b/>
                <w:color w:val="000000"/>
                <w:sz w:val="18"/>
                <w:szCs w:val="18"/>
                <w:lang w:val="es-ES_tradnl"/>
              </w:rPr>
              <w:t>Impacto de la eficiencia energética</w:t>
            </w:r>
          </w:p>
        </w:tc>
      </w:tr>
      <w:tr w:rsidR="00B9779F" w:rsidRPr="00092153" w14:paraId="719EE03C" w14:textId="77777777" w:rsidTr="00B9779F">
        <w:trPr>
          <w:trHeight w:val="42"/>
        </w:trPr>
        <w:tc>
          <w:tcPr>
            <w:tcW w:w="17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384334"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Ahorro energético en refrigeración (kWh/año)</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68771AF9"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86.349</w:t>
            </w:r>
          </w:p>
        </w:tc>
        <w:tc>
          <w:tcPr>
            <w:tcW w:w="997" w:type="pct"/>
            <w:tcBorders>
              <w:top w:val="single" w:sz="4" w:space="0" w:color="auto"/>
              <w:left w:val="nil"/>
              <w:bottom w:val="single" w:sz="4" w:space="0" w:color="auto"/>
              <w:right w:val="single" w:sz="4" w:space="0" w:color="auto"/>
            </w:tcBorders>
            <w:shd w:val="clear" w:color="auto" w:fill="auto"/>
            <w:noWrap/>
            <w:vAlign w:val="center"/>
          </w:tcPr>
          <w:p w14:paraId="3C52B0AD"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86.349</w:t>
            </w:r>
          </w:p>
        </w:tc>
        <w:tc>
          <w:tcPr>
            <w:tcW w:w="997" w:type="pct"/>
            <w:tcBorders>
              <w:top w:val="single" w:sz="4" w:space="0" w:color="auto"/>
              <w:left w:val="nil"/>
              <w:bottom w:val="single" w:sz="4" w:space="0" w:color="auto"/>
              <w:right w:val="single" w:sz="4" w:space="0" w:color="auto"/>
            </w:tcBorders>
            <w:shd w:val="clear" w:color="auto" w:fill="auto"/>
            <w:noWrap/>
            <w:vAlign w:val="center"/>
          </w:tcPr>
          <w:p w14:paraId="4B50BE1B"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713.314</w:t>
            </w:r>
          </w:p>
        </w:tc>
        <w:tc>
          <w:tcPr>
            <w:tcW w:w="536" w:type="pct"/>
            <w:tcBorders>
              <w:top w:val="single" w:sz="4" w:space="0" w:color="auto"/>
              <w:left w:val="nil"/>
              <w:bottom w:val="single" w:sz="4" w:space="0" w:color="auto"/>
              <w:right w:val="single" w:sz="4" w:space="0" w:color="auto"/>
            </w:tcBorders>
            <w:shd w:val="clear" w:color="auto" w:fill="auto"/>
          </w:tcPr>
          <w:p w14:paraId="7399E2CE"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886.012</w:t>
            </w:r>
          </w:p>
        </w:tc>
      </w:tr>
      <w:tr w:rsidR="00B9779F" w:rsidRPr="00092153" w14:paraId="2EFC2EAC" w14:textId="77777777" w:rsidTr="00B9779F">
        <w:trPr>
          <w:trHeight w:val="42"/>
        </w:trPr>
        <w:tc>
          <w:tcPr>
            <w:tcW w:w="17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0D511C"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Ahorro energético en calor (kWh/año)</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54ED8DFD"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844.714</w:t>
            </w:r>
          </w:p>
        </w:tc>
        <w:tc>
          <w:tcPr>
            <w:tcW w:w="997" w:type="pct"/>
            <w:tcBorders>
              <w:top w:val="single" w:sz="4" w:space="0" w:color="auto"/>
              <w:left w:val="nil"/>
              <w:bottom w:val="single" w:sz="4" w:space="0" w:color="auto"/>
              <w:right w:val="single" w:sz="4" w:space="0" w:color="auto"/>
            </w:tcBorders>
            <w:shd w:val="clear" w:color="auto" w:fill="auto"/>
            <w:noWrap/>
            <w:vAlign w:val="center"/>
          </w:tcPr>
          <w:p w14:paraId="386D15A0"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w:t>
            </w:r>
          </w:p>
        </w:tc>
        <w:tc>
          <w:tcPr>
            <w:tcW w:w="997" w:type="pct"/>
            <w:tcBorders>
              <w:top w:val="single" w:sz="4" w:space="0" w:color="auto"/>
              <w:left w:val="nil"/>
              <w:bottom w:val="single" w:sz="4" w:space="0" w:color="auto"/>
              <w:right w:val="single" w:sz="4" w:space="0" w:color="auto"/>
            </w:tcBorders>
            <w:shd w:val="clear" w:color="auto" w:fill="auto"/>
            <w:noWrap/>
            <w:vAlign w:val="center"/>
          </w:tcPr>
          <w:p w14:paraId="4BE3787C"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w:t>
            </w:r>
          </w:p>
        </w:tc>
        <w:tc>
          <w:tcPr>
            <w:tcW w:w="536" w:type="pct"/>
            <w:tcBorders>
              <w:top w:val="single" w:sz="4" w:space="0" w:color="auto"/>
              <w:left w:val="nil"/>
              <w:bottom w:val="single" w:sz="4" w:space="0" w:color="auto"/>
              <w:right w:val="single" w:sz="4" w:space="0" w:color="auto"/>
            </w:tcBorders>
            <w:shd w:val="clear" w:color="auto" w:fill="auto"/>
          </w:tcPr>
          <w:p w14:paraId="70921352"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844.714</w:t>
            </w:r>
          </w:p>
        </w:tc>
      </w:tr>
      <w:tr w:rsidR="00B9779F" w:rsidRPr="00092153" w14:paraId="1EB4EC44" w14:textId="77777777" w:rsidTr="00B9779F">
        <w:trPr>
          <w:trHeight w:val="42"/>
        </w:trPr>
        <w:tc>
          <w:tcPr>
            <w:tcW w:w="17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9735F5" w14:textId="77777777" w:rsidR="00581ACA" w:rsidRPr="00B9779F" w:rsidRDefault="00581ACA" w:rsidP="00951501">
            <w:pPr>
              <w:jc w:val="left"/>
              <w:rPr>
                <w:color w:val="000000"/>
                <w:sz w:val="18"/>
                <w:szCs w:val="18"/>
                <w:lang w:val="es-ES_tradnl"/>
              </w:rPr>
            </w:pPr>
            <w:r w:rsidRPr="00B9779F">
              <w:rPr>
                <w:color w:val="000000"/>
                <w:sz w:val="18"/>
                <w:szCs w:val="18"/>
                <w:lang w:val="es-ES_tradnl"/>
              </w:rPr>
              <w:t>Ahorros totales (kWh/año)</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2FDB7B2"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931.063</w:t>
            </w:r>
          </w:p>
        </w:tc>
        <w:tc>
          <w:tcPr>
            <w:tcW w:w="997" w:type="pct"/>
            <w:tcBorders>
              <w:top w:val="single" w:sz="4" w:space="0" w:color="auto"/>
              <w:left w:val="nil"/>
              <w:bottom w:val="single" w:sz="4" w:space="0" w:color="auto"/>
              <w:right w:val="single" w:sz="4" w:space="0" w:color="auto"/>
            </w:tcBorders>
            <w:shd w:val="clear" w:color="auto" w:fill="auto"/>
            <w:noWrap/>
            <w:vAlign w:val="center"/>
          </w:tcPr>
          <w:p w14:paraId="2A7CEA47"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86.349</w:t>
            </w:r>
          </w:p>
        </w:tc>
        <w:tc>
          <w:tcPr>
            <w:tcW w:w="997" w:type="pct"/>
            <w:tcBorders>
              <w:top w:val="single" w:sz="4" w:space="0" w:color="auto"/>
              <w:left w:val="nil"/>
              <w:bottom w:val="single" w:sz="4" w:space="0" w:color="auto"/>
              <w:right w:val="single" w:sz="4" w:space="0" w:color="auto"/>
            </w:tcBorders>
            <w:shd w:val="clear" w:color="auto" w:fill="auto"/>
            <w:noWrap/>
            <w:vAlign w:val="center"/>
          </w:tcPr>
          <w:p w14:paraId="15346BA1"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713.314</w:t>
            </w:r>
          </w:p>
        </w:tc>
        <w:tc>
          <w:tcPr>
            <w:tcW w:w="536" w:type="pct"/>
            <w:tcBorders>
              <w:top w:val="single" w:sz="4" w:space="0" w:color="auto"/>
              <w:left w:val="nil"/>
              <w:bottom w:val="single" w:sz="4" w:space="0" w:color="auto"/>
              <w:right w:val="single" w:sz="4" w:space="0" w:color="auto"/>
            </w:tcBorders>
            <w:shd w:val="clear" w:color="auto" w:fill="auto"/>
          </w:tcPr>
          <w:p w14:paraId="1711BE0E" w14:textId="77777777" w:rsidR="00581ACA" w:rsidRPr="00B9779F" w:rsidRDefault="00581ACA" w:rsidP="00951501">
            <w:pPr>
              <w:jc w:val="right"/>
              <w:rPr>
                <w:color w:val="000000"/>
                <w:sz w:val="18"/>
                <w:szCs w:val="18"/>
                <w:lang w:val="es-ES_tradnl"/>
              </w:rPr>
            </w:pPr>
            <w:r w:rsidRPr="00B9779F">
              <w:rPr>
                <w:color w:val="000000"/>
                <w:sz w:val="18"/>
                <w:szCs w:val="18"/>
                <w:lang w:val="es-ES_tradnl"/>
              </w:rPr>
              <w:t>1.730.726</w:t>
            </w:r>
          </w:p>
        </w:tc>
      </w:tr>
    </w:tbl>
    <w:p w14:paraId="1DD8A3A1" w14:textId="77777777" w:rsidR="00581ACA" w:rsidRPr="00581ACA" w:rsidRDefault="00581ACA" w:rsidP="00285B1D">
      <w:pPr>
        <w:spacing w:after="240"/>
        <w:ind w:left="113"/>
        <w:rPr>
          <w:sz w:val="18"/>
          <w:szCs w:val="18"/>
          <w:lang w:val="es-ES"/>
        </w:rPr>
      </w:pPr>
      <w:r w:rsidRPr="00581ACA">
        <w:rPr>
          <w:sz w:val="18"/>
          <w:lang w:val="es-ES"/>
        </w:rPr>
        <w:t>*La conversión en el Centro Internacional de Convenciones incluye tres enfriadores; el proyecto financiará un tercio del costo (el equivalente a un enfriador), mientras que el beneficiario cofinanciará el costo restante.</w:t>
      </w:r>
    </w:p>
    <w:p w14:paraId="1B0A1070" w14:textId="35EEF72E" w:rsidR="00581ACA" w:rsidRPr="00581ACA" w:rsidRDefault="00581ACA" w:rsidP="00581ACA">
      <w:pPr>
        <w:pStyle w:val="Heading1"/>
        <w:spacing w:before="240"/>
        <w:rPr>
          <w:lang w:val="es-ES"/>
        </w:rPr>
      </w:pPr>
      <w:r w:rsidRPr="00581ACA">
        <w:rPr>
          <w:lang w:val="es-ES"/>
        </w:rPr>
        <w:t xml:space="preserve">La Secretaría observa que, no existiendo directrices de costos para la reducción de los HFC ni para </w:t>
      </w:r>
      <w:r w:rsidR="00511502">
        <w:rPr>
          <w:lang w:val="es-ES"/>
        </w:rPr>
        <w:t xml:space="preserve">los </w:t>
      </w:r>
      <w:r w:rsidRPr="00581ACA">
        <w:rPr>
          <w:lang w:val="es-ES"/>
        </w:rPr>
        <w:t>proyectos relacionados con la eficiencia energética, esta propuesta se ha examinado caso por caso, teniendo en cuenta la información disponible sobre las actividades realizadas por otros usuarios finales de sistemas de aire acondicionado de gran tamaño y admitiendo que existe un grado de incertidumbre en los costos de la sustitución de enfriadores que varían en tamaño, capacidad y otras características. De acuerdo con la información recibida en el momento del examen, la Secretaría considera que los costos convenidos representan la mejor estimación disponible, señalando que podría</w:t>
      </w:r>
      <w:r w:rsidR="00511502">
        <w:rPr>
          <w:lang w:val="es-ES"/>
        </w:rPr>
        <w:t>n</w:t>
      </w:r>
      <w:r w:rsidRPr="00581ACA">
        <w:rPr>
          <w:lang w:val="es-ES"/>
        </w:rPr>
        <w:t xml:space="preserve"> cambiar a medida que se cuente con más información. La Secretaría considera que la aprobación del proyecto en las cuantías propuestas en el texto anterior no ha de sentar precedente.</w:t>
      </w:r>
    </w:p>
    <w:p w14:paraId="6C254DF6" w14:textId="77777777" w:rsidR="00581ACA" w:rsidRPr="00511502" w:rsidRDefault="00581ACA" w:rsidP="00581ACA">
      <w:pPr>
        <w:spacing w:after="240"/>
        <w:rPr>
          <w:u w:val="single"/>
          <w:lang w:val="es-ES_tradnl"/>
        </w:rPr>
      </w:pPr>
      <w:bookmarkStart w:id="2" w:name="_Hlk126916116"/>
      <w:r w:rsidRPr="00511502">
        <w:rPr>
          <w:u w:val="single"/>
          <w:lang w:val="es-ES_tradnl"/>
        </w:rPr>
        <w:t>Sostenibilidad y reproducibilidad</w:t>
      </w:r>
    </w:p>
    <w:p w14:paraId="6E2CB5D3" w14:textId="232B437A" w:rsidR="00581ACA" w:rsidRPr="00581ACA" w:rsidRDefault="00581ACA" w:rsidP="00581ACA">
      <w:pPr>
        <w:pStyle w:val="Heading1"/>
        <w:rPr>
          <w:lang w:val="es-ES"/>
        </w:rPr>
      </w:pPr>
      <w:r w:rsidRPr="00581ACA">
        <w:rPr>
          <w:lang w:val="es-ES"/>
        </w:rPr>
        <w:t>En línea con la decisión 91/65 b) v), la ONUDI ha confirmado que los resultados del proyecto de demostración se anunciar</w:t>
      </w:r>
      <w:r w:rsidR="00511502">
        <w:rPr>
          <w:lang w:val="es-ES"/>
        </w:rPr>
        <w:t>á</w:t>
      </w:r>
      <w:r w:rsidRPr="00581ACA">
        <w:rPr>
          <w:lang w:val="es-ES"/>
        </w:rPr>
        <w:t>n ampliamente en Sudáfrica y la región para alentar a que se reproduzcan. La estrategia de difusión consistirá en: preparar estudios de casos detallando las ventajas técnicas y económicas obtenidas en cada emplazamiento, para después divulgar estos resultados mediante talleres, asociaciones industriales, conferencias y medios de comunicación; aprovechar la visibilidad de algunos emplazamientos como el Centro Internacional de Convenciones de Durban para mostrar los resultados del proyecto a los responsables de las políticas y los posibles usuarios finales; capacitar a técnicos de otros hospitales, edificios comerciales e industria en la instalación, operación y mantenimiento de enfriadores de bajo PCA; apoyar la fabricación local y la disponibilidad de enfriadores, componentes y herramientas de mantenimiento para los refrigerantes alternativos a fin de facilitar su adopción; utilizar los datos y la experiencia obtenidos durante el proyecto para informar el desarrollo de estándares y etiquetas de eficiencia energética para enfriadores e impulsar así la adopción de alternativas con un menor PCA; abogar por la incorporación de alternativas con un menor PCA en las normas nacionales y las políticas de compra</w:t>
      </w:r>
      <w:r w:rsidR="00037C70">
        <w:rPr>
          <w:lang w:val="es-ES"/>
        </w:rPr>
        <w:t>s</w:t>
      </w:r>
      <w:r w:rsidRPr="00581ACA">
        <w:rPr>
          <w:lang w:val="es-ES"/>
        </w:rPr>
        <w:t xml:space="preserve"> utilizando los resultados del proyecto; y explorar el uso de incentivos basados en el rendimiento, como reembolsos y ventajas fiscales para los usuarios finales a fin de fomentar la conversión a enfriadores energéticamente eficientes que empleen tecnologías de bajo PCA.</w:t>
      </w:r>
    </w:p>
    <w:p w14:paraId="44484960" w14:textId="77777777" w:rsidR="00581ACA" w:rsidRPr="00581ACA" w:rsidRDefault="00581ACA" w:rsidP="00581ACA">
      <w:pPr>
        <w:pStyle w:val="Heading1"/>
        <w:rPr>
          <w:u w:val="single"/>
          <w:lang w:val="es-ES"/>
        </w:rPr>
      </w:pPr>
      <w:r w:rsidRPr="00581ACA">
        <w:rPr>
          <w:lang w:val="es-ES"/>
        </w:rPr>
        <w:lastRenderedPageBreak/>
        <w:t>Teniendo en cuenta experiencias anteriores con sustituciones de enfriadores en el marco del Fondo Multilateral, la Secretaría observa que este proyecto puede generar ahorros en las facturas de electricidad del usuario final. La ONUDI ha confirmado que un importante factor que impulsaría que las sustituciones se replicaran sería que la transición tecnológica produjera ahorros significativos de energía y costos. El exhaustivo sistema de supervisión propuesto en el proyecto permitirá cuantificar los ahorros reales de forma que puedan demostrarse a otros propietarios de edificios.</w:t>
      </w:r>
      <w:bookmarkEnd w:id="2"/>
    </w:p>
    <w:p w14:paraId="2433CD1B" w14:textId="77777777" w:rsidR="00581ACA" w:rsidRPr="00581ACA" w:rsidRDefault="00581ACA" w:rsidP="00581ACA">
      <w:pPr>
        <w:pStyle w:val="Heading1"/>
        <w:numPr>
          <w:ilvl w:val="0"/>
          <w:numId w:val="0"/>
        </w:numPr>
        <w:rPr>
          <w:u w:val="single"/>
          <w:lang w:val="es-ES"/>
        </w:rPr>
      </w:pPr>
      <w:r w:rsidRPr="00581ACA">
        <w:rPr>
          <w:u w:val="single"/>
          <w:lang w:val="es-ES"/>
        </w:rPr>
        <w:t>Otros requisitos previstos en la decisión 91/65</w:t>
      </w:r>
    </w:p>
    <w:p w14:paraId="7250477E" w14:textId="1E1F341B" w:rsidR="00581ACA" w:rsidRPr="00581ACA" w:rsidRDefault="00581ACA" w:rsidP="00581ACA">
      <w:pPr>
        <w:pStyle w:val="Heading1"/>
        <w:rPr>
          <w:lang w:val="es-ES"/>
        </w:rPr>
      </w:pPr>
      <w:r w:rsidRPr="00581ACA">
        <w:rPr>
          <w:lang w:val="es-ES"/>
        </w:rPr>
        <w:t>Se ha recibido confirmación de que, si el Gobierno de Sudáfrica hubiera movilizado o tuviera previsto movilizar fondos de fuentes que no sean las del Fondo Multilateral para componentes de eficiencia energética en la reducción de los HFC, el proyecto no dará lugar a la duplicación de actividades entre las financiadas por el Fondo Multilateral y las financiadas por otras fuentes; que se facilitará, según proceda, información sobre los progresos, los resultados y los aprendizajes clave del proyecto; que la fecha de finalización del proyecto no se fijará en más de 36 meses desde la fecha de aprobación por parte del Comité Ejecutivo; y que se presentará un informe detallado del proyecto al Comité Ejecutivo dentro de los seis meses siguientes a la fecha de finalización del proyecto.</w:t>
      </w:r>
    </w:p>
    <w:p w14:paraId="0CD39FF1" w14:textId="77777777" w:rsidR="00581ACA" w:rsidRPr="00AD3371" w:rsidRDefault="00581ACA" w:rsidP="00581ACA">
      <w:pPr>
        <w:keepNext/>
        <w:spacing w:before="360" w:after="240"/>
        <w:rPr>
          <w:b/>
        </w:rPr>
      </w:pPr>
      <w:r>
        <w:rPr>
          <w:b/>
        </w:rPr>
        <w:t>RECOMENDACIÓN</w:t>
      </w:r>
    </w:p>
    <w:p w14:paraId="2DAB9B12" w14:textId="77777777" w:rsidR="00581ACA" w:rsidRPr="00581ACA" w:rsidRDefault="00581ACA" w:rsidP="00581ACA">
      <w:pPr>
        <w:pStyle w:val="Heading1"/>
        <w:rPr>
          <w:lang w:val="es-ES"/>
        </w:rPr>
      </w:pPr>
      <w:r w:rsidRPr="00581ACA">
        <w:rPr>
          <w:lang w:val="es-ES"/>
        </w:rPr>
        <w:t>El Comité Ejecutivo podría considerar oportuno aprobar el proyecto piloto para mantener o mejorar la eficiencia energética de las tecnologías y los equipos de sustitución en el contexto de la reducción de los HFC en Sudáfrica por un monto de 1.120.000 $EUA, más unos gastos de apoyo de los organismos de 78.400 $EUA para la ONUDI, tomando nota de:</w:t>
      </w:r>
    </w:p>
    <w:p w14:paraId="2B68D60F" w14:textId="77777777" w:rsidR="00581ACA" w:rsidRDefault="00581ACA" w:rsidP="00581ACA">
      <w:pPr>
        <w:pStyle w:val="Heading2"/>
        <w:rPr>
          <w:lang w:val="es-ES"/>
        </w:rPr>
      </w:pPr>
      <w:r w:rsidRPr="00581ACA">
        <w:rPr>
          <w:lang w:val="es-ES"/>
        </w:rPr>
        <w:t>Que el Gobierno de Sudáfrica se ha comprometido a cumplir con las condiciones a que se hace referencia en la decisión 91/65 b) iv) b. a b) iv) d.; y</w:t>
      </w:r>
    </w:p>
    <w:p w14:paraId="210927A3" w14:textId="3CA4B6F4" w:rsidR="00037C70" w:rsidRDefault="00037C70" w:rsidP="00037C70">
      <w:pPr>
        <w:pStyle w:val="Heading2"/>
        <w:rPr>
          <w:lang w:val="es-ES"/>
        </w:rPr>
      </w:pPr>
      <w:r w:rsidRPr="00581ACA">
        <w:rPr>
          <w:lang w:val="es-ES"/>
        </w:rPr>
        <w:t xml:space="preserve">Que el </w:t>
      </w:r>
      <w:r w:rsidRPr="00037C70">
        <w:rPr>
          <w:lang w:val="es-ES"/>
        </w:rPr>
        <w:t>proyecto quedará completado operativamente a más tardar en diciembre de 2026 y que se presentará un informe de proyecto detallado al Comité Ejecutivo en un plazo de seis meses desde la fecha de finalización</w:t>
      </w:r>
      <w:r>
        <w:rPr>
          <w:lang w:val="es-ES"/>
        </w:rPr>
        <w:t xml:space="preserve"> del proyecto.</w:t>
      </w:r>
    </w:p>
    <w:p w14:paraId="3F2F9F90" w14:textId="77777777" w:rsidR="00037C70" w:rsidRPr="00037C70" w:rsidRDefault="00037C70" w:rsidP="00037C70">
      <w:pPr>
        <w:rPr>
          <w:lang w:val="es-ES"/>
        </w:rPr>
      </w:pPr>
    </w:p>
    <w:p w14:paraId="17CEA659" w14:textId="77777777" w:rsidR="0087455A" w:rsidRPr="00581ACA" w:rsidRDefault="0087455A">
      <w:pPr>
        <w:rPr>
          <w:lang w:val="es-ES"/>
        </w:rPr>
        <w:sectPr w:rsidR="0087455A" w:rsidRPr="00581AC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780ABE8" w14:textId="77777777" w:rsidR="00581ACA" w:rsidRPr="00581ACA" w:rsidRDefault="00581ACA" w:rsidP="00581ACA">
      <w:pPr>
        <w:jc w:val="center"/>
        <w:rPr>
          <w:b/>
          <w:bCs/>
          <w:lang w:val="es-ES"/>
        </w:rPr>
      </w:pPr>
      <w:r w:rsidRPr="00581ACA">
        <w:rPr>
          <w:b/>
          <w:lang w:val="es-ES"/>
        </w:rPr>
        <w:lastRenderedPageBreak/>
        <w:t>Anexo I</w:t>
      </w:r>
    </w:p>
    <w:p w14:paraId="0E4FA0CD" w14:textId="77777777" w:rsidR="00581ACA" w:rsidRPr="00C15AF6" w:rsidRDefault="00581ACA" w:rsidP="00581ACA">
      <w:pPr>
        <w:spacing w:before="240" w:after="240"/>
        <w:jc w:val="center"/>
        <w:rPr>
          <w:b/>
          <w:bCs/>
          <w:sz w:val="24"/>
          <w:szCs w:val="24"/>
          <w:lang w:val="es-ES"/>
        </w:rPr>
      </w:pPr>
      <w:r w:rsidRPr="00C15AF6">
        <w:rPr>
          <w:b/>
          <w:sz w:val="24"/>
          <w:szCs w:val="24"/>
          <w:lang w:val="es-ES"/>
        </w:rPr>
        <w:t>ANÁLISIS DE LA SITUACIÓN INICIAL DE REFERENCIA Y DEL IMPACTO Y COSTOS PREVISTOS DEL PROYECTO DE ACUERDO CON LA COMUNICACIÓN INICIAL</w:t>
      </w:r>
    </w:p>
    <w:tbl>
      <w:tblPr>
        <w:tblW w:w="5076" w:type="pct"/>
        <w:tblLayout w:type="fixed"/>
        <w:tblLook w:val="04A0" w:firstRow="1" w:lastRow="0" w:firstColumn="1" w:lastColumn="0" w:noHBand="0" w:noVBand="1"/>
      </w:tblPr>
      <w:tblGrid>
        <w:gridCol w:w="2262"/>
        <w:gridCol w:w="991"/>
        <w:gridCol w:w="995"/>
        <w:gridCol w:w="1274"/>
        <w:gridCol w:w="1006"/>
        <w:gridCol w:w="980"/>
        <w:gridCol w:w="991"/>
        <w:gridCol w:w="993"/>
      </w:tblGrid>
      <w:tr w:rsidR="006F12AE" w:rsidRPr="00FC6B62" w14:paraId="5331ED04" w14:textId="77777777" w:rsidTr="006F12AE">
        <w:trPr>
          <w:trHeight w:val="175"/>
          <w:tblHeader/>
        </w:trPr>
        <w:tc>
          <w:tcPr>
            <w:tcW w:w="1192" w:type="pct"/>
            <w:vMerge w:val="restart"/>
            <w:tcBorders>
              <w:top w:val="single" w:sz="4" w:space="0" w:color="auto"/>
              <w:left w:val="single" w:sz="4" w:space="0" w:color="auto"/>
              <w:right w:val="single" w:sz="4" w:space="0" w:color="auto"/>
            </w:tcBorders>
            <w:shd w:val="clear" w:color="auto" w:fill="auto"/>
            <w:vAlign w:val="center"/>
            <w:hideMark/>
          </w:tcPr>
          <w:p w14:paraId="1FD890D2"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Concepto</w:t>
            </w:r>
          </w:p>
        </w:tc>
        <w:tc>
          <w:tcPr>
            <w:tcW w:w="1046" w:type="pct"/>
            <w:gridSpan w:val="2"/>
            <w:tcBorders>
              <w:top w:val="single" w:sz="4" w:space="0" w:color="auto"/>
              <w:left w:val="nil"/>
              <w:bottom w:val="single" w:sz="4" w:space="0" w:color="auto"/>
              <w:right w:val="single" w:sz="4" w:space="0" w:color="auto"/>
            </w:tcBorders>
            <w:shd w:val="clear" w:color="auto" w:fill="auto"/>
            <w:vAlign w:val="center"/>
            <w:hideMark/>
          </w:tcPr>
          <w:p w14:paraId="5238928B"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CHB</w:t>
            </w:r>
          </w:p>
        </w:tc>
        <w:tc>
          <w:tcPr>
            <w:tcW w:w="671" w:type="pct"/>
            <w:vMerge w:val="restart"/>
            <w:tcBorders>
              <w:top w:val="single" w:sz="4" w:space="0" w:color="auto"/>
              <w:left w:val="nil"/>
              <w:right w:val="single" w:sz="4" w:space="0" w:color="auto"/>
            </w:tcBorders>
            <w:shd w:val="clear" w:color="auto" w:fill="auto"/>
            <w:vAlign w:val="center"/>
            <w:hideMark/>
          </w:tcPr>
          <w:p w14:paraId="5F5AB88F"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Centro Internacional de Convenciones</w:t>
            </w:r>
          </w:p>
        </w:tc>
        <w:tc>
          <w:tcPr>
            <w:tcW w:w="530" w:type="pct"/>
            <w:vMerge w:val="restart"/>
            <w:tcBorders>
              <w:top w:val="single" w:sz="4" w:space="0" w:color="auto"/>
              <w:left w:val="nil"/>
              <w:right w:val="single" w:sz="4" w:space="0" w:color="auto"/>
            </w:tcBorders>
            <w:shd w:val="clear" w:color="auto" w:fill="auto"/>
            <w:vAlign w:val="center"/>
            <w:hideMark/>
          </w:tcPr>
          <w:p w14:paraId="36672C87"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Hospital Militar</w:t>
            </w:r>
          </w:p>
        </w:tc>
        <w:tc>
          <w:tcPr>
            <w:tcW w:w="516" w:type="pct"/>
            <w:vMerge w:val="restart"/>
            <w:tcBorders>
              <w:top w:val="single" w:sz="4" w:space="0" w:color="auto"/>
              <w:left w:val="nil"/>
              <w:right w:val="single" w:sz="4" w:space="0" w:color="auto"/>
            </w:tcBorders>
            <w:shd w:val="clear" w:color="auto" w:fill="auto"/>
            <w:vAlign w:val="center"/>
            <w:hideMark/>
          </w:tcPr>
          <w:p w14:paraId="2F240412"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Clínica Dental Militar</w:t>
            </w:r>
          </w:p>
        </w:tc>
        <w:tc>
          <w:tcPr>
            <w:tcW w:w="1045" w:type="pct"/>
            <w:gridSpan w:val="2"/>
            <w:tcBorders>
              <w:top w:val="single" w:sz="4" w:space="0" w:color="auto"/>
              <w:left w:val="nil"/>
              <w:bottom w:val="single" w:sz="4" w:space="0" w:color="auto"/>
              <w:right w:val="single" w:sz="4" w:space="0" w:color="auto"/>
            </w:tcBorders>
            <w:shd w:val="clear" w:color="auto" w:fill="auto"/>
            <w:vAlign w:val="center"/>
            <w:hideMark/>
          </w:tcPr>
          <w:p w14:paraId="13BCF5E4"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Ejército del Aire de Sudáfrica</w:t>
            </w:r>
          </w:p>
        </w:tc>
      </w:tr>
      <w:tr w:rsidR="006F12AE" w:rsidRPr="006F12AE" w14:paraId="4C0EF309" w14:textId="77777777" w:rsidTr="006F12AE">
        <w:trPr>
          <w:trHeight w:val="42"/>
          <w:tblHeader/>
        </w:trPr>
        <w:tc>
          <w:tcPr>
            <w:tcW w:w="1192" w:type="pct"/>
            <w:vMerge/>
            <w:tcBorders>
              <w:left w:val="single" w:sz="4" w:space="0" w:color="auto"/>
              <w:bottom w:val="single" w:sz="4" w:space="0" w:color="auto"/>
              <w:right w:val="single" w:sz="4" w:space="0" w:color="auto"/>
            </w:tcBorders>
            <w:shd w:val="clear" w:color="auto" w:fill="auto"/>
            <w:vAlign w:val="center"/>
          </w:tcPr>
          <w:p w14:paraId="3D5E8D57" w14:textId="77777777" w:rsidR="00581ACA" w:rsidRPr="006F12AE" w:rsidRDefault="00581ACA" w:rsidP="00951501">
            <w:pPr>
              <w:jc w:val="center"/>
              <w:rPr>
                <w:b/>
                <w:bCs/>
                <w:color w:val="000000"/>
                <w:sz w:val="16"/>
                <w:szCs w:val="16"/>
                <w:lang w:val="es-ES_tradnl" w:eastAsia="en-CA"/>
              </w:rPr>
            </w:pPr>
          </w:p>
        </w:tc>
        <w:tc>
          <w:tcPr>
            <w:tcW w:w="522" w:type="pct"/>
            <w:tcBorders>
              <w:top w:val="single" w:sz="4" w:space="0" w:color="auto"/>
              <w:left w:val="nil"/>
              <w:bottom w:val="single" w:sz="4" w:space="0" w:color="auto"/>
              <w:right w:val="single" w:sz="4" w:space="0" w:color="auto"/>
            </w:tcBorders>
            <w:shd w:val="clear" w:color="auto" w:fill="auto"/>
            <w:vAlign w:val="center"/>
          </w:tcPr>
          <w:p w14:paraId="6F61291B"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Cubierta</w:t>
            </w:r>
          </w:p>
        </w:tc>
        <w:tc>
          <w:tcPr>
            <w:tcW w:w="524" w:type="pct"/>
            <w:tcBorders>
              <w:top w:val="single" w:sz="4" w:space="0" w:color="auto"/>
              <w:left w:val="nil"/>
              <w:bottom w:val="single" w:sz="4" w:space="0" w:color="auto"/>
              <w:right w:val="single" w:sz="4" w:space="0" w:color="auto"/>
            </w:tcBorders>
            <w:shd w:val="clear" w:color="auto" w:fill="auto"/>
            <w:vAlign w:val="center"/>
          </w:tcPr>
          <w:p w14:paraId="7D72DD3A" w14:textId="77777777" w:rsidR="00581ACA" w:rsidRPr="006F12AE" w:rsidRDefault="00581ACA" w:rsidP="00951501">
            <w:pPr>
              <w:ind w:left="-124" w:right="-188"/>
              <w:jc w:val="center"/>
              <w:rPr>
                <w:b/>
                <w:bCs/>
                <w:color w:val="000000"/>
                <w:sz w:val="16"/>
                <w:szCs w:val="16"/>
                <w:lang w:val="es-ES_tradnl"/>
              </w:rPr>
            </w:pPr>
            <w:r w:rsidRPr="006F12AE">
              <w:rPr>
                <w:b/>
                <w:color w:val="000000"/>
                <w:sz w:val="16"/>
                <w:szCs w:val="16"/>
                <w:lang w:val="es-ES_tradnl"/>
              </w:rPr>
              <w:t>Quirófano</w:t>
            </w:r>
          </w:p>
        </w:tc>
        <w:tc>
          <w:tcPr>
            <w:tcW w:w="671" w:type="pct"/>
            <w:vMerge/>
            <w:tcBorders>
              <w:left w:val="nil"/>
              <w:bottom w:val="single" w:sz="4" w:space="0" w:color="auto"/>
              <w:right w:val="single" w:sz="4" w:space="0" w:color="auto"/>
            </w:tcBorders>
            <w:shd w:val="clear" w:color="auto" w:fill="auto"/>
            <w:vAlign w:val="center"/>
          </w:tcPr>
          <w:p w14:paraId="3A9DF3FB" w14:textId="77777777" w:rsidR="00581ACA" w:rsidRPr="006F12AE" w:rsidRDefault="00581ACA" w:rsidP="00951501">
            <w:pPr>
              <w:jc w:val="center"/>
              <w:rPr>
                <w:b/>
                <w:bCs/>
                <w:color w:val="000000"/>
                <w:sz w:val="16"/>
                <w:szCs w:val="16"/>
                <w:lang w:val="es-ES_tradnl" w:eastAsia="en-CA"/>
              </w:rPr>
            </w:pPr>
          </w:p>
        </w:tc>
        <w:tc>
          <w:tcPr>
            <w:tcW w:w="530" w:type="pct"/>
            <w:vMerge/>
            <w:tcBorders>
              <w:left w:val="nil"/>
              <w:bottom w:val="single" w:sz="4" w:space="0" w:color="auto"/>
              <w:right w:val="single" w:sz="4" w:space="0" w:color="auto"/>
            </w:tcBorders>
            <w:shd w:val="clear" w:color="auto" w:fill="auto"/>
            <w:vAlign w:val="center"/>
          </w:tcPr>
          <w:p w14:paraId="58A5AC0A" w14:textId="77777777" w:rsidR="00581ACA" w:rsidRPr="006F12AE" w:rsidRDefault="00581ACA" w:rsidP="00951501">
            <w:pPr>
              <w:jc w:val="center"/>
              <w:rPr>
                <w:b/>
                <w:bCs/>
                <w:color w:val="000000"/>
                <w:sz w:val="16"/>
                <w:szCs w:val="16"/>
                <w:lang w:val="es-ES_tradnl" w:eastAsia="en-CA"/>
              </w:rPr>
            </w:pPr>
          </w:p>
        </w:tc>
        <w:tc>
          <w:tcPr>
            <w:tcW w:w="516" w:type="pct"/>
            <w:vMerge/>
            <w:tcBorders>
              <w:left w:val="nil"/>
              <w:bottom w:val="single" w:sz="4" w:space="0" w:color="auto"/>
              <w:right w:val="single" w:sz="4" w:space="0" w:color="auto"/>
            </w:tcBorders>
            <w:shd w:val="clear" w:color="auto" w:fill="auto"/>
            <w:vAlign w:val="center"/>
          </w:tcPr>
          <w:p w14:paraId="66C5DCE3" w14:textId="77777777" w:rsidR="00581ACA" w:rsidRPr="006F12AE" w:rsidRDefault="00581ACA" w:rsidP="00951501">
            <w:pPr>
              <w:jc w:val="center"/>
              <w:rPr>
                <w:b/>
                <w:bCs/>
                <w:color w:val="000000"/>
                <w:sz w:val="16"/>
                <w:szCs w:val="16"/>
                <w:lang w:val="es-ES_tradnl" w:eastAsia="en-CA"/>
              </w:rPr>
            </w:pPr>
          </w:p>
        </w:tc>
        <w:tc>
          <w:tcPr>
            <w:tcW w:w="522" w:type="pct"/>
            <w:tcBorders>
              <w:top w:val="single" w:sz="4" w:space="0" w:color="auto"/>
              <w:left w:val="nil"/>
              <w:bottom w:val="single" w:sz="4" w:space="0" w:color="auto"/>
              <w:right w:val="single" w:sz="4" w:space="0" w:color="auto"/>
            </w:tcBorders>
            <w:shd w:val="clear" w:color="auto" w:fill="auto"/>
            <w:vAlign w:val="center"/>
          </w:tcPr>
          <w:p w14:paraId="4FB7E7D3"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Edificio</w:t>
            </w:r>
          </w:p>
        </w:tc>
        <w:tc>
          <w:tcPr>
            <w:tcW w:w="523" w:type="pct"/>
            <w:tcBorders>
              <w:top w:val="single" w:sz="4" w:space="0" w:color="auto"/>
              <w:left w:val="nil"/>
              <w:bottom w:val="single" w:sz="4" w:space="0" w:color="auto"/>
              <w:right w:val="single" w:sz="4" w:space="0" w:color="auto"/>
            </w:tcBorders>
            <w:shd w:val="clear" w:color="auto" w:fill="auto"/>
            <w:vAlign w:val="center"/>
          </w:tcPr>
          <w:p w14:paraId="5D45710D" w14:textId="77777777" w:rsidR="00581ACA" w:rsidRPr="006F12AE" w:rsidRDefault="00581ACA" w:rsidP="00951501">
            <w:pPr>
              <w:jc w:val="center"/>
              <w:rPr>
                <w:b/>
                <w:bCs/>
                <w:color w:val="000000"/>
                <w:sz w:val="16"/>
                <w:szCs w:val="16"/>
                <w:lang w:val="es-ES_tradnl"/>
              </w:rPr>
            </w:pPr>
            <w:r w:rsidRPr="006F12AE">
              <w:rPr>
                <w:b/>
                <w:color w:val="000000"/>
                <w:sz w:val="16"/>
                <w:szCs w:val="16"/>
                <w:lang w:val="es-ES_tradnl"/>
              </w:rPr>
              <w:t>Búnker</w:t>
            </w:r>
          </w:p>
        </w:tc>
      </w:tr>
      <w:tr w:rsidR="006F12AE" w:rsidRPr="00FC6B62" w14:paraId="560E71BA" w14:textId="77777777" w:rsidTr="006F12AE">
        <w:trPr>
          <w:trHeight w:val="29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748E8F03"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Tecnología de sustitución</w:t>
            </w:r>
          </w:p>
        </w:tc>
        <w:tc>
          <w:tcPr>
            <w:tcW w:w="522" w:type="pct"/>
            <w:tcBorders>
              <w:top w:val="nil"/>
              <w:left w:val="nil"/>
              <w:bottom w:val="single" w:sz="4" w:space="0" w:color="auto"/>
              <w:right w:val="single" w:sz="4" w:space="0" w:color="auto"/>
            </w:tcBorders>
            <w:shd w:val="clear" w:color="auto" w:fill="auto"/>
            <w:noWrap/>
            <w:vAlign w:val="center"/>
            <w:hideMark/>
          </w:tcPr>
          <w:p w14:paraId="39AB3700" w14:textId="77777777" w:rsidR="006F12AE" w:rsidRPr="006F12AE" w:rsidRDefault="00581ACA" w:rsidP="006F12AE">
            <w:pPr>
              <w:jc w:val="left"/>
              <w:rPr>
                <w:color w:val="000000"/>
                <w:sz w:val="16"/>
                <w:szCs w:val="16"/>
                <w:lang w:val="es-ES_tradnl"/>
              </w:rPr>
            </w:pPr>
            <w:r w:rsidRPr="006F12AE">
              <w:rPr>
                <w:color w:val="000000"/>
                <w:sz w:val="16"/>
                <w:szCs w:val="16"/>
                <w:lang w:val="es-ES_tradnl"/>
              </w:rPr>
              <w:t>Bomba de calor de</w:t>
            </w:r>
            <w:r w:rsidR="006F12AE" w:rsidRPr="006F12AE">
              <w:rPr>
                <w:color w:val="000000"/>
                <w:sz w:val="16"/>
                <w:szCs w:val="16"/>
                <w:lang w:val="es-ES_tradnl"/>
              </w:rPr>
              <w:t xml:space="preserve"> </w:t>
            </w:r>
          </w:p>
          <w:p w14:paraId="1C1151C4" w14:textId="18100562" w:rsidR="00581ACA" w:rsidRPr="006F12AE" w:rsidRDefault="00581ACA" w:rsidP="006F12AE">
            <w:pPr>
              <w:jc w:val="left"/>
              <w:rPr>
                <w:color w:val="000000"/>
                <w:sz w:val="16"/>
                <w:szCs w:val="16"/>
                <w:lang w:val="es-ES_tradnl"/>
              </w:rPr>
            </w:pPr>
            <w:r w:rsidRPr="006F12AE">
              <w:rPr>
                <w:color w:val="000000"/>
                <w:sz w:val="16"/>
                <w:szCs w:val="16"/>
                <w:lang w:val="es-ES_tradnl"/>
              </w:rPr>
              <w:t>R-290</w:t>
            </w:r>
          </w:p>
        </w:tc>
        <w:tc>
          <w:tcPr>
            <w:tcW w:w="524" w:type="pct"/>
            <w:tcBorders>
              <w:top w:val="nil"/>
              <w:left w:val="nil"/>
              <w:bottom w:val="single" w:sz="4" w:space="0" w:color="auto"/>
              <w:right w:val="single" w:sz="4" w:space="0" w:color="auto"/>
            </w:tcBorders>
            <w:shd w:val="clear" w:color="auto" w:fill="auto"/>
            <w:noWrap/>
            <w:vAlign w:val="center"/>
            <w:hideMark/>
          </w:tcPr>
          <w:p w14:paraId="5F7A806D"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R-290</w:t>
            </w:r>
          </w:p>
        </w:tc>
        <w:tc>
          <w:tcPr>
            <w:tcW w:w="671" w:type="pct"/>
            <w:tcBorders>
              <w:top w:val="nil"/>
              <w:left w:val="nil"/>
              <w:bottom w:val="single" w:sz="4" w:space="0" w:color="auto"/>
              <w:right w:val="single" w:sz="4" w:space="0" w:color="auto"/>
            </w:tcBorders>
            <w:shd w:val="clear" w:color="auto" w:fill="auto"/>
            <w:noWrap/>
            <w:vAlign w:val="center"/>
            <w:hideMark/>
          </w:tcPr>
          <w:p w14:paraId="799DC696"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R-290</w:t>
            </w:r>
          </w:p>
        </w:tc>
        <w:tc>
          <w:tcPr>
            <w:tcW w:w="530" w:type="pct"/>
            <w:tcBorders>
              <w:top w:val="nil"/>
              <w:left w:val="nil"/>
              <w:bottom w:val="single" w:sz="4" w:space="0" w:color="auto"/>
              <w:right w:val="single" w:sz="4" w:space="0" w:color="auto"/>
            </w:tcBorders>
            <w:shd w:val="clear" w:color="auto" w:fill="auto"/>
            <w:noWrap/>
            <w:vAlign w:val="center"/>
            <w:hideMark/>
          </w:tcPr>
          <w:p w14:paraId="34D86566"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R-717</w:t>
            </w:r>
            <w:r w:rsidRPr="006F12AE">
              <w:rPr>
                <w:color w:val="000000"/>
                <w:sz w:val="16"/>
                <w:szCs w:val="16"/>
                <w:lang w:val="es-ES_tradnl"/>
              </w:rPr>
              <w:br/>
              <w:t>HFO</w:t>
            </w:r>
          </w:p>
        </w:tc>
        <w:tc>
          <w:tcPr>
            <w:tcW w:w="516" w:type="pct"/>
            <w:tcBorders>
              <w:top w:val="nil"/>
              <w:left w:val="nil"/>
              <w:bottom w:val="single" w:sz="4" w:space="0" w:color="auto"/>
              <w:right w:val="single" w:sz="4" w:space="0" w:color="auto"/>
            </w:tcBorders>
            <w:shd w:val="clear" w:color="auto" w:fill="auto"/>
            <w:noWrap/>
            <w:vAlign w:val="center"/>
            <w:hideMark/>
          </w:tcPr>
          <w:p w14:paraId="5DB15C4B" w14:textId="77777777" w:rsidR="006F12AE" w:rsidRPr="006F12AE" w:rsidRDefault="00581ACA" w:rsidP="00951501">
            <w:pPr>
              <w:jc w:val="left"/>
              <w:rPr>
                <w:color w:val="000000"/>
                <w:sz w:val="16"/>
                <w:szCs w:val="16"/>
                <w:lang w:val="es-ES_tradnl"/>
              </w:rPr>
            </w:pPr>
            <w:r w:rsidRPr="006F12AE">
              <w:rPr>
                <w:color w:val="000000"/>
                <w:sz w:val="16"/>
                <w:szCs w:val="16"/>
                <w:lang w:val="es-ES_tradnl"/>
              </w:rPr>
              <w:t>Bomba de calor de</w:t>
            </w:r>
          </w:p>
          <w:p w14:paraId="6CB6CC19" w14:textId="4C07AE2A" w:rsidR="00581ACA" w:rsidRPr="006F12AE" w:rsidRDefault="00581ACA" w:rsidP="00951501">
            <w:pPr>
              <w:jc w:val="left"/>
              <w:rPr>
                <w:color w:val="000000"/>
                <w:sz w:val="16"/>
                <w:szCs w:val="16"/>
                <w:lang w:val="es-ES_tradnl"/>
              </w:rPr>
            </w:pPr>
            <w:r w:rsidRPr="006F12AE">
              <w:rPr>
                <w:color w:val="000000"/>
                <w:sz w:val="16"/>
                <w:szCs w:val="16"/>
                <w:lang w:val="es-ES_tradnl"/>
              </w:rPr>
              <w:t>R-290</w:t>
            </w:r>
          </w:p>
        </w:tc>
        <w:tc>
          <w:tcPr>
            <w:tcW w:w="522" w:type="pct"/>
            <w:tcBorders>
              <w:top w:val="nil"/>
              <w:left w:val="nil"/>
              <w:bottom w:val="single" w:sz="4" w:space="0" w:color="auto"/>
              <w:right w:val="single" w:sz="4" w:space="0" w:color="auto"/>
            </w:tcBorders>
            <w:shd w:val="clear" w:color="auto" w:fill="auto"/>
            <w:noWrap/>
            <w:vAlign w:val="center"/>
            <w:hideMark/>
          </w:tcPr>
          <w:p w14:paraId="302F8E69" w14:textId="77777777" w:rsidR="006F12AE" w:rsidRPr="006F12AE" w:rsidRDefault="00581ACA" w:rsidP="00951501">
            <w:pPr>
              <w:jc w:val="left"/>
              <w:rPr>
                <w:color w:val="000000"/>
                <w:sz w:val="16"/>
                <w:szCs w:val="16"/>
                <w:lang w:val="es-ES_tradnl"/>
              </w:rPr>
            </w:pPr>
            <w:r w:rsidRPr="006F12AE">
              <w:rPr>
                <w:color w:val="000000"/>
                <w:sz w:val="16"/>
                <w:szCs w:val="16"/>
                <w:lang w:val="es-ES_tradnl"/>
              </w:rPr>
              <w:t>Bomba de calor de</w:t>
            </w:r>
          </w:p>
          <w:p w14:paraId="3BC0D750" w14:textId="2F6426C1" w:rsidR="00581ACA" w:rsidRPr="006F12AE" w:rsidRDefault="00581ACA" w:rsidP="00951501">
            <w:pPr>
              <w:jc w:val="left"/>
              <w:rPr>
                <w:color w:val="000000"/>
                <w:sz w:val="16"/>
                <w:szCs w:val="16"/>
                <w:lang w:val="es-ES_tradnl"/>
              </w:rPr>
            </w:pPr>
            <w:r w:rsidRPr="006F12AE">
              <w:rPr>
                <w:color w:val="000000"/>
                <w:sz w:val="16"/>
                <w:szCs w:val="16"/>
                <w:lang w:val="es-ES_tradnl"/>
              </w:rPr>
              <w:t>R-290</w:t>
            </w:r>
          </w:p>
        </w:tc>
        <w:tc>
          <w:tcPr>
            <w:tcW w:w="523" w:type="pct"/>
            <w:tcBorders>
              <w:top w:val="nil"/>
              <w:left w:val="nil"/>
              <w:bottom w:val="single" w:sz="4" w:space="0" w:color="auto"/>
              <w:right w:val="single" w:sz="4" w:space="0" w:color="auto"/>
            </w:tcBorders>
            <w:shd w:val="clear" w:color="auto" w:fill="auto"/>
            <w:noWrap/>
            <w:vAlign w:val="center"/>
            <w:hideMark/>
          </w:tcPr>
          <w:p w14:paraId="60BE905C" w14:textId="77777777" w:rsidR="006F12AE" w:rsidRPr="006F12AE" w:rsidRDefault="00581ACA" w:rsidP="00951501">
            <w:pPr>
              <w:jc w:val="left"/>
              <w:rPr>
                <w:color w:val="000000"/>
                <w:sz w:val="16"/>
                <w:szCs w:val="16"/>
                <w:lang w:val="es-ES_tradnl"/>
              </w:rPr>
            </w:pPr>
            <w:r w:rsidRPr="006F12AE">
              <w:rPr>
                <w:color w:val="000000"/>
                <w:sz w:val="16"/>
                <w:szCs w:val="16"/>
                <w:lang w:val="es-ES_tradnl"/>
              </w:rPr>
              <w:t>Bomba de calor de</w:t>
            </w:r>
          </w:p>
          <w:p w14:paraId="7010F831" w14:textId="121C3F8C" w:rsidR="00581ACA" w:rsidRPr="006F12AE" w:rsidRDefault="00581ACA" w:rsidP="00951501">
            <w:pPr>
              <w:jc w:val="left"/>
              <w:rPr>
                <w:color w:val="000000"/>
                <w:sz w:val="16"/>
                <w:szCs w:val="16"/>
                <w:lang w:val="es-ES_tradnl"/>
              </w:rPr>
            </w:pPr>
            <w:r w:rsidRPr="006F12AE">
              <w:rPr>
                <w:color w:val="000000"/>
                <w:sz w:val="16"/>
                <w:szCs w:val="16"/>
                <w:lang w:val="es-ES_tradnl"/>
              </w:rPr>
              <w:t>R-290</w:t>
            </w:r>
          </w:p>
        </w:tc>
      </w:tr>
      <w:tr w:rsidR="006F12AE" w:rsidRPr="006F12AE" w14:paraId="0B9203FA" w14:textId="77777777" w:rsidTr="006F12AE">
        <w:trPr>
          <w:trHeight w:val="29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032DC537"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Costo total ($EUA)</w:t>
            </w:r>
          </w:p>
        </w:tc>
        <w:tc>
          <w:tcPr>
            <w:tcW w:w="522" w:type="pct"/>
            <w:tcBorders>
              <w:top w:val="nil"/>
              <w:left w:val="nil"/>
              <w:bottom w:val="single" w:sz="4" w:space="0" w:color="auto"/>
              <w:right w:val="single" w:sz="4" w:space="0" w:color="auto"/>
            </w:tcBorders>
            <w:shd w:val="clear" w:color="auto" w:fill="auto"/>
            <w:noWrap/>
            <w:vAlign w:val="center"/>
            <w:hideMark/>
          </w:tcPr>
          <w:p w14:paraId="0DF37DE4"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710.000</w:t>
            </w:r>
          </w:p>
        </w:tc>
        <w:tc>
          <w:tcPr>
            <w:tcW w:w="524" w:type="pct"/>
            <w:tcBorders>
              <w:top w:val="nil"/>
              <w:left w:val="nil"/>
              <w:bottom w:val="single" w:sz="4" w:space="0" w:color="auto"/>
              <w:right w:val="single" w:sz="4" w:space="0" w:color="auto"/>
            </w:tcBorders>
            <w:shd w:val="clear" w:color="auto" w:fill="auto"/>
            <w:noWrap/>
            <w:vAlign w:val="center"/>
            <w:hideMark/>
          </w:tcPr>
          <w:p w14:paraId="51313C1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360.000</w:t>
            </w:r>
          </w:p>
        </w:tc>
        <w:tc>
          <w:tcPr>
            <w:tcW w:w="671" w:type="pct"/>
            <w:tcBorders>
              <w:top w:val="nil"/>
              <w:left w:val="nil"/>
              <w:bottom w:val="single" w:sz="4" w:space="0" w:color="auto"/>
              <w:right w:val="single" w:sz="4" w:space="0" w:color="auto"/>
            </w:tcBorders>
            <w:shd w:val="clear" w:color="auto" w:fill="auto"/>
            <w:noWrap/>
            <w:vAlign w:val="center"/>
            <w:hideMark/>
          </w:tcPr>
          <w:p w14:paraId="68DA3768"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2.020.000</w:t>
            </w:r>
          </w:p>
        </w:tc>
        <w:tc>
          <w:tcPr>
            <w:tcW w:w="530" w:type="pct"/>
            <w:tcBorders>
              <w:top w:val="nil"/>
              <w:left w:val="nil"/>
              <w:bottom w:val="single" w:sz="4" w:space="0" w:color="auto"/>
              <w:right w:val="single" w:sz="4" w:space="0" w:color="auto"/>
            </w:tcBorders>
            <w:shd w:val="clear" w:color="auto" w:fill="auto"/>
            <w:noWrap/>
            <w:vAlign w:val="center"/>
            <w:hideMark/>
          </w:tcPr>
          <w:p w14:paraId="168C8BD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820.000</w:t>
            </w:r>
          </w:p>
        </w:tc>
        <w:tc>
          <w:tcPr>
            <w:tcW w:w="516" w:type="pct"/>
            <w:tcBorders>
              <w:top w:val="nil"/>
              <w:left w:val="nil"/>
              <w:bottom w:val="single" w:sz="4" w:space="0" w:color="auto"/>
              <w:right w:val="single" w:sz="4" w:space="0" w:color="auto"/>
            </w:tcBorders>
            <w:shd w:val="clear" w:color="auto" w:fill="auto"/>
            <w:noWrap/>
            <w:vAlign w:val="center"/>
            <w:hideMark/>
          </w:tcPr>
          <w:p w14:paraId="28DC8E25"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245.000</w:t>
            </w:r>
          </w:p>
        </w:tc>
        <w:tc>
          <w:tcPr>
            <w:tcW w:w="522" w:type="pct"/>
            <w:tcBorders>
              <w:top w:val="nil"/>
              <w:left w:val="nil"/>
              <w:bottom w:val="single" w:sz="4" w:space="0" w:color="auto"/>
              <w:right w:val="single" w:sz="4" w:space="0" w:color="auto"/>
            </w:tcBorders>
            <w:shd w:val="clear" w:color="auto" w:fill="auto"/>
            <w:noWrap/>
            <w:vAlign w:val="center"/>
            <w:hideMark/>
          </w:tcPr>
          <w:p w14:paraId="3045E447"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360.000</w:t>
            </w:r>
          </w:p>
        </w:tc>
        <w:tc>
          <w:tcPr>
            <w:tcW w:w="523" w:type="pct"/>
            <w:tcBorders>
              <w:top w:val="nil"/>
              <w:left w:val="nil"/>
              <w:bottom w:val="single" w:sz="4" w:space="0" w:color="auto"/>
              <w:right w:val="single" w:sz="4" w:space="0" w:color="auto"/>
            </w:tcBorders>
            <w:shd w:val="clear" w:color="auto" w:fill="auto"/>
            <w:noWrap/>
            <w:vAlign w:val="center"/>
            <w:hideMark/>
          </w:tcPr>
          <w:p w14:paraId="0453528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535.000</w:t>
            </w:r>
          </w:p>
        </w:tc>
      </w:tr>
      <w:tr w:rsidR="00581ACA" w:rsidRPr="00FC6B62" w14:paraId="0BAE2633" w14:textId="77777777" w:rsidTr="00951501">
        <w:trPr>
          <w:trHeight w:val="290"/>
        </w:trPr>
        <w:tc>
          <w:tcPr>
            <w:tcW w:w="5000" w:type="pct"/>
            <w:gridSpan w:val="8"/>
            <w:tcBorders>
              <w:top w:val="nil"/>
              <w:left w:val="single" w:sz="4" w:space="0" w:color="auto"/>
              <w:bottom w:val="single" w:sz="4" w:space="0" w:color="auto"/>
              <w:right w:val="single" w:sz="4" w:space="0" w:color="auto"/>
            </w:tcBorders>
            <w:shd w:val="clear" w:color="auto" w:fill="auto"/>
            <w:noWrap/>
            <w:vAlign w:val="center"/>
            <w:hideMark/>
          </w:tcPr>
          <w:p w14:paraId="7BAF35C1" w14:textId="77777777" w:rsidR="00581ACA" w:rsidRPr="006F12AE" w:rsidRDefault="00581ACA" w:rsidP="00951501">
            <w:pPr>
              <w:jc w:val="left"/>
              <w:rPr>
                <w:b/>
                <w:bCs/>
                <w:i/>
                <w:iCs/>
                <w:color w:val="000000"/>
                <w:sz w:val="16"/>
                <w:szCs w:val="16"/>
                <w:lang w:val="es-ES_tradnl"/>
              </w:rPr>
            </w:pPr>
            <w:r w:rsidRPr="006F12AE">
              <w:rPr>
                <w:b/>
                <w:i/>
                <w:color w:val="000000"/>
                <w:sz w:val="16"/>
                <w:szCs w:val="16"/>
                <w:lang w:val="es-ES_tradnl"/>
              </w:rPr>
              <w:t xml:space="preserve">Ahorros de energía en refrigeración </w:t>
            </w:r>
          </w:p>
        </w:tc>
      </w:tr>
      <w:tr w:rsidR="006F12AE" w:rsidRPr="006F12AE" w14:paraId="76BCAC0F" w14:textId="77777777" w:rsidTr="006F12AE">
        <w:trPr>
          <w:trHeight w:val="137"/>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32FC3A62"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 xml:space="preserve">Coeficiente de rendimiento </w:t>
            </w:r>
          </w:p>
        </w:tc>
        <w:tc>
          <w:tcPr>
            <w:tcW w:w="522" w:type="pct"/>
            <w:tcBorders>
              <w:top w:val="nil"/>
              <w:left w:val="nil"/>
              <w:bottom w:val="single" w:sz="4" w:space="0" w:color="auto"/>
              <w:right w:val="single" w:sz="4" w:space="0" w:color="auto"/>
            </w:tcBorders>
            <w:shd w:val="clear" w:color="auto" w:fill="auto"/>
            <w:noWrap/>
            <w:vAlign w:val="center"/>
            <w:hideMark/>
          </w:tcPr>
          <w:p w14:paraId="1158A2DD"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c>
          <w:tcPr>
            <w:tcW w:w="524" w:type="pct"/>
            <w:tcBorders>
              <w:top w:val="nil"/>
              <w:left w:val="nil"/>
              <w:bottom w:val="single" w:sz="4" w:space="0" w:color="auto"/>
              <w:right w:val="single" w:sz="4" w:space="0" w:color="auto"/>
            </w:tcBorders>
            <w:shd w:val="clear" w:color="auto" w:fill="auto"/>
            <w:noWrap/>
            <w:vAlign w:val="center"/>
            <w:hideMark/>
          </w:tcPr>
          <w:p w14:paraId="106CA2E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c>
          <w:tcPr>
            <w:tcW w:w="671" w:type="pct"/>
            <w:tcBorders>
              <w:top w:val="nil"/>
              <w:left w:val="nil"/>
              <w:bottom w:val="single" w:sz="4" w:space="0" w:color="auto"/>
              <w:right w:val="single" w:sz="4" w:space="0" w:color="auto"/>
            </w:tcBorders>
            <w:shd w:val="clear" w:color="auto" w:fill="auto"/>
            <w:noWrap/>
            <w:vAlign w:val="center"/>
            <w:hideMark/>
          </w:tcPr>
          <w:p w14:paraId="32B2F8C6"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c>
          <w:tcPr>
            <w:tcW w:w="530" w:type="pct"/>
            <w:tcBorders>
              <w:top w:val="nil"/>
              <w:left w:val="nil"/>
              <w:bottom w:val="single" w:sz="4" w:space="0" w:color="auto"/>
              <w:right w:val="single" w:sz="4" w:space="0" w:color="auto"/>
            </w:tcBorders>
            <w:shd w:val="clear" w:color="auto" w:fill="auto"/>
            <w:noWrap/>
            <w:vAlign w:val="center"/>
            <w:hideMark/>
          </w:tcPr>
          <w:p w14:paraId="16FE90E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c>
          <w:tcPr>
            <w:tcW w:w="516" w:type="pct"/>
            <w:tcBorders>
              <w:top w:val="nil"/>
              <w:left w:val="nil"/>
              <w:bottom w:val="single" w:sz="4" w:space="0" w:color="auto"/>
              <w:right w:val="single" w:sz="4" w:space="0" w:color="auto"/>
            </w:tcBorders>
            <w:shd w:val="clear" w:color="auto" w:fill="auto"/>
            <w:noWrap/>
            <w:vAlign w:val="center"/>
            <w:hideMark/>
          </w:tcPr>
          <w:p w14:paraId="3F08F67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c>
          <w:tcPr>
            <w:tcW w:w="522" w:type="pct"/>
            <w:tcBorders>
              <w:top w:val="nil"/>
              <w:left w:val="nil"/>
              <w:bottom w:val="single" w:sz="4" w:space="0" w:color="auto"/>
              <w:right w:val="single" w:sz="4" w:space="0" w:color="auto"/>
            </w:tcBorders>
            <w:shd w:val="clear" w:color="auto" w:fill="auto"/>
            <w:noWrap/>
            <w:vAlign w:val="center"/>
            <w:hideMark/>
          </w:tcPr>
          <w:p w14:paraId="55E4B85B"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c>
          <w:tcPr>
            <w:tcW w:w="523" w:type="pct"/>
            <w:tcBorders>
              <w:top w:val="nil"/>
              <w:left w:val="nil"/>
              <w:bottom w:val="single" w:sz="4" w:space="0" w:color="auto"/>
              <w:right w:val="single" w:sz="4" w:space="0" w:color="auto"/>
            </w:tcBorders>
            <w:shd w:val="clear" w:color="auto" w:fill="auto"/>
            <w:noWrap/>
            <w:vAlign w:val="center"/>
            <w:hideMark/>
          </w:tcPr>
          <w:p w14:paraId="4281559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w:t>
            </w:r>
          </w:p>
        </w:tc>
      </w:tr>
      <w:tr w:rsidR="006F12AE" w:rsidRPr="006F12AE" w14:paraId="1F0953F8" w14:textId="77777777" w:rsidTr="006F12AE">
        <w:trPr>
          <w:trHeight w:val="54"/>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3F21BC7A"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kW por equipo</w:t>
            </w:r>
          </w:p>
        </w:tc>
        <w:tc>
          <w:tcPr>
            <w:tcW w:w="522" w:type="pct"/>
            <w:tcBorders>
              <w:top w:val="nil"/>
              <w:left w:val="nil"/>
              <w:bottom w:val="single" w:sz="4" w:space="0" w:color="auto"/>
              <w:right w:val="single" w:sz="4" w:space="0" w:color="auto"/>
            </w:tcBorders>
            <w:shd w:val="clear" w:color="auto" w:fill="auto"/>
            <w:noWrap/>
            <w:vAlign w:val="center"/>
            <w:hideMark/>
          </w:tcPr>
          <w:p w14:paraId="0C48661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230</w:t>
            </w:r>
          </w:p>
        </w:tc>
        <w:tc>
          <w:tcPr>
            <w:tcW w:w="524" w:type="pct"/>
            <w:tcBorders>
              <w:top w:val="nil"/>
              <w:left w:val="nil"/>
              <w:bottom w:val="single" w:sz="4" w:space="0" w:color="auto"/>
              <w:right w:val="single" w:sz="4" w:space="0" w:color="auto"/>
            </w:tcBorders>
            <w:shd w:val="clear" w:color="auto" w:fill="auto"/>
            <w:noWrap/>
            <w:vAlign w:val="center"/>
            <w:hideMark/>
          </w:tcPr>
          <w:p w14:paraId="50807A88"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230</w:t>
            </w:r>
          </w:p>
        </w:tc>
        <w:tc>
          <w:tcPr>
            <w:tcW w:w="671" w:type="pct"/>
            <w:tcBorders>
              <w:top w:val="nil"/>
              <w:left w:val="nil"/>
              <w:bottom w:val="single" w:sz="4" w:space="0" w:color="auto"/>
              <w:right w:val="single" w:sz="4" w:space="0" w:color="auto"/>
            </w:tcBorders>
            <w:shd w:val="clear" w:color="auto" w:fill="auto"/>
            <w:noWrap/>
            <w:vAlign w:val="center"/>
            <w:hideMark/>
          </w:tcPr>
          <w:p w14:paraId="6BE9A3DF"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1.900</w:t>
            </w:r>
          </w:p>
        </w:tc>
        <w:tc>
          <w:tcPr>
            <w:tcW w:w="530" w:type="pct"/>
            <w:tcBorders>
              <w:top w:val="nil"/>
              <w:left w:val="nil"/>
              <w:bottom w:val="single" w:sz="4" w:space="0" w:color="auto"/>
              <w:right w:val="single" w:sz="4" w:space="0" w:color="auto"/>
            </w:tcBorders>
            <w:shd w:val="clear" w:color="auto" w:fill="auto"/>
            <w:noWrap/>
            <w:vAlign w:val="center"/>
            <w:hideMark/>
          </w:tcPr>
          <w:p w14:paraId="7D40948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500</w:t>
            </w:r>
          </w:p>
        </w:tc>
        <w:tc>
          <w:tcPr>
            <w:tcW w:w="516" w:type="pct"/>
            <w:tcBorders>
              <w:top w:val="nil"/>
              <w:left w:val="nil"/>
              <w:bottom w:val="single" w:sz="4" w:space="0" w:color="auto"/>
              <w:right w:val="single" w:sz="4" w:space="0" w:color="auto"/>
            </w:tcBorders>
            <w:shd w:val="clear" w:color="auto" w:fill="auto"/>
            <w:noWrap/>
            <w:vAlign w:val="center"/>
            <w:hideMark/>
          </w:tcPr>
          <w:p w14:paraId="318DE15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200</w:t>
            </w:r>
          </w:p>
        </w:tc>
        <w:tc>
          <w:tcPr>
            <w:tcW w:w="522" w:type="pct"/>
            <w:tcBorders>
              <w:top w:val="nil"/>
              <w:left w:val="nil"/>
              <w:bottom w:val="single" w:sz="4" w:space="0" w:color="auto"/>
              <w:right w:val="single" w:sz="4" w:space="0" w:color="auto"/>
            </w:tcBorders>
            <w:shd w:val="clear" w:color="auto" w:fill="auto"/>
            <w:noWrap/>
            <w:vAlign w:val="center"/>
            <w:hideMark/>
          </w:tcPr>
          <w:p w14:paraId="2B09D325"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300</w:t>
            </w:r>
          </w:p>
        </w:tc>
        <w:tc>
          <w:tcPr>
            <w:tcW w:w="523" w:type="pct"/>
            <w:tcBorders>
              <w:top w:val="nil"/>
              <w:left w:val="nil"/>
              <w:bottom w:val="single" w:sz="4" w:space="0" w:color="auto"/>
              <w:right w:val="single" w:sz="4" w:space="0" w:color="auto"/>
            </w:tcBorders>
            <w:shd w:val="clear" w:color="auto" w:fill="auto"/>
            <w:noWrap/>
            <w:vAlign w:val="center"/>
            <w:hideMark/>
          </w:tcPr>
          <w:p w14:paraId="32F5E97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250</w:t>
            </w:r>
          </w:p>
        </w:tc>
      </w:tr>
      <w:tr w:rsidR="006F12AE" w:rsidRPr="006F12AE" w14:paraId="5FB20083" w14:textId="77777777" w:rsidTr="006F12AE">
        <w:trPr>
          <w:trHeight w:val="115"/>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43E7023F"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Capacidad de refrigeración (kW)</w:t>
            </w:r>
          </w:p>
        </w:tc>
        <w:tc>
          <w:tcPr>
            <w:tcW w:w="522" w:type="pct"/>
            <w:tcBorders>
              <w:top w:val="nil"/>
              <w:left w:val="nil"/>
              <w:bottom w:val="single" w:sz="4" w:space="0" w:color="auto"/>
              <w:right w:val="single" w:sz="4" w:space="0" w:color="auto"/>
            </w:tcBorders>
            <w:shd w:val="clear" w:color="auto" w:fill="auto"/>
            <w:noWrap/>
            <w:vAlign w:val="center"/>
            <w:hideMark/>
          </w:tcPr>
          <w:p w14:paraId="104E0AB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552</w:t>
            </w:r>
          </w:p>
        </w:tc>
        <w:tc>
          <w:tcPr>
            <w:tcW w:w="524" w:type="pct"/>
            <w:tcBorders>
              <w:top w:val="nil"/>
              <w:left w:val="nil"/>
              <w:bottom w:val="single" w:sz="4" w:space="0" w:color="auto"/>
              <w:right w:val="single" w:sz="4" w:space="0" w:color="auto"/>
            </w:tcBorders>
            <w:shd w:val="clear" w:color="auto" w:fill="auto"/>
            <w:noWrap/>
            <w:vAlign w:val="center"/>
            <w:hideMark/>
          </w:tcPr>
          <w:p w14:paraId="1CFE1AE6"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276</w:t>
            </w:r>
          </w:p>
        </w:tc>
        <w:tc>
          <w:tcPr>
            <w:tcW w:w="671" w:type="pct"/>
            <w:tcBorders>
              <w:top w:val="nil"/>
              <w:left w:val="nil"/>
              <w:bottom w:val="single" w:sz="4" w:space="0" w:color="auto"/>
              <w:right w:val="single" w:sz="4" w:space="0" w:color="auto"/>
            </w:tcBorders>
            <w:shd w:val="clear" w:color="auto" w:fill="auto"/>
            <w:noWrap/>
            <w:vAlign w:val="center"/>
            <w:hideMark/>
          </w:tcPr>
          <w:p w14:paraId="5B5AAC2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3.420</w:t>
            </w:r>
          </w:p>
        </w:tc>
        <w:tc>
          <w:tcPr>
            <w:tcW w:w="530" w:type="pct"/>
            <w:tcBorders>
              <w:top w:val="nil"/>
              <w:left w:val="nil"/>
              <w:bottom w:val="single" w:sz="4" w:space="0" w:color="auto"/>
              <w:right w:val="single" w:sz="4" w:space="0" w:color="auto"/>
            </w:tcBorders>
            <w:shd w:val="clear" w:color="auto" w:fill="auto"/>
            <w:noWrap/>
            <w:vAlign w:val="center"/>
            <w:hideMark/>
          </w:tcPr>
          <w:p w14:paraId="408BB374"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1.200</w:t>
            </w:r>
          </w:p>
        </w:tc>
        <w:tc>
          <w:tcPr>
            <w:tcW w:w="516" w:type="pct"/>
            <w:tcBorders>
              <w:top w:val="nil"/>
              <w:left w:val="nil"/>
              <w:bottom w:val="single" w:sz="4" w:space="0" w:color="auto"/>
              <w:right w:val="single" w:sz="4" w:space="0" w:color="auto"/>
            </w:tcBorders>
            <w:shd w:val="clear" w:color="auto" w:fill="auto"/>
            <w:noWrap/>
            <w:vAlign w:val="center"/>
            <w:hideMark/>
          </w:tcPr>
          <w:p w14:paraId="4A704E1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120</w:t>
            </w:r>
          </w:p>
        </w:tc>
        <w:tc>
          <w:tcPr>
            <w:tcW w:w="522" w:type="pct"/>
            <w:tcBorders>
              <w:top w:val="nil"/>
              <w:left w:val="nil"/>
              <w:bottom w:val="single" w:sz="4" w:space="0" w:color="auto"/>
              <w:right w:val="single" w:sz="4" w:space="0" w:color="auto"/>
            </w:tcBorders>
            <w:shd w:val="clear" w:color="auto" w:fill="auto"/>
            <w:noWrap/>
            <w:vAlign w:val="center"/>
            <w:hideMark/>
          </w:tcPr>
          <w:p w14:paraId="516FD5B7" w14:textId="77777777" w:rsidR="00581ACA" w:rsidRPr="006F12AE" w:rsidRDefault="00581ACA" w:rsidP="00951501">
            <w:pPr>
              <w:jc w:val="right"/>
              <w:rPr>
                <w:sz w:val="16"/>
                <w:szCs w:val="16"/>
                <w:lang w:val="es-ES_tradnl"/>
              </w:rPr>
            </w:pPr>
            <w:r w:rsidRPr="006F12AE">
              <w:rPr>
                <w:sz w:val="16"/>
                <w:szCs w:val="16"/>
                <w:lang w:val="es-ES_tradnl"/>
              </w:rPr>
              <w:t>360</w:t>
            </w:r>
          </w:p>
        </w:tc>
        <w:tc>
          <w:tcPr>
            <w:tcW w:w="523" w:type="pct"/>
            <w:tcBorders>
              <w:top w:val="nil"/>
              <w:left w:val="nil"/>
              <w:bottom w:val="single" w:sz="4" w:space="0" w:color="auto"/>
              <w:right w:val="single" w:sz="4" w:space="0" w:color="auto"/>
            </w:tcBorders>
            <w:shd w:val="clear" w:color="auto" w:fill="auto"/>
            <w:noWrap/>
            <w:vAlign w:val="center"/>
            <w:hideMark/>
          </w:tcPr>
          <w:p w14:paraId="4A66AAC4"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450</w:t>
            </w:r>
          </w:p>
        </w:tc>
      </w:tr>
      <w:tr w:rsidR="006F12AE" w:rsidRPr="006F12AE" w14:paraId="537ABFC0" w14:textId="77777777" w:rsidTr="006F12AE">
        <w:trPr>
          <w:trHeight w:val="47"/>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4ACA7D3A" w14:textId="480F9399" w:rsidR="00581ACA" w:rsidRPr="006F12AE" w:rsidRDefault="00774375" w:rsidP="00951501">
            <w:pPr>
              <w:jc w:val="left"/>
              <w:rPr>
                <w:color w:val="000000"/>
                <w:sz w:val="16"/>
                <w:szCs w:val="16"/>
                <w:lang w:val="es-ES_tradnl"/>
              </w:rPr>
            </w:pPr>
            <w:r>
              <w:rPr>
                <w:color w:val="000000"/>
                <w:sz w:val="16"/>
                <w:szCs w:val="16"/>
                <w:lang w:val="es-ES_tradnl"/>
              </w:rPr>
              <w:t>Carga térmica</w:t>
            </w:r>
            <w:r w:rsidR="00581ACA" w:rsidRPr="006F12AE">
              <w:rPr>
                <w:color w:val="000000"/>
                <w:sz w:val="16"/>
                <w:szCs w:val="16"/>
                <w:lang w:val="es-ES_tradnl"/>
              </w:rPr>
              <w:t xml:space="preserve"> del espacio (kW)</w:t>
            </w:r>
          </w:p>
        </w:tc>
        <w:tc>
          <w:tcPr>
            <w:tcW w:w="522" w:type="pct"/>
            <w:tcBorders>
              <w:top w:val="nil"/>
              <w:left w:val="nil"/>
              <w:bottom w:val="single" w:sz="4" w:space="0" w:color="auto"/>
              <w:right w:val="single" w:sz="4" w:space="0" w:color="auto"/>
            </w:tcBorders>
            <w:shd w:val="clear" w:color="auto" w:fill="auto"/>
            <w:noWrap/>
            <w:vAlign w:val="center"/>
            <w:hideMark/>
          </w:tcPr>
          <w:p w14:paraId="5532F987"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600</w:t>
            </w:r>
          </w:p>
        </w:tc>
        <w:tc>
          <w:tcPr>
            <w:tcW w:w="524" w:type="pct"/>
            <w:tcBorders>
              <w:top w:val="nil"/>
              <w:left w:val="nil"/>
              <w:bottom w:val="single" w:sz="4" w:space="0" w:color="auto"/>
              <w:right w:val="single" w:sz="4" w:space="0" w:color="auto"/>
            </w:tcBorders>
            <w:shd w:val="clear" w:color="auto" w:fill="auto"/>
            <w:noWrap/>
            <w:vAlign w:val="center"/>
          </w:tcPr>
          <w:p w14:paraId="1F9B999F"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vAlign w:val="center"/>
          </w:tcPr>
          <w:p w14:paraId="2F61199E"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3B20865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600</w:t>
            </w:r>
          </w:p>
        </w:tc>
        <w:tc>
          <w:tcPr>
            <w:tcW w:w="516" w:type="pct"/>
            <w:tcBorders>
              <w:top w:val="nil"/>
              <w:left w:val="nil"/>
              <w:bottom w:val="single" w:sz="4" w:space="0" w:color="auto"/>
              <w:right w:val="single" w:sz="4" w:space="0" w:color="auto"/>
            </w:tcBorders>
            <w:shd w:val="clear" w:color="auto" w:fill="auto"/>
            <w:noWrap/>
            <w:vAlign w:val="center"/>
          </w:tcPr>
          <w:p w14:paraId="69CF4798"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4FFA79B2" w14:textId="77777777" w:rsidR="00581ACA" w:rsidRPr="006F12AE" w:rsidRDefault="00581ACA" w:rsidP="00951501">
            <w:pPr>
              <w:jc w:val="right"/>
              <w:rPr>
                <w:sz w:val="16"/>
                <w:szCs w:val="16"/>
                <w:lang w:val="es-ES_tradnl"/>
              </w:rPr>
            </w:pPr>
            <w:r w:rsidRPr="006F12AE">
              <w:rPr>
                <w:sz w:val="16"/>
                <w:szCs w:val="16"/>
                <w:lang w:val="es-ES_tradnl"/>
              </w:rPr>
              <w:t>300</w:t>
            </w:r>
          </w:p>
        </w:tc>
        <w:tc>
          <w:tcPr>
            <w:tcW w:w="523" w:type="pct"/>
            <w:tcBorders>
              <w:top w:val="nil"/>
              <w:left w:val="nil"/>
              <w:bottom w:val="single" w:sz="4" w:space="0" w:color="auto"/>
              <w:right w:val="single" w:sz="4" w:space="0" w:color="auto"/>
            </w:tcBorders>
            <w:shd w:val="clear" w:color="auto" w:fill="auto"/>
            <w:noWrap/>
            <w:vAlign w:val="center"/>
          </w:tcPr>
          <w:p w14:paraId="571B7595" w14:textId="77777777" w:rsidR="00581ACA" w:rsidRPr="006F12AE" w:rsidRDefault="00581ACA" w:rsidP="00951501">
            <w:pPr>
              <w:jc w:val="right"/>
              <w:rPr>
                <w:color w:val="000000"/>
                <w:sz w:val="16"/>
                <w:szCs w:val="16"/>
                <w:lang w:val="es-ES_tradnl" w:eastAsia="en-CA"/>
              </w:rPr>
            </w:pPr>
          </w:p>
        </w:tc>
      </w:tr>
      <w:tr w:rsidR="006F12AE" w:rsidRPr="006F12AE" w14:paraId="0E2A5828"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271B14CC"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Capacidad de agua caliente (kW)</w:t>
            </w:r>
          </w:p>
        </w:tc>
        <w:tc>
          <w:tcPr>
            <w:tcW w:w="522" w:type="pct"/>
            <w:tcBorders>
              <w:top w:val="nil"/>
              <w:left w:val="nil"/>
              <w:bottom w:val="single" w:sz="4" w:space="0" w:color="auto"/>
              <w:right w:val="single" w:sz="4" w:space="0" w:color="auto"/>
            </w:tcBorders>
            <w:shd w:val="clear" w:color="auto" w:fill="auto"/>
            <w:noWrap/>
            <w:vAlign w:val="center"/>
            <w:hideMark/>
          </w:tcPr>
          <w:p w14:paraId="54F9AD1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100</w:t>
            </w:r>
          </w:p>
        </w:tc>
        <w:tc>
          <w:tcPr>
            <w:tcW w:w="524" w:type="pct"/>
            <w:tcBorders>
              <w:top w:val="nil"/>
              <w:left w:val="nil"/>
              <w:bottom w:val="single" w:sz="4" w:space="0" w:color="auto"/>
              <w:right w:val="single" w:sz="4" w:space="0" w:color="auto"/>
            </w:tcBorders>
            <w:shd w:val="clear" w:color="auto" w:fill="auto"/>
            <w:noWrap/>
            <w:vAlign w:val="center"/>
          </w:tcPr>
          <w:p w14:paraId="097293DE"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vAlign w:val="center"/>
          </w:tcPr>
          <w:p w14:paraId="0B9F61D3"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7C789BA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100</w:t>
            </w:r>
          </w:p>
        </w:tc>
        <w:tc>
          <w:tcPr>
            <w:tcW w:w="516" w:type="pct"/>
            <w:tcBorders>
              <w:top w:val="nil"/>
              <w:left w:val="nil"/>
              <w:bottom w:val="single" w:sz="4" w:space="0" w:color="auto"/>
              <w:right w:val="single" w:sz="4" w:space="0" w:color="auto"/>
            </w:tcBorders>
            <w:shd w:val="clear" w:color="auto" w:fill="auto"/>
            <w:noWrap/>
            <w:vAlign w:val="center"/>
          </w:tcPr>
          <w:p w14:paraId="39F7C110"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70B65E99" w14:textId="77777777" w:rsidR="00581ACA" w:rsidRPr="006F12AE" w:rsidRDefault="00581ACA" w:rsidP="00951501">
            <w:pPr>
              <w:jc w:val="right"/>
              <w:rPr>
                <w:sz w:val="16"/>
                <w:szCs w:val="16"/>
                <w:lang w:val="es-ES_tradnl"/>
              </w:rPr>
            </w:pPr>
            <w:r w:rsidRPr="006F12AE">
              <w:rPr>
                <w:sz w:val="16"/>
                <w:szCs w:val="16"/>
                <w:lang w:val="es-ES_tradnl"/>
              </w:rPr>
              <w:t>100</w:t>
            </w:r>
          </w:p>
        </w:tc>
        <w:tc>
          <w:tcPr>
            <w:tcW w:w="523" w:type="pct"/>
            <w:tcBorders>
              <w:top w:val="nil"/>
              <w:left w:val="nil"/>
              <w:bottom w:val="single" w:sz="4" w:space="0" w:color="auto"/>
              <w:right w:val="single" w:sz="4" w:space="0" w:color="auto"/>
            </w:tcBorders>
            <w:shd w:val="clear" w:color="auto" w:fill="auto"/>
            <w:noWrap/>
            <w:vAlign w:val="center"/>
          </w:tcPr>
          <w:p w14:paraId="1F5800FB" w14:textId="77777777" w:rsidR="00581ACA" w:rsidRPr="006F12AE" w:rsidRDefault="00581ACA" w:rsidP="00951501">
            <w:pPr>
              <w:jc w:val="right"/>
              <w:rPr>
                <w:color w:val="000000"/>
                <w:sz w:val="16"/>
                <w:szCs w:val="16"/>
                <w:lang w:val="es-ES_tradnl" w:eastAsia="en-CA"/>
              </w:rPr>
            </w:pPr>
          </w:p>
        </w:tc>
      </w:tr>
      <w:tr w:rsidR="006F12AE" w:rsidRPr="006F12AE" w14:paraId="518AEEBC"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0984A823"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Capacidad de vapor (kW)</w:t>
            </w:r>
          </w:p>
        </w:tc>
        <w:tc>
          <w:tcPr>
            <w:tcW w:w="522" w:type="pct"/>
            <w:tcBorders>
              <w:top w:val="nil"/>
              <w:left w:val="nil"/>
              <w:bottom w:val="single" w:sz="4" w:space="0" w:color="auto"/>
              <w:right w:val="single" w:sz="4" w:space="0" w:color="auto"/>
            </w:tcBorders>
            <w:shd w:val="clear" w:color="auto" w:fill="auto"/>
            <w:noWrap/>
            <w:vAlign w:val="center"/>
            <w:hideMark/>
          </w:tcPr>
          <w:p w14:paraId="413303A2" w14:textId="77777777" w:rsidR="00581ACA" w:rsidRPr="006F12AE" w:rsidRDefault="00581ACA" w:rsidP="00951501">
            <w:pPr>
              <w:jc w:val="right"/>
              <w:rPr>
                <w:color w:val="000000"/>
                <w:sz w:val="16"/>
                <w:szCs w:val="16"/>
                <w:lang w:val="es-ES_tradnl" w:eastAsia="en-CA"/>
              </w:rPr>
            </w:pPr>
          </w:p>
        </w:tc>
        <w:tc>
          <w:tcPr>
            <w:tcW w:w="524" w:type="pct"/>
            <w:tcBorders>
              <w:top w:val="nil"/>
              <w:left w:val="nil"/>
              <w:bottom w:val="single" w:sz="4" w:space="0" w:color="auto"/>
              <w:right w:val="single" w:sz="4" w:space="0" w:color="auto"/>
            </w:tcBorders>
            <w:shd w:val="clear" w:color="auto" w:fill="auto"/>
            <w:noWrap/>
            <w:vAlign w:val="center"/>
          </w:tcPr>
          <w:p w14:paraId="5D1F2B2D"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vAlign w:val="center"/>
          </w:tcPr>
          <w:p w14:paraId="0FC84893"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1194E01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100</w:t>
            </w:r>
          </w:p>
        </w:tc>
        <w:tc>
          <w:tcPr>
            <w:tcW w:w="516" w:type="pct"/>
            <w:tcBorders>
              <w:top w:val="nil"/>
              <w:left w:val="nil"/>
              <w:bottom w:val="single" w:sz="4" w:space="0" w:color="auto"/>
              <w:right w:val="single" w:sz="4" w:space="0" w:color="auto"/>
            </w:tcBorders>
            <w:shd w:val="clear" w:color="auto" w:fill="auto"/>
            <w:noWrap/>
            <w:vAlign w:val="center"/>
          </w:tcPr>
          <w:p w14:paraId="17664833"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49EC7E94" w14:textId="77777777" w:rsidR="00581ACA" w:rsidRPr="006F12AE" w:rsidRDefault="00581ACA" w:rsidP="00951501">
            <w:pPr>
              <w:jc w:val="right"/>
              <w:rPr>
                <w:color w:val="000000"/>
                <w:sz w:val="16"/>
                <w:szCs w:val="16"/>
                <w:lang w:val="es-ES_tradnl" w:eastAsia="en-CA"/>
              </w:rPr>
            </w:pPr>
          </w:p>
        </w:tc>
        <w:tc>
          <w:tcPr>
            <w:tcW w:w="523" w:type="pct"/>
            <w:tcBorders>
              <w:top w:val="nil"/>
              <w:left w:val="nil"/>
              <w:bottom w:val="single" w:sz="4" w:space="0" w:color="auto"/>
              <w:right w:val="single" w:sz="4" w:space="0" w:color="auto"/>
            </w:tcBorders>
            <w:shd w:val="clear" w:color="auto" w:fill="auto"/>
            <w:noWrap/>
            <w:vAlign w:val="center"/>
          </w:tcPr>
          <w:p w14:paraId="10C0DA7F" w14:textId="77777777" w:rsidR="00581ACA" w:rsidRPr="006F12AE" w:rsidRDefault="00581ACA" w:rsidP="00951501">
            <w:pPr>
              <w:jc w:val="right"/>
              <w:rPr>
                <w:color w:val="000000"/>
                <w:sz w:val="16"/>
                <w:szCs w:val="16"/>
                <w:lang w:val="es-ES_tradnl" w:eastAsia="en-CA"/>
              </w:rPr>
            </w:pPr>
          </w:p>
        </w:tc>
      </w:tr>
      <w:tr w:rsidR="006F12AE" w:rsidRPr="006F12AE" w14:paraId="76698D77"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59F58FC4"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Energía de refrigeración (kWh/año)</w:t>
            </w:r>
          </w:p>
        </w:tc>
        <w:tc>
          <w:tcPr>
            <w:tcW w:w="522" w:type="pct"/>
            <w:tcBorders>
              <w:top w:val="nil"/>
              <w:left w:val="nil"/>
              <w:bottom w:val="single" w:sz="4" w:space="0" w:color="auto"/>
              <w:right w:val="single" w:sz="4" w:space="0" w:color="auto"/>
            </w:tcBorders>
            <w:shd w:val="clear" w:color="auto" w:fill="auto"/>
            <w:noWrap/>
            <w:vAlign w:val="center"/>
            <w:hideMark/>
          </w:tcPr>
          <w:p w14:paraId="3C993A8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1.151.314</w:t>
            </w:r>
          </w:p>
        </w:tc>
        <w:tc>
          <w:tcPr>
            <w:tcW w:w="524" w:type="pct"/>
            <w:tcBorders>
              <w:top w:val="nil"/>
              <w:left w:val="nil"/>
              <w:bottom w:val="single" w:sz="4" w:space="0" w:color="auto"/>
              <w:right w:val="single" w:sz="4" w:space="0" w:color="auto"/>
            </w:tcBorders>
            <w:shd w:val="clear" w:color="auto" w:fill="auto"/>
            <w:noWrap/>
            <w:vAlign w:val="center"/>
            <w:hideMark/>
          </w:tcPr>
          <w:p w14:paraId="5D663AB5"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575.657</w:t>
            </w:r>
          </w:p>
        </w:tc>
        <w:tc>
          <w:tcPr>
            <w:tcW w:w="671" w:type="pct"/>
            <w:tcBorders>
              <w:top w:val="nil"/>
              <w:left w:val="nil"/>
              <w:bottom w:val="single" w:sz="4" w:space="0" w:color="auto"/>
              <w:right w:val="single" w:sz="4" w:space="0" w:color="auto"/>
            </w:tcBorders>
            <w:shd w:val="clear" w:color="auto" w:fill="auto"/>
            <w:noWrap/>
            <w:vAlign w:val="center"/>
            <w:hideMark/>
          </w:tcPr>
          <w:p w14:paraId="35E7156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7.133.143</w:t>
            </w:r>
          </w:p>
        </w:tc>
        <w:tc>
          <w:tcPr>
            <w:tcW w:w="530" w:type="pct"/>
            <w:tcBorders>
              <w:top w:val="nil"/>
              <w:left w:val="nil"/>
              <w:bottom w:val="single" w:sz="4" w:space="0" w:color="auto"/>
              <w:right w:val="single" w:sz="4" w:space="0" w:color="auto"/>
            </w:tcBorders>
            <w:shd w:val="clear" w:color="auto" w:fill="auto"/>
            <w:noWrap/>
            <w:vAlign w:val="center"/>
            <w:hideMark/>
          </w:tcPr>
          <w:p w14:paraId="7D2D26F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2.502.857</w:t>
            </w:r>
          </w:p>
        </w:tc>
        <w:tc>
          <w:tcPr>
            <w:tcW w:w="516" w:type="pct"/>
            <w:tcBorders>
              <w:top w:val="nil"/>
              <w:left w:val="nil"/>
              <w:bottom w:val="single" w:sz="4" w:space="0" w:color="auto"/>
              <w:right w:val="single" w:sz="4" w:space="0" w:color="auto"/>
            </w:tcBorders>
            <w:shd w:val="clear" w:color="auto" w:fill="auto"/>
            <w:noWrap/>
            <w:vAlign w:val="center"/>
            <w:hideMark/>
          </w:tcPr>
          <w:p w14:paraId="483C0EE5"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250.286</w:t>
            </w:r>
          </w:p>
        </w:tc>
        <w:tc>
          <w:tcPr>
            <w:tcW w:w="522" w:type="pct"/>
            <w:tcBorders>
              <w:top w:val="nil"/>
              <w:left w:val="nil"/>
              <w:bottom w:val="single" w:sz="4" w:space="0" w:color="auto"/>
              <w:right w:val="single" w:sz="4" w:space="0" w:color="auto"/>
            </w:tcBorders>
            <w:shd w:val="clear" w:color="auto" w:fill="auto"/>
            <w:noWrap/>
            <w:vAlign w:val="center"/>
            <w:hideMark/>
          </w:tcPr>
          <w:p w14:paraId="4314402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750.857</w:t>
            </w:r>
          </w:p>
        </w:tc>
        <w:tc>
          <w:tcPr>
            <w:tcW w:w="523" w:type="pct"/>
            <w:tcBorders>
              <w:top w:val="nil"/>
              <w:left w:val="nil"/>
              <w:bottom w:val="single" w:sz="4" w:space="0" w:color="auto"/>
              <w:right w:val="single" w:sz="4" w:space="0" w:color="auto"/>
            </w:tcBorders>
            <w:shd w:val="clear" w:color="auto" w:fill="auto"/>
            <w:noWrap/>
            <w:vAlign w:val="center"/>
            <w:hideMark/>
          </w:tcPr>
          <w:p w14:paraId="7AED232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938.571</w:t>
            </w:r>
          </w:p>
        </w:tc>
      </w:tr>
      <w:tr w:rsidR="006F12AE" w:rsidRPr="006F12AE" w14:paraId="4D0E5E2E"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4A64FE66"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Ahorros estimados (%)</w:t>
            </w:r>
          </w:p>
        </w:tc>
        <w:tc>
          <w:tcPr>
            <w:tcW w:w="522" w:type="pct"/>
            <w:tcBorders>
              <w:top w:val="nil"/>
              <w:left w:val="nil"/>
              <w:bottom w:val="single" w:sz="4" w:space="0" w:color="auto"/>
              <w:right w:val="single" w:sz="4" w:space="0" w:color="auto"/>
            </w:tcBorders>
            <w:shd w:val="clear" w:color="auto" w:fill="auto"/>
            <w:noWrap/>
            <w:vAlign w:val="center"/>
            <w:hideMark/>
          </w:tcPr>
          <w:p w14:paraId="1F8065C0"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524" w:type="pct"/>
            <w:tcBorders>
              <w:top w:val="nil"/>
              <w:left w:val="nil"/>
              <w:bottom w:val="single" w:sz="4" w:space="0" w:color="auto"/>
              <w:right w:val="single" w:sz="4" w:space="0" w:color="auto"/>
            </w:tcBorders>
            <w:shd w:val="clear" w:color="auto" w:fill="auto"/>
            <w:noWrap/>
            <w:vAlign w:val="center"/>
            <w:hideMark/>
          </w:tcPr>
          <w:p w14:paraId="1BCC304C"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671" w:type="pct"/>
            <w:tcBorders>
              <w:top w:val="nil"/>
              <w:left w:val="nil"/>
              <w:bottom w:val="single" w:sz="4" w:space="0" w:color="auto"/>
              <w:right w:val="single" w:sz="4" w:space="0" w:color="auto"/>
            </w:tcBorders>
            <w:shd w:val="clear" w:color="auto" w:fill="auto"/>
            <w:noWrap/>
            <w:vAlign w:val="center"/>
            <w:hideMark/>
          </w:tcPr>
          <w:p w14:paraId="03659A45"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530" w:type="pct"/>
            <w:tcBorders>
              <w:top w:val="nil"/>
              <w:left w:val="nil"/>
              <w:bottom w:val="single" w:sz="4" w:space="0" w:color="auto"/>
              <w:right w:val="single" w:sz="4" w:space="0" w:color="auto"/>
            </w:tcBorders>
            <w:shd w:val="clear" w:color="auto" w:fill="auto"/>
            <w:noWrap/>
            <w:vAlign w:val="center"/>
            <w:hideMark/>
          </w:tcPr>
          <w:p w14:paraId="6BDC078E"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516" w:type="pct"/>
            <w:tcBorders>
              <w:top w:val="nil"/>
              <w:left w:val="nil"/>
              <w:bottom w:val="single" w:sz="4" w:space="0" w:color="auto"/>
              <w:right w:val="single" w:sz="4" w:space="0" w:color="auto"/>
            </w:tcBorders>
            <w:shd w:val="clear" w:color="auto" w:fill="auto"/>
            <w:noWrap/>
            <w:vAlign w:val="center"/>
            <w:hideMark/>
          </w:tcPr>
          <w:p w14:paraId="731ABF27"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522" w:type="pct"/>
            <w:tcBorders>
              <w:top w:val="nil"/>
              <w:left w:val="nil"/>
              <w:bottom w:val="single" w:sz="4" w:space="0" w:color="auto"/>
              <w:right w:val="single" w:sz="4" w:space="0" w:color="auto"/>
            </w:tcBorders>
            <w:shd w:val="clear" w:color="auto" w:fill="auto"/>
            <w:noWrap/>
            <w:vAlign w:val="center"/>
            <w:hideMark/>
          </w:tcPr>
          <w:p w14:paraId="64244303"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523" w:type="pct"/>
            <w:tcBorders>
              <w:top w:val="nil"/>
              <w:left w:val="nil"/>
              <w:bottom w:val="single" w:sz="4" w:space="0" w:color="auto"/>
              <w:right w:val="single" w:sz="4" w:space="0" w:color="auto"/>
            </w:tcBorders>
            <w:shd w:val="clear" w:color="auto" w:fill="auto"/>
            <w:noWrap/>
            <w:vAlign w:val="center"/>
            <w:hideMark/>
          </w:tcPr>
          <w:p w14:paraId="5E2BB011"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r>
      <w:tr w:rsidR="006F12AE" w:rsidRPr="006F12AE" w14:paraId="2EF2C473" w14:textId="77777777" w:rsidTr="006F12AE">
        <w:trPr>
          <w:trHeight w:val="91"/>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3B3FFB07" w14:textId="4328852D" w:rsidR="00581ACA" w:rsidRPr="006F12AE" w:rsidRDefault="00581ACA" w:rsidP="00951501">
            <w:pPr>
              <w:jc w:val="left"/>
              <w:rPr>
                <w:b/>
                <w:bCs/>
                <w:color w:val="000000"/>
                <w:sz w:val="16"/>
                <w:szCs w:val="16"/>
                <w:lang w:val="es-ES_tradnl"/>
              </w:rPr>
            </w:pPr>
            <w:r w:rsidRPr="006F12AE">
              <w:rPr>
                <w:b/>
                <w:color w:val="000000"/>
                <w:sz w:val="16"/>
                <w:szCs w:val="16"/>
                <w:lang w:val="es-ES_tradnl"/>
              </w:rPr>
              <w:t>Ahorro</w:t>
            </w:r>
            <w:r w:rsidR="00774375">
              <w:rPr>
                <w:b/>
                <w:color w:val="000000"/>
                <w:sz w:val="16"/>
                <w:szCs w:val="16"/>
                <w:lang w:val="es-ES_tradnl"/>
              </w:rPr>
              <w:t>s</w:t>
            </w:r>
            <w:r w:rsidRPr="006F12AE">
              <w:rPr>
                <w:b/>
                <w:color w:val="000000"/>
                <w:sz w:val="16"/>
                <w:szCs w:val="16"/>
                <w:lang w:val="es-ES_tradnl"/>
              </w:rPr>
              <w:t xml:space="preserve"> </w:t>
            </w:r>
            <w:r w:rsidR="00774375">
              <w:rPr>
                <w:b/>
                <w:color w:val="000000"/>
                <w:sz w:val="16"/>
                <w:szCs w:val="16"/>
                <w:lang w:val="es-ES_tradnl"/>
              </w:rPr>
              <w:t>de</w:t>
            </w:r>
            <w:r w:rsidRPr="006F12AE">
              <w:rPr>
                <w:b/>
                <w:color w:val="000000"/>
                <w:sz w:val="16"/>
                <w:szCs w:val="16"/>
                <w:lang w:val="es-ES_tradnl"/>
              </w:rPr>
              <w:t xml:space="preserve"> refrigeración (kWh/año)</w:t>
            </w:r>
          </w:p>
        </w:tc>
        <w:tc>
          <w:tcPr>
            <w:tcW w:w="522" w:type="pct"/>
            <w:tcBorders>
              <w:top w:val="nil"/>
              <w:left w:val="nil"/>
              <w:bottom w:val="single" w:sz="4" w:space="0" w:color="auto"/>
              <w:right w:val="single" w:sz="4" w:space="0" w:color="auto"/>
            </w:tcBorders>
            <w:shd w:val="clear" w:color="auto" w:fill="auto"/>
            <w:noWrap/>
            <w:vAlign w:val="center"/>
            <w:hideMark/>
          </w:tcPr>
          <w:p w14:paraId="208E2019"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345.394</w:t>
            </w:r>
          </w:p>
        </w:tc>
        <w:tc>
          <w:tcPr>
            <w:tcW w:w="524" w:type="pct"/>
            <w:tcBorders>
              <w:top w:val="nil"/>
              <w:left w:val="nil"/>
              <w:bottom w:val="single" w:sz="4" w:space="0" w:color="auto"/>
              <w:right w:val="single" w:sz="4" w:space="0" w:color="auto"/>
            </w:tcBorders>
            <w:shd w:val="clear" w:color="auto" w:fill="auto"/>
            <w:noWrap/>
            <w:vAlign w:val="center"/>
            <w:hideMark/>
          </w:tcPr>
          <w:p w14:paraId="07722FC9"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172.697</w:t>
            </w:r>
          </w:p>
        </w:tc>
        <w:tc>
          <w:tcPr>
            <w:tcW w:w="671" w:type="pct"/>
            <w:tcBorders>
              <w:top w:val="nil"/>
              <w:left w:val="nil"/>
              <w:bottom w:val="single" w:sz="4" w:space="0" w:color="auto"/>
              <w:right w:val="single" w:sz="4" w:space="0" w:color="auto"/>
            </w:tcBorders>
            <w:shd w:val="clear" w:color="auto" w:fill="auto"/>
            <w:noWrap/>
            <w:vAlign w:val="center"/>
            <w:hideMark/>
          </w:tcPr>
          <w:p w14:paraId="429FD72F"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2.139.943</w:t>
            </w:r>
          </w:p>
        </w:tc>
        <w:tc>
          <w:tcPr>
            <w:tcW w:w="530" w:type="pct"/>
            <w:tcBorders>
              <w:top w:val="nil"/>
              <w:left w:val="nil"/>
              <w:bottom w:val="single" w:sz="4" w:space="0" w:color="auto"/>
              <w:right w:val="single" w:sz="4" w:space="0" w:color="auto"/>
            </w:tcBorders>
            <w:shd w:val="clear" w:color="auto" w:fill="auto"/>
            <w:noWrap/>
            <w:vAlign w:val="center"/>
            <w:hideMark/>
          </w:tcPr>
          <w:p w14:paraId="090F0383"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750.857</w:t>
            </w:r>
          </w:p>
        </w:tc>
        <w:tc>
          <w:tcPr>
            <w:tcW w:w="516" w:type="pct"/>
            <w:tcBorders>
              <w:top w:val="nil"/>
              <w:left w:val="nil"/>
              <w:bottom w:val="single" w:sz="4" w:space="0" w:color="auto"/>
              <w:right w:val="single" w:sz="4" w:space="0" w:color="auto"/>
            </w:tcBorders>
            <w:shd w:val="clear" w:color="auto" w:fill="auto"/>
            <w:noWrap/>
            <w:vAlign w:val="center"/>
            <w:hideMark/>
          </w:tcPr>
          <w:p w14:paraId="20067F79"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75.086</w:t>
            </w:r>
          </w:p>
        </w:tc>
        <w:tc>
          <w:tcPr>
            <w:tcW w:w="522" w:type="pct"/>
            <w:tcBorders>
              <w:top w:val="nil"/>
              <w:left w:val="nil"/>
              <w:bottom w:val="single" w:sz="4" w:space="0" w:color="auto"/>
              <w:right w:val="single" w:sz="4" w:space="0" w:color="auto"/>
            </w:tcBorders>
            <w:shd w:val="clear" w:color="auto" w:fill="auto"/>
            <w:noWrap/>
            <w:vAlign w:val="center"/>
            <w:hideMark/>
          </w:tcPr>
          <w:p w14:paraId="3455185A"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225.257</w:t>
            </w:r>
          </w:p>
        </w:tc>
        <w:tc>
          <w:tcPr>
            <w:tcW w:w="523" w:type="pct"/>
            <w:tcBorders>
              <w:top w:val="nil"/>
              <w:left w:val="nil"/>
              <w:bottom w:val="single" w:sz="4" w:space="0" w:color="auto"/>
              <w:right w:val="single" w:sz="4" w:space="0" w:color="auto"/>
            </w:tcBorders>
            <w:shd w:val="clear" w:color="auto" w:fill="auto"/>
            <w:noWrap/>
            <w:vAlign w:val="center"/>
            <w:hideMark/>
          </w:tcPr>
          <w:p w14:paraId="3F9414E7"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281.571</w:t>
            </w:r>
          </w:p>
        </w:tc>
      </w:tr>
      <w:tr w:rsidR="006F12AE" w:rsidRPr="006F12AE" w14:paraId="0E8DD98E"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32674426"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$EUA/kWh</w:t>
            </w:r>
          </w:p>
        </w:tc>
        <w:tc>
          <w:tcPr>
            <w:tcW w:w="522" w:type="pct"/>
            <w:tcBorders>
              <w:top w:val="nil"/>
              <w:left w:val="nil"/>
              <w:bottom w:val="single" w:sz="4" w:space="0" w:color="auto"/>
              <w:right w:val="single" w:sz="4" w:space="0" w:color="auto"/>
            </w:tcBorders>
            <w:shd w:val="clear" w:color="auto" w:fill="auto"/>
            <w:vAlign w:val="center"/>
            <w:hideMark/>
          </w:tcPr>
          <w:p w14:paraId="3EAE2D8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2,06</w:t>
            </w:r>
          </w:p>
        </w:tc>
        <w:tc>
          <w:tcPr>
            <w:tcW w:w="524" w:type="pct"/>
            <w:tcBorders>
              <w:top w:val="nil"/>
              <w:left w:val="nil"/>
              <w:bottom w:val="single" w:sz="4" w:space="0" w:color="auto"/>
              <w:right w:val="single" w:sz="4" w:space="0" w:color="auto"/>
            </w:tcBorders>
            <w:shd w:val="clear" w:color="auto" w:fill="auto"/>
            <w:vAlign w:val="center"/>
            <w:hideMark/>
          </w:tcPr>
          <w:p w14:paraId="3B14CDE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2,08</w:t>
            </w:r>
          </w:p>
        </w:tc>
        <w:tc>
          <w:tcPr>
            <w:tcW w:w="671" w:type="pct"/>
            <w:tcBorders>
              <w:top w:val="nil"/>
              <w:left w:val="nil"/>
              <w:bottom w:val="single" w:sz="4" w:space="0" w:color="auto"/>
              <w:right w:val="single" w:sz="4" w:space="0" w:color="auto"/>
            </w:tcBorders>
            <w:shd w:val="clear" w:color="auto" w:fill="auto"/>
            <w:vAlign w:val="center"/>
            <w:hideMark/>
          </w:tcPr>
          <w:p w14:paraId="282C3CE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0,94</w:t>
            </w:r>
          </w:p>
        </w:tc>
        <w:tc>
          <w:tcPr>
            <w:tcW w:w="530" w:type="pct"/>
            <w:tcBorders>
              <w:top w:val="nil"/>
              <w:left w:val="nil"/>
              <w:bottom w:val="single" w:sz="4" w:space="0" w:color="auto"/>
              <w:right w:val="single" w:sz="4" w:space="0" w:color="auto"/>
            </w:tcBorders>
            <w:shd w:val="clear" w:color="auto" w:fill="auto"/>
            <w:vAlign w:val="center"/>
            <w:hideMark/>
          </w:tcPr>
          <w:p w14:paraId="442890C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1,09</w:t>
            </w:r>
          </w:p>
        </w:tc>
        <w:tc>
          <w:tcPr>
            <w:tcW w:w="516" w:type="pct"/>
            <w:tcBorders>
              <w:top w:val="nil"/>
              <w:left w:val="nil"/>
              <w:bottom w:val="single" w:sz="4" w:space="0" w:color="auto"/>
              <w:right w:val="single" w:sz="4" w:space="0" w:color="auto"/>
            </w:tcBorders>
            <w:shd w:val="clear" w:color="auto" w:fill="auto"/>
            <w:vAlign w:val="center"/>
            <w:hideMark/>
          </w:tcPr>
          <w:p w14:paraId="6346101B"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3,26</w:t>
            </w:r>
          </w:p>
        </w:tc>
        <w:tc>
          <w:tcPr>
            <w:tcW w:w="522" w:type="pct"/>
            <w:tcBorders>
              <w:top w:val="nil"/>
              <w:left w:val="nil"/>
              <w:bottom w:val="single" w:sz="4" w:space="0" w:color="auto"/>
              <w:right w:val="single" w:sz="4" w:space="0" w:color="auto"/>
            </w:tcBorders>
            <w:shd w:val="clear" w:color="auto" w:fill="auto"/>
            <w:vAlign w:val="center"/>
            <w:hideMark/>
          </w:tcPr>
          <w:p w14:paraId="11E4CD67"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1,60</w:t>
            </w:r>
          </w:p>
        </w:tc>
        <w:tc>
          <w:tcPr>
            <w:tcW w:w="523" w:type="pct"/>
            <w:tcBorders>
              <w:top w:val="nil"/>
              <w:left w:val="nil"/>
              <w:bottom w:val="single" w:sz="4" w:space="0" w:color="auto"/>
              <w:right w:val="single" w:sz="4" w:space="0" w:color="auto"/>
            </w:tcBorders>
            <w:shd w:val="clear" w:color="auto" w:fill="auto"/>
            <w:vAlign w:val="center"/>
            <w:hideMark/>
          </w:tcPr>
          <w:p w14:paraId="11A8A9F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1,90</w:t>
            </w:r>
          </w:p>
        </w:tc>
      </w:tr>
      <w:tr w:rsidR="00581ACA" w:rsidRPr="00FC6B62" w14:paraId="0E0D1532" w14:textId="77777777" w:rsidTr="00951501">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FC81E" w14:textId="77777777" w:rsidR="00581ACA" w:rsidRPr="006F12AE" w:rsidRDefault="00581ACA" w:rsidP="00951501">
            <w:pPr>
              <w:jc w:val="left"/>
              <w:rPr>
                <w:b/>
                <w:bCs/>
                <w:i/>
                <w:iCs/>
                <w:color w:val="000000"/>
                <w:sz w:val="16"/>
                <w:szCs w:val="16"/>
                <w:lang w:val="es-ES_tradnl"/>
              </w:rPr>
            </w:pPr>
            <w:r w:rsidRPr="006F12AE">
              <w:rPr>
                <w:b/>
                <w:i/>
                <w:color w:val="000000"/>
                <w:sz w:val="16"/>
                <w:szCs w:val="16"/>
                <w:lang w:val="es-ES_tradnl"/>
              </w:rPr>
              <w:t>Ahorro energético en recuperación de calor</w:t>
            </w:r>
          </w:p>
        </w:tc>
      </w:tr>
      <w:tr w:rsidR="006F12AE" w:rsidRPr="006F12AE" w14:paraId="2B2BF6C0" w14:textId="77777777" w:rsidTr="006F12AE">
        <w:trPr>
          <w:trHeight w:val="62"/>
        </w:trPr>
        <w:tc>
          <w:tcPr>
            <w:tcW w:w="11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F2E107" w14:textId="1C86270B" w:rsidR="00581ACA" w:rsidRPr="006F12AE" w:rsidRDefault="00581ACA" w:rsidP="00951501">
            <w:pPr>
              <w:jc w:val="left"/>
              <w:rPr>
                <w:color w:val="000000"/>
                <w:sz w:val="16"/>
                <w:szCs w:val="16"/>
                <w:lang w:val="es-ES_tradnl"/>
              </w:rPr>
            </w:pPr>
            <w:r w:rsidRPr="006F12AE">
              <w:rPr>
                <w:color w:val="000000"/>
                <w:sz w:val="16"/>
                <w:szCs w:val="16"/>
                <w:lang w:val="es-ES_tradnl"/>
              </w:rPr>
              <w:t xml:space="preserve">Energía </w:t>
            </w:r>
            <w:r w:rsidR="00774375">
              <w:rPr>
                <w:color w:val="000000"/>
                <w:sz w:val="16"/>
                <w:szCs w:val="16"/>
                <w:lang w:val="es-ES_tradnl"/>
              </w:rPr>
              <w:t>térmica</w:t>
            </w:r>
            <w:r w:rsidRPr="006F12AE">
              <w:rPr>
                <w:color w:val="000000"/>
                <w:sz w:val="16"/>
                <w:szCs w:val="16"/>
                <w:lang w:val="es-ES_tradnl"/>
              </w:rPr>
              <w:t xml:space="preserve"> del espacio (kWh/año)</w:t>
            </w:r>
          </w:p>
        </w:tc>
        <w:tc>
          <w:tcPr>
            <w:tcW w:w="522" w:type="pct"/>
            <w:tcBorders>
              <w:top w:val="nil"/>
              <w:left w:val="nil"/>
              <w:bottom w:val="single" w:sz="4" w:space="0" w:color="auto"/>
              <w:right w:val="single" w:sz="4" w:space="0" w:color="auto"/>
            </w:tcBorders>
            <w:shd w:val="clear" w:color="auto" w:fill="auto"/>
            <w:noWrap/>
            <w:vAlign w:val="center"/>
            <w:hideMark/>
          </w:tcPr>
          <w:p w14:paraId="4EAF966B"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1.752.000</w:t>
            </w:r>
          </w:p>
        </w:tc>
        <w:tc>
          <w:tcPr>
            <w:tcW w:w="524" w:type="pct"/>
            <w:tcBorders>
              <w:top w:val="nil"/>
              <w:left w:val="nil"/>
              <w:bottom w:val="single" w:sz="4" w:space="0" w:color="auto"/>
              <w:right w:val="single" w:sz="4" w:space="0" w:color="auto"/>
            </w:tcBorders>
            <w:shd w:val="clear" w:color="auto" w:fill="auto"/>
            <w:noWrap/>
          </w:tcPr>
          <w:p w14:paraId="412A6EA6"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tcPr>
          <w:p w14:paraId="13E39FBD"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1E73C97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1.752.000</w:t>
            </w:r>
          </w:p>
        </w:tc>
        <w:tc>
          <w:tcPr>
            <w:tcW w:w="516" w:type="pct"/>
            <w:tcBorders>
              <w:top w:val="nil"/>
              <w:left w:val="nil"/>
              <w:bottom w:val="single" w:sz="4" w:space="0" w:color="auto"/>
              <w:right w:val="single" w:sz="4" w:space="0" w:color="auto"/>
            </w:tcBorders>
            <w:shd w:val="clear" w:color="auto" w:fill="auto"/>
            <w:noWrap/>
            <w:vAlign w:val="center"/>
          </w:tcPr>
          <w:p w14:paraId="5B0394DE"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3372F7EB"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876.000</w:t>
            </w:r>
          </w:p>
        </w:tc>
        <w:tc>
          <w:tcPr>
            <w:tcW w:w="523" w:type="pct"/>
            <w:tcBorders>
              <w:top w:val="single" w:sz="4" w:space="0" w:color="auto"/>
              <w:left w:val="nil"/>
              <w:bottom w:val="single" w:sz="4" w:space="0" w:color="auto"/>
              <w:right w:val="single" w:sz="4" w:space="0" w:color="auto"/>
            </w:tcBorders>
            <w:shd w:val="clear" w:color="auto" w:fill="auto"/>
            <w:noWrap/>
            <w:vAlign w:val="center"/>
          </w:tcPr>
          <w:p w14:paraId="5C9DC218" w14:textId="77777777" w:rsidR="00581ACA" w:rsidRPr="006F12AE" w:rsidRDefault="00581ACA" w:rsidP="00951501">
            <w:pPr>
              <w:jc w:val="right"/>
              <w:rPr>
                <w:color w:val="000000"/>
                <w:sz w:val="16"/>
                <w:szCs w:val="16"/>
                <w:lang w:val="es-ES_tradnl" w:eastAsia="en-CA"/>
              </w:rPr>
            </w:pPr>
          </w:p>
        </w:tc>
      </w:tr>
      <w:tr w:rsidR="006F12AE" w:rsidRPr="006F12AE" w14:paraId="56D03686" w14:textId="77777777" w:rsidTr="006F12AE">
        <w:trPr>
          <w:trHeight w:val="12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50A5EA08"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Energía de agua caliente (kWh/año)</w:t>
            </w:r>
          </w:p>
        </w:tc>
        <w:tc>
          <w:tcPr>
            <w:tcW w:w="522" w:type="pct"/>
            <w:tcBorders>
              <w:top w:val="nil"/>
              <w:left w:val="nil"/>
              <w:bottom w:val="single" w:sz="4" w:space="0" w:color="auto"/>
              <w:right w:val="single" w:sz="4" w:space="0" w:color="auto"/>
            </w:tcBorders>
            <w:shd w:val="clear" w:color="auto" w:fill="auto"/>
            <w:noWrap/>
            <w:vAlign w:val="center"/>
            <w:hideMark/>
          </w:tcPr>
          <w:p w14:paraId="08101D4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876.000</w:t>
            </w:r>
          </w:p>
        </w:tc>
        <w:tc>
          <w:tcPr>
            <w:tcW w:w="524" w:type="pct"/>
            <w:tcBorders>
              <w:top w:val="nil"/>
              <w:left w:val="nil"/>
              <w:bottom w:val="single" w:sz="4" w:space="0" w:color="auto"/>
              <w:right w:val="single" w:sz="4" w:space="0" w:color="auto"/>
            </w:tcBorders>
            <w:shd w:val="clear" w:color="auto" w:fill="auto"/>
            <w:noWrap/>
          </w:tcPr>
          <w:p w14:paraId="6D402DF8"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tcPr>
          <w:p w14:paraId="523062A0"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254484BF"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876.000</w:t>
            </w:r>
          </w:p>
        </w:tc>
        <w:tc>
          <w:tcPr>
            <w:tcW w:w="516" w:type="pct"/>
            <w:tcBorders>
              <w:top w:val="nil"/>
              <w:left w:val="nil"/>
              <w:bottom w:val="single" w:sz="4" w:space="0" w:color="auto"/>
              <w:right w:val="single" w:sz="4" w:space="0" w:color="auto"/>
            </w:tcBorders>
            <w:shd w:val="clear" w:color="auto" w:fill="auto"/>
            <w:noWrap/>
            <w:vAlign w:val="center"/>
          </w:tcPr>
          <w:p w14:paraId="50A54716"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6FA4FD9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876.000</w:t>
            </w:r>
          </w:p>
        </w:tc>
        <w:tc>
          <w:tcPr>
            <w:tcW w:w="523" w:type="pct"/>
            <w:tcBorders>
              <w:top w:val="nil"/>
              <w:left w:val="nil"/>
              <w:bottom w:val="single" w:sz="4" w:space="0" w:color="auto"/>
              <w:right w:val="single" w:sz="4" w:space="0" w:color="auto"/>
            </w:tcBorders>
            <w:shd w:val="clear" w:color="auto" w:fill="auto"/>
            <w:noWrap/>
            <w:vAlign w:val="center"/>
          </w:tcPr>
          <w:p w14:paraId="27A09711" w14:textId="77777777" w:rsidR="00581ACA" w:rsidRPr="006F12AE" w:rsidRDefault="00581ACA" w:rsidP="00951501">
            <w:pPr>
              <w:jc w:val="right"/>
              <w:rPr>
                <w:color w:val="000000"/>
                <w:sz w:val="16"/>
                <w:szCs w:val="16"/>
                <w:lang w:val="es-ES_tradnl" w:eastAsia="en-CA"/>
              </w:rPr>
            </w:pPr>
          </w:p>
        </w:tc>
      </w:tr>
      <w:tr w:rsidR="006F12AE" w:rsidRPr="006F12AE" w14:paraId="0E60B814"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0CC89A3C"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Energía de vapor (kWh/año)</w:t>
            </w:r>
          </w:p>
        </w:tc>
        <w:tc>
          <w:tcPr>
            <w:tcW w:w="522" w:type="pct"/>
            <w:tcBorders>
              <w:top w:val="nil"/>
              <w:left w:val="nil"/>
              <w:bottom w:val="single" w:sz="4" w:space="0" w:color="auto"/>
              <w:right w:val="single" w:sz="4" w:space="0" w:color="auto"/>
            </w:tcBorders>
            <w:shd w:val="clear" w:color="auto" w:fill="auto"/>
            <w:noWrap/>
            <w:vAlign w:val="center"/>
            <w:hideMark/>
          </w:tcPr>
          <w:p w14:paraId="06D1A453" w14:textId="77777777" w:rsidR="00581ACA" w:rsidRPr="006F12AE" w:rsidRDefault="00581ACA" w:rsidP="00951501">
            <w:pPr>
              <w:jc w:val="right"/>
              <w:rPr>
                <w:color w:val="000000"/>
                <w:sz w:val="16"/>
                <w:szCs w:val="16"/>
                <w:lang w:val="es-ES_tradnl" w:eastAsia="en-CA"/>
              </w:rPr>
            </w:pPr>
          </w:p>
        </w:tc>
        <w:tc>
          <w:tcPr>
            <w:tcW w:w="524" w:type="pct"/>
            <w:tcBorders>
              <w:top w:val="nil"/>
              <w:left w:val="nil"/>
              <w:bottom w:val="single" w:sz="4" w:space="0" w:color="auto"/>
              <w:right w:val="single" w:sz="4" w:space="0" w:color="auto"/>
            </w:tcBorders>
            <w:shd w:val="clear" w:color="auto" w:fill="auto"/>
            <w:noWrap/>
            <w:vAlign w:val="center"/>
          </w:tcPr>
          <w:p w14:paraId="3399C44B"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vAlign w:val="center"/>
          </w:tcPr>
          <w:p w14:paraId="2D0C374E"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48B27ECE"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876.000</w:t>
            </w:r>
          </w:p>
        </w:tc>
        <w:tc>
          <w:tcPr>
            <w:tcW w:w="516" w:type="pct"/>
            <w:tcBorders>
              <w:top w:val="nil"/>
              <w:left w:val="nil"/>
              <w:bottom w:val="single" w:sz="4" w:space="0" w:color="auto"/>
              <w:right w:val="single" w:sz="4" w:space="0" w:color="auto"/>
            </w:tcBorders>
            <w:shd w:val="clear" w:color="auto" w:fill="auto"/>
            <w:noWrap/>
            <w:vAlign w:val="center"/>
          </w:tcPr>
          <w:p w14:paraId="02B78C04"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tcPr>
          <w:p w14:paraId="56832D80" w14:textId="77777777" w:rsidR="00581ACA" w:rsidRPr="006F12AE" w:rsidRDefault="00581ACA" w:rsidP="00951501">
            <w:pPr>
              <w:jc w:val="right"/>
              <w:rPr>
                <w:color w:val="000000"/>
                <w:sz w:val="16"/>
                <w:szCs w:val="16"/>
                <w:lang w:val="es-ES_tradnl" w:eastAsia="en-CA"/>
              </w:rPr>
            </w:pPr>
          </w:p>
        </w:tc>
        <w:tc>
          <w:tcPr>
            <w:tcW w:w="523" w:type="pct"/>
            <w:tcBorders>
              <w:top w:val="nil"/>
              <w:left w:val="nil"/>
              <w:bottom w:val="single" w:sz="4" w:space="0" w:color="auto"/>
              <w:right w:val="single" w:sz="4" w:space="0" w:color="auto"/>
            </w:tcBorders>
            <w:shd w:val="clear" w:color="auto" w:fill="auto"/>
            <w:noWrap/>
            <w:vAlign w:val="center"/>
          </w:tcPr>
          <w:p w14:paraId="01755C40" w14:textId="77777777" w:rsidR="00581ACA" w:rsidRPr="006F12AE" w:rsidRDefault="00581ACA" w:rsidP="00951501">
            <w:pPr>
              <w:jc w:val="right"/>
              <w:rPr>
                <w:color w:val="000000"/>
                <w:sz w:val="16"/>
                <w:szCs w:val="16"/>
                <w:lang w:val="es-ES_tradnl" w:eastAsia="en-CA"/>
              </w:rPr>
            </w:pPr>
          </w:p>
        </w:tc>
      </w:tr>
      <w:tr w:rsidR="006F12AE" w:rsidRPr="006F12AE" w14:paraId="68D71F75"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2F828CEB" w14:textId="18900F42" w:rsidR="00581ACA" w:rsidRPr="006F12AE" w:rsidRDefault="00581ACA" w:rsidP="00951501">
            <w:pPr>
              <w:jc w:val="left"/>
              <w:rPr>
                <w:i/>
                <w:iCs/>
                <w:color w:val="000000"/>
                <w:sz w:val="16"/>
                <w:szCs w:val="16"/>
                <w:lang w:val="es-ES_tradnl"/>
              </w:rPr>
            </w:pPr>
            <w:r w:rsidRPr="006F12AE">
              <w:rPr>
                <w:i/>
                <w:color w:val="000000"/>
                <w:sz w:val="16"/>
                <w:szCs w:val="16"/>
                <w:lang w:val="es-ES_tradnl"/>
              </w:rPr>
              <w:t xml:space="preserve">Energía </w:t>
            </w:r>
            <w:r w:rsidR="00774375">
              <w:rPr>
                <w:i/>
                <w:color w:val="000000"/>
                <w:sz w:val="16"/>
                <w:szCs w:val="16"/>
                <w:lang w:val="es-ES_tradnl"/>
              </w:rPr>
              <w:t>térmica</w:t>
            </w:r>
            <w:r w:rsidRPr="006F12AE">
              <w:rPr>
                <w:i/>
                <w:color w:val="000000"/>
                <w:sz w:val="16"/>
                <w:szCs w:val="16"/>
                <w:lang w:val="es-ES_tradnl"/>
              </w:rPr>
              <w:t xml:space="preserve"> total (kWh/año)</w:t>
            </w:r>
          </w:p>
        </w:tc>
        <w:tc>
          <w:tcPr>
            <w:tcW w:w="522" w:type="pct"/>
            <w:tcBorders>
              <w:top w:val="nil"/>
              <w:left w:val="nil"/>
              <w:bottom w:val="single" w:sz="4" w:space="0" w:color="auto"/>
              <w:right w:val="single" w:sz="4" w:space="0" w:color="auto"/>
            </w:tcBorders>
            <w:shd w:val="clear" w:color="auto" w:fill="auto"/>
            <w:noWrap/>
            <w:vAlign w:val="center"/>
            <w:hideMark/>
          </w:tcPr>
          <w:p w14:paraId="3E64D472" w14:textId="77777777" w:rsidR="00581ACA" w:rsidRPr="006F12AE" w:rsidRDefault="00581ACA" w:rsidP="00951501">
            <w:pPr>
              <w:jc w:val="right"/>
              <w:rPr>
                <w:i/>
                <w:iCs/>
                <w:color w:val="000000"/>
                <w:sz w:val="16"/>
                <w:szCs w:val="16"/>
                <w:lang w:val="es-ES_tradnl"/>
              </w:rPr>
            </w:pPr>
            <w:r w:rsidRPr="006F12AE">
              <w:rPr>
                <w:i/>
                <w:color w:val="000000"/>
                <w:sz w:val="16"/>
                <w:szCs w:val="16"/>
                <w:lang w:val="es-ES_tradnl"/>
              </w:rPr>
              <w:t>2.628.000</w:t>
            </w:r>
          </w:p>
        </w:tc>
        <w:tc>
          <w:tcPr>
            <w:tcW w:w="524" w:type="pct"/>
            <w:tcBorders>
              <w:top w:val="nil"/>
              <w:left w:val="nil"/>
              <w:bottom w:val="single" w:sz="4" w:space="0" w:color="auto"/>
              <w:right w:val="single" w:sz="4" w:space="0" w:color="auto"/>
            </w:tcBorders>
            <w:shd w:val="clear" w:color="auto" w:fill="auto"/>
            <w:noWrap/>
          </w:tcPr>
          <w:p w14:paraId="3D36FD08" w14:textId="77777777" w:rsidR="00581ACA" w:rsidRPr="006F12AE" w:rsidRDefault="00581ACA" w:rsidP="00951501">
            <w:pPr>
              <w:jc w:val="right"/>
              <w:rPr>
                <w:i/>
                <w:iCs/>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tcPr>
          <w:p w14:paraId="0195F560" w14:textId="77777777" w:rsidR="00581ACA" w:rsidRPr="006F12AE" w:rsidRDefault="00581ACA" w:rsidP="00951501">
            <w:pPr>
              <w:jc w:val="right"/>
              <w:rPr>
                <w:i/>
                <w:iCs/>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70F312B4" w14:textId="77777777" w:rsidR="00581ACA" w:rsidRPr="006F12AE" w:rsidRDefault="00581ACA" w:rsidP="00951501">
            <w:pPr>
              <w:jc w:val="right"/>
              <w:rPr>
                <w:i/>
                <w:iCs/>
                <w:color w:val="000000"/>
                <w:sz w:val="16"/>
                <w:szCs w:val="16"/>
                <w:lang w:val="es-ES_tradnl"/>
              </w:rPr>
            </w:pPr>
            <w:r w:rsidRPr="006F12AE">
              <w:rPr>
                <w:i/>
                <w:color w:val="000000"/>
                <w:sz w:val="16"/>
                <w:szCs w:val="16"/>
                <w:lang w:val="es-ES_tradnl"/>
              </w:rPr>
              <w:t>3.504.000</w:t>
            </w:r>
          </w:p>
        </w:tc>
        <w:tc>
          <w:tcPr>
            <w:tcW w:w="516" w:type="pct"/>
            <w:tcBorders>
              <w:top w:val="nil"/>
              <w:left w:val="nil"/>
              <w:bottom w:val="single" w:sz="4" w:space="0" w:color="auto"/>
              <w:right w:val="single" w:sz="4" w:space="0" w:color="auto"/>
            </w:tcBorders>
            <w:shd w:val="clear" w:color="auto" w:fill="auto"/>
            <w:noWrap/>
            <w:vAlign w:val="center"/>
          </w:tcPr>
          <w:p w14:paraId="38217163" w14:textId="77777777" w:rsidR="00581ACA" w:rsidRPr="006F12AE" w:rsidRDefault="00581ACA" w:rsidP="00951501">
            <w:pPr>
              <w:jc w:val="right"/>
              <w:rPr>
                <w:i/>
                <w:iCs/>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7607BADA" w14:textId="77777777" w:rsidR="00581ACA" w:rsidRPr="006F12AE" w:rsidRDefault="00581ACA" w:rsidP="00951501">
            <w:pPr>
              <w:jc w:val="right"/>
              <w:rPr>
                <w:i/>
                <w:iCs/>
                <w:color w:val="000000"/>
                <w:sz w:val="16"/>
                <w:szCs w:val="16"/>
                <w:lang w:val="es-ES_tradnl"/>
              </w:rPr>
            </w:pPr>
            <w:r w:rsidRPr="006F12AE">
              <w:rPr>
                <w:i/>
                <w:color w:val="000000"/>
                <w:sz w:val="16"/>
                <w:szCs w:val="16"/>
                <w:lang w:val="es-ES_tradnl"/>
              </w:rPr>
              <w:t>1.752.000</w:t>
            </w:r>
          </w:p>
        </w:tc>
        <w:tc>
          <w:tcPr>
            <w:tcW w:w="523" w:type="pct"/>
            <w:tcBorders>
              <w:top w:val="nil"/>
              <w:left w:val="nil"/>
              <w:bottom w:val="single" w:sz="4" w:space="0" w:color="auto"/>
              <w:right w:val="single" w:sz="4" w:space="0" w:color="auto"/>
            </w:tcBorders>
            <w:shd w:val="clear" w:color="auto" w:fill="auto"/>
            <w:noWrap/>
            <w:vAlign w:val="center"/>
          </w:tcPr>
          <w:p w14:paraId="21983FDF" w14:textId="77777777" w:rsidR="00581ACA" w:rsidRPr="006F12AE" w:rsidRDefault="00581ACA" w:rsidP="00951501">
            <w:pPr>
              <w:jc w:val="right"/>
              <w:rPr>
                <w:i/>
                <w:iCs/>
                <w:color w:val="000000"/>
                <w:sz w:val="16"/>
                <w:szCs w:val="16"/>
                <w:lang w:val="es-ES_tradnl" w:eastAsia="en-CA"/>
              </w:rPr>
            </w:pPr>
          </w:p>
        </w:tc>
      </w:tr>
      <w:tr w:rsidR="006F12AE" w:rsidRPr="006F12AE" w14:paraId="128AC4E1"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1FDEB65B"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Energía equivalente con bomba de calor (kWh/año)</w:t>
            </w:r>
          </w:p>
        </w:tc>
        <w:tc>
          <w:tcPr>
            <w:tcW w:w="522" w:type="pct"/>
            <w:tcBorders>
              <w:top w:val="nil"/>
              <w:left w:val="nil"/>
              <w:bottom w:val="single" w:sz="4" w:space="0" w:color="auto"/>
              <w:right w:val="single" w:sz="4" w:space="0" w:color="auto"/>
            </w:tcBorders>
            <w:shd w:val="clear" w:color="auto" w:fill="auto"/>
            <w:noWrap/>
            <w:vAlign w:val="center"/>
            <w:hideMark/>
          </w:tcPr>
          <w:p w14:paraId="3E06754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938.571</w:t>
            </w:r>
          </w:p>
        </w:tc>
        <w:tc>
          <w:tcPr>
            <w:tcW w:w="524" w:type="pct"/>
            <w:tcBorders>
              <w:top w:val="nil"/>
              <w:left w:val="nil"/>
              <w:bottom w:val="single" w:sz="4" w:space="0" w:color="auto"/>
              <w:right w:val="single" w:sz="4" w:space="0" w:color="auto"/>
            </w:tcBorders>
            <w:shd w:val="clear" w:color="auto" w:fill="auto"/>
            <w:noWrap/>
          </w:tcPr>
          <w:p w14:paraId="18CE3C27"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tcPr>
          <w:p w14:paraId="3AE65459"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313EAC4E"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1.251.429</w:t>
            </w:r>
          </w:p>
        </w:tc>
        <w:tc>
          <w:tcPr>
            <w:tcW w:w="516" w:type="pct"/>
            <w:tcBorders>
              <w:top w:val="nil"/>
              <w:left w:val="nil"/>
              <w:bottom w:val="single" w:sz="4" w:space="0" w:color="auto"/>
              <w:right w:val="single" w:sz="4" w:space="0" w:color="auto"/>
            </w:tcBorders>
            <w:shd w:val="clear" w:color="auto" w:fill="auto"/>
            <w:noWrap/>
            <w:vAlign w:val="center"/>
          </w:tcPr>
          <w:p w14:paraId="4C64FB3C"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590710E6"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625.714</w:t>
            </w:r>
          </w:p>
        </w:tc>
        <w:tc>
          <w:tcPr>
            <w:tcW w:w="523" w:type="pct"/>
            <w:tcBorders>
              <w:top w:val="nil"/>
              <w:left w:val="nil"/>
              <w:bottom w:val="single" w:sz="4" w:space="0" w:color="auto"/>
              <w:right w:val="single" w:sz="4" w:space="0" w:color="auto"/>
            </w:tcBorders>
            <w:shd w:val="clear" w:color="auto" w:fill="auto"/>
            <w:noWrap/>
            <w:vAlign w:val="center"/>
          </w:tcPr>
          <w:p w14:paraId="7F203B2A" w14:textId="77777777" w:rsidR="00581ACA" w:rsidRPr="006F12AE" w:rsidRDefault="00581ACA" w:rsidP="00951501">
            <w:pPr>
              <w:jc w:val="right"/>
              <w:rPr>
                <w:color w:val="000000"/>
                <w:sz w:val="16"/>
                <w:szCs w:val="16"/>
                <w:lang w:val="es-ES_tradnl" w:eastAsia="en-CA"/>
              </w:rPr>
            </w:pPr>
          </w:p>
        </w:tc>
      </w:tr>
      <w:tr w:rsidR="006F12AE" w:rsidRPr="006F12AE" w14:paraId="68A07104" w14:textId="77777777" w:rsidTr="006F12AE">
        <w:trPr>
          <w:trHeight w:val="42"/>
        </w:trPr>
        <w:tc>
          <w:tcPr>
            <w:tcW w:w="11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FA0B6" w14:textId="77777777" w:rsidR="00581ACA" w:rsidRPr="006F12AE" w:rsidRDefault="00581ACA" w:rsidP="00951501">
            <w:pPr>
              <w:jc w:val="left"/>
              <w:rPr>
                <w:b/>
                <w:bCs/>
                <w:color w:val="000000"/>
                <w:sz w:val="16"/>
                <w:szCs w:val="16"/>
                <w:lang w:val="es-ES_tradnl"/>
              </w:rPr>
            </w:pPr>
            <w:r w:rsidRPr="006F12AE">
              <w:rPr>
                <w:b/>
                <w:color w:val="000000"/>
                <w:sz w:val="16"/>
                <w:szCs w:val="16"/>
                <w:lang w:val="es-ES_tradnl"/>
              </w:rPr>
              <w:t>Ahorros en calor (kWh/año)</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1CB55011"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1.689.429</w:t>
            </w:r>
          </w:p>
        </w:tc>
        <w:tc>
          <w:tcPr>
            <w:tcW w:w="524" w:type="pct"/>
            <w:tcBorders>
              <w:top w:val="nil"/>
              <w:left w:val="nil"/>
              <w:bottom w:val="single" w:sz="4" w:space="0" w:color="auto"/>
              <w:right w:val="single" w:sz="4" w:space="0" w:color="auto"/>
            </w:tcBorders>
            <w:shd w:val="clear" w:color="auto" w:fill="auto"/>
            <w:noWrap/>
          </w:tcPr>
          <w:p w14:paraId="72CD7005" w14:textId="77777777" w:rsidR="00581ACA" w:rsidRPr="006F12AE" w:rsidRDefault="00581ACA" w:rsidP="00951501">
            <w:pPr>
              <w:jc w:val="right"/>
              <w:rPr>
                <w:b/>
                <w:bCs/>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tcPr>
          <w:p w14:paraId="4E4F5378" w14:textId="77777777" w:rsidR="00581ACA" w:rsidRPr="006F12AE" w:rsidRDefault="00581ACA" w:rsidP="00951501">
            <w:pPr>
              <w:jc w:val="right"/>
              <w:rPr>
                <w:b/>
                <w:bCs/>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544212E9"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2.252.571</w:t>
            </w:r>
          </w:p>
        </w:tc>
        <w:tc>
          <w:tcPr>
            <w:tcW w:w="516" w:type="pct"/>
            <w:tcBorders>
              <w:top w:val="nil"/>
              <w:left w:val="nil"/>
              <w:bottom w:val="single" w:sz="4" w:space="0" w:color="auto"/>
              <w:right w:val="single" w:sz="4" w:space="0" w:color="auto"/>
            </w:tcBorders>
            <w:shd w:val="clear" w:color="auto" w:fill="auto"/>
            <w:noWrap/>
            <w:vAlign w:val="center"/>
          </w:tcPr>
          <w:p w14:paraId="05DC5934" w14:textId="77777777" w:rsidR="00581ACA" w:rsidRPr="006F12AE" w:rsidRDefault="00581ACA" w:rsidP="00951501">
            <w:pPr>
              <w:jc w:val="right"/>
              <w:rPr>
                <w:b/>
                <w:bCs/>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7156CA39"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1.126.286</w:t>
            </w:r>
          </w:p>
        </w:tc>
        <w:tc>
          <w:tcPr>
            <w:tcW w:w="523" w:type="pct"/>
            <w:tcBorders>
              <w:top w:val="nil"/>
              <w:left w:val="nil"/>
              <w:bottom w:val="single" w:sz="4" w:space="0" w:color="auto"/>
              <w:right w:val="single" w:sz="4" w:space="0" w:color="auto"/>
            </w:tcBorders>
            <w:shd w:val="clear" w:color="auto" w:fill="auto"/>
            <w:noWrap/>
            <w:vAlign w:val="center"/>
          </w:tcPr>
          <w:p w14:paraId="2998DE9A" w14:textId="77777777" w:rsidR="00581ACA" w:rsidRPr="006F12AE" w:rsidRDefault="00581ACA" w:rsidP="00951501">
            <w:pPr>
              <w:jc w:val="right"/>
              <w:rPr>
                <w:b/>
                <w:bCs/>
                <w:color w:val="000000"/>
                <w:sz w:val="16"/>
                <w:szCs w:val="16"/>
                <w:lang w:val="es-ES_tradnl" w:eastAsia="en-CA"/>
              </w:rPr>
            </w:pPr>
          </w:p>
        </w:tc>
      </w:tr>
      <w:tr w:rsidR="00581ACA" w:rsidRPr="00FC6B62" w14:paraId="595B0D6C" w14:textId="77777777" w:rsidTr="00951501">
        <w:trPr>
          <w:trHeight w:val="46"/>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hideMark/>
          </w:tcPr>
          <w:p w14:paraId="6E1C93B2" w14:textId="77777777" w:rsidR="00581ACA" w:rsidRPr="006F12AE" w:rsidRDefault="00581ACA" w:rsidP="00951501">
            <w:pPr>
              <w:spacing w:before="40" w:after="40"/>
              <w:jc w:val="left"/>
              <w:rPr>
                <w:b/>
                <w:bCs/>
                <w:i/>
                <w:iCs/>
                <w:color w:val="000000"/>
                <w:sz w:val="16"/>
                <w:szCs w:val="16"/>
                <w:lang w:val="es-ES_tradnl"/>
              </w:rPr>
            </w:pPr>
            <w:r w:rsidRPr="006F12AE">
              <w:rPr>
                <w:b/>
                <w:i/>
                <w:color w:val="000000"/>
                <w:sz w:val="16"/>
                <w:szCs w:val="16"/>
                <w:lang w:val="es-ES_tradnl"/>
              </w:rPr>
              <w:t>Relación de costo a eficacia total y reproducibilidad</w:t>
            </w:r>
          </w:p>
        </w:tc>
      </w:tr>
      <w:tr w:rsidR="006F12AE" w:rsidRPr="006F12AE" w14:paraId="1EF30CFD" w14:textId="77777777" w:rsidTr="006F12AE">
        <w:trPr>
          <w:trHeight w:val="177"/>
        </w:trPr>
        <w:tc>
          <w:tcPr>
            <w:tcW w:w="11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EC885"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Ahorros en refrigeración (kWh/año)</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58FF597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345.394</w:t>
            </w:r>
          </w:p>
        </w:tc>
        <w:tc>
          <w:tcPr>
            <w:tcW w:w="524" w:type="pct"/>
            <w:tcBorders>
              <w:top w:val="single" w:sz="4" w:space="0" w:color="auto"/>
              <w:left w:val="nil"/>
              <w:bottom w:val="single" w:sz="4" w:space="0" w:color="auto"/>
              <w:right w:val="single" w:sz="4" w:space="0" w:color="auto"/>
            </w:tcBorders>
            <w:shd w:val="clear" w:color="auto" w:fill="auto"/>
            <w:noWrap/>
            <w:vAlign w:val="center"/>
            <w:hideMark/>
          </w:tcPr>
          <w:p w14:paraId="5717876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172.697</w:t>
            </w:r>
          </w:p>
        </w:tc>
        <w:tc>
          <w:tcPr>
            <w:tcW w:w="671" w:type="pct"/>
            <w:tcBorders>
              <w:top w:val="single" w:sz="4" w:space="0" w:color="auto"/>
              <w:left w:val="nil"/>
              <w:bottom w:val="single" w:sz="4" w:space="0" w:color="auto"/>
              <w:right w:val="single" w:sz="4" w:space="0" w:color="auto"/>
            </w:tcBorders>
            <w:shd w:val="clear" w:color="auto" w:fill="auto"/>
            <w:noWrap/>
            <w:vAlign w:val="center"/>
            <w:hideMark/>
          </w:tcPr>
          <w:p w14:paraId="3CB1CF6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2.139.943</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0C6EBEF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750.857</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0FA00E8D"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75.086</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0A5AF96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225.257</w:t>
            </w:r>
          </w:p>
        </w:tc>
        <w:tc>
          <w:tcPr>
            <w:tcW w:w="523" w:type="pct"/>
            <w:tcBorders>
              <w:top w:val="single" w:sz="4" w:space="0" w:color="auto"/>
              <w:left w:val="nil"/>
              <w:bottom w:val="single" w:sz="4" w:space="0" w:color="auto"/>
              <w:right w:val="single" w:sz="4" w:space="0" w:color="auto"/>
            </w:tcBorders>
            <w:shd w:val="clear" w:color="auto" w:fill="auto"/>
            <w:noWrap/>
            <w:vAlign w:val="center"/>
            <w:hideMark/>
          </w:tcPr>
          <w:p w14:paraId="5F1E0D5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281.571</w:t>
            </w:r>
          </w:p>
        </w:tc>
      </w:tr>
      <w:tr w:rsidR="006F12AE" w:rsidRPr="006F12AE" w14:paraId="268CDA90" w14:textId="77777777" w:rsidTr="006F12AE">
        <w:trPr>
          <w:trHeight w:val="94"/>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6D4610D6"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Ahorros en calor (kWh/año)</w:t>
            </w:r>
          </w:p>
        </w:tc>
        <w:tc>
          <w:tcPr>
            <w:tcW w:w="522" w:type="pct"/>
            <w:tcBorders>
              <w:top w:val="nil"/>
              <w:left w:val="nil"/>
              <w:bottom w:val="single" w:sz="4" w:space="0" w:color="auto"/>
              <w:right w:val="single" w:sz="4" w:space="0" w:color="auto"/>
            </w:tcBorders>
            <w:shd w:val="clear" w:color="auto" w:fill="auto"/>
            <w:noWrap/>
            <w:vAlign w:val="center"/>
            <w:hideMark/>
          </w:tcPr>
          <w:p w14:paraId="3400D42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1.689.429</w:t>
            </w:r>
          </w:p>
        </w:tc>
        <w:tc>
          <w:tcPr>
            <w:tcW w:w="524" w:type="pct"/>
            <w:tcBorders>
              <w:top w:val="nil"/>
              <w:left w:val="nil"/>
              <w:bottom w:val="single" w:sz="4" w:space="0" w:color="auto"/>
              <w:right w:val="single" w:sz="4" w:space="0" w:color="auto"/>
            </w:tcBorders>
            <w:shd w:val="clear" w:color="auto" w:fill="auto"/>
            <w:noWrap/>
            <w:vAlign w:val="center"/>
            <w:hideMark/>
          </w:tcPr>
          <w:p w14:paraId="1ED7EA76" w14:textId="77777777" w:rsidR="00581ACA" w:rsidRPr="006F12AE" w:rsidRDefault="00581ACA" w:rsidP="00951501">
            <w:pPr>
              <w:jc w:val="right"/>
              <w:rPr>
                <w:color w:val="000000"/>
                <w:sz w:val="16"/>
                <w:szCs w:val="16"/>
                <w:lang w:val="es-ES_tradnl" w:eastAsia="en-CA"/>
              </w:rPr>
            </w:pPr>
          </w:p>
        </w:tc>
        <w:tc>
          <w:tcPr>
            <w:tcW w:w="671" w:type="pct"/>
            <w:tcBorders>
              <w:top w:val="nil"/>
              <w:left w:val="nil"/>
              <w:bottom w:val="single" w:sz="4" w:space="0" w:color="auto"/>
              <w:right w:val="single" w:sz="4" w:space="0" w:color="auto"/>
            </w:tcBorders>
            <w:shd w:val="clear" w:color="auto" w:fill="auto"/>
            <w:noWrap/>
            <w:vAlign w:val="center"/>
            <w:hideMark/>
          </w:tcPr>
          <w:p w14:paraId="5C4A61DE" w14:textId="77777777" w:rsidR="00581ACA" w:rsidRPr="006F12AE" w:rsidRDefault="00581ACA" w:rsidP="00951501">
            <w:pPr>
              <w:jc w:val="right"/>
              <w:rPr>
                <w:color w:val="000000"/>
                <w:sz w:val="16"/>
                <w:szCs w:val="16"/>
                <w:lang w:val="es-ES_tradnl"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2C9979E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2.252.571</w:t>
            </w:r>
          </w:p>
        </w:tc>
        <w:tc>
          <w:tcPr>
            <w:tcW w:w="516" w:type="pct"/>
            <w:tcBorders>
              <w:top w:val="nil"/>
              <w:left w:val="nil"/>
              <w:bottom w:val="single" w:sz="4" w:space="0" w:color="auto"/>
              <w:right w:val="single" w:sz="4" w:space="0" w:color="auto"/>
            </w:tcBorders>
            <w:shd w:val="clear" w:color="auto" w:fill="auto"/>
            <w:noWrap/>
            <w:vAlign w:val="center"/>
            <w:hideMark/>
          </w:tcPr>
          <w:p w14:paraId="16E6A794" w14:textId="77777777" w:rsidR="00581ACA" w:rsidRPr="006F12AE" w:rsidRDefault="00581ACA" w:rsidP="00951501">
            <w:pPr>
              <w:jc w:val="right"/>
              <w:rPr>
                <w:color w:val="000000"/>
                <w:sz w:val="16"/>
                <w:szCs w:val="16"/>
                <w:lang w:val="es-ES_tradnl" w:eastAsia="en-CA"/>
              </w:rPr>
            </w:pPr>
          </w:p>
        </w:tc>
        <w:tc>
          <w:tcPr>
            <w:tcW w:w="522" w:type="pct"/>
            <w:tcBorders>
              <w:top w:val="nil"/>
              <w:left w:val="nil"/>
              <w:bottom w:val="single" w:sz="4" w:space="0" w:color="auto"/>
              <w:right w:val="single" w:sz="4" w:space="0" w:color="auto"/>
            </w:tcBorders>
            <w:shd w:val="clear" w:color="auto" w:fill="auto"/>
            <w:noWrap/>
            <w:vAlign w:val="center"/>
            <w:hideMark/>
          </w:tcPr>
          <w:p w14:paraId="29B79AA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1.126.286</w:t>
            </w:r>
          </w:p>
        </w:tc>
        <w:tc>
          <w:tcPr>
            <w:tcW w:w="523" w:type="pct"/>
            <w:tcBorders>
              <w:top w:val="nil"/>
              <w:left w:val="nil"/>
              <w:bottom w:val="single" w:sz="4" w:space="0" w:color="auto"/>
              <w:right w:val="single" w:sz="4" w:space="0" w:color="auto"/>
            </w:tcBorders>
            <w:shd w:val="clear" w:color="auto" w:fill="auto"/>
            <w:noWrap/>
            <w:vAlign w:val="center"/>
            <w:hideMark/>
          </w:tcPr>
          <w:p w14:paraId="03B3DF5E" w14:textId="77777777" w:rsidR="00581ACA" w:rsidRPr="006F12AE" w:rsidRDefault="00581ACA" w:rsidP="00951501">
            <w:pPr>
              <w:jc w:val="right"/>
              <w:rPr>
                <w:color w:val="000000"/>
                <w:sz w:val="16"/>
                <w:szCs w:val="16"/>
                <w:lang w:val="es-ES_tradnl" w:eastAsia="en-CA"/>
              </w:rPr>
            </w:pPr>
          </w:p>
        </w:tc>
      </w:tr>
      <w:tr w:rsidR="006F12AE" w:rsidRPr="006F12AE" w14:paraId="225AB544" w14:textId="77777777" w:rsidTr="006F12AE">
        <w:trPr>
          <w:trHeight w:val="168"/>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04A98FBF" w14:textId="77777777" w:rsidR="00581ACA" w:rsidRPr="006F12AE" w:rsidRDefault="00581ACA" w:rsidP="00951501">
            <w:pPr>
              <w:jc w:val="left"/>
              <w:rPr>
                <w:b/>
                <w:bCs/>
                <w:color w:val="000000"/>
                <w:sz w:val="16"/>
                <w:szCs w:val="16"/>
                <w:lang w:val="es-ES_tradnl"/>
              </w:rPr>
            </w:pPr>
            <w:r w:rsidRPr="006F12AE">
              <w:rPr>
                <w:b/>
                <w:color w:val="000000"/>
                <w:sz w:val="16"/>
                <w:szCs w:val="16"/>
                <w:lang w:val="es-ES_tradnl"/>
              </w:rPr>
              <w:t>Ahorros totales (kWh/año)</w:t>
            </w:r>
          </w:p>
        </w:tc>
        <w:tc>
          <w:tcPr>
            <w:tcW w:w="522" w:type="pct"/>
            <w:tcBorders>
              <w:top w:val="nil"/>
              <w:left w:val="nil"/>
              <w:bottom w:val="single" w:sz="4" w:space="0" w:color="auto"/>
              <w:right w:val="single" w:sz="4" w:space="0" w:color="auto"/>
            </w:tcBorders>
            <w:shd w:val="clear" w:color="auto" w:fill="auto"/>
            <w:noWrap/>
            <w:vAlign w:val="center"/>
            <w:hideMark/>
          </w:tcPr>
          <w:p w14:paraId="77FC4629"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2.034.823</w:t>
            </w:r>
          </w:p>
        </w:tc>
        <w:tc>
          <w:tcPr>
            <w:tcW w:w="524" w:type="pct"/>
            <w:tcBorders>
              <w:top w:val="nil"/>
              <w:left w:val="nil"/>
              <w:bottom w:val="single" w:sz="4" w:space="0" w:color="auto"/>
              <w:right w:val="single" w:sz="4" w:space="0" w:color="auto"/>
            </w:tcBorders>
            <w:shd w:val="clear" w:color="auto" w:fill="auto"/>
            <w:noWrap/>
            <w:vAlign w:val="center"/>
            <w:hideMark/>
          </w:tcPr>
          <w:p w14:paraId="241C8071"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172.697</w:t>
            </w:r>
          </w:p>
        </w:tc>
        <w:tc>
          <w:tcPr>
            <w:tcW w:w="671" w:type="pct"/>
            <w:tcBorders>
              <w:top w:val="nil"/>
              <w:left w:val="nil"/>
              <w:bottom w:val="single" w:sz="4" w:space="0" w:color="auto"/>
              <w:right w:val="single" w:sz="4" w:space="0" w:color="auto"/>
            </w:tcBorders>
            <w:shd w:val="clear" w:color="auto" w:fill="auto"/>
            <w:noWrap/>
            <w:vAlign w:val="center"/>
            <w:hideMark/>
          </w:tcPr>
          <w:p w14:paraId="7478381A"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2.139.943</w:t>
            </w:r>
          </w:p>
        </w:tc>
        <w:tc>
          <w:tcPr>
            <w:tcW w:w="530" w:type="pct"/>
            <w:tcBorders>
              <w:top w:val="nil"/>
              <w:left w:val="nil"/>
              <w:bottom w:val="single" w:sz="4" w:space="0" w:color="auto"/>
              <w:right w:val="single" w:sz="4" w:space="0" w:color="auto"/>
            </w:tcBorders>
            <w:shd w:val="clear" w:color="auto" w:fill="auto"/>
            <w:noWrap/>
            <w:vAlign w:val="center"/>
            <w:hideMark/>
          </w:tcPr>
          <w:p w14:paraId="430D4178"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3.003.429</w:t>
            </w:r>
          </w:p>
        </w:tc>
        <w:tc>
          <w:tcPr>
            <w:tcW w:w="516" w:type="pct"/>
            <w:tcBorders>
              <w:top w:val="nil"/>
              <w:left w:val="nil"/>
              <w:bottom w:val="single" w:sz="4" w:space="0" w:color="auto"/>
              <w:right w:val="single" w:sz="4" w:space="0" w:color="auto"/>
            </w:tcBorders>
            <w:shd w:val="clear" w:color="auto" w:fill="auto"/>
            <w:noWrap/>
            <w:vAlign w:val="center"/>
            <w:hideMark/>
          </w:tcPr>
          <w:p w14:paraId="6E957487"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75.086</w:t>
            </w:r>
          </w:p>
        </w:tc>
        <w:tc>
          <w:tcPr>
            <w:tcW w:w="522" w:type="pct"/>
            <w:tcBorders>
              <w:top w:val="nil"/>
              <w:left w:val="nil"/>
              <w:bottom w:val="single" w:sz="4" w:space="0" w:color="auto"/>
              <w:right w:val="single" w:sz="4" w:space="0" w:color="auto"/>
            </w:tcBorders>
            <w:shd w:val="clear" w:color="auto" w:fill="auto"/>
            <w:noWrap/>
            <w:vAlign w:val="center"/>
            <w:hideMark/>
          </w:tcPr>
          <w:p w14:paraId="76A45A5F" w14:textId="77777777" w:rsidR="00581ACA" w:rsidRPr="006F12AE" w:rsidRDefault="00581ACA" w:rsidP="00951501">
            <w:pPr>
              <w:jc w:val="right"/>
              <w:rPr>
                <w:b/>
                <w:bCs/>
                <w:color w:val="000000"/>
                <w:sz w:val="16"/>
                <w:szCs w:val="16"/>
                <w:lang w:val="es-ES_tradnl"/>
              </w:rPr>
            </w:pPr>
            <w:r w:rsidRPr="006F12AE">
              <w:rPr>
                <w:b/>
                <w:color w:val="000000"/>
                <w:sz w:val="16"/>
                <w:szCs w:val="16"/>
                <w:lang w:val="es-ES_tradnl"/>
              </w:rPr>
              <w:t>1.351.543</w:t>
            </w:r>
          </w:p>
        </w:tc>
        <w:tc>
          <w:tcPr>
            <w:tcW w:w="523" w:type="pct"/>
            <w:tcBorders>
              <w:top w:val="nil"/>
              <w:left w:val="nil"/>
              <w:bottom w:val="single" w:sz="4" w:space="0" w:color="auto"/>
              <w:right w:val="single" w:sz="4" w:space="0" w:color="auto"/>
            </w:tcBorders>
            <w:shd w:val="clear" w:color="auto" w:fill="auto"/>
            <w:noWrap/>
            <w:vAlign w:val="center"/>
            <w:hideMark/>
          </w:tcPr>
          <w:p w14:paraId="1A2BEE1E" w14:textId="77777777" w:rsidR="00581ACA" w:rsidRPr="006F12AE" w:rsidRDefault="00581ACA" w:rsidP="00951501">
            <w:pPr>
              <w:jc w:val="right"/>
              <w:rPr>
                <w:b/>
                <w:bCs/>
                <w:color w:val="000000"/>
                <w:sz w:val="16"/>
                <w:szCs w:val="16"/>
                <w:highlight w:val="red"/>
                <w:lang w:val="es-ES_tradnl"/>
              </w:rPr>
            </w:pPr>
            <w:r w:rsidRPr="006F12AE">
              <w:rPr>
                <w:b/>
                <w:color w:val="000000"/>
                <w:sz w:val="16"/>
                <w:szCs w:val="16"/>
                <w:lang w:val="es-ES_tradnl"/>
              </w:rPr>
              <w:t>281.571</w:t>
            </w:r>
          </w:p>
        </w:tc>
      </w:tr>
      <w:tr w:rsidR="006F12AE" w:rsidRPr="006F12AE" w14:paraId="4428ED52" w14:textId="77777777" w:rsidTr="006F12AE">
        <w:trPr>
          <w:trHeight w:val="29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0CE8A64E"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$EUA/kWh</w:t>
            </w:r>
          </w:p>
        </w:tc>
        <w:tc>
          <w:tcPr>
            <w:tcW w:w="522" w:type="pct"/>
            <w:tcBorders>
              <w:top w:val="nil"/>
              <w:left w:val="nil"/>
              <w:bottom w:val="single" w:sz="4" w:space="0" w:color="auto"/>
              <w:right w:val="single" w:sz="4" w:space="0" w:color="auto"/>
            </w:tcBorders>
            <w:shd w:val="clear" w:color="auto" w:fill="auto"/>
            <w:noWrap/>
            <w:vAlign w:val="center"/>
            <w:hideMark/>
          </w:tcPr>
          <w:p w14:paraId="5440C57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0,35</w:t>
            </w:r>
          </w:p>
        </w:tc>
        <w:tc>
          <w:tcPr>
            <w:tcW w:w="524" w:type="pct"/>
            <w:tcBorders>
              <w:top w:val="nil"/>
              <w:left w:val="nil"/>
              <w:bottom w:val="single" w:sz="4" w:space="0" w:color="auto"/>
              <w:right w:val="single" w:sz="4" w:space="0" w:color="auto"/>
            </w:tcBorders>
            <w:shd w:val="clear" w:color="auto" w:fill="auto"/>
            <w:noWrap/>
            <w:vAlign w:val="center"/>
            <w:hideMark/>
          </w:tcPr>
          <w:p w14:paraId="53E3685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2,08</w:t>
            </w:r>
          </w:p>
        </w:tc>
        <w:tc>
          <w:tcPr>
            <w:tcW w:w="671" w:type="pct"/>
            <w:tcBorders>
              <w:top w:val="nil"/>
              <w:left w:val="nil"/>
              <w:bottom w:val="single" w:sz="4" w:space="0" w:color="auto"/>
              <w:right w:val="single" w:sz="4" w:space="0" w:color="auto"/>
            </w:tcBorders>
            <w:shd w:val="clear" w:color="auto" w:fill="auto"/>
            <w:noWrap/>
            <w:vAlign w:val="center"/>
            <w:hideMark/>
          </w:tcPr>
          <w:p w14:paraId="5627188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0,94</w:t>
            </w:r>
          </w:p>
        </w:tc>
        <w:tc>
          <w:tcPr>
            <w:tcW w:w="530" w:type="pct"/>
            <w:tcBorders>
              <w:top w:val="nil"/>
              <w:left w:val="nil"/>
              <w:bottom w:val="single" w:sz="4" w:space="0" w:color="auto"/>
              <w:right w:val="single" w:sz="4" w:space="0" w:color="auto"/>
            </w:tcBorders>
            <w:shd w:val="clear" w:color="auto" w:fill="auto"/>
            <w:noWrap/>
            <w:vAlign w:val="center"/>
            <w:hideMark/>
          </w:tcPr>
          <w:p w14:paraId="34E549C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0,27</w:t>
            </w:r>
          </w:p>
        </w:tc>
        <w:tc>
          <w:tcPr>
            <w:tcW w:w="516" w:type="pct"/>
            <w:tcBorders>
              <w:top w:val="nil"/>
              <w:left w:val="nil"/>
              <w:bottom w:val="single" w:sz="4" w:space="0" w:color="auto"/>
              <w:right w:val="single" w:sz="4" w:space="0" w:color="auto"/>
            </w:tcBorders>
            <w:shd w:val="clear" w:color="auto" w:fill="auto"/>
            <w:noWrap/>
            <w:vAlign w:val="center"/>
            <w:hideMark/>
          </w:tcPr>
          <w:p w14:paraId="5B4C943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3,26</w:t>
            </w:r>
          </w:p>
        </w:tc>
        <w:tc>
          <w:tcPr>
            <w:tcW w:w="522" w:type="pct"/>
            <w:tcBorders>
              <w:top w:val="nil"/>
              <w:left w:val="nil"/>
              <w:bottom w:val="single" w:sz="4" w:space="0" w:color="auto"/>
              <w:right w:val="single" w:sz="4" w:space="0" w:color="auto"/>
            </w:tcBorders>
            <w:shd w:val="clear" w:color="auto" w:fill="auto"/>
            <w:noWrap/>
            <w:vAlign w:val="center"/>
            <w:hideMark/>
          </w:tcPr>
          <w:p w14:paraId="23DDCC0F"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0,27</w:t>
            </w:r>
          </w:p>
        </w:tc>
        <w:tc>
          <w:tcPr>
            <w:tcW w:w="523" w:type="pct"/>
            <w:tcBorders>
              <w:top w:val="nil"/>
              <w:left w:val="nil"/>
              <w:bottom w:val="single" w:sz="4" w:space="0" w:color="auto"/>
              <w:right w:val="single" w:sz="4" w:space="0" w:color="auto"/>
            </w:tcBorders>
            <w:shd w:val="clear" w:color="auto" w:fill="auto"/>
            <w:noWrap/>
            <w:vAlign w:val="center"/>
            <w:hideMark/>
          </w:tcPr>
          <w:p w14:paraId="0EEA0E07" w14:textId="77777777" w:rsidR="00581ACA" w:rsidRPr="006F12AE" w:rsidRDefault="00581ACA" w:rsidP="00951501">
            <w:pPr>
              <w:jc w:val="right"/>
              <w:rPr>
                <w:color w:val="000000"/>
                <w:sz w:val="16"/>
                <w:szCs w:val="16"/>
                <w:highlight w:val="red"/>
                <w:lang w:val="es-ES_tradnl"/>
              </w:rPr>
            </w:pPr>
            <w:r w:rsidRPr="006F12AE">
              <w:rPr>
                <w:color w:val="000000"/>
                <w:sz w:val="16"/>
                <w:szCs w:val="16"/>
                <w:lang w:val="es-ES_tradnl"/>
              </w:rPr>
              <w:t>1,90</w:t>
            </w:r>
          </w:p>
        </w:tc>
      </w:tr>
      <w:tr w:rsidR="006F12AE" w:rsidRPr="006F12AE" w14:paraId="1B6A852D" w14:textId="77777777" w:rsidTr="006F12AE">
        <w:trPr>
          <w:trHeight w:val="442"/>
        </w:trPr>
        <w:tc>
          <w:tcPr>
            <w:tcW w:w="1192" w:type="pct"/>
            <w:tcBorders>
              <w:top w:val="nil"/>
              <w:left w:val="single" w:sz="4" w:space="0" w:color="auto"/>
              <w:bottom w:val="single" w:sz="4" w:space="0" w:color="auto"/>
              <w:right w:val="single" w:sz="4" w:space="0" w:color="auto"/>
            </w:tcBorders>
            <w:shd w:val="clear" w:color="auto" w:fill="auto"/>
            <w:noWrap/>
            <w:vAlign w:val="center"/>
            <w:hideMark/>
          </w:tcPr>
          <w:p w14:paraId="71254744"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Reproducibilidad</w:t>
            </w:r>
          </w:p>
        </w:tc>
        <w:tc>
          <w:tcPr>
            <w:tcW w:w="522" w:type="pct"/>
            <w:tcBorders>
              <w:top w:val="nil"/>
              <w:left w:val="nil"/>
              <w:bottom w:val="single" w:sz="4" w:space="0" w:color="auto"/>
              <w:right w:val="single" w:sz="4" w:space="0" w:color="auto"/>
            </w:tcBorders>
            <w:shd w:val="clear" w:color="auto" w:fill="auto"/>
            <w:vAlign w:val="center"/>
            <w:hideMark/>
          </w:tcPr>
          <w:p w14:paraId="3E2BEBCC" w14:textId="77777777" w:rsidR="00581ACA" w:rsidRPr="006F12AE" w:rsidRDefault="00581ACA" w:rsidP="00951501">
            <w:pPr>
              <w:jc w:val="left"/>
              <w:rPr>
                <w:color w:val="000000"/>
                <w:sz w:val="15"/>
                <w:szCs w:val="15"/>
                <w:lang w:val="es-ES_tradnl"/>
              </w:rPr>
            </w:pPr>
            <w:r w:rsidRPr="006F12AE">
              <w:rPr>
                <w:color w:val="000000"/>
                <w:sz w:val="15"/>
                <w:szCs w:val="15"/>
                <w:lang w:val="es-ES_tradnl"/>
              </w:rPr>
              <w:t>En 400 hospitales públicos</w:t>
            </w:r>
          </w:p>
        </w:tc>
        <w:tc>
          <w:tcPr>
            <w:tcW w:w="524" w:type="pct"/>
            <w:tcBorders>
              <w:top w:val="nil"/>
              <w:left w:val="nil"/>
              <w:bottom w:val="single" w:sz="4" w:space="0" w:color="auto"/>
              <w:right w:val="single" w:sz="4" w:space="0" w:color="auto"/>
            </w:tcBorders>
            <w:shd w:val="clear" w:color="auto" w:fill="auto"/>
            <w:vAlign w:val="center"/>
            <w:hideMark/>
          </w:tcPr>
          <w:p w14:paraId="3601C0C2" w14:textId="77777777" w:rsidR="00581ACA" w:rsidRPr="006F12AE" w:rsidRDefault="00581ACA" w:rsidP="00951501">
            <w:pPr>
              <w:jc w:val="left"/>
              <w:rPr>
                <w:color w:val="000000"/>
                <w:sz w:val="15"/>
                <w:szCs w:val="15"/>
                <w:lang w:val="es-ES_tradnl"/>
              </w:rPr>
            </w:pPr>
            <w:r w:rsidRPr="006F12AE">
              <w:rPr>
                <w:color w:val="000000"/>
                <w:sz w:val="15"/>
                <w:szCs w:val="15"/>
                <w:lang w:val="es-ES_tradnl"/>
              </w:rPr>
              <w:t>En 400 hospitales públicos</w:t>
            </w:r>
          </w:p>
        </w:tc>
        <w:tc>
          <w:tcPr>
            <w:tcW w:w="671" w:type="pct"/>
            <w:tcBorders>
              <w:top w:val="nil"/>
              <w:left w:val="nil"/>
              <w:bottom w:val="single" w:sz="4" w:space="0" w:color="auto"/>
              <w:right w:val="single" w:sz="4" w:space="0" w:color="auto"/>
            </w:tcBorders>
            <w:shd w:val="clear" w:color="auto" w:fill="auto"/>
            <w:vAlign w:val="center"/>
            <w:hideMark/>
          </w:tcPr>
          <w:p w14:paraId="7C4CAF89" w14:textId="77777777" w:rsidR="00581ACA" w:rsidRPr="006F12AE" w:rsidRDefault="00581ACA" w:rsidP="00951501">
            <w:pPr>
              <w:jc w:val="left"/>
              <w:rPr>
                <w:color w:val="000000"/>
                <w:sz w:val="15"/>
                <w:szCs w:val="15"/>
                <w:lang w:val="es-ES_tradnl"/>
              </w:rPr>
            </w:pPr>
            <w:r w:rsidRPr="006F12AE">
              <w:rPr>
                <w:color w:val="000000"/>
                <w:sz w:val="15"/>
                <w:szCs w:val="15"/>
                <w:lang w:val="es-ES_tradnl"/>
              </w:rPr>
              <w:t>Edificios públicos grandes</w:t>
            </w:r>
          </w:p>
        </w:tc>
        <w:tc>
          <w:tcPr>
            <w:tcW w:w="530" w:type="pct"/>
            <w:tcBorders>
              <w:top w:val="nil"/>
              <w:left w:val="nil"/>
              <w:bottom w:val="single" w:sz="4" w:space="0" w:color="auto"/>
              <w:right w:val="single" w:sz="4" w:space="0" w:color="auto"/>
            </w:tcBorders>
            <w:shd w:val="clear" w:color="auto" w:fill="auto"/>
            <w:vAlign w:val="center"/>
            <w:hideMark/>
          </w:tcPr>
          <w:p w14:paraId="24F70B8A" w14:textId="0057C6D3" w:rsidR="00581ACA" w:rsidRPr="006F12AE" w:rsidRDefault="00581ACA" w:rsidP="00951501">
            <w:pPr>
              <w:jc w:val="left"/>
              <w:rPr>
                <w:color w:val="000000"/>
                <w:sz w:val="15"/>
                <w:szCs w:val="15"/>
                <w:lang w:val="es-ES_tradnl"/>
              </w:rPr>
            </w:pPr>
            <w:r w:rsidRPr="006F12AE">
              <w:rPr>
                <w:color w:val="000000"/>
                <w:sz w:val="15"/>
                <w:szCs w:val="15"/>
                <w:lang w:val="es-ES_tradnl"/>
              </w:rPr>
              <w:t>Moderada</w:t>
            </w:r>
            <w:r w:rsidR="006F12AE" w:rsidRPr="006F12AE">
              <w:rPr>
                <w:color w:val="000000"/>
                <w:sz w:val="15"/>
                <w:szCs w:val="15"/>
                <w:lang w:val="es-ES_tradnl"/>
              </w:rPr>
              <w:t>,</w:t>
            </w:r>
            <w:r w:rsidRPr="006F12AE">
              <w:rPr>
                <w:color w:val="000000"/>
                <w:sz w:val="15"/>
                <w:szCs w:val="15"/>
                <w:lang w:val="es-ES_tradnl"/>
              </w:rPr>
              <w:t xml:space="preserve"> instalaciones similares</w:t>
            </w:r>
          </w:p>
        </w:tc>
        <w:tc>
          <w:tcPr>
            <w:tcW w:w="516" w:type="pct"/>
            <w:tcBorders>
              <w:top w:val="nil"/>
              <w:left w:val="nil"/>
              <w:bottom w:val="single" w:sz="4" w:space="0" w:color="auto"/>
              <w:right w:val="single" w:sz="4" w:space="0" w:color="auto"/>
            </w:tcBorders>
            <w:shd w:val="clear" w:color="auto" w:fill="auto"/>
            <w:vAlign w:val="center"/>
            <w:hideMark/>
          </w:tcPr>
          <w:p w14:paraId="34826ED9" w14:textId="1FE19D89" w:rsidR="00581ACA" w:rsidRPr="006F12AE" w:rsidRDefault="00581ACA" w:rsidP="00951501">
            <w:pPr>
              <w:jc w:val="left"/>
              <w:rPr>
                <w:color w:val="000000"/>
                <w:sz w:val="15"/>
                <w:szCs w:val="15"/>
                <w:lang w:val="es-ES_tradnl"/>
              </w:rPr>
            </w:pPr>
            <w:r w:rsidRPr="006F12AE">
              <w:rPr>
                <w:color w:val="000000"/>
                <w:sz w:val="15"/>
                <w:szCs w:val="15"/>
                <w:lang w:val="es-ES_tradnl"/>
              </w:rPr>
              <w:t xml:space="preserve">Edificios con aire acondicionado </w:t>
            </w:r>
            <w:r w:rsidR="00774375">
              <w:rPr>
                <w:color w:val="000000"/>
                <w:sz w:val="15"/>
                <w:szCs w:val="15"/>
                <w:lang w:val="es-ES_tradnl"/>
              </w:rPr>
              <w:t xml:space="preserve">tipo </w:t>
            </w:r>
            <w:r w:rsidRPr="006F12AE">
              <w:rPr>
                <w:i/>
                <w:iCs/>
                <w:color w:val="000000"/>
                <w:sz w:val="15"/>
                <w:szCs w:val="15"/>
                <w:lang w:val="es-ES_tradnl"/>
              </w:rPr>
              <w:t>split</w:t>
            </w:r>
          </w:p>
        </w:tc>
        <w:tc>
          <w:tcPr>
            <w:tcW w:w="522" w:type="pct"/>
            <w:tcBorders>
              <w:top w:val="nil"/>
              <w:left w:val="nil"/>
              <w:bottom w:val="single" w:sz="4" w:space="0" w:color="auto"/>
              <w:right w:val="single" w:sz="4" w:space="0" w:color="auto"/>
            </w:tcBorders>
            <w:shd w:val="clear" w:color="auto" w:fill="auto"/>
            <w:vAlign w:val="center"/>
            <w:hideMark/>
          </w:tcPr>
          <w:p w14:paraId="0AE339C6" w14:textId="77777777" w:rsidR="00581ACA" w:rsidRPr="006F12AE" w:rsidRDefault="00581ACA" w:rsidP="00951501">
            <w:pPr>
              <w:jc w:val="left"/>
              <w:rPr>
                <w:color w:val="000000"/>
                <w:sz w:val="15"/>
                <w:szCs w:val="15"/>
                <w:lang w:val="es-ES_tradnl"/>
              </w:rPr>
            </w:pPr>
            <w:r w:rsidRPr="006F12AE">
              <w:rPr>
                <w:color w:val="000000"/>
                <w:sz w:val="15"/>
                <w:szCs w:val="15"/>
                <w:lang w:val="es-ES_tradnl"/>
              </w:rPr>
              <w:t>Edificios públicos similares</w:t>
            </w:r>
          </w:p>
        </w:tc>
        <w:tc>
          <w:tcPr>
            <w:tcW w:w="523" w:type="pct"/>
            <w:tcBorders>
              <w:top w:val="nil"/>
              <w:left w:val="nil"/>
              <w:bottom w:val="single" w:sz="4" w:space="0" w:color="auto"/>
              <w:right w:val="single" w:sz="4" w:space="0" w:color="auto"/>
            </w:tcBorders>
            <w:shd w:val="clear" w:color="auto" w:fill="auto"/>
            <w:vAlign w:val="center"/>
            <w:hideMark/>
          </w:tcPr>
          <w:p w14:paraId="4A2C2A95" w14:textId="77777777" w:rsidR="00581ACA" w:rsidRPr="006F12AE" w:rsidRDefault="00581ACA" w:rsidP="00951501">
            <w:pPr>
              <w:jc w:val="left"/>
              <w:rPr>
                <w:color w:val="000000"/>
                <w:sz w:val="15"/>
                <w:szCs w:val="15"/>
                <w:lang w:val="es-ES_tradnl"/>
              </w:rPr>
            </w:pPr>
            <w:r w:rsidRPr="006F12AE">
              <w:rPr>
                <w:color w:val="000000"/>
                <w:sz w:val="15"/>
                <w:szCs w:val="15"/>
                <w:lang w:val="es-ES_tradnl"/>
              </w:rPr>
              <w:t>Edificios públicos similares</w:t>
            </w:r>
          </w:p>
        </w:tc>
      </w:tr>
      <w:tr w:rsidR="006F12AE" w:rsidRPr="006F12AE" w14:paraId="69354B4F" w14:textId="77777777" w:rsidTr="006F12AE">
        <w:trPr>
          <w:trHeight w:val="42"/>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6083CA2A"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Factor de reproducibilidad estimado</w:t>
            </w:r>
          </w:p>
        </w:tc>
        <w:tc>
          <w:tcPr>
            <w:tcW w:w="522" w:type="pct"/>
            <w:tcBorders>
              <w:top w:val="nil"/>
              <w:left w:val="nil"/>
              <w:bottom w:val="single" w:sz="4" w:space="0" w:color="auto"/>
              <w:right w:val="single" w:sz="4" w:space="0" w:color="auto"/>
            </w:tcBorders>
            <w:shd w:val="clear" w:color="auto" w:fill="auto"/>
            <w:noWrap/>
            <w:vAlign w:val="center"/>
            <w:hideMark/>
          </w:tcPr>
          <w:p w14:paraId="3AEF9DA7"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350</w:t>
            </w:r>
          </w:p>
        </w:tc>
        <w:tc>
          <w:tcPr>
            <w:tcW w:w="524" w:type="pct"/>
            <w:tcBorders>
              <w:top w:val="nil"/>
              <w:left w:val="nil"/>
              <w:bottom w:val="single" w:sz="4" w:space="0" w:color="auto"/>
              <w:right w:val="single" w:sz="4" w:space="0" w:color="auto"/>
            </w:tcBorders>
            <w:shd w:val="clear" w:color="auto" w:fill="auto"/>
            <w:noWrap/>
            <w:vAlign w:val="center"/>
            <w:hideMark/>
          </w:tcPr>
          <w:p w14:paraId="157FD4D4"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350</w:t>
            </w:r>
          </w:p>
        </w:tc>
        <w:tc>
          <w:tcPr>
            <w:tcW w:w="671" w:type="pct"/>
            <w:tcBorders>
              <w:top w:val="nil"/>
              <w:left w:val="nil"/>
              <w:bottom w:val="single" w:sz="4" w:space="0" w:color="auto"/>
              <w:right w:val="single" w:sz="4" w:space="0" w:color="auto"/>
            </w:tcBorders>
            <w:shd w:val="clear" w:color="auto" w:fill="auto"/>
            <w:noWrap/>
            <w:vAlign w:val="center"/>
            <w:hideMark/>
          </w:tcPr>
          <w:p w14:paraId="64149597"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30</w:t>
            </w:r>
          </w:p>
        </w:tc>
        <w:tc>
          <w:tcPr>
            <w:tcW w:w="530" w:type="pct"/>
            <w:tcBorders>
              <w:top w:val="nil"/>
              <w:left w:val="nil"/>
              <w:bottom w:val="single" w:sz="4" w:space="0" w:color="auto"/>
              <w:right w:val="single" w:sz="4" w:space="0" w:color="auto"/>
            </w:tcBorders>
            <w:shd w:val="clear" w:color="auto" w:fill="auto"/>
            <w:noWrap/>
            <w:vAlign w:val="center"/>
            <w:hideMark/>
          </w:tcPr>
          <w:p w14:paraId="04BBB420"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20</w:t>
            </w:r>
          </w:p>
        </w:tc>
        <w:tc>
          <w:tcPr>
            <w:tcW w:w="516" w:type="pct"/>
            <w:tcBorders>
              <w:top w:val="nil"/>
              <w:left w:val="nil"/>
              <w:bottom w:val="single" w:sz="4" w:space="0" w:color="auto"/>
              <w:right w:val="single" w:sz="4" w:space="0" w:color="auto"/>
            </w:tcBorders>
            <w:shd w:val="clear" w:color="auto" w:fill="auto"/>
            <w:noWrap/>
            <w:vAlign w:val="center"/>
            <w:hideMark/>
          </w:tcPr>
          <w:p w14:paraId="2FF9E32D"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400</w:t>
            </w:r>
          </w:p>
        </w:tc>
        <w:tc>
          <w:tcPr>
            <w:tcW w:w="522" w:type="pct"/>
            <w:tcBorders>
              <w:top w:val="nil"/>
              <w:left w:val="nil"/>
              <w:bottom w:val="single" w:sz="4" w:space="0" w:color="auto"/>
              <w:right w:val="single" w:sz="4" w:space="0" w:color="auto"/>
            </w:tcBorders>
            <w:shd w:val="clear" w:color="auto" w:fill="auto"/>
            <w:noWrap/>
            <w:vAlign w:val="center"/>
            <w:hideMark/>
          </w:tcPr>
          <w:p w14:paraId="208D0DFD"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100</w:t>
            </w:r>
          </w:p>
        </w:tc>
        <w:tc>
          <w:tcPr>
            <w:tcW w:w="523" w:type="pct"/>
            <w:tcBorders>
              <w:top w:val="nil"/>
              <w:left w:val="nil"/>
              <w:bottom w:val="single" w:sz="4" w:space="0" w:color="auto"/>
              <w:right w:val="single" w:sz="4" w:space="0" w:color="auto"/>
            </w:tcBorders>
            <w:shd w:val="clear" w:color="auto" w:fill="auto"/>
            <w:noWrap/>
            <w:vAlign w:val="center"/>
            <w:hideMark/>
          </w:tcPr>
          <w:p w14:paraId="5E5E782D" w14:textId="77777777" w:rsidR="00581ACA" w:rsidRPr="006F12AE" w:rsidRDefault="00581ACA" w:rsidP="00951501">
            <w:pPr>
              <w:jc w:val="center"/>
              <w:rPr>
                <w:color w:val="000000"/>
                <w:sz w:val="16"/>
                <w:szCs w:val="16"/>
                <w:lang w:val="es-ES_tradnl"/>
              </w:rPr>
            </w:pPr>
            <w:r w:rsidRPr="006F12AE">
              <w:rPr>
                <w:color w:val="000000"/>
                <w:sz w:val="16"/>
                <w:szCs w:val="16"/>
                <w:lang w:val="es-ES_tradnl"/>
              </w:rPr>
              <w:t>100</w:t>
            </w:r>
          </w:p>
        </w:tc>
      </w:tr>
      <w:tr w:rsidR="006F12AE" w:rsidRPr="006F12AE" w14:paraId="3C983FF4" w14:textId="77777777" w:rsidTr="006F12AE">
        <w:trPr>
          <w:trHeight w:val="42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3C97044B"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 xml:space="preserve">Ahorro energético total con una adopción del 40 % </w:t>
            </w:r>
          </w:p>
        </w:tc>
        <w:tc>
          <w:tcPr>
            <w:tcW w:w="522" w:type="pct"/>
            <w:tcBorders>
              <w:top w:val="nil"/>
              <w:left w:val="nil"/>
              <w:bottom w:val="single" w:sz="4" w:space="0" w:color="auto"/>
              <w:right w:val="single" w:sz="4" w:space="0" w:color="auto"/>
            </w:tcBorders>
            <w:shd w:val="clear" w:color="auto" w:fill="auto"/>
            <w:noWrap/>
            <w:vAlign w:val="center"/>
            <w:hideMark/>
          </w:tcPr>
          <w:p w14:paraId="088C8EF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284.875,2</w:t>
            </w:r>
          </w:p>
        </w:tc>
        <w:tc>
          <w:tcPr>
            <w:tcW w:w="524" w:type="pct"/>
            <w:tcBorders>
              <w:top w:val="nil"/>
              <w:left w:val="nil"/>
              <w:bottom w:val="single" w:sz="4" w:space="0" w:color="auto"/>
              <w:right w:val="single" w:sz="4" w:space="0" w:color="auto"/>
            </w:tcBorders>
            <w:shd w:val="clear" w:color="auto" w:fill="auto"/>
            <w:noWrap/>
            <w:vAlign w:val="center"/>
            <w:hideMark/>
          </w:tcPr>
          <w:p w14:paraId="135615F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24.177,6</w:t>
            </w:r>
          </w:p>
        </w:tc>
        <w:tc>
          <w:tcPr>
            <w:tcW w:w="671" w:type="pct"/>
            <w:tcBorders>
              <w:top w:val="nil"/>
              <w:left w:val="nil"/>
              <w:bottom w:val="single" w:sz="4" w:space="0" w:color="auto"/>
              <w:right w:val="single" w:sz="4" w:space="0" w:color="auto"/>
            </w:tcBorders>
            <w:shd w:val="clear" w:color="auto" w:fill="auto"/>
            <w:noWrap/>
            <w:vAlign w:val="center"/>
            <w:hideMark/>
          </w:tcPr>
          <w:p w14:paraId="68948176"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25.679,3</w:t>
            </w:r>
          </w:p>
        </w:tc>
        <w:tc>
          <w:tcPr>
            <w:tcW w:w="530" w:type="pct"/>
            <w:tcBorders>
              <w:top w:val="nil"/>
              <w:left w:val="nil"/>
              <w:bottom w:val="single" w:sz="4" w:space="0" w:color="auto"/>
              <w:right w:val="single" w:sz="4" w:space="0" w:color="auto"/>
            </w:tcBorders>
            <w:shd w:val="clear" w:color="auto" w:fill="auto"/>
            <w:noWrap/>
            <w:vAlign w:val="center"/>
            <w:hideMark/>
          </w:tcPr>
          <w:p w14:paraId="24376D9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24.027,4</w:t>
            </w:r>
          </w:p>
        </w:tc>
        <w:tc>
          <w:tcPr>
            <w:tcW w:w="516" w:type="pct"/>
            <w:tcBorders>
              <w:top w:val="nil"/>
              <w:left w:val="nil"/>
              <w:bottom w:val="single" w:sz="4" w:space="0" w:color="auto"/>
              <w:right w:val="single" w:sz="4" w:space="0" w:color="auto"/>
            </w:tcBorders>
            <w:shd w:val="clear" w:color="auto" w:fill="auto"/>
            <w:noWrap/>
            <w:vAlign w:val="center"/>
            <w:hideMark/>
          </w:tcPr>
          <w:p w14:paraId="7D7374D8"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12.013,7</w:t>
            </w:r>
          </w:p>
        </w:tc>
        <w:tc>
          <w:tcPr>
            <w:tcW w:w="522" w:type="pct"/>
            <w:tcBorders>
              <w:top w:val="nil"/>
              <w:left w:val="nil"/>
              <w:bottom w:val="single" w:sz="4" w:space="0" w:color="auto"/>
              <w:right w:val="single" w:sz="4" w:space="0" w:color="auto"/>
            </w:tcBorders>
            <w:shd w:val="clear" w:color="auto" w:fill="auto"/>
            <w:noWrap/>
            <w:vAlign w:val="center"/>
            <w:hideMark/>
          </w:tcPr>
          <w:p w14:paraId="5156778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54.061,7</w:t>
            </w:r>
          </w:p>
        </w:tc>
        <w:tc>
          <w:tcPr>
            <w:tcW w:w="523" w:type="pct"/>
            <w:tcBorders>
              <w:top w:val="nil"/>
              <w:left w:val="nil"/>
              <w:bottom w:val="single" w:sz="4" w:space="0" w:color="auto"/>
              <w:right w:val="single" w:sz="4" w:space="0" w:color="auto"/>
            </w:tcBorders>
            <w:shd w:val="clear" w:color="auto" w:fill="auto"/>
            <w:noWrap/>
            <w:vAlign w:val="center"/>
            <w:hideMark/>
          </w:tcPr>
          <w:p w14:paraId="7D33859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11.262,8</w:t>
            </w:r>
          </w:p>
        </w:tc>
      </w:tr>
      <w:tr w:rsidR="006F12AE" w:rsidRPr="006F12AE" w14:paraId="76D37779" w14:textId="77777777" w:rsidTr="006F12AE">
        <w:trPr>
          <w:trHeight w:val="42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37DA4EAE"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Reducción de emisiones de CO</w:t>
            </w:r>
            <w:r w:rsidRPr="006F12AE">
              <w:rPr>
                <w:color w:val="000000"/>
                <w:sz w:val="16"/>
                <w:szCs w:val="16"/>
                <w:vertAlign w:val="subscript"/>
                <w:lang w:val="es-ES_tradnl"/>
              </w:rPr>
              <w:t>2</w:t>
            </w:r>
            <w:r w:rsidRPr="006F12AE">
              <w:rPr>
                <w:color w:val="000000"/>
                <w:sz w:val="16"/>
                <w:szCs w:val="16"/>
                <w:lang w:val="es-ES_tradnl"/>
              </w:rPr>
              <w:t xml:space="preserve"> a 0,84 kg/kWh (kilotoneladas de CO</w:t>
            </w:r>
            <w:r w:rsidRPr="006F12AE">
              <w:rPr>
                <w:color w:val="000000"/>
                <w:sz w:val="16"/>
                <w:szCs w:val="16"/>
                <w:vertAlign w:val="subscript"/>
                <w:lang w:val="es-ES_tradnl"/>
              </w:rPr>
              <w:t>2</w:t>
            </w:r>
            <w:r w:rsidRPr="006F12AE">
              <w:rPr>
                <w:color w:val="000000"/>
                <w:sz w:val="16"/>
                <w:szCs w:val="16"/>
                <w:vertAlign w:val="subscript"/>
                <w:lang w:val="es-ES_tradnl"/>
              </w:rPr>
              <w:noBreakHyphen/>
            </w:r>
            <w:r w:rsidRPr="006F12AE">
              <w:rPr>
                <w:color w:val="000000"/>
                <w:sz w:val="16"/>
                <w:szCs w:val="16"/>
                <w:lang w:val="es-ES_tradnl"/>
              </w:rPr>
              <w:t> eq)</w:t>
            </w:r>
          </w:p>
        </w:tc>
        <w:tc>
          <w:tcPr>
            <w:tcW w:w="522" w:type="pct"/>
            <w:tcBorders>
              <w:top w:val="nil"/>
              <w:left w:val="nil"/>
              <w:bottom w:val="single" w:sz="4" w:space="0" w:color="auto"/>
              <w:right w:val="single" w:sz="4" w:space="0" w:color="auto"/>
            </w:tcBorders>
            <w:shd w:val="clear" w:color="auto" w:fill="auto"/>
            <w:noWrap/>
            <w:vAlign w:val="center"/>
            <w:hideMark/>
          </w:tcPr>
          <w:p w14:paraId="4D09374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239,3</w:t>
            </w:r>
          </w:p>
        </w:tc>
        <w:tc>
          <w:tcPr>
            <w:tcW w:w="524" w:type="pct"/>
            <w:tcBorders>
              <w:top w:val="nil"/>
              <w:left w:val="nil"/>
              <w:bottom w:val="single" w:sz="4" w:space="0" w:color="auto"/>
              <w:right w:val="single" w:sz="4" w:space="0" w:color="auto"/>
            </w:tcBorders>
            <w:shd w:val="clear" w:color="auto" w:fill="auto"/>
            <w:noWrap/>
            <w:vAlign w:val="center"/>
            <w:hideMark/>
          </w:tcPr>
          <w:p w14:paraId="759ACFB2"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20,31</w:t>
            </w:r>
          </w:p>
        </w:tc>
        <w:tc>
          <w:tcPr>
            <w:tcW w:w="671" w:type="pct"/>
            <w:tcBorders>
              <w:top w:val="nil"/>
              <w:left w:val="nil"/>
              <w:bottom w:val="single" w:sz="4" w:space="0" w:color="auto"/>
              <w:right w:val="single" w:sz="4" w:space="0" w:color="auto"/>
            </w:tcBorders>
            <w:shd w:val="clear" w:color="auto" w:fill="auto"/>
            <w:noWrap/>
            <w:vAlign w:val="center"/>
            <w:hideMark/>
          </w:tcPr>
          <w:p w14:paraId="4F1EDA3F"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21,57</w:t>
            </w:r>
          </w:p>
        </w:tc>
        <w:tc>
          <w:tcPr>
            <w:tcW w:w="530" w:type="pct"/>
            <w:tcBorders>
              <w:top w:val="nil"/>
              <w:left w:val="nil"/>
              <w:bottom w:val="single" w:sz="4" w:space="0" w:color="auto"/>
              <w:right w:val="single" w:sz="4" w:space="0" w:color="auto"/>
            </w:tcBorders>
            <w:shd w:val="clear" w:color="auto" w:fill="auto"/>
            <w:noWrap/>
            <w:vAlign w:val="center"/>
            <w:hideMark/>
          </w:tcPr>
          <w:p w14:paraId="6DA78304"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20,18</w:t>
            </w:r>
          </w:p>
        </w:tc>
        <w:tc>
          <w:tcPr>
            <w:tcW w:w="516" w:type="pct"/>
            <w:tcBorders>
              <w:top w:val="nil"/>
              <w:left w:val="nil"/>
              <w:bottom w:val="single" w:sz="4" w:space="0" w:color="auto"/>
              <w:right w:val="single" w:sz="4" w:space="0" w:color="auto"/>
            </w:tcBorders>
            <w:shd w:val="clear" w:color="auto" w:fill="auto"/>
            <w:noWrap/>
            <w:vAlign w:val="center"/>
            <w:hideMark/>
          </w:tcPr>
          <w:p w14:paraId="4E5A326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10,09</w:t>
            </w:r>
          </w:p>
        </w:tc>
        <w:tc>
          <w:tcPr>
            <w:tcW w:w="522" w:type="pct"/>
            <w:tcBorders>
              <w:top w:val="nil"/>
              <w:left w:val="nil"/>
              <w:bottom w:val="single" w:sz="4" w:space="0" w:color="auto"/>
              <w:right w:val="single" w:sz="4" w:space="0" w:color="auto"/>
            </w:tcBorders>
            <w:shd w:val="clear" w:color="auto" w:fill="auto"/>
            <w:noWrap/>
            <w:vAlign w:val="center"/>
            <w:hideMark/>
          </w:tcPr>
          <w:p w14:paraId="754B8BE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45,41</w:t>
            </w:r>
          </w:p>
        </w:tc>
        <w:tc>
          <w:tcPr>
            <w:tcW w:w="523" w:type="pct"/>
            <w:tcBorders>
              <w:top w:val="nil"/>
              <w:left w:val="nil"/>
              <w:bottom w:val="single" w:sz="4" w:space="0" w:color="auto"/>
              <w:right w:val="single" w:sz="4" w:space="0" w:color="auto"/>
            </w:tcBorders>
            <w:shd w:val="clear" w:color="auto" w:fill="auto"/>
            <w:noWrap/>
            <w:vAlign w:val="center"/>
            <w:hideMark/>
          </w:tcPr>
          <w:p w14:paraId="6E420C0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9,46</w:t>
            </w:r>
          </w:p>
        </w:tc>
      </w:tr>
      <w:tr w:rsidR="006F12AE" w:rsidRPr="006F12AE" w14:paraId="3186F3BB" w14:textId="77777777" w:rsidTr="006F12AE">
        <w:trPr>
          <w:trHeight w:val="42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299B5991"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Carga de refrigerante sustituida (kg)</w:t>
            </w:r>
          </w:p>
        </w:tc>
        <w:tc>
          <w:tcPr>
            <w:tcW w:w="522" w:type="pct"/>
            <w:tcBorders>
              <w:top w:val="nil"/>
              <w:left w:val="nil"/>
              <w:bottom w:val="single" w:sz="4" w:space="0" w:color="auto"/>
              <w:right w:val="single" w:sz="4" w:space="0" w:color="auto"/>
            </w:tcBorders>
            <w:shd w:val="clear" w:color="auto" w:fill="auto"/>
            <w:noWrap/>
            <w:vAlign w:val="center"/>
            <w:hideMark/>
          </w:tcPr>
          <w:p w14:paraId="47C7C5D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500</w:t>
            </w:r>
          </w:p>
        </w:tc>
        <w:tc>
          <w:tcPr>
            <w:tcW w:w="524" w:type="pct"/>
            <w:tcBorders>
              <w:top w:val="nil"/>
              <w:left w:val="nil"/>
              <w:bottom w:val="single" w:sz="4" w:space="0" w:color="auto"/>
              <w:right w:val="single" w:sz="4" w:space="0" w:color="auto"/>
            </w:tcBorders>
            <w:shd w:val="clear" w:color="auto" w:fill="auto"/>
            <w:noWrap/>
            <w:vAlign w:val="center"/>
            <w:hideMark/>
          </w:tcPr>
          <w:p w14:paraId="55FDFC2F"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250</w:t>
            </w:r>
          </w:p>
        </w:tc>
        <w:tc>
          <w:tcPr>
            <w:tcW w:w="671" w:type="pct"/>
            <w:tcBorders>
              <w:top w:val="nil"/>
              <w:left w:val="nil"/>
              <w:bottom w:val="single" w:sz="4" w:space="0" w:color="auto"/>
              <w:right w:val="single" w:sz="4" w:space="0" w:color="auto"/>
            </w:tcBorders>
            <w:shd w:val="clear" w:color="auto" w:fill="auto"/>
            <w:noWrap/>
            <w:vAlign w:val="center"/>
            <w:hideMark/>
          </w:tcPr>
          <w:p w14:paraId="0BC0759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2.500</w:t>
            </w:r>
          </w:p>
        </w:tc>
        <w:tc>
          <w:tcPr>
            <w:tcW w:w="530" w:type="pct"/>
            <w:tcBorders>
              <w:top w:val="nil"/>
              <w:left w:val="nil"/>
              <w:bottom w:val="single" w:sz="4" w:space="0" w:color="auto"/>
              <w:right w:val="single" w:sz="4" w:space="0" w:color="auto"/>
            </w:tcBorders>
            <w:shd w:val="clear" w:color="auto" w:fill="auto"/>
            <w:noWrap/>
            <w:vAlign w:val="center"/>
            <w:hideMark/>
          </w:tcPr>
          <w:p w14:paraId="716ACAA9"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1.480</w:t>
            </w:r>
          </w:p>
        </w:tc>
        <w:tc>
          <w:tcPr>
            <w:tcW w:w="516" w:type="pct"/>
            <w:tcBorders>
              <w:top w:val="nil"/>
              <w:left w:val="nil"/>
              <w:bottom w:val="single" w:sz="4" w:space="0" w:color="auto"/>
              <w:right w:val="single" w:sz="4" w:space="0" w:color="auto"/>
            </w:tcBorders>
            <w:shd w:val="clear" w:color="auto" w:fill="auto"/>
            <w:noWrap/>
            <w:vAlign w:val="center"/>
            <w:hideMark/>
          </w:tcPr>
          <w:p w14:paraId="28ED9BD3"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100</w:t>
            </w:r>
          </w:p>
        </w:tc>
        <w:tc>
          <w:tcPr>
            <w:tcW w:w="522" w:type="pct"/>
            <w:tcBorders>
              <w:top w:val="nil"/>
              <w:left w:val="nil"/>
              <w:bottom w:val="single" w:sz="4" w:space="0" w:color="auto"/>
              <w:right w:val="single" w:sz="4" w:space="0" w:color="auto"/>
            </w:tcBorders>
            <w:shd w:val="clear" w:color="auto" w:fill="auto"/>
            <w:noWrap/>
            <w:vAlign w:val="center"/>
            <w:hideMark/>
          </w:tcPr>
          <w:p w14:paraId="3E7FACD1"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100</w:t>
            </w:r>
          </w:p>
        </w:tc>
        <w:tc>
          <w:tcPr>
            <w:tcW w:w="523" w:type="pct"/>
            <w:tcBorders>
              <w:top w:val="nil"/>
              <w:left w:val="nil"/>
              <w:bottom w:val="single" w:sz="4" w:space="0" w:color="auto"/>
              <w:right w:val="single" w:sz="4" w:space="0" w:color="auto"/>
            </w:tcBorders>
            <w:shd w:val="clear" w:color="auto" w:fill="auto"/>
            <w:noWrap/>
            <w:vAlign w:val="center"/>
            <w:hideMark/>
          </w:tcPr>
          <w:p w14:paraId="4315AC7C"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350</w:t>
            </w:r>
          </w:p>
        </w:tc>
      </w:tr>
      <w:tr w:rsidR="006F12AE" w:rsidRPr="006F12AE" w14:paraId="44FA9F14" w14:textId="77777777" w:rsidTr="006F12AE">
        <w:trPr>
          <w:trHeight w:val="420"/>
        </w:trPr>
        <w:tc>
          <w:tcPr>
            <w:tcW w:w="1192" w:type="pct"/>
            <w:tcBorders>
              <w:top w:val="nil"/>
              <w:left w:val="single" w:sz="4" w:space="0" w:color="auto"/>
              <w:bottom w:val="single" w:sz="4" w:space="0" w:color="auto"/>
              <w:right w:val="single" w:sz="4" w:space="0" w:color="auto"/>
            </w:tcBorders>
            <w:shd w:val="clear" w:color="auto" w:fill="auto"/>
            <w:vAlign w:val="center"/>
            <w:hideMark/>
          </w:tcPr>
          <w:p w14:paraId="214108E1" w14:textId="77777777" w:rsidR="00581ACA" w:rsidRPr="006F12AE" w:rsidRDefault="00581ACA" w:rsidP="00951501">
            <w:pPr>
              <w:jc w:val="left"/>
              <w:rPr>
                <w:color w:val="000000"/>
                <w:sz w:val="16"/>
                <w:szCs w:val="16"/>
                <w:lang w:val="es-ES_tradnl"/>
              </w:rPr>
            </w:pPr>
            <w:r w:rsidRPr="006F12AE">
              <w:rPr>
                <w:color w:val="000000"/>
                <w:sz w:val="16"/>
                <w:szCs w:val="16"/>
                <w:lang w:val="es-ES_tradnl"/>
              </w:rPr>
              <w:t>Eliminación equivalente/toneladas de HFC evitadas (adopción del 40 %)</w:t>
            </w:r>
          </w:p>
        </w:tc>
        <w:tc>
          <w:tcPr>
            <w:tcW w:w="522" w:type="pct"/>
            <w:tcBorders>
              <w:top w:val="nil"/>
              <w:left w:val="nil"/>
              <w:bottom w:val="single" w:sz="4" w:space="0" w:color="auto"/>
              <w:right w:val="single" w:sz="4" w:space="0" w:color="auto"/>
            </w:tcBorders>
            <w:shd w:val="clear" w:color="auto" w:fill="auto"/>
            <w:noWrap/>
            <w:vAlign w:val="center"/>
            <w:hideMark/>
          </w:tcPr>
          <w:p w14:paraId="56FE5F34"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70</w:t>
            </w:r>
          </w:p>
        </w:tc>
        <w:tc>
          <w:tcPr>
            <w:tcW w:w="524" w:type="pct"/>
            <w:tcBorders>
              <w:top w:val="nil"/>
              <w:left w:val="nil"/>
              <w:bottom w:val="single" w:sz="4" w:space="0" w:color="auto"/>
              <w:right w:val="single" w:sz="4" w:space="0" w:color="auto"/>
            </w:tcBorders>
            <w:shd w:val="clear" w:color="auto" w:fill="auto"/>
            <w:noWrap/>
            <w:vAlign w:val="center"/>
            <w:hideMark/>
          </w:tcPr>
          <w:p w14:paraId="779721F5"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35</w:t>
            </w:r>
          </w:p>
        </w:tc>
        <w:tc>
          <w:tcPr>
            <w:tcW w:w="671" w:type="pct"/>
            <w:tcBorders>
              <w:top w:val="nil"/>
              <w:left w:val="nil"/>
              <w:bottom w:val="single" w:sz="4" w:space="0" w:color="auto"/>
              <w:right w:val="single" w:sz="4" w:space="0" w:color="auto"/>
            </w:tcBorders>
            <w:shd w:val="clear" w:color="auto" w:fill="auto"/>
            <w:noWrap/>
            <w:vAlign w:val="center"/>
            <w:hideMark/>
          </w:tcPr>
          <w:p w14:paraId="7BFEAC8F"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30</w:t>
            </w:r>
          </w:p>
        </w:tc>
        <w:tc>
          <w:tcPr>
            <w:tcW w:w="530" w:type="pct"/>
            <w:tcBorders>
              <w:top w:val="nil"/>
              <w:left w:val="nil"/>
              <w:bottom w:val="single" w:sz="4" w:space="0" w:color="auto"/>
              <w:right w:val="single" w:sz="4" w:space="0" w:color="auto"/>
            </w:tcBorders>
            <w:shd w:val="clear" w:color="auto" w:fill="auto"/>
            <w:noWrap/>
            <w:vAlign w:val="center"/>
            <w:hideMark/>
          </w:tcPr>
          <w:p w14:paraId="742EF430"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12</w:t>
            </w:r>
          </w:p>
        </w:tc>
        <w:tc>
          <w:tcPr>
            <w:tcW w:w="516" w:type="pct"/>
            <w:tcBorders>
              <w:top w:val="nil"/>
              <w:left w:val="nil"/>
              <w:bottom w:val="single" w:sz="4" w:space="0" w:color="auto"/>
              <w:right w:val="single" w:sz="4" w:space="0" w:color="auto"/>
            </w:tcBorders>
            <w:shd w:val="clear" w:color="auto" w:fill="auto"/>
            <w:noWrap/>
            <w:vAlign w:val="center"/>
            <w:hideMark/>
          </w:tcPr>
          <w:p w14:paraId="485ADA96"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16</w:t>
            </w:r>
          </w:p>
        </w:tc>
        <w:tc>
          <w:tcPr>
            <w:tcW w:w="522" w:type="pct"/>
            <w:tcBorders>
              <w:top w:val="nil"/>
              <w:left w:val="nil"/>
              <w:bottom w:val="single" w:sz="4" w:space="0" w:color="auto"/>
              <w:right w:val="single" w:sz="4" w:space="0" w:color="auto"/>
            </w:tcBorders>
            <w:shd w:val="clear" w:color="auto" w:fill="auto"/>
            <w:noWrap/>
            <w:vAlign w:val="center"/>
            <w:hideMark/>
          </w:tcPr>
          <w:p w14:paraId="60807DCA"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4</w:t>
            </w:r>
          </w:p>
        </w:tc>
        <w:tc>
          <w:tcPr>
            <w:tcW w:w="523" w:type="pct"/>
            <w:tcBorders>
              <w:top w:val="nil"/>
              <w:left w:val="nil"/>
              <w:bottom w:val="single" w:sz="4" w:space="0" w:color="auto"/>
              <w:right w:val="single" w:sz="4" w:space="0" w:color="auto"/>
            </w:tcBorders>
            <w:shd w:val="clear" w:color="auto" w:fill="auto"/>
            <w:noWrap/>
            <w:vAlign w:val="center"/>
            <w:hideMark/>
          </w:tcPr>
          <w:p w14:paraId="3C668B4B" w14:textId="77777777" w:rsidR="00581ACA" w:rsidRPr="006F12AE" w:rsidRDefault="00581ACA" w:rsidP="00951501">
            <w:pPr>
              <w:jc w:val="right"/>
              <w:rPr>
                <w:color w:val="000000"/>
                <w:sz w:val="16"/>
                <w:szCs w:val="16"/>
                <w:lang w:val="es-ES_tradnl"/>
              </w:rPr>
            </w:pPr>
            <w:r w:rsidRPr="006F12AE">
              <w:rPr>
                <w:color w:val="000000"/>
                <w:sz w:val="16"/>
                <w:szCs w:val="16"/>
                <w:lang w:val="es-ES_tradnl"/>
              </w:rPr>
              <w:t>14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14:paraId="0563DD9F" w14:textId="77777777" w:rsidTr="006F12AE">
        <w:tc>
          <w:tcPr>
            <w:tcW w:w="1871" w:type="dxa"/>
          </w:tcPr>
          <w:p w14:paraId="5BC61A60" w14:textId="77777777" w:rsidR="0087455A" w:rsidRDefault="0087455A">
            <w:pPr>
              <w:rPr>
                <w:lang w:val="en-CA"/>
              </w:rPr>
            </w:pPr>
          </w:p>
        </w:tc>
        <w:tc>
          <w:tcPr>
            <w:tcW w:w="1872" w:type="dxa"/>
          </w:tcPr>
          <w:p w14:paraId="59EEC903" w14:textId="77777777" w:rsidR="0087455A" w:rsidRDefault="0087455A">
            <w:pPr>
              <w:rPr>
                <w:lang w:val="en-CA"/>
              </w:rPr>
            </w:pPr>
          </w:p>
        </w:tc>
        <w:tc>
          <w:tcPr>
            <w:tcW w:w="1872" w:type="dxa"/>
            <w:tcBorders>
              <w:bottom w:val="single" w:sz="4" w:space="0" w:color="auto"/>
            </w:tcBorders>
          </w:tcPr>
          <w:p w14:paraId="38A266C2" w14:textId="77777777" w:rsidR="0087455A" w:rsidRDefault="0087455A">
            <w:pPr>
              <w:rPr>
                <w:b/>
                <w:bCs/>
                <w:lang w:val="en-CA"/>
              </w:rPr>
            </w:pPr>
          </w:p>
        </w:tc>
        <w:tc>
          <w:tcPr>
            <w:tcW w:w="1872" w:type="dxa"/>
          </w:tcPr>
          <w:p w14:paraId="494D052E" w14:textId="77777777" w:rsidR="000A006A" w:rsidRDefault="000A006A">
            <w:pPr>
              <w:rPr>
                <w:lang w:val="en-CA"/>
              </w:rPr>
            </w:pPr>
          </w:p>
        </w:tc>
        <w:tc>
          <w:tcPr>
            <w:tcW w:w="1873" w:type="dxa"/>
          </w:tcPr>
          <w:p w14:paraId="2ACC9459" w14:textId="77777777" w:rsidR="0087455A" w:rsidRDefault="0087455A">
            <w:pPr>
              <w:rPr>
                <w:lang w:val="en-CA"/>
              </w:rPr>
            </w:pPr>
          </w:p>
        </w:tc>
      </w:tr>
    </w:tbl>
    <w:p w14:paraId="6339D495" w14:textId="77777777" w:rsidR="0087455A" w:rsidRPr="006F12AE" w:rsidRDefault="0087455A" w:rsidP="00C15AF6">
      <w:pPr>
        <w:rPr>
          <w:sz w:val="16"/>
          <w:szCs w:val="16"/>
          <w:lang w:val="fr-FR"/>
        </w:rPr>
      </w:pPr>
    </w:p>
    <w:sectPr w:rsidR="0087455A" w:rsidRPr="006F12AE">
      <w:head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ADB6B" w14:textId="77777777" w:rsidR="00E06B19" w:rsidRDefault="00E06B19">
      <w:r>
        <w:separator/>
      </w:r>
    </w:p>
  </w:endnote>
  <w:endnote w:type="continuationSeparator" w:id="0">
    <w:p w14:paraId="29A20CF0" w14:textId="77777777" w:rsidR="00E06B19" w:rsidRDefault="00E06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BB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0A9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916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E7FDC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FFEC06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3703D" w14:textId="77777777" w:rsidR="00E06B19" w:rsidRDefault="00E06B19">
      <w:r>
        <w:separator/>
      </w:r>
    </w:p>
  </w:footnote>
  <w:footnote w:type="continuationSeparator" w:id="0">
    <w:p w14:paraId="78723AAA" w14:textId="77777777" w:rsidR="00E06B19" w:rsidRDefault="00E06B19">
      <w:r>
        <w:continuationSeparator/>
      </w:r>
    </w:p>
  </w:footnote>
  <w:footnote w:id="1">
    <w:p w14:paraId="6AEBF0D9" w14:textId="77777777" w:rsidR="00581ACA" w:rsidRDefault="00581ACA" w:rsidP="000A006A">
      <w:pPr>
        <w:pStyle w:val="FootnoteText"/>
        <w:rPr>
          <w:lang w:val="pt-PT"/>
        </w:rPr>
      </w:pPr>
      <w:r>
        <w:rPr>
          <w:rStyle w:val="FootnoteReference"/>
        </w:rPr>
        <w:footnoteRef/>
      </w:r>
      <w:r w:rsidRPr="00285B1D">
        <w:rPr>
          <w:lang w:val="pt-PT"/>
        </w:rPr>
        <w:t xml:space="preserve"> UNEP/OzL.Pro/ExCom/93/1</w:t>
      </w:r>
    </w:p>
    <w:p w14:paraId="6328009F" w14:textId="77777777" w:rsidR="00FC6B62" w:rsidRPr="00285B1D" w:rsidRDefault="00FC6B62" w:rsidP="000A006A">
      <w:pPr>
        <w:pStyle w:val="FootnoteText"/>
        <w:rPr>
          <w:lang w:val="pt-PT"/>
        </w:rPr>
      </w:pPr>
    </w:p>
  </w:footnote>
  <w:footnote w:id="2">
    <w:p w14:paraId="51F70ACC" w14:textId="77777777" w:rsidR="00581ACA" w:rsidRPr="00581ACA" w:rsidRDefault="00581ACA" w:rsidP="00581ACA">
      <w:pPr>
        <w:pStyle w:val="FootnoteText"/>
        <w:rPr>
          <w:lang w:val="es-ES"/>
        </w:rPr>
      </w:pPr>
      <w:r>
        <w:rPr>
          <w:rStyle w:val="FootnoteReference"/>
        </w:rPr>
        <w:footnoteRef/>
      </w:r>
      <w:r w:rsidRPr="00581ACA">
        <w:rPr>
          <w:lang w:val="es-ES"/>
        </w:rPr>
        <w:t xml:space="preserve"> Según la nota del 22 de noviembre de 2023 del Ministerio de Silvicultura, Pesca y Medio Ambiente de Sudáfrica a la 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641E" w14:textId="68DA0D92" w:rsidR="0087455A" w:rsidRDefault="000A006A">
    <w:r>
      <w:fldChar w:fldCharType="begin"/>
    </w:r>
    <w:r>
      <w:instrText xml:space="preserve"> DOCPROPERTY "Document number"  \* MERGEFORMAT </w:instrText>
    </w:r>
    <w:r>
      <w:fldChar w:fldCharType="separate"/>
    </w:r>
    <w:r>
      <w:t>UNEP/</w:t>
    </w:r>
    <w:proofErr w:type="spellStart"/>
    <w:r>
      <w:t>OzL.Pro</w:t>
    </w:r>
    <w:proofErr w:type="spellEnd"/>
    <w:r>
      <w:t>/ExCom/93/87</w:t>
    </w:r>
    <w:r>
      <w:fldChar w:fldCharType="end"/>
    </w:r>
  </w:p>
  <w:p w14:paraId="3D29C53D" w14:textId="77777777" w:rsidR="0087455A" w:rsidRDefault="0087455A"/>
  <w:p w14:paraId="06809632"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8960" w14:textId="581CB752" w:rsidR="0087455A" w:rsidRDefault="000A006A">
    <w:pPr>
      <w:jc w:val="right"/>
    </w:pPr>
    <w:r>
      <w:fldChar w:fldCharType="begin"/>
    </w:r>
    <w:r>
      <w:instrText xml:space="preserve"> DOCPROPERTY "Document number"  \* MERGEFORMAT </w:instrText>
    </w:r>
    <w:r>
      <w:fldChar w:fldCharType="separate"/>
    </w:r>
    <w:r>
      <w:t>UNEP/</w:t>
    </w:r>
    <w:proofErr w:type="spellStart"/>
    <w:r>
      <w:t>OzL.Pro</w:t>
    </w:r>
    <w:proofErr w:type="spellEnd"/>
    <w:r>
      <w:t>/ExCom/93/87</w:t>
    </w:r>
    <w:r>
      <w:fldChar w:fldCharType="end"/>
    </w:r>
  </w:p>
  <w:p w14:paraId="00061A12" w14:textId="77777777" w:rsidR="0087455A" w:rsidRDefault="0087455A"/>
  <w:p w14:paraId="0522D12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8931" w14:textId="77777777" w:rsidR="00C15AF6" w:rsidRDefault="00C15AF6"/>
  <w:p w14:paraId="0352D946" w14:textId="77777777" w:rsidR="00C15AF6" w:rsidRDefault="00C15A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5A4F7" w14:textId="0D3DEFC0" w:rsidR="0087455A" w:rsidRPr="0067555B" w:rsidRDefault="000A006A">
    <w:pPr>
      <w:jc w:val="right"/>
      <w:rPr>
        <w:lang w:val="pt-BR"/>
      </w:rPr>
    </w:pPr>
    <w:r>
      <w:fldChar w:fldCharType="begin"/>
    </w:r>
    <w:r w:rsidRPr="0067555B">
      <w:rPr>
        <w:lang w:val="pt-BR"/>
      </w:rPr>
      <w:instrText xml:space="preserve"> DOCPROPERTY "Document number"  \* MERGEFORMAT </w:instrText>
    </w:r>
    <w:r>
      <w:fldChar w:fldCharType="separate"/>
    </w:r>
    <w:r>
      <w:rPr>
        <w:lang w:val="pt-BR"/>
      </w:rPr>
      <w:t>UNEP/OzL.Pro/ExCom/93/87</w:t>
    </w:r>
    <w:r>
      <w:fldChar w:fldCharType="end"/>
    </w:r>
  </w:p>
  <w:p w14:paraId="5DB6698D" w14:textId="38199E79" w:rsidR="0087455A" w:rsidRPr="0067555B" w:rsidRDefault="00B60EEC" w:rsidP="00B60EEC">
    <w:pPr>
      <w:jc w:val="right"/>
      <w:rPr>
        <w:lang w:val="pt-BR"/>
      </w:rPr>
    </w:pPr>
    <w:r w:rsidRPr="0067555B">
      <w:rPr>
        <w:lang w:val="pt-BR"/>
      </w:rPr>
      <w:t>Anexo</w:t>
    </w:r>
    <w:r w:rsidR="00581ACA">
      <w:rPr>
        <w:lang w:val="pt-BR"/>
      </w:rPr>
      <w:t> </w:t>
    </w:r>
    <w:r w:rsidRPr="0067555B">
      <w:rPr>
        <w:lang w:val="pt-BR"/>
      </w:rPr>
      <w:t>I</w:t>
    </w:r>
  </w:p>
  <w:p w14:paraId="39FC2D8D" w14:textId="77777777" w:rsidR="0087455A" w:rsidRPr="0067555B"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50C3F"/>
    <w:multiLevelType w:val="hybridMultilevel"/>
    <w:tmpl w:val="04382EB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7"/>
  </w:num>
  <w:num w:numId="20" w16cid:durableId="564873771">
    <w:abstractNumId w:val="12"/>
  </w:num>
  <w:num w:numId="21" w16cid:durableId="2081637436">
    <w:abstractNumId w:val="16"/>
  </w:num>
  <w:num w:numId="22" w16cid:durableId="44840371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37C70"/>
    <w:rsid w:val="00064429"/>
    <w:rsid w:val="000A006A"/>
    <w:rsid w:val="000D6841"/>
    <w:rsid w:val="00106F6E"/>
    <w:rsid w:val="001143E8"/>
    <w:rsid w:val="00114CAA"/>
    <w:rsid w:val="001C2D22"/>
    <w:rsid w:val="001F4047"/>
    <w:rsid w:val="00235D4C"/>
    <w:rsid w:val="0024162E"/>
    <w:rsid w:val="002425B4"/>
    <w:rsid w:val="00244477"/>
    <w:rsid w:val="00285B1D"/>
    <w:rsid w:val="002959B4"/>
    <w:rsid w:val="002D5A1A"/>
    <w:rsid w:val="00344EAB"/>
    <w:rsid w:val="003863A4"/>
    <w:rsid w:val="003B7115"/>
    <w:rsid w:val="00455352"/>
    <w:rsid w:val="00476E28"/>
    <w:rsid w:val="00511502"/>
    <w:rsid w:val="00581ACA"/>
    <w:rsid w:val="005C6B34"/>
    <w:rsid w:val="0067555B"/>
    <w:rsid w:val="006F12AE"/>
    <w:rsid w:val="0073028E"/>
    <w:rsid w:val="00774375"/>
    <w:rsid w:val="00792A47"/>
    <w:rsid w:val="0080368A"/>
    <w:rsid w:val="00831BC5"/>
    <w:rsid w:val="0087455A"/>
    <w:rsid w:val="00880AAF"/>
    <w:rsid w:val="009C1675"/>
    <w:rsid w:val="00A47789"/>
    <w:rsid w:val="00AA29EB"/>
    <w:rsid w:val="00AB56E5"/>
    <w:rsid w:val="00AC7A52"/>
    <w:rsid w:val="00AE21E6"/>
    <w:rsid w:val="00B60EEC"/>
    <w:rsid w:val="00B84ACF"/>
    <w:rsid w:val="00B931C3"/>
    <w:rsid w:val="00B9779F"/>
    <w:rsid w:val="00C14E67"/>
    <w:rsid w:val="00C15AF6"/>
    <w:rsid w:val="00D321F8"/>
    <w:rsid w:val="00D60B96"/>
    <w:rsid w:val="00D84B6F"/>
    <w:rsid w:val="00DA2D41"/>
    <w:rsid w:val="00DB795B"/>
    <w:rsid w:val="00DC3B22"/>
    <w:rsid w:val="00E06B19"/>
    <w:rsid w:val="00E17F97"/>
    <w:rsid w:val="00EC3F8B"/>
    <w:rsid w:val="00F10CD9"/>
    <w:rsid w:val="00F12B29"/>
    <w:rsid w:val="00F25F7C"/>
    <w:rsid w:val="00F9224D"/>
    <w:rsid w:val="00FC6B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81ACA"/>
    <w:pPr>
      <w:spacing w:after="160" w:line="240" w:lineRule="exact"/>
    </w:pPr>
    <w:rPr>
      <w:sz w:val="20"/>
      <w:szCs w:val="20"/>
      <w:vertAlign w:val="superscript"/>
      <w:lang w:val="en-US"/>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581ACA"/>
    <w:pPr>
      <w:ind w:left="720"/>
      <w:contextualSpacing/>
    </w:pPr>
    <w:rPr>
      <w:lang w:val="es-E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locked/>
    <w:rsid w:val="00581ACA"/>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81ACA"/>
    <w:rPr>
      <w:sz w:val="22"/>
      <w:szCs w:val="22"/>
      <w:lang w:val="en-GB"/>
    </w:rPr>
  </w:style>
  <w:style w:type="paragraph" w:customStyle="1" w:styleId="Footer1">
    <w:name w:val="Footer1"/>
    <w:basedOn w:val="Normal"/>
    <w:rsid w:val="00581AC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5A616D8B-986A-4BF7-B5F8-0135BAC668AA}"/>
</file>

<file path=docProps/app.xml><?xml version="1.0" encoding="utf-8"?>
<Properties xmlns="http://schemas.openxmlformats.org/officeDocument/2006/extended-properties" xmlns:vt="http://schemas.openxmlformats.org/officeDocument/2006/docPropsVTypes">
  <Template>S93-template</Template>
  <TotalTime>0</TotalTime>
  <Pages>13</Pages>
  <Words>5980</Words>
  <Characters>33550</Characters>
  <Application>Microsoft Office Word</Application>
  <DocSecurity>0</DocSecurity>
  <Lines>279</Lines>
  <Paragraphs>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Sudáfrica</vt:lpstr>
      <vt:lpstr/>
    </vt:vector>
  </TitlesOfParts>
  <Company>UNMFS</Company>
  <LinksUpToDate>false</LinksUpToDate>
  <CharactersWithSpaces>39452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Sudáfrica</dc:title>
  <dc:creator>Diana Llorente</dc:creator>
  <cp:lastModifiedBy>HBE</cp:lastModifiedBy>
  <cp:revision>3</cp:revision>
  <cp:lastPrinted>2001-05-26T16:40:00Z</cp:lastPrinted>
  <dcterms:created xsi:type="dcterms:W3CDTF">2023-12-07T23:53:00Z</dcterms:created>
  <dcterms:modified xsi:type="dcterms:W3CDTF">2023-12-08T02:21:00Z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UNEP/OzL.Pro/ExCom/93/87</vt:lpwstr>
  </property>
  <property fmtid="{D5CDD505-2E9C-101B-9397-08002B2CF9AE}" pid="3" name="Revision date">
    <vt:lpwstr>12/5/2023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GrammarlyDocumentId">
    <vt:lpwstr>c17e20494131368001cc1e465b5d4c0fe9a9528bc8371617eb2dd7c31bc0ebbe</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