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792" w:type="dxa"/>
        <w:tblInd w:w="-432" w:type="dxa"/>
        <w:tblLayout w:type="fixed"/>
        <w:tblLook w:val="0000" w:firstRow="0" w:lastRow="0" w:firstColumn="0" w:lastColumn="0" w:noHBand="0" w:noVBand="0"/>
      </w:tblPr>
      <w:tblGrid>
        <w:gridCol w:w="2052"/>
        <w:gridCol w:w="3870"/>
        <w:gridCol w:w="3870"/>
      </w:tblGrid>
      <w:tr w:rsidR="00103AB1" w14:paraId="1F5EC04A" w14:textId="77777777" w:rsidTr="00103AB1">
        <w:trPr>
          <w:trHeight w:val="720"/>
        </w:trPr>
        <w:tc>
          <w:tcPr>
            <w:tcW w:w="5922" w:type="dxa"/>
            <w:gridSpan w:val="2"/>
            <w:tcBorders>
              <w:bottom w:val="single" w:sz="18" w:space="0" w:color="auto"/>
            </w:tcBorders>
          </w:tcPr>
          <w:p w14:paraId="66455FE8" w14:textId="43E0FA63"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E7D3235" w14:textId="77777777"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870" w:type="dxa"/>
            <w:tcBorders>
              <w:bottom w:val="single" w:sz="18" w:space="0" w:color="auto"/>
            </w:tcBorders>
          </w:tcPr>
          <w:p w14:paraId="73FBD672" w14:textId="77777777" w:rsidR="00103AB1" w:rsidRDefault="00103AB1" w:rsidP="00AA523A">
            <w:pPr>
              <w:tabs>
                <w:tab w:val="left" w:pos="3010"/>
              </w:tabs>
              <w:jc w:val="center"/>
              <w:rPr>
                <w:sz w:val="52"/>
                <w:szCs w:val="52"/>
              </w:rPr>
            </w:pPr>
            <w:r>
              <w:rPr>
                <w:rFonts w:ascii="Univers Bold" w:hAnsi="Univers Bold"/>
                <w:b/>
                <w:sz w:val="72"/>
                <w:lang w:val="fr-CA"/>
              </w:rPr>
              <w:t xml:space="preserve">          EP</w:t>
            </w:r>
          </w:p>
        </w:tc>
      </w:tr>
      <w:tr w:rsidR="00103AB1" w:rsidRPr="00103AB1" w14:paraId="495683AE" w14:textId="77777777" w:rsidTr="006D4A0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22"/>
        </w:trPr>
        <w:tc>
          <w:tcPr>
            <w:tcW w:w="2052" w:type="dxa"/>
            <w:tcBorders>
              <w:top w:val="nil"/>
              <w:left w:val="nil"/>
              <w:bottom w:val="single" w:sz="36" w:space="0" w:color="auto"/>
              <w:right w:val="nil"/>
            </w:tcBorders>
          </w:tcPr>
          <w:p w14:paraId="11038784" w14:textId="28F284BA" w:rsidR="00103AB1" w:rsidRDefault="00EA461A" w:rsidP="00AA523A">
            <w:pPr>
              <w:spacing w:before="120"/>
            </w:pPr>
            <w:r w:rsidRPr="00B37E80">
              <w:rPr>
                <w:noProof/>
                <w:lang w:val="en-US" w:eastAsia="zh-CN"/>
              </w:rPr>
              <mc:AlternateContent>
                <mc:Choice Requires="wpg">
                  <w:drawing>
                    <wp:anchor distT="0" distB="0" distL="114300" distR="114300" simplePos="0" relativeHeight="251662336" behindDoc="0" locked="0" layoutInCell="1" allowOverlap="1" wp14:anchorId="3C8967AF" wp14:editId="4388559F">
                      <wp:simplePos x="0" y="0"/>
                      <wp:positionH relativeFrom="column">
                        <wp:posOffset>-13335</wp:posOffset>
                      </wp:positionH>
                      <wp:positionV relativeFrom="paragraph">
                        <wp:posOffset>15875</wp:posOffset>
                      </wp:positionV>
                      <wp:extent cx="752475" cy="1389642"/>
                      <wp:effectExtent l="0" t="0" r="9525" b="1270"/>
                      <wp:wrapNone/>
                      <wp:docPr id="1" name="Group 1"/>
                      <wp:cNvGraphicFramePr/>
                      <a:graphic xmlns:a="http://schemas.openxmlformats.org/drawingml/2006/main">
                        <a:graphicData uri="http://schemas.microsoft.com/office/word/2010/wordprocessingGroup">
                          <wpg:wgp>
                            <wpg:cNvGrpSpPr/>
                            <wpg:grpSpPr>
                              <a:xfrm>
                                <a:off x="0" y="0"/>
                                <a:ext cx="752475" cy="1389642"/>
                                <a:chOff x="0" y="0"/>
                                <a:chExt cx="838832" cy="148988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30902" y="767805"/>
                                  <a:ext cx="807930" cy="722078"/>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4ADAF982" id="Group 1" o:spid="_x0000_s1026" style="position:absolute;margin-left:-1.05pt;margin-top:1.25pt;width:59.25pt;height:109.4pt;z-index:251662336;mso-width-relative:margin;mso-height-relative:margin" coordsize="8388,148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309;top:7678;width:8079;height:7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870" w:type="dxa"/>
            <w:tcBorders>
              <w:top w:val="nil"/>
              <w:left w:val="nil"/>
              <w:bottom w:val="single" w:sz="36" w:space="0" w:color="auto"/>
              <w:right w:val="nil"/>
            </w:tcBorders>
          </w:tcPr>
          <w:p w14:paraId="1AC216A8" w14:textId="77777777" w:rsidR="006D4A06" w:rsidRDefault="006D4A06"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76F26343" w14:textId="69591D33" w:rsidR="00103AB1" w:rsidRDefault="00103AB1" w:rsidP="00AA523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BD6E7B1" w14:textId="77777777" w:rsidR="00103AB1" w:rsidRDefault="00103AB1" w:rsidP="00AA523A">
            <w:pPr>
              <w:rPr>
                <w:rFonts w:ascii="Univers" w:hAnsi="Univers"/>
                <w:b/>
                <w:sz w:val="32"/>
                <w:lang w:val="fr-CA"/>
              </w:rPr>
            </w:pPr>
            <w:r>
              <w:rPr>
                <w:rFonts w:ascii="Univers" w:hAnsi="Univers"/>
                <w:b/>
                <w:sz w:val="32"/>
                <w:lang w:val="fr-CA"/>
              </w:rPr>
              <w:t>Nations Unies pour</w:t>
            </w:r>
          </w:p>
          <w:p w14:paraId="0E834FF0" w14:textId="3D9A43DF" w:rsidR="00103AB1" w:rsidRPr="00542808" w:rsidRDefault="00103AB1" w:rsidP="00AA523A">
            <w:pPr>
              <w:rPr>
                <w:rFonts w:ascii="Univers" w:hAnsi="Univers"/>
                <w:b/>
                <w:sz w:val="32"/>
                <w:lang w:val="fr-CA"/>
              </w:rPr>
            </w:pPr>
            <w:r>
              <w:rPr>
                <w:rFonts w:ascii="Univers" w:hAnsi="Univers"/>
                <w:b/>
                <w:sz w:val="32"/>
                <w:lang w:val="fr-CA"/>
              </w:rPr>
              <w:t>l’environnement</w:t>
            </w:r>
          </w:p>
        </w:tc>
        <w:tc>
          <w:tcPr>
            <w:tcW w:w="3870" w:type="dxa"/>
            <w:tcBorders>
              <w:top w:val="nil"/>
              <w:left w:val="nil"/>
              <w:bottom w:val="single" w:sz="36" w:space="0" w:color="auto"/>
              <w:right w:val="nil"/>
            </w:tcBorders>
          </w:tcPr>
          <w:p w14:paraId="7EDA9923" w14:textId="77777777" w:rsidR="00103AB1" w:rsidRPr="00DD3433" w:rsidRDefault="00103AB1" w:rsidP="00AA523A">
            <w:pPr>
              <w:rPr>
                <w:lang w:val="fr-FR"/>
              </w:rPr>
            </w:pPr>
            <w:proofErr w:type="spellStart"/>
            <w:r w:rsidRPr="00DD3433">
              <w:rPr>
                <w:lang w:val="fr-FR"/>
              </w:rPr>
              <w:t>Distr</w:t>
            </w:r>
            <w:proofErr w:type="spellEnd"/>
            <w:r w:rsidRPr="00DD3433">
              <w:rPr>
                <w:lang w:val="fr-FR"/>
              </w:rPr>
              <w:t>.</w:t>
            </w:r>
          </w:p>
          <w:p w14:paraId="2331E048" w14:textId="77777777" w:rsidR="00103AB1" w:rsidRPr="00DD3433" w:rsidRDefault="00103AB1" w:rsidP="00AA523A">
            <w:pPr>
              <w:rPr>
                <w:lang w:val="fr-FR"/>
              </w:rPr>
            </w:pPr>
            <w:r w:rsidRPr="00DD3433">
              <w:rPr>
                <w:lang w:val="fr-FR"/>
              </w:rPr>
              <w:t>GÉNÉRALE</w:t>
            </w:r>
          </w:p>
          <w:p w14:paraId="117FE3B8" w14:textId="77777777" w:rsidR="00EA461A" w:rsidRPr="00DD3433" w:rsidRDefault="00EA461A" w:rsidP="00AA523A">
            <w:pPr>
              <w:rPr>
                <w:lang w:val="fr-FR"/>
              </w:rPr>
            </w:pPr>
          </w:p>
          <w:p w14:paraId="524D8C38" w14:textId="77777777" w:rsidR="001214D7" w:rsidRPr="001214D7" w:rsidRDefault="001214D7" w:rsidP="001214D7">
            <w:pPr>
              <w:rPr>
                <w:lang w:val="fr-FR"/>
              </w:rPr>
            </w:pPr>
            <w:r w:rsidRPr="00B37E80">
              <w:fldChar w:fldCharType="begin"/>
            </w:r>
            <w:r w:rsidRPr="001214D7">
              <w:rPr>
                <w:lang w:val="fr-FR"/>
              </w:rPr>
              <w:instrText xml:space="preserve"> DOCPROPERTY "Document number"  \* MERGEFORMAT </w:instrText>
            </w:r>
            <w:r w:rsidRPr="00B37E80">
              <w:fldChar w:fldCharType="separate"/>
            </w:r>
            <w:r w:rsidRPr="001214D7">
              <w:rPr>
                <w:lang w:val="fr-FR"/>
              </w:rPr>
              <w:t>UNEP/</w:t>
            </w:r>
            <w:proofErr w:type="spellStart"/>
            <w:r w:rsidRPr="001214D7">
              <w:rPr>
                <w:lang w:val="fr-FR"/>
              </w:rPr>
              <w:t>OzL.Pro</w:t>
            </w:r>
            <w:proofErr w:type="spellEnd"/>
            <w:r w:rsidRPr="001214D7">
              <w:rPr>
                <w:lang w:val="fr-FR"/>
              </w:rPr>
              <w:t>/</w:t>
            </w:r>
            <w:proofErr w:type="spellStart"/>
            <w:r w:rsidRPr="001214D7">
              <w:rPr>
                <w:lang w:val="fr-FR"/>
              </w:rPr>
              <w:t>ExCom</w:t>
            </w:r>
            <w:proofErr w:type="spellEnd"/>
            <w:r w:rsidRPr="001214D7">
              <w:rPr>
                <w:lang w:val="fr-FR"/>
              </w:rPr>
              <w:t>/95/60</w:t>
            </w:r>
            <w:r w:rsidRPr="00B37E80">
              <w:fldChar w:fldCharType="end"/>
            </w:r>
          </w:p>
          <w:p w14:paraId="4296A8A6" w14:textId="5B854002" w:rsidR="00103AB1" w:rsidRPr="00DB2922" w:rsidRDefault="00103AB1" w:rsidP="00AA523A">
            <w:pPr>
              <w:rPr>
                <w:lang w:val="fr-CA"/>
              </w:rPr>
            </w:pPr>
            <w:r>
              <w:rPr>
                <w:lang w:val="fr-CA"/>
              </w:rPr>
              <w:t>1</w:t>
            </w:r>
            <w:r w:rsidR="0087663B">
              <w:rPr>
                <w:lang w:val="fr-CA"/>
              </w:rPr>
              <w:t>8</w:t>
            </w:r>
            <w:r>
              <w:rPr>
                <w:lang w:val="fr-CA"/>
              </w:rPr>
              <w:t xml:space="preserve"> octobre</w:t>
            </w:r>
            <w:r w:rsidRPr="007778F9">
              <w:rPr>
                <w:lang w:val="fr-CA"/>
              </w:rPr>
              <w:t xml:space="preserve"> 2024</w:t>
            </w:r>
          </w:p>
          <w:p w14:paraId="28D0AE70" w14:textId="77777777" w:rsidR="00103AB1" w:rsidRDefault="00103AB1" w:rsidP="00AA523A">
            <w:pPr>
              <w:rPr>
                <w:caps/>
                <w:lang w:val="fr-FR"/>
              </w:rPr>
            </w:pPr>
            <w:r w:rsidRPr="00DB2922">
              <w:rPr>
                <w:caps/>
                <w:lang w:val="fr-CA"/>
              </w:rPr>
              <w:br/>
            </w:r>
            <w:r>
              <w:rPr>
                <w:caps/>
                <w:lang w:val="fr-FR"/>
              </w:rPr>
              <w:t>FRANÇAIS</w:t>
            </w:r>
          </w:p>
          <w:p w14:paraId="68C0D920" w14:textId="77777777" w:rsidR="00103AB1" w:rsidRPr="00E5237E" w:rsidRDefault="00103AB1" w:rsidP="00AA523A">
            <w:pPr>
              <w:rPr>
                <w:lang w:val="fr-CA"/>
              </w:rPr>
            </w:pPr>
            <w:r w:rsidRPr="00E5237E">
              <w:rPr>
                <w:lang w:val="fr-CA"/>
              </w:rPr>
              <w:t>ORIGINAL: ANGLAIS</w:t>
            </w:r>
          </w:p>
        </w:tc>
      </w:tr>
    </w:tbl>
    <w:p w14:paraId="17068900" w14:textId="486DBBAE" w:rsidR="00103AB1" w:rsidRDefault="00103AB1" w:rsidP="00103AB1">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r>
      <w:r w:rsidRPr="00103AB1">
        <w:rPr>
          <w:lang w:val="fr-CA"/>
        </w:rPr>
        <w:t>Quatre-vingt-quinzième réunion</w:t>
      </w:r>
    </w:p>
    <w:p w14:paraId="70C26FDB" w14:textId="6558337C" w:rsidR="00103AB1" w:rsidRPr="00FE1FA0" w:rsidRDefault="00103AB1" w:rsidP="00103AB1">
      <w:pPr>
        <w:jc w:val="left"/>
        <w:rPr>
          <w:lang w:val="fr-CA"/>
        </w:rPr>
      </w:pPr>
      <w:r w:rsidRPr="008A4946">
        <w:rPr>
          <w:lang w:val="fr-CA"/>
        </w:rPr>
        <w:t xml:space="preserve">Montréal, 4 - </w:t>
      </w:r>
      <w:r w:rsidR="00DD3B37" w:rsidRPr="008A4946">
        <w:rPr>
          <w:lang w:val="fr-CA"/>
        </w:rPr>
        <w:t>8</w:t>
      </w:r>
      <w:r w:rsidRPr="008A4946">
        <w:rPr>
          <w:lang w:val="fr-CA"/>
        </w:rPr>
        <w:t xml:space="preserve"> </w:t>
      </w:r>
      <w:r w:rsidR="00FE1FA0" w:rsidRPr="008A4946">
        <w:rPr>
          <w:lang w:val="fr-CA"/>
        </w:rPr>
        <w:t xml:space="preserve">décembre </w:t>
      </w:r>
      <w:r w:rsidRPr="008A4946">
        <w:rPr>
          <w:lang w:val="fr-CA"/>
        </w:rPr>
        <w:t>2024</w:t>
      </w:r>
    </w:p>
    <w:p w14:paraId="6E4A20DD" w14:textId="5BE6B445" w:rsidR="00103AB1" w:rsidRPr="00550019" w:rsidRDefault="00EF64BA" w:rsidP="00103AB1">
      <w:pPr>
        <w:jc w:val="left"/>
        <w:rPr>
          <w:lang w:val="fr-FR"/>
        </w:rPr>
      </w:pPr>
      <w:r>
        <w:rPr>
          <w:lang w:val="fr"/>
        </w:rPr>
        <w:t>Point 9(c) de l’ordre du jour provisoire</w:t>
      </w:r>
      <w:r w:rsidR="00103AB1" w:rsidRPr="00550019">
        <w:rPr>
          <w:rStyle w:val="FootnoteReference"/>
          <w:lang w:val="fr-FR"/>
        </w:rPr>
        <w:footnoteReference w:id="1"/>
      </w:r>
    </w:p>
    <w:p w14:paraId="2CDBA550" w14:textId="77777777" w:rsidR="00C15867" w:rsidRPr="00103AB1" w:rsidRDefault="00C15867" w:rsidP="00CA59FB">
      <w:pPr>
        <w:jc w:val="left"/>
        <w:rPr>
          <w:lang w:val="fr-FR"/>
        </w:rPr>
      </w:pPr>
    </w:p>
    <w:p w14:paraId="0161BE9D" w14:textId="77777777" w:rsidR="009145E4" w:rsidRPr="008A278C" w:rsidRDefault="009145E4" w:rsidP="009145E4">
      <w:pPr>
        <w:pStyle w:val="Heading1"/>
        <w:numPr>
          <w:ilvl w:val="0"/>
          <w:numId w:val="0"/>
        </w:numPr>
        <w:rPr>
          <w:lang w:val="fr-FR"/>
        </w:rPr>
      </w:pPr>
    </w:p>
    <w:p w14:paraId="2FE562D1" w14:textId="77777777" w:rsidR="00EF64BA" w:rsidRPr="00EF64BA" w:rsidRDefault="00EF64BA" w:rsidP="00EF64BA">
      <w:pPr>
        <w:jc w:val="center"/>
        <w:rPr>
          <w:b/>
          <w:lang w:val="fr-FR"/>
        </w:rPr>
      </w:pPr>
      <w:r>
        <w:rPr>
          <w:b/>
          <w:bCs/>
          <w:lang w:val="fr"/>
        </w:rPr>
        <w:t>PROPOSITION DE PROJET : JAMAÏQUE (LA)</w:t>
      </w:r>
    </w:p>
    <w:p w14:paraId="0E0CC82A" w14:textId="77777777" w:rsidR="00EF64BA" w:rsidRPr="00EF64BA" w:rsidRDefault="00EF64BA" w:rsidP="00EF64BA">
      <w:pPr>
        <w:rPr>
          <w:lang w:val="fr-FR"/>
        </w:rPr>
      </w:pPr>
    </w:p>
    <w:p w14:paraId="1B67BDBD" w14:textId="77777777" w:rsidR="00EF64BA" w:rsidRPr="00EF64BA" w:rsidRDefault="00EF64BA" w:rsidP="00EF64BA">
      <w:pPr>
        <w:rPr>
          <w:lang w:val="fr-FR"/>
        </w:rPr>
      </w:pPr>
    </w:p>
    <w:p w14:paraId="75E6C443" w14:textId="77777777" w:rsidR="00EF64BA" w:rsidRPr="00EF64BA" w:rsidRDefault="00EF64BA" w:rsidP="00EF64BA">
      <w:pPr>
        <w:ind w:firstLine="720"/>
        <w:rPr>
          <w:lang w:val="fr-FR"/>
        </w:rPr>
      </w:pPr>
      <w:r>
        <w:rPr>
          <w:lang w:val="fr"/>
        </w:rPr>
        <w:t>Le présent document contient les observations et la recommandation du Secrétariat sur la proposition de projet suivante :</w:t>
      </w:r>
    </w:p>
    <w:p w14:paraId="31043EEB" w14:textId="77777777" w:rsidR="00EF64BA" w:rsidRPr="00EF64BA" w:rsidRDefault="00EF64BA" w:rsidP="00EF64BA">
      <w:pPr>
        <w:rPr>
          <w:lang w:val="fr-FR"/>
        </w:rPr>
      </w:pPr>
    </w:p>
    <w:p w14:paraId="0AEE8B86" w14:textId="77777777" w:rsidR="00EF64BA" w:rsidRPr="00B37E80" w:rsidRDefault="00EF64BA" w:rsidP="00EF64BA">
      <w:pPr>
        <w:rPr>
          <w:u w:val="single"/>
        </w:rPr>
      </w:pPr>
      <w:r>
        <w:rPr>
          <w:u w:val="single"/>
          <w:lang w:val="fr"/>
        </w:rPr>
        <w:t>Élimination</w:t>
      </w:r>
    </w:p>
    <w:p w14:paraId="7C6B5876" w14:textId="77777777" w:rsidR="00EF64BA" w:rsidRPr="00B37E80" w:rsidRDefault="00EF64BA" w:rsidP="00EF64BA"/>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6"/>
        <w:gridCol w:w="2132"/>
        <w:gridCol w:w="1411"/>
      </w:tblGrid>
      <w:tr w:rsidR="00EF64BA" w:rsidRPr="00B37E80" w14:paraId="7FF33E7B" w14:textId="77777777" w:rsidTr="00A27198">
        <w:tc>
          <w:tcPr>
            <w:tcW w:w="6096" w:type="dxa"/>
          </w:tcPr>
          <w:p w14:paraId="3D2D9D54" w14:textId="77777777" w:rsidR="00EF64BA" w:rsidRPr="00EF64BA" w:rsidRDefault="00EF64BA" w:rsidP="00EF64BA">
            <w:pPr>
              <w:pStyle w:val="ListParagraph"/>
              <w:numPr>
                <w:ilvl w:val="0"/>
                <w:numId w:val="21"/>
              </w:numPr>
              <w:ind w:hanging="830"/>
              <w:jc w:val="left"/>
              <w:rPr>
                <w:lang w:val="fr-FR"/>
              </w:rPr>
            </w:pPr>
            <w:r>
              <w:rPr>
                <w:lang w:val="fr"/>
              </w:rPr>
              <w:t>Plan de gestion de l’élimination des HCFC (phase II, deuxième tranche)</w:t>
            </w:r>
          </w:p>
        </w:tc>
        <w:tc>
          <w:tcPr>
            <w:tcW w:w="2132" w:type="dxa"/>
          </w:tcPr>
          <w:p w14:paraId="19F9801A" w14:textId="77777777" w:rsidR="00EF64BA" w:rsidRPr="00B37E80" w:rsidRDefault="00EF64BA" w:rsidP="00A27198">
            <w:pPr>
              <w:jc w:val="center"/>
            </w:pPr>
            <w:r>
              <w:rPr>
                <w:lang w:val="fr"/>
              </w:rPr>
              <w:t>PNUD</w:t>
            </w:r>
          </w:p>
        </w:tc>
        <w:tc>
          <w:tcPr>
            <w:tcW w:w="1411" w:type="dxa"/>
          </w:tcPr>
          <w:p w14:paraId="13B41E18" w14:textId="77777777" w:rsidR="00EF64BA" w:rsidRPr="00B37E80" w:rsidRDefault="00EF64BA" w:rsidP="00A27198">
            <w:pPr>
              <w:jc w:val="right"/>
            </w:pPr>
            <w:r>
              <w:rPr>
                <w:lang w:val="fr"/>
              </w:rPr>
              <w:t>Approbation globale</w:t>
            </w:r>
          </w:p>
        </w:tc>
      </w:tr>
    </w:tbl>
    <w:p w14:paraId="31B0E4A1" w14:textId="77777777" w:rsidR="00EF64BA" w:rsidRPr="00B37E80" w:rsidRDefault="00EF64BA" w:rsidP="00EF64BA"/>
    <w:p w14:paraId="6A3FB659" w14:textId="77777777" w:rsidR="00EF64BA" w:rsidRPr="00B37E80" w:rsidRDefault="00EF64BA" w:rsidP="00EF64BA"/>
    <w:p w14:paraId="29436793" w14:textId="77777777" w:rsidR="00EF64BA" w:rsidRPr="00B37E80" w:rsidRDefault="00EF64BA" w:rsidP="00EF64BA"/>
    <w:p w14:paraId="19E933D1" w14:textId="77777777" w:rsidR="00EF64BA" w:rsidRPr="00B37E80" w:rsidRDefault="00EF64BA" w:rsidP="00EF64BA">
      <w:r>
        <w:rPr>
          <w:lang w:val="fr"/>
        </w:rPr>
        <w:br w:type="page"/>
      </w:r>
    </w:p>
    <w:p w14:paraId="2275A25C" w14:textId="77777777" w:rsidR="00EF64BA" w:rsidRPr="00EF64BA" w:rsidRDefault="00EF64BA" w:rsidP="00EF64BA">
      <w:pPr>
        <w:spacing w:after="120"/>
        <w:jc w:val="center"/>
        <w:rPr>
          <w:b/>
          <w:lang w:val="fr-FR"/>
        </w:rPr>
      </w:pPr>
      <w:r>
        <w:rPr>
          <w:b/>
          <w:bCs/>
          <w:lang w:val="fr"/>
        </w:rPr>
        <w:lastRenderedPageBreak/>
        <w:t>FICHE D’ÉVALUATION DU PROJET – PROJETS PLURIANNUELS</w:t>
      </w:r>
    </w:p>
    <w:p w14:paraId="15E25733" w14:textId="77777777" w:rsidR="00EF64BA" w:rsidRPr="00B37E80" w:rsidRDefault="00EF64BA" w:rsidP="00EF64BA">
      <w:pPr>
        <w:spacing w:after="200"/>
        <w:jc w:val="center"/>
        <w:rPr>
          <w:b/>
          <w:bCs/>
        </w:rPr>
      </w:pPr>
      <w:r>
        <w:rPr>
          <w:b/>
          <w:bCs/>
          <w:lang w:val="fr"/>
        </w:rPr>
        <w:t>Jamaïque (La)</w:t>
      </w:r>
    </w:p>
    <w:tbl>
      <w:tblPr>
        <w:tblStyle w:val="TableGrid"/>
        <w:tblW w:w="11250" w:type="dxa"/>
        <w:tblInd w:w="-815" w:type="dxa"/>
        <w:tblLook w:val="04A0" w:firstRow="1" w:lastRow="0" w:firstColumn="1" w:lastColumn="0" w:noHBand="0" w:noVBand="1"/>
      </w:tblPr>
      <w:tblGrid>
        <w:gridCol w:w="3645"/>
        <w:gridCol w:w="2127"/>
        <w:gridCol w:w="2409"/>
        <w:gridCol w:w="3069"/>
      </w:tblGrid>
      <w:tr w:rsidR="00EF64BA" w:rsidRPr="00B37E80" w14:paraId="6FA45B8F" w14:textId="77777777" w:rsidTr="00C049B1">
        <w:trPr>
          <w:trHeight w:val="240"/>
        </w:trPr>
        <w:tc>
          <w:tcPr>
            <w:tcW w:w="3645" w:type="dxa"/>
            <w:hideMark/>
          </w:tcPr>
          <w:p w14:paraId="273806B6" w14:textId="77777777" w:rsidR="00EF64BA" w:rsidRPr="00B37E80" w:rsidRDefault="00EF64BA" w:rsidP="00A27198">
            <w:pPr>
              <w:jc w:val="left"/>
              <w:rPr>
                <w:b/>
                <w:sz w:val="20"/>
                <w:szCs w:val="20"/>
              </w:rPr>
            </w:pPr>
            <w:r>
              <w:rPr>
                <w:b/>
                <w:bCs/>
                <w:sz w:val="20"/>
                <w:szCs w:val="20"/>
                <w:lang w:val="fr"/>
              </w:rPr>
              <w:t>(I) TITRE DU PROJET</w:t>
            </w:r>
          </w:p>
        </w:tc>
        <w:tc>
          <w:tcPr>
            <w:tcW w:w="2127" w:type="dxa"/>
            <w:hideMark/>
          </w:tcPr>
          <w:p w14:paraId="2B663D06" w14:textId="77777777" w:rsidR="00EF64BA" w:rsidRPr="00B37E80" w:rsidRDefault="00EF64BA" w:rsidP="00A27198">
            <w:pPr>
              <w:jc w:val="center"/>
              <w:rPr>
                <w:b/>
                <w:sz w:val="20"/>
                <w:szCs w:val="20"/>
              </w:rPr>
            </w:pPr>
            <w:r>
              <w:rPr>
                <w:b/>
                <w:bCs/>
                <w:sz w:val="20"/>
                <w:szCs w:val="20"/>
                <w:lang w:val="fr"/>
              </w:rPr>
              <w:t>AGENCE</w:t>
            </w:r>
          </w:p>
        </w:tc>
        <w:tc>
          <w:tcPr>
            <w:tcW w:w="2409" w:type="dxa"/>
            <w:hideMark/>
          </w:tcPr>
          <w:p w14:paraId="0C3FDEE8" w14:textId="77777777" w:rsidR="00EF64BA" w:rsidRPr="00B37E80" w:rsidRDefault="00EF64BA" w:rsidP="00A27198">
            <w:pPr>
              <w:jc w:val="center"/>
              <w:rPr>
                <w:b/>
                <w:sz w:val="20"/>
                <w:szCs w:val="20"/>
              </w:rPr>
            </w:pPr>
            <w:r>
              <w:rPr>
                <w:b/>
                <w:bCs/>
                <w:sz w:val="20"/>
                <w:szCs w:val="20"/>
                <w:lang w:val="fr"/>
              </w:rPr>
              <w:t>RÉUNION D’APPROBATION</w:t>
            </w:r>
          </w:p>
        </w:tc>
        <w:tc>
          <w:tcPr>
            <w:tcW w:w="3069" w:type="dxa"/>
            <w:hideMark/>
          </w:tcPr>
          <w:p w14:paraId="095727F3" w14:textId="77777777" w:rsidR="00EF64BA" w:rsidRPr="00B37E80" w:rsidRDefault="00EF64BA" w:rsidP="00A27198">
            <w:pPr>
              <w:jc w:val="center"/>
              <w:rPr>
                <w:b/>
                <w:sz w:val="20"/>
                <w:szCs w:val="20"/>
              </w:rPr>
            </w:pPr>
            <w:r>
              <w:rPr>
                <w:b/>
                <w:bCs/>
                <w:sz w:val="20"/>
                <w:szCs w:val="20"/>
                <w:lang w:val="fr"/>
              </w:rPr>
              <w:t>MESURE DE RÉGLEMENTATION</w:t>
            </w:r>
          </w:p>
        </w:tc>
      </w:tr>
      <w:tr w:rsidR="00EF64BA" w:rsidRPr="00B37E80" w14:paraId="519EF566" w14:textId="77777777" w:rsidTr="00C049B1">
        <w:trPr>
          <w:trHeight w:val="240"/>
        </w:trPr>
        <w:tc>
          <w:tcPr>
            <w:tcW w:w="3645" w:type="dxa"/>
            <w:vAlign w:val="center"/>
            <w:hideMark/>
          </w:tcPr>
          <w:p w14:paraId="0F596554" w14:textId="77777777" w:rsidR="00EF64BA" w:rsidRPr="00EF64BA" w:rsidRDefault="00EF64BA" w:rsidP="00A27198">
            <w:pPr>
              <w:jc w:val="center"/>
              <w:rPr>
                <w:sz w:val="20"/>
                <w:szCs w:val="20"/>
                <w:lang w:val="fr-FR"/>
              </w:rPr>
            </w:pPr>
            <w:r>
              <w:rPr>
                <w:sz w:val="20"/>
                <w:szCs w:val="20"/>
                <w:lang w:val="fr"/>
              </w:rPr>
              <w:t>Plan d’élimination des HCFC (phase II)</w:t>
            </w:r>
          </w:p>
        </w:tc>
        <w:tc>
          <w:tcPr>
            <w:tcW w:w="2127" w:type="dxa"/>
            <w:vAlign w:val="center"/>
          </w:tcPr>
          <w:p w14:paraId="7390FC0A" w14:textId="77777777" w:rsidR="00EF64BA" w:rsidRPr="00B37E80" w:rsidRDefault="00EF64BA" w:rsidP="00A27198">
            <w:pPr>
              <w:jc w:val="center"/>
              <w:rPr>
                <w:sz w:val="20"/>
                <w:szCs w:val="20"/>
              </w:rPr>
            </w:pPr>
            <w:r>
              <w:rPr>
                <w:sz w:val="20"/>
                <w:szCs w:val="20"/>
                <w:lang w:val="fr"/>
              </w:rPr>
              <w:t>PNUD</w:t>
            </w:r>
          </w:p>
        </w:tc>
        <w:tc>
          <w:tcPr>
            <w:tcW w:w="2409" w:type="dxa"/>
            <w:vAlign w:val="center"/>
          </w:tcPr>
          <w:p w14:paraId="1C21F223" w14:textId="77777777" w:rsidR="00EF64BA" w:rsidRPr="00B37E80" w:rsidRDefault="00EF64BA" w:rsidP="00A27198">
            <w:pPr>
              <w:jc w:val="center"/>
              <w:rPr>
                <w:sz w:val="20"/>
                <w:szCs w:val="20"/>
              </w:rPr>
            </w:pPr>
            <w:r>
              <w:rPr>
                <w:sz w:val="20"/>
                <w:szCs w:val="20"/>
                <w:lang w:val="fr"/>
              </w:rPr>
              <w:t>86</w:t>
            </w:r>
            <w:r>
              <w:rPr>
                <w:sz w:val="20"/>
                <w:szCs w:val="20"/>
                <w:vertAlign w:val="superscript"/>
                <w:lang w:val="fr"/>
              </w:rPr>
              <w:t>e</w:t>
            </w:r>
            <w:r>
              <w:rPr>
                <w:sz w:val="20"/>
                <w:szCs w:val="20"/>
                <w:lang w:val="fr"/>
              </w:rPr>
              <w:t xml:space="preserve"> </w:t>
            </w:r>
          </w:p>
        </w:tc>
        <w:tc>
          <w:tcPr>
            <w:tcW w:w="3069" w:type="dxa"/>
            <w:shd w:val="clear" w:color="auto" w:fill="auto"/>
            <w:vAlign w:val="center"/>
          </w:tcPr>
          <w:p w14:paraId="5D52EEC5" w14:textId="77777777" w:rsidR="00EF64BA" w:rsidRPr="00B37E80" w:rsidRDefault="00EF64BA" w:rsidP="00A27198">
            <w:pPr>
              <w:jc w:val="center"/>
              <w:rPr>
                <w:sz w:val="20"/>
                <w:szCs w:val="20"/>
              </w:rPr>
            </w:pPr>
            <w:r>
              <w:rPr>
                <w:sz w:val="20"/>
                <w:szCs w:val="20"/>
                <w:lang w:val="fr"/>
              </w:rPr>
              <w:t>100 % d’élimination d’ici 2030</w:t>
            </w:r>
          </w:p>
        </w:tc>
      </w:tr>
    </w:tbl>
    <w:p w14:paraId="5A39313B" w14:textId="77777777" w:rsidR="00EF64BA" w:rsidRPr="00B37E80" w:rsidRDefault="00EF64BA" w:rsidP="00EF64BA">
      <w:pPr>
        <w:jc w:val="center"/>
        <w:rPr>
          <w:sz w:val="18"/>
          <w:szCs w:val="18"/>
        </w:rPr>
      </w:pPr>
    </w:p>
    <w:tbl>
      <w:tblPr>
        <w:tblStyle w:val="TableGrid"/>
        <w:tblW w:w="11250" w:type="dxa"/>
        <w:tblInd w:w="-815" w:type="dxa"/>
        <w:tblLook w:val="04A0" w:firstRow="1" w:lastRow="0" w:firstColumn="1" w:lastColumn="0" w:noHBand="0" w:noVBand="1"/>
      </w:tblPr>
      <w:tblGrid>
        <w:gridCol w:w="5760"/>
        <w:gridCol w:w="2430"/>
        <w:gridCol w:w="3060"/>
      </w:tblGrid>
      <w:tr w:rsidR="00EF64BA" w:rsidRPr="00B37E80" w14:paraId="49617F56" w14:textId="77777777" w:rsidTr="00387025">
        <w:trPr>
          <w:trHeight w:val="43"/>
        </w:trPr>
        <w:tc>
          <w:tcPr>
            <w:tcW w:w="5760" w:type="dxa"/>
            <w:hideMark/>
          </w:tcPr>
          <w:p w14:paraId="5F2282D7" w14:textId="77777777" w:rsidR="00EF64BA" w:rsidRPr="00EF64BA" w:rsidRDefault="00EF64BA" w:rsidP="00A27198">
            <w:pPr>
              <w:jc w:val="left"/>
              <w:rPr>
                <w:b/>
                <w:sz w:val="20"/>
                <w:szCs w:val="20"/>
                <w:lang w:val="fr-FR"/>
              </w:rPr>
            </w:pPr>
            <w:r>
              <w:rPr>
                <w:b/>
                <w:bCs/>
                <w:sz w:val="20"/>
                <w:szCs w:val="20"/>
                <w:lang w:val="fr"/>
              </w:rPr>
              <w:t>(II) DERNIÈRES DONNÉES COMMUNIQUÉES EN VERTU DE L’ARTICLE 7 (Annexe C Groupe l)</w:t>
            </w:r>
          </w:p>
        </w:tc>
        <w:tc>
          <w:tcPr>
            <w:tcW w:w="2430" w:type="dxa"/>
            <w:hideMark/>
          </w:tcPr>
          <w:p w14:paraId="4A026D36" w14:textId="77777777" w:rsidR="00EF64BA" w:rsidRPr="00B37E80" w:rsidRDefault="00EF64BA" w:rsidP="00A27198">
            <w:pPr>
              <w:jc w:val="center"/>
              <w:rPr>
                <w:sz w:val="20"/>
                <w:szCs w:val="20"/>
              </w:rPr>
            </w:pPr>
            <w:r>
              <w:rPr>
                <w:sz w:val="20"/>
                <w:szCs w:val="20"/>
                <w:lang w:val="fr"/>
              </w:rPr>
              <w:t>Année : 2023</w:t>
            </w:r>
          </w:p>
        </w:tc>
        <w:tc>
          <w:tcPr>
            <w:tcW w:w="3060" w:type="dxa"/>
            <w:hideMark/>
          </w:tcPr>
          <w:p w14:paraId="5A249B2A" w14:textId="77777777" w:rsidR="00EF64BA" w:rsidRPr="00B37E80" w:rsidRDefault="00EF64BA" w:rsidP="00A27198">
            <w:pPr>
              <w:jc w:val="right"/>
              <w:rPr>
                <w:sz w:val="20"/>
                <w:szCs w:val="20"/>
              </w:rPr>
            </w:pPr>
            <w:r>
              <w:rPr>
                <w:sz w:val="20"/>
                <w:szCs w:val="20"/>
                <w:lang w:val="fr"/>
              </w:rPr>
              <w:t>1,40 tonne PAO</w:t>
            </w:r>
          </w:p>
        </w:tc>
      </w:tr>
    </w:tbl>
    <w:p w14:paraId="3C5EE15B" w14:textId="77777777" w:rsidR="00EF64BA" w:rsidRPr="00B37E80" w:rsidRDefault="00EF64BA" w:rsidP="00EF64BA">
      <w:pPr>
        <w:jc w:val="center"/>
        <w:rPr>
          <w:sz w:val="18"/>
          <w:szCs w:val="18"/>
        </w:rPr>
      </w:pPr>
    </w:p>
    <w:tbl>
      <w:tblPr>
        <w:tblStyle w:val="TableGrid"/>
        <w:tblW w:w="11250" w:type="dxa"/>
        <w:tblInd w:w="-815" w:type="dxa"/>
        <w:tblLayout w:type="fixed"/>
        <w:tblLook w:val="04A0" w:firstRow="1" w:lastRow="0" w:firstColumn="1" w:lastColumn="0" w:noHBand="0" w:noVBand="1"/>
      </w:tblPr>
      <w:tblGrid>
        <w:gridCol w:w="1080"/>
        <w:gridCol w:w="990"/>
        <w:gridCol w:w="990"/>
        <w:gridCol w:w="1080"/>
        <w:gridCol w:w="1170"/>
        <w:gridCol w:w="990"/>
        <w:gridCol w:w="990"/>
        <w:gridCol w:w="1440"/>
        <w:gridCol w:w="1080"/>
        <w:gridCol w:w="1440"/>
      </w:tblGrid>
      <w:tr w:rsidR="00EF64BA" w:rsidRPr="00B37E80" w14:paraId="08785776" w14:textId="77777777" w:rsidTr="00C049B1">
        <w:trPr>
          <w:trHeight w:val="249"/>
        </w:trPr>
        <w:tc>
          <w:tcPr>
            <w:tcW w:w="8730" w:type="dxa"/>
            <w:gridSpan w:val="8"/>
            <w:hideMark/>
          </w:tcPr>
          <w:p w14:paraId="1EF8351B" w14:textId="0E80496B" w:rsidR="00EF64BA" w:rsidRPr="00EF64BA" w:rsidRDefault="00EF64BA" w:rsidP="00A27198">
            <w:pPr>
              <w:jc w:val="left"/>
              <w:rPr>
                <w:b/>
                <w:sz w:val="20"/>
                <w:szCs w:val="20"/>
                <w:lang w:val="fr-FR"/>
              </w:rPr>
            </w:pPr>
            <w:r>
              <w:rPr>
                <w:b/>
                <w:bCs/>
                <w:sz w:val="20"/>
                <w:szCs w:val="20"/>
                <w:lang w:val="fr"/>
              </w:rPr>
              <w:t>(III) DERNIÈRES DONNÉES SECTORIELLES DU PROGRAMME D</w:t>
            </w:r>
            <w:r w:rsidR="00F424EE">
              <w:rPr>
                <w:b/>
                <w:bCs/>
                <w:sz w:val="20"/>
                <w:szCs w:val="20"/>
                <w:lang w:val="fr"/>
              </w:rPr>
              <w:t>U</w:t>
            </w:r>
            <w:r>
              <w:rPr>
                <w:b/>
                <w:bCs/>
                <w:sz w:val="20"/>
                <w:szCs w:val="20"/>
                <w:lang w:val="fr"/>
              </w:rPr>
              <w:t xml:space="preserve"> PAYS (tonnes</w:t>
            </w:r>
            <w:r w:rsidR="000F220C">
              <w:rPr>
                <w:b/>
                <w:bCs/>
                <w:sz w:val="20"/>
                <w:szCs w:val="20"/>
                <w:lang w:val="fr"/>
              </w:rPr>
              <w:t> </w:t>
            </w:r>
            <w:r>
              <w:rPr>
                <w:b/>
                <w:bCs/>
                <w:sz w:val="20"/>
                <w:szCs w:val="20"/>
                <w:lang w:val="fr"/>
              </w:rPr>
              <w:t>PAO)</w:t>
            </w:r>
          </w:p>
        </w:tc>
        <w:tc>
          <w:tcPr>
            <w:tcW w:w="2520" w:type="dxa"/>
            <w:gridSpan w:val="2"/>
            <w:hideMark/>
          </w:tcPr>
          <w:p w14:paraId="331A0681" w14:textId="77777777" w:rsidR="00EF64BA" w:rsidRPr="00B37E80" w:rsidRDefault="00EF64BA" w:rsidP="00A27198">
            <w:pPr>
              <w:jc w:val="right"/>
              <w:rPr>
                <w:b/>
                <w:sz w:val="20"/>
                <w:szCs w:val="20"/>
              </w:rPr>
            </w:pPr>
            <w:r>
              <w:rPr>
                <w:b/>
                <w:bCs/>
                <w:sz w:val="20"/>
                <w:szCs w:val="20"/>
                <w:lang w:val="fr"/>
              </w:rPr>
              <w:t>Année : 2023</w:t>
            </w:r>
          </w:p>
        </w:tc>
      </w:tr>
      <w:tr w:rsidR="0028061C" w:rsidRPr="00B37E80" w14:paraId="224DECF2" w14:textId="77777777" w:rsidTr="00C049B1">
        <w:trPr>
          <w:trHeight w:val="249"/>
        </w:trPr>
        <w:tc>
          <w:tcPr>
            <w:tcW w:w="1080" w:type="dxa"/>
            <w:vAlign w:val="center"/>
            <w:hideMark/>
          </w:tcPr>
          <w:p w14:paraId="0BC0001E" w14:textId="77777777" w:rsidR="00EF64BA" w:rsidRPr="00B37E80" w:rsidRDefault="00EF64BA" w:rsidP="00A27198">
            <w:pPr>
              <w:jc w:val="center"/>
              <w:rPr>
                <w:sz w:val="20"/>
                <w:szCs w:val="20"/>
              </w:rPr>
            </w:pPr>
            <w:r>
              <w:rPr>
                <w:sz w:val="20"/>
                <w:szCs w:val="20"/>
                <w:lang w:val="fr"/>
              </w:rPr>
              <w:t>Produits chimiques</w:t>
            </w:r>
          </w:p>
        </w:tc>
        <w:tc>
          <w:tcPr>
            <w:tcW w:w="990" w:type="dxa"/>
            <w:vAlign w:val="center"/>
            <w:hideMark/>
          </w:tcPr>
          <w:p w14:paraId="5FD145DB" w14:textId="77777777" w:rsidR="00EF64BA" w:rsidRPr="00B37E80" w:rsidRDefault="00EF64BA" w:rsidP="00A27198">
            <w:pPr>
              <w:jc w:val="center"/>
              <w:rPr>
                <w:sz w:val="20"/>
                <w:szCs w:val="20"/>
              </w:rPr>
            </w:pPr>
            <w:r>
              <w:rPr>
                <w:sz w:val="20"/>
                <w:szCs w:val="20"/>
                <w:lang w:val="fr"/>
              </w:rPr>
              <w:t>Aérosols</w:t>
            </w:r>
          </w:p>
        </w:tc>
        <w:tc>
          <w:tcPr>
            <w:tcW w:w="990" w:type="dxa"/>
            <w:vAlign w:val="center"/>
            <w:hideMark/>
          </w:tcPr>
          <w:p w14:paraId="7A71BCEB" w14:textId="77777777" w:rsidR="00EF64BA" w:rsidRPr="00B37E80" w:rsidRDefault="00EF64BA" w:rsidP="00A27198">
            <w:pPr>
              <w:jc w:val="center"/>
              <w:rPr>
                <w:sz w:val="20"/>
                <w:szCs w:val="20"/>
              </w:rPr>
            </w:pPr>
            <w:r>
              <w:rPr>
                <w:sz w:val="20"/>
                <w:szCs w:val="20"/>
                <w:lang w:val="fr"/>
              </w:rPr>
              <w:t>Mousses</w:t>
            </w:r>
          </w:p>
        </w:tc>
        <w:tc>
          <w:tcPr>
            <w:tcW w:w="1080" w:type="dxa"/>
            <w:vAlign w:val="center"/>
            <w:hideMark/>
          </w:tcPr>
          <w:p w14:paraId="786985D1" w14:textId="77777777" w:rsidR="00EF64BA" w:rsidRPr="00B37E80" w:rsidRDefault="00EF64BA" w:rsidP="00A27198">
            <w:pPr>
              <w:jc w:val="center"/>
              <w:rPr>
                <w:sz w:val="20"/>
                <w:szCs w:val="20"/>
              </w:rPr>
            </w:pPr>
            <w:r>
              <w:rPr>
                <w:sz w:val="20"/>
                <w:szCs w:val="20"/>
                <w:lang w:val="fr"/>
              </w:rPr>
              <w:t>Lutte contre l’incendie</w:t>
            </w:r>
          </w:p>
        </w:tc>
        <w:tc>
          <w:tcPr>
            <w:tcW w:w="2160" w:type="dxa"/>
            <w:gridSpan w:val="2"/>
            <w:vAlign w:val="center"/>
            <w:hideMark/>
          </w:tcPr>
          <w:p w14:paraId="033FAC46" w14:textId="77777777" w:rsidR="00EF64BA" w:rsidRPr="00B37E80" w:rsidRDefault="00EF64BA" w:rsidP="00A27198">
            <w:pPr>
              <w:jc w:val="center"/>
              <w:rPr>
                <w:sz w:val="20"/>
                <w:szCs w:val="20"/>
              </w:rPr>
            </w:pPr>
            <w:r>
              <w:rPr>
                <w:sz w:val="20"/>
                <w:szCs w:val="20"/>
                <w:lang w:val="fr"/>
              </w:rPr>
              <w:t>Réfrigération</w:t>
            </w:r>
          </w:p>
        </w:tc>
        <w:tc>
          <w:tcPr>
            <w:tcW w:w="990" w:type="dxa"/>
            <w:vAlign w:val="center"/>
            <w:hideMark/>
          </w:tcPr>
          <w:p w14:paraId="3CC0AAF5" w14:textId="77777777" w:rsidR="00EF64BA" w:rsidRPr="00B37E80" w:rsidRDefault="00EF64BA" w:rsidP="00A27198">
            <w:pPr>
              <w:jc w:val="center"/>
              <w:rPr>
                <w:sz w:val="20"/>
                <w:szCs w:val="20"/>
              </w:rPr>
            </w:pPr>
            <w:r>
              <w:rPr>
                <w:sz w:val="20"/>
                <w:szCs w:val="20"/>
                <w:lang w:val="fr"/>
              </w:rPr>
              <w:t>Solvants</w:t>
            </w:r>
          </w:p>
        </w:tc>
        <w:tc>
          <w:tcPr>
            <w:tcW w:w="1440" w:type="dxa"/>
            <w:vAlign w:val="center"/>
            <w:hideMark/>
          </w:tcPr>
          <w:p w14:paraId="466B5551" w14:textId="77777777" w:rsidR="00EF64BA" w:rsidRPr="00B37E80" w:rsidRDefault="00EF64BA" w:rsidP="00A27198">
            <w:pPr>
              <w:jc w:val="center"/>
              <w:rPr>
                <w:sz w:val="20"/>
                <w:szCs w:val="20"/>
              </w:rPr>
            </w:pPr>
            <w:r>
              <w:rPr>
                <w:sz w:val="20"/>
                <w:szCs w:val="20"/>
                <w:lang w:val="fr"/>
              </w:rPr>
              <w:t>Agent de transformation</w:t>
            </w:r>
          </w:p>
        </w:tc>
        <w:tc>
          <w:tcPr>
            <w:tcW w:w="1080" w:type="dxa"/>
            <w:vAlign w:val="center"/>
            <w:hideMark/>
          </w:tcPr>
          <w:p w14:paraId="1EB4ECE1" w14:textId="77777777" w:rsidR="00EF64BA" w:rsidRPr="00B37E80" w:rsidRDefault="00EF64BA" w:rsidP="00A27198">
            <w:pPr>
              <w:jc w:val="center"/>
              <w:rPr>
                <w:sz w:val="20"/>
                <w:szCs w:val="20"/>
              </w:rPr>
            </w:pPr>
            <w:r>
              <w:rPr>
                <w:sz w:val="20"/>
                <w:szCs w:val="20"/>
                <w:lang w:val="fr"/>
              </w:rPr>
              <w:t>Utilisation en labo</w:t>
            </w:r>
          </w:p>
        </w:tc>
        <w:tc>
          <w:tcPr>
            <w:tcW w:w="1440" w:type="dxa"/>
            <w:vAlign w:val="center"/>
            <w:hideMark/>
          </w:tcPr>
          <w:p w14:paraId="1DF02F29" w14:textId="77777777" w:rsidR="00EF64BA" w:rsidRPr="00B37E80" w:rsidRDefault="00EF64BA" w:rsidP="00A27198">
            <w:pPr>
              <w:jc w:val="center"/>
              <w:rPr>
                <w:sz w:val="20"/>
                <w:szCs w:val="20"/>
              </w:rPr>
            </w:pPr>
            <w:r>
              <w:rPr>
                <w:sz w:val="20"/>
                <w:szCs w:val="20"/>
                <w:lang w:val="fr"/>
              </w:rPr>
              <w:t>Consommation totale du secteur</w:t>
            </w:r>
          </w:p>
        </w:tc>
      </w:tr>
      <w:tr w:rsidR="00EF64BA" w:rsidRPr="00B37E80" w14:paraId="624E1CFD" w14:textId="77777777" w:rsidTr="00C049B1">
        <w:trPr>
          <w:trHeight w:val="249"/>
        </w:trPr>
        <w:tc>
          <w:tcPr>
            <w:tcW w:w="4140" w:type="dxa"/>
            <w:gridSpan w:val="4"/>
            <w:hideMark/>
          </w:tcPr>
          <w:p w14:paraId="2287CA78" w14:textId="77777777" w:rsidR="00EF64BA" w:rsidRPr="00B37E80" w:rsidRDefault="00EF64BA" w:rsidP="00A27198">
            <w:pPr>
              <w:jc w:val="center"/>
              <w:rPr>
                <w:sz w:val="20"/>
                <w:szCs w:val="20"/>
              </w:rPr>
            </w:pPr>
          </w:p>
        </w:tc>
        <w:tc>
          <w:tcPr>
            <w:tcW w:w="1170" w:type="dxa"/>
            <w:hideMark/>
          </w:tcPr>
          <w:p w14:paraId="4E6F2D2B" w14:textId="77777777" w:rsidR="00EF64BA" w:rsidRPr="00B37E80" w:rsidRDefault="00EF64BA" w:rsidP="00A27198">
            <w:pPr>
              <w:jc w:val="center"/>
              <w:rPr>
                <w:sz w:val="20"/>
                <w:szCs w:val="20"/>
              </w:rPr>
            </w:pPr>
            <w:r>
              <w:rPr>
                <w:sz w:val="20"/>
                <w:szCs w:val="20"/>
                <w:lang w:val="fr"/>
              </w:rPr>
              <w:t>Fabrication</w:t>
            </w:r>
          </w:p>
        </w:tc>
        <w:tc>
          <w:tcPr>
            <w:tcW w:w="990" w:type="dxa"/>
            <w:hideMark/>
          </w:tcPr>
          <w:p w14:paraId="1A24A0B7" w14:textId="77777777" w:rsidR="00EF64BA" w:rsidRPr="00B37E80" w:rsidRDefault="00EF64BA" w:rsidP="00A27198">
            <w:pPr>
              <w:jc w:val="center"/>
              <w:rPr>
                <w:sz w:val="20"/>
                <w:szCs w:val="20"/>
              </w:rPr>
            </w:pPr>
            <w:r>
              <w:rPr>
                <w:sz w:val="20"/>
                <w:szCs w:val="20"/>
                <w:lang w:val="fr"/>
              </w:rPr>
              <w:t>Entretien</w:t>
            </w:r>
          </w:p>
        </w:tc>
        <w:tc>
          <w:tcPr>
            <w:tcW w:w="4950" w:type="dxa"/>
            <w:gridSpan w:val="4"/>
          </w:tcPr>
          <w:p w14:paraId="0A365B02" w14:textId="77777777" w:rsidR="00EF64BA" w:rsidRPr="00B37E80" w:rsidRDefault="00EF64BA" w:rsidP="00A27198">
            <w:pPr>
              <w:jc w:val="center"/>
              <w:rPr>
                <w:sz w:val="20"/>
                <w:szCs w:val="20"/>
              </w:rPr>
            </w:pPr>
          </w:p>
        </w:tc>
      </w:tr>
      <w:tr w:rsidR="0028061C" w:rsidRPr="00B37E80" w14:paraId="3FBE3A8A" w14:textId="77777777" w:rsidTr="00C049B1">
        <w:trPr>
          <w:trHeight w:val="249"/>
        </w:trPr>
        <w:tc>
          <w:tcPr>
            <w:tcW w:w="1080" w:type="dxa"/>
            <w:hideMark/>
          </w:tcPr>
          <w:p w14:paraId="69BAF7C4" w14:textId="77777777" w:rsidR="00EF64BA" w:rsidRPr="00B37E80" w:rsidRDefault="00EF64BA" w:rsidP="00A27198">
            <w:pPr>
              <w:ind w:left="32"/>
              <w:jc w:val="left"/>
              <w:rPr>
                <w:sz w:val="20"/>
                <w:szCs w:val="20"/>
              </w:rPr>
            </w:pPr>
            <w:r>
              <w:rPr>
                <w:sz w:val="20"/>
                <w:szCs w:val="20"/>
                <w:lang w:val="fr"/>
              </w:rPr>
              <w:t>HCFC-22</w:t>
            </w:r>
          </w:p>
        </w:tc>
        <w:tc>
          <w:tcPr>
            <w:tcW w:w="990" w:type="dxa"/>
          </w:tcPr>
          <w:p w14:paraId="44BFFC96" w14:textId="77777777" w:rsidR="00EF64BA" w:rsidRPr="00B37E80" w:rsidRDefault="00EF64BA" w:rsidP="00A27198">
            <w:pPr>
              <w:jc w:val="right"/>
              <w:rPr>
                <w:sz w:val="20"/>
                <w:szCs w:val="20"/>
              </w:rPr>
            </w:pPr>
          </w:p>
        </w:tc>
        <w:tc>
          <w:tcPr>
            <w:tcW w:w="990" w:type="dxa"/>
          </w:tcPr>
          <w:p w14:paraId="1449CCEE" w14:textId="77777777" w:rsidR="00EF64BA" w:rsidRPr="00B37E80" w:rsidRDefault="00EF64BA" w:rsidP="00A27198">
            <w:pPr>
              <w:jc w:val="right"/>
              <w:rPr>
                <w:sz w:val="20"/>
                <w:szCs w:val="20"/>
              </w:rPr>
            </w:pPr>
          </w:p>
        </w:tc>
        <w:tc>
          <w:tcPr>
            <w:tcW w:w="1080" w:type="dxa"/>
          </w:tcPr>
          <w:p w14:paraId="6E47700B" w14:textId="77777777" w:rsidR="00EF64BA" w:rsidRPr="00B37E80" w:rsidRDefault="00EF64BA" w:rsidP="00A27198">
            <w:pPr>
              <w:jc w:val="right"/>
              <w:rPr>
                <w:sz w:val="20"/>
                <w:szCs w:val="20"/>
              </w:rPr>
            </w:pPr>
          </w:p>
        </w:tc>
        <w:tc>
          <w:tcPr>
            <w:tcW w:w="1170" w:type="dxa"/>
          </w:tcPr>
          <w:p w14:paraId="45A24EEE" w14:textId="77777777" w:rsidR="00EF64BA" w:rsidRPr="00B37E80" w:rsidRDefault="00EF64BA" w:rsidP="00A27198">
            <w:pPr>
              <w:jc w:val="right"/>
              <w:rPr>
                <w:sz w:val="20"/>
                <w:szCs w:val="20"/>
              </w:rPr>
            </w:pPr>
          </w:p>
        </w:tc>
        <w:tc>
          <w:tcPr>
            <w:tcW w:w="990" w:type="dxa"/>
          </w:tcPr>
          <w:p w14:paraId="7EBAE0E4" w14:textId="77777777" w:rsidR="00EF64BA" w:rsidRPr="00B37E80" w:rsidRDefault="00EF64BA" w:rsidP="00A27198">
            <w:pPr>
              <w:jc w:val="right"/>
              <w:rPr>
                <w:sz w:val="20"/>
                <w:szCs w:val="20"/>
              </w:rPr>
            </w:pPr>
            <w:r>
              <w:rPr>
                <w:sz w:val="20"/>
                <w:szCs w:val="20"/>
                <w:lang w:val="fr"/>
              </w:rPr>
              <w:t>1,40</w:t>
            </w:r>
          </w:p>
        </w:tc>
        <w:tc>
          <w:tcPr>
            <w:tcW w:w="990" w:type="dxa"/>
          </w:tcPr>
          <w:p w14:paraId="62528243" w14:textId="77777777" w:rsidR="00EF64BA" w:rsidRPr="00B37E80" w:rsidRDefault="00EF64BA" w:rsidP="00A27198">
            <w:pPr>
              <w:jc w:val="right"/>
              <w:rPr>
                <w:sz w:val="20"/>
                <w:szCs w:val="20"/>
              </w:rPr>
            </w:pPr>
          </w:p>
        </w:tc>
        <w:tc>
          <w:tcPr>
            <w:tcW w:w="1440" w:type="dxa"/>
          </w:tcPr>
          <w:p w14:paraId="125C32DD" w14:textId="77777777" w:rsidR="00EF64BA" w:rsidRPr="00B37E80" w:rsidRDefault="00EF64BA" w:rsidP="00A27198">
            <w:pPr>
              <w:jc w:val="right"/>
              <w:rPr>
                <w:sz w:val="20"/>
                <w:szCs w:val="20"/>
              </w:rPr>
            </w:pPr>
          </w:p>
        </w:tc>
        <w:tc>
          <w:tcPr>
            <w:tcW w:w="1080" w:type="dxa"/>
          </w:tcPr>
          <w:p w14:paraId="7617F8B0" w14:textId="77777777" w:rsidR="00EF64BA" w:rsidRPr="00B37E80" w:rsidRDefault="00EF64BA" w:rsidP="00A27198">
            <w:pPr>
              <w:jc w:val="right"/>
              <w:rPr>
                <w:sz w:val="20"/>
                <w:szCs w:val="20"/>
              </w:rPr>
            </w:pPr>
          </w:p>
        </w:tc>
        <w:tc>
          <w:tcPr>
            <w:tcW w:w="1440" w:type="dxa"/>
          </w:tcPr>
          <w:p w14:paraId="10AC5ED1" w14:textId="77777777" w:rsidR="00EF64BA" w:rsidRPr="00B37E80" w:rsidRDefault="00EF64BA" w:rsidP="00A27198">
            <w:pPr>
              <w:jc w:val="right"/>
              <w:rPr>
                <w:sz w:val="20"/>
                <w:szCs w:val="20"/>
              </w:rPr>
            </w:pPr>
            <w:r>
              <w:rPr>
                <w:sz w:val="20"/>
                <w:szCs w:val="20"/>
                <w:lang w:val="fr"/>
              </w:rPr>
              <w:t>1,40</w:t>
            </w:r>
          </w:p>
        </w:tc>
      </w:tr>
    </w:tbl>
    <w:p w14:paraId="7FD885F6" w14:textId="77777777" w:rsidR="00EF64BA" w:rsidRPr="00B37E80" w:rsidRDefault="00EF64BA" w:rsidP="00EF64BA">
      <w:pPr>
        <w:jc w:val="center"/>
        <w:rPr>
          <w:sz w:val="18"/>
          <w:szCs w:val="18"/>
        </w:rPr>
      </w:pPr>
    </w:p>
    <w:tbl>
      <w:tblPr>
        <w:tblStyle w:val="TableGrid"/>
        <w:tblW w:w="11250" w:type="dxa"/>
        <w:tblInd w:w="-815" w:type="dxa"/>
        <w:tblLook w:val="04A0" w:firstRow="1" w:lastRow="0" w:firstColumn="1" w:lastColumn="0" w:noHBand="0" w:noVBand="1"/>
      </w:tblPr>
      <w:tblGrid>
        <w:gridCol w:w="3510"/>
        <w:gridCol w:w="1411"/>
        <w:gridCol w:w="4394"/>
        <w:gridCol w:w="1935"/>
      </w:tblGrid>
      <w:tr w:rsidR="00EF64BA" w:rsidRPr="00277197" w14:paraId="5AE8D5A5" w14:textId="77777777" w:rsidTr="00C049B1">
        <w:trPr>
          <w:trHeight w:val="276"/>
        </w:trPr>
        <w:tc>
          <w:tcPr>
            <w:tcW w:w="11250" w:type="dxa"/>
            <w:gridSpan w:val="4"/>
            <w:hideMark/>
          </w:tcPr>
          <w:p w14:paraId="309839A9" w14:textId="6D76C451" w:rsidR="00EF64BA" w:rsidRPr="00EF64BA" w:rsidRDefault="00EF64BA" w:rsidP="00A27198">
            <w:pPr>
              <w:jc w:val="left"/>
              <w:rPr>
                <w:b/>
                <w:sz w:val="20"/>
                <w:szCs w:val="20"/>
                <w:lang w:val="fr-FR"/>
              </w:rPr>
            </w:pPr>
            <w:r>
              <w:rPr>
                <w:b/>
                <w:bCs/>
                <w:sz w:val="20"/>
                <w:szCs w:val="20"/>
                <w:lang w:val="fr"/>
              </w:rPr>
              <w:t>(IV) DONNÉES SUR LA CONSOMMATION (tonnes</w:t>
            </w:r>
            <w:r w:rsidR="00F60C96">
              <w:rPr>
                <w:b/>
                <w:bCs/>
                <w:sz w:val="20"/>
                <w:szCs w:val="20"/>
                <w:lang w:val="fr"/>
              </w:rPr>
              <w:t> </w:t>
            </w:r>
            <w:r>
              <w:rPr>
                <w:b/>
                <w:bCs/>
                <w:sz w:val="20"/>
                <w:szCs w:val="20"/>
                <w:lang w:val="fr"/>
              </w:rPr>
              <w:t>PAO)</w:t>
            </w:r>
          </w:p>
        </w:tc>
      </w:tr>
      <w:tr w:rsidR="00EF64BA" w:rsidRPr="00B37E80" w14:paraId="0AC58E46" w14:textId="77777777" w:rsidTr="00387025">
        <w:trPr>
          <w:trHeight w:val="276"/>
        </w:trPr>
        <w:tc>
          <w:tcPr>
            <w:tcW w:w="3510" w:type="dxa"/>
            <w:hideMark/>
          </w:tcPr>
          <w:p w14:paraId="3158FF32" w14:textId="77777777" w:rsidR="00EF64BA" w:rsidRPr="00B37E80" w:rsidRDefault="00EF64BA" w:rsidP="00A27198">
            <w:pPr>
              <w:jc w:val="center"/>
              <w:rPr>
                <w:sz w:val="20"/>
                <w:szCs w:val="20"/>
              </w:rPr>
            </w:pPr>
            <w:r>
              <w:rPr>
                <w:sz w:val="20"/>
                <w:szCs w:val="20"/>
                <w:lang w:val="fr"/>
              </w:rPr>
              <w:t>Consommation de référence 2009-2010 :</w:t>
            </w:r>
          </w:p>
        </w:tc>
        <w:tc>
          <w:tcPr>
            <w:tcW w:w="1411" w:type="dxa"/>
            <w:hideMark/>
          </w:tcPr>
          <w:p w14:paraId="3E42FC5A" w14:textId="77777777" w:rsidR="00EF64BA" w:rsidRPr="00B37E80" w:rsidRDefault="00EF64BA" w:rsidP="00A27198">
            <w:pPr>
              <w:jc w:val="right"/>
              <w:rPr>
                <w:sz w:val="20"/>
                <w:szCs w:val="20"/>
              </w:rPr>
            </w:pPr>
            <w:r>
              <w:rPr>
                <w:sz w:val="20"/>
                <w:szCs w:val="20"/>
                <w:lang w:val="fr"/>
              </w:rPr>
              <w:t>16,32</w:t>
            </w:r>
          </w:p>
        </w:tc>
        <w:tc>
          <w:tcPr>
            <w:tcW w:w="4394" w:type="dxa"/>
            <w:hideMark/>
          </w:tcPr>
          <w:p w14:paraId="2AD7E4B5" w14:textId="77777777" w:rsidR="00EF64BA" w:rsidRPr="00EF64BA" w:rsidRDefault="00EF64BA" w:rsidP="00A27198">
            <w:pPr>
              <w:jc w:val="center"/>
              <w:rPr>
                <w:sz w:val="20"/>
                <w:szCs w:val="20"/>
                <w:lang w:val="fr-FR"/>
              </w:rPr>
            </w:pPr>
            <w:r>
              <w:rPr>
                <w:sz w:val="20"/>
                <w:szCs w:val="20"/>
                <w:lang w:val="fr"/>
              </w:rPr>
              <w:t>Point de départ des réductions globales durables :</w:t>
            </w:r>
          </w:p>
        </w:tc>
        <w:tc>
          <w:tcPr>
            <w:tcW w:w="1935" w:type="dxa"/>
            <w:hideMark/>
          </w:tcPr>
          <w:p w14:paraId="376DCFB1" w14:textId="77777777" w:rsidR="00EF64BA" w:rsidRPr="00B37E80" w:rsidRDefault="00EF64BA" w:rsidP="00A27198">
            <w:pPr>
              <w:jc w:val="right"/>
              <w:rPr>
                <w:sz w:val="20"/>
                <w:szCs w:val="20"/>
              </w:rPr>
            </w:pPr>
            <w:r>
              <w:rPr>
                <w:sz w:val="20"/>
                <w:szCs w:val="20"/>
                <w:lang w:val="fr"/>
              </w:rPr>
              <w:t>10,58</w:t>
            </w:r>
          </w:p>
        </w:tc>
      </w:tr>
      <w:tr w:rsidR="00EF64BA" w:rsidRPr="00B37E80" w14:paraId="2491C540" w14:textId="77777777" w:rsidTr="00C049B1">
        <w:trPr>
          <w:trHeight w:val="276"/>
        </w:trPr>
        <w:tc>
          <w:tcPr>
            <w:tcW w:w="11250" w:type="dxa"/>
            <w:gridSpan w:val="4"/>
            <w:hideMark/>
          </w:tcPr>
          <w:p w14:paraId="57EFC628" w14:textId="77777777" w:rsidR="00EF64BA" w:rsidRPr="00B37E80" w:rsidRDefault="00EF64BA" w:rsidP="00A27198">
            <w:pPr>
              <w:ind w:left="316"/>
              <w:rPr>
                <w:b/>
                <w:sz w:val="20"/>
                <w:szCs w:val="20"/>
              </w:rPr>
            </w:pPr>
            <w:r>
              <w:rPr>
                <w:b/>
                <w:bCs/>
                <w:sz w:val="20"/>
                <w:szCs w:val="20"/>
                <w:lang w:val="fr"/>
              </w:rPr>
              <w:t>CONSOMMATION ADMISSIBLE AU FINANCEMENT</w:t>
            </w:r>
          </w:p>
        </w:tc>
      </w:tr>
      <w:tr w:rsidR="00EF64BA" w:rsidRPr="00B37E80" w14:paraId="7B92735B" w14:textId="77777777" w:rsidTr="00387025">
        <w:trPr>
          <w:trHeight w:val="276"/>
        </w:trPr>
        <w:tc>
          <w:tcPr>
            <w:tcW w:w="3510" w:type="dxa"/>
            <w:hideMark/>
          </w:tcPr>
          <w:p w14:paraId="0748DE21" w14:textId="77777777" w:rsidR="00EF64BA" w:rsidRPr="00B37E80" w:rsidRDefault="00EF64BA" w:rsidP="00A27198">
            <w:pPr>
              <w:jc w:val="center"/>
              <w:rPr>
                <w:sz w:val="20"/>
                <w:szCs w:val="20"/>
              </w:rPr>
            </w:pPr>
            <w:r>
              <w:rPr>
                <w:sz w:val="20"/>
                <w:szCs w:val="20"/>
                <w:lang w:val="fr"/>
              </w:rPr>
              <w:t>Déjà approuvée :</w:t>
            </w:r>
          </w:p>
        </w:tc>
        <w:tc>
          <w:tcPr>
            <w:tcW w:w="1411" w:type="dxa"/>
            <w:hideMark/>
          </w:tcPr>
          <w:p w14:paraId="117E3C1B" w14:textId="77777777" w:rsidR="00EF64BA" w:rsidRPr="00B37E80" w:rsidRDefault="00EF64BA" w:rsidP="00A27198">
            <w:pPr>
              <w:jc w:val="right"/>
              <w:rPr>
                <w:sz w:val="20"/>
                <w:szCs w:val="20"/>
              </w:rPr>
            </w:pPr>
            <w:r>
              <w:rPr>
                <w:sz w:val="20"/>
                <w:szCs w:val="20"/>
                <w:lang w:val="fr"/>
              </w:rPr>
              <w:t>10,58</w:t>
            </w:r>
          </w:p>
        </w:tc>
        <w:tc>
          <w:tcPr>
            <w:tcW w:w="4394" w:type="dxa"/>
            <w:hideMark/>
          </w:tcPr>
          <w:p w14:paraId="32D4A06A" w14:textId="77777777" w:rsidR="00EF64BA" w:rsidRPr="00B37E80" w:rsidRDefault="00EF64BA" w:rsidP="00A27198">
            <w:pPr>
              <w:jc w:val="center"/>
              <w:rPr>
                <w:i/>
                <w:sz w:val="20"/>
                <w:szCs w:val="20"/>
              </w:rPr>
            </w:pPr>
            <w:r>
              <w:rPr>
                <w:sz w:val="20"/>
                <w:szCs w:val="20"/>
                <w:lang w:val="fr"/>
              </w:rPr>
              <w:t>Restante :</w:t>
            </w:r>
          </w:p>
        </w:tc>
        <w:tc>
          <w:tcPr>
            <w:tcW w:w="1935" w:type="dxa"/>
          </w:tcPr>
          <w:p w14:paraId="221ADCB9" w14:textId="77777777" w:rsidR="00EF64BA" w:rsidRPr="00B37E80" w:rsidRDefault="00EF64BA" w:rsidP="00A27198">
            <w:pPr>
              <w:jc w:val="right"/>
              <w:rPr>
                <w:sz w:val="20"/>
                <w:szCs w:val="20"/>
              </w:rPr>
            </w:pPr>
            <w:r>
              <w:rPr>
                <w:sz w:val="20"/>
                <w:szCs w:val="20"/>
                <w:lang w:val="fr"/>
              </w:rPr>
              <w:t>0,00</w:t>
            </w:r>
          </w:p>
        </w:tc>
      </w:tr>
    </w:tbl>
    <w:p w14:paraId="3C605535" w14:textId="77777777" w:rsidR="00EF64BA" w:rsidRPr="00B37E80" w:rsidRDefault="00EF64BA" w:rsidP="00EF64BA">
      <w:pPr>
        <w:jc w:val="center"/>
        <w:rPr>
          <w:sz w:val="18"/>
          <w:szCs w:val="18"/>
        </w:rPr>
      </w:pPr>
    </w:p>
    <w:tbl>
      <w:tblPr>
        <w:tblStyle w:val="TableGrid"/>
        <w:tblW w:w="6016" w:type="pct"/>
        <w:tblInd w:w="-815" w:type="dxa"/>
        <w:tblLook w:val="04A0" w:firstRow="1" w:lastRow="0" w:firstColumn="1" w:lastColumn="0" w:noHBand="0" w:noVBand="1"/>
      </w:tblPr>
      <w:tblGrid>
        <w:gridCol w:w="1259"/>
        <w:gridCol w:w="3598"/>
        <w:gridCol w:w="1532"/>
        <w:gridCol w:w="1445"/>
        <w:gridCol w:w="1445"/>
        <w:gridCol w:w="1971"/>
      </w:tblGrid>
      <w:tr w:rsidR="00EF64BA" w:rsidRPr="00B37E80" w14:paraId="65AEDD16" w14:textId="77777777" w:rsidTr="00C049B1">
        <w:trPr>
          <w:trHeight w:val="264"/>
        </w:trPr>
        <w:tc>
          <w:tcPr>
            <w:tcW w:w="2159" w:type="pct"/>
            <w:gridSpan w:val="2"/>
            <w:hideMark/>
          </w:tcPr>
          <w:p w14:paraId="56B1A280" w14:textId="77777777" w:rsidR="00EF64BA" w:rsidRPr="00B37E80" w:rsidRDefault="00EF64BA" w:rsidP="00A27198">
            <w:pPr>
              <w:jc w:val="left"/>
              <w:rPr>
                <w:b/>
                <w:sz w:val="20"/>
                <w:szCs w:val="20"/>
              </w:rPr>
            </w:pPr>
            <w:r>
              <w:rPr>
                <w:b/>
                <w:bCs/>
                <w:sz w:val="20"/>
                <w:szCs w:val="20"/>
                <w:lang w:val="fr"/>
              </w:rPr>
              <w:t>(V) PLAN D’ACTIVITÉS ENTÉRINÉ</w:t>
            </w:r>
          </w:p>
        </w:tc>
        <w:tc>
          <w:tcPr>
            <w:tcW w:w="681" w:type="pct"/>
            <w:vAlign w:val="center"/>
            <w:hideMark/>
          </w:tcPr>
          <w:p w14:paraId="77B3F6F1" w14:textId="77777777" w:rsidR="00EF64BA" w:rsidRPr="00B37E80" w:rsidRDefault="00EF64BA" w:rsidP="00A27198">
            <w:pPr>
              <w:jc w:val="center"/>
              <w:rPr>
                <w:b/>
                <w:sz w:val="20"/>
                <w:szCs w:val="20"/>
              </w:rPr>
            </w:pPr>
            <w:r>
              <w:rPr>
                <w:b/>
                <w:bCs/>
                <w:sz w:val="20"/>
                <w:szCs w:val="20"/>
                <w:lang w:val="fr"/>
              </w:rPr>
              <w:t>2024</w:t>
            </w:r>
          </w:p>
        </w:tc>
        <w:tc>
          <w:tcPr>
            <w:tcW w:w="642" w:type="pct"/>
            <w:vAlign w:val="center"/>
            <w:hideMark/>
          </w:tcPr>
          <w:p w14:paraId="4E1571B6" w14:textId="77777777" w:rsidR="00EF64BA" w:rsidRPr="00B37E80" w:rsidRDefault="00EF64BA" w:rsidP="00A27198">
            <w:pPr>
              <w:jc w:val="center"/>
              <w:rPr>
                <w:b/>
                <w:sz w:val="20"/>
                <w:szCs w:val="20"/>
              </w:rPr>
            </w:pPr>
            <w:r>
              <w:rPr>
                <w:b/>
                <w:bCs/>
                <w:sz w:val="20"/>
                <w:szCs w:val="20"/>
                <w:lang w:val="fr"/>
              </w:rPr>
              <w:t>2025</w:t>
            </w:r>
          </w:p>
        </w:tc>
        <w:tc>
          <w:tcPr>
            <w:tcW w:w="642" w:type="pct"/>
            <w:vAlign w:val="center"/>
            <w:hideMark/>
          </w:tcPr>
          <w:p w14:paraId="27B83E31" w14:textId="77777777" w:rsidR="00EF64BA" w:rsidRPr="00B37E80" w:rsidRDefault="00EF64BA" w:rsidP="00A27198">
            <w:pPr>
              <w:jc w:val="center"/>
              <w:rPr>
                <w:b/>
                <w:sz w:val="20"/>
                <w:szCs w:val="20"/>
              </w:rPr>
            </w:pPr>
            <w:r>
              <w:rPr>
                <w:b/>
                <w:bCs/>
                <w:sz w:val="20"/>
                <w:szCs w:val="20"/>
                <w:lang w:val="fr"/>
              </w:rPr>
              <w:t>2026</w:t>
            </w:r>
          </w:p>
        </w:tc>
        <w:tc>
          <w:tcPr>
            <w:tcW w:w="876" w:type="pct"/>
            <w:vAlign w:val="center"/>
            <w:hideMark/>
          </w:tcPr>
          <w:p w14:paraId="6236A6EE" w14:textId="77777777" w:rsidR="00EF64BA" w:rsidRPr="00B37E80" w:rsidRDefault="00EF64BA" w:rsidP="00A27198">
            <w:pPr>
              <w:jc w:val="center"/>
              <w:rPr>
                <w:b/>
                <w:sz w:val="20"/>
                <w:szCs w:val="20"/>
              </w:rPr>
            </w:pPr>
            <w:r>
              <w:rPr>
                <w:b/>
                <w:bCs/>
                <w:sz w:val="20"/>
                <w:szCs w:val="20"/>
                <w:lang w:val="fr"/>
              </w:rPr>
              <w:t>Total</w:t>
            </w:r>
          </w:p>
        </w:tc>
      </w:tr>
      <w:tr w:rsidR="00EF64BA" w:rsidRPr="00B37E80" w14:paraId="51BA9C94" w14:textId="77777777" w:rsidTr="00C049B1">
        <w:trPr>
          <w:trHeight w:val="187"/>
        </w:trPr>
        <w:tc>
          <w:tcPr>
            <w:tcW w:w="560" w:type="pct"/>
            <w:vMerge w:val="restart"/>
            <w:vAlign w:val="center"/>
            <w:hideMark/>
          </w:tcPr>
          <w:p w14:paraId="00649307" w14:textId="77777777" w:rsidR="00EF64BA" w:rsidRPr="00B37E80" w:rsidRDefault="00EF64BA" w:rsidP="00A27198">
            <w:pPr>
              <w:jc w:val="center"/>
              <w:rPr>
                <w:sz w:val="20"/>
                <w:szCs w:val="20"/>
              </w:rPr>
            </w:pPr>
            <w:r>
              <w:rPr>
                <w:sz w:val="20"/>
                <w:szCs w:val="20"/>
                <w:lang w:val="fr"/>
              </w:rPr>
              <w:t>PNUD</w:t>
            </w:r>
          </w:p>
        </w:tc>
        <w:tc>
          <w:tcPr>
            <w:tcW w:w="1598" w:type="pct"/>
            <w:hideMark/>
          </w:tcPr>
          <w:p w14:paraId="2D691496" w14:textId="77777777" w:rsidR="00EF64BA" w:rsidRPr="00EF64BA" w:rsidRDefault="00EF64BA" w:rsidP="00A27198">
            <w:pPr>
              <w:jc w:val="left"/>
              <w:rPr>
                <w:sz w:val="20"/>
                <w:szCs w:val="20"/>
                <w:lang w:val="fr-FR"/>
              </w:rPr>
            </w:pPr>
            <w:r>
              <w:rPr>
                <w:sz w:val="20"/>
                <w:szCs w:val="20"/>
                <w:lang w:val="fr"/>
              </w:rPr>
              <w:t>Élimination des SAO (tonnes PAO)</w:t>
            </w:r>
          </w:p>
        </w:tc>
        <w:tc>
          <w:tcPr>
            <w:tcW w:w="681" w:type="pct"/>
          </w:tcPr>
          <w:p w14:paraId="33479C4E" w14:textId="77777777" w:rsidR="00EF64BA" w:rsidRPr="00B37E80" w:rsidRDefault="00EF64BA" w:rsidP="00A27198">
            <w:pPr>
              <w:jc w:val="right"/>
              <w:rPr>
                <w:sz w:val="20"/>
                <w:szCs w:val="20"/>
              </w:rPr>
            </w:pPr>
            <w:r>
              <w:rPr>
                <w:sz w:val="20"/>
                <w:szCs w:val="20"/>
                <w:lang w:val="fr"/>
              </w:rPr>
              <w:t>0,99</w:t>
            </w:r>
          </w:p>
        </w:tc>
        <w:tc>
          <w:tcPr>
            <w:tcW w:w="642" w:type="pct"/>
          </w:tcPr>
          <w:p w14:paraId="5D442E15" w14:textId="77777777" w:rsidR="00EF64BA" w:rsidRPr="00B37E80" w:rsidRDefault="00EF64BA" w:rsidP="00A27198">
            <w:pPr>
              <w:jc w:val="right"/>
              <w:rPr>
                <w:sz w:val="20"/>
                <w:szCs w:val="20"/>
              </w:rPr>
            </w:pPr>
            <w:r>
              <w:rPr>
                <w:sz w:val="20"/>
                <w:szCs w:val="20"/>
                <w:lang w:val="fr"/>
              </w:rPr>
              <w:t>0,00</w:t>
            </w:r>
          </w:p>
        </w:tc>
        <w:tc>
          <w:tcPr>
            <w:tcW w:w="642" w:type="pct"/>
          </w:tcPr>
          <w:p w14:paraId="1BA8BBFD" w14:textId="77777777" w:rsidR="00EF64BA" w:rsidRPr="00B37E80" w:rsidRDefault="00EF64BA" w:rsidP="00A27198">
            <w:pPr>
              <w:jc w:val="right"/>
              <w:rPr>
                <w:sz w:val="20"/>
                <w:szCs w:val="20"/>
              </w:rPr>
            </w:pPr>
            <w:r>
              <w:rPr>
                <w:sz w:val="20"/>
                <w:szCs w:val="20"/>
                <w:lang w:val="fr"/>
              </w:rPr>
              <w:t>0,00</w:t>
            </w:r>
          </w:p>
        </w:tc>
        <w:tc>
          <w:tcPr>
            <w:tcW w:w="876" w:type="pct"/>
          </w:tcPr>
          <w:p w14:paraId="3340A304" w14:textId="77777777" w:rsidR="00EF64BA" w:rsidRPr="00B37E80" w:rsidRDefault="00EF64BA" w:rsidP="00A27198">
            <w:pPr>
              <w:jc w:val="right"/>
              <w:rPr>
                <w:sz w:val="20"/>
                <w:szCs w:val="20"/>
              </w:rPr>
            </w:pPr>
            <w:r>
              <w:rPr>
                <w:sz w:val="20"/>
                <w:szCs w:val="20"/>
                <w:lang w:val="fr"/>
              </w:rPr>
              <w:t>0,99</w:t>
            </w:r>
          </w:p>
        </w:tc>
      </w:tr>
      <w:tr w:rsidR="00EF64BA" w:rsidRPr="00B37E80" w14:paraId="74CB58CD" w14:textId="77777777" w:rsidTr="00C049B1">
        <w:trPr>
          <w:trHeight w:val="55"/>
        </w:trPr>
        <w:tc>
          <w:tcPr>
            <w:tcW w:w="560" w:type="pct"/>
            <w:vMerge/>
            <w:vAlign w:val="center"/>
            <w:hideMark/>
          </w:tcPr>
          <w:p w14:paraId="7F15C895" w14:textId="77777777" w:rsidR="00EF64BA" w:rsidRPr="00B37E80" w:rsidRDefault="00EF64BA" w:rsidP="00A27198">
            <w:pPr>
              <w:rPr>
                <w:sz w:val="20"/>
                <w:szCs w:val="20"/>
              </w:rPr>
            </w:pPr>
          </w:p>
        </w:tc>
        <w:tc>
          <w:tcPr>
            <w:tcW w:w="1598" w:type="pct"/>
            <w:hideMark/>
          </w:tcPr>
          <w:p w14:paraId="01BCEEC6" w14:textId="77777777" w:rsidR="00EF64BA" w:rsidRPr="00B37E80" w:rsidRDefault="00EF64BA" w:rsidP="00A27198">
            <w:pPr>
              <w:jc w:val="left"/>
              <w:rPr>
                <w:sz w:val="20"/>
                <w:szCs w:val="20"/>
              </w:rPr>
            </w:pPr>
            <w:r>
              <w:rPr>
                <w:sz w:val="20"/>
                <w:szCs w:val="20"/>
                <w:lang w:val="fr"/>
              </w:rPr>
              <w:t>Financement ($ US)</w:t>
            </w:r>
          </w:p>
        </w:tc>
        <w:tc>
          <w:tcPr>
            <w:tcW w:w="681" w:type="pct"/>
          </w:tcPr>
          <w:p w14:paraId="4820D21C" w14:textId="77777777" w:rsidR="00EF64BA" w:rsidRPr="00B37E80" w:rsidRDefault="00EF64BA" w:rsidP="00A27198">
            <w:pPr>
              <w:jc w:val="right"/>
              <w:rPr>
                <w:sz w:val="20"/>
                <w:szCs w:val="20"/>
              </w:rPr>
            </w:pPr>
            <w:r>
              <w:rPr>
                <w:sz w:val="20"/>
                <w:szCs w:val="20"/>
                <w:lang w:val="fr"/>
              </w:rPr>
              <w:t>286 920*</w:t>
            </w:r>
          </w:p>
        </w:tc>
        <w:tc>
          <w:tcPr>
            <w:tcW w:w="642" w:type="pct"/>
          </w:tcPr>
          <w:p w14:paraId="2E294E26" w14:textId="77777777" w:rsidR="00EF64BA" w:rsidRPr="00B37E80" w:rsidRDefault="00EF64BA" w:rsidP="00A27198">
            <w:pPr>
              <w:jc w:val="right"/>
              <w:rPr>
                <w:sz w:val="20"/>
                <w:szCs w:val="20"/>
              </w:rPr>
            </w:pPr>
            <w:r>
              <w:rPr>
                <w:sz w:val="20"/>
                <w:szCs w:val="20"/>
                <w:lang w:val="fr"/>
              </w:rPr>
              <w:t>0</w:t>
            </w:r>
          </w:p>
        </w:tc>
        <w:tc>
          <w:tcPr>
            <w:tcW w:w="642" w:type="pct"/>
          </w:tcPr>
          <w:p w14:paraId="01A7C759" w14:textId="77777777" w:rsidR="00EF64BA" w:rsidRPr="00B37E80" w:rsidRDefault="00EF64BA" w:rsidP="00A27198">
            <w:pPr>
              <w:jc w:val="right"/>
              <w:rPr>
                <w:sz w:val="20"/>
                <w:szCs w:val="20"/>
              </w:rPr>
            </w:pPr>
            <w:r>
              <w:rPr>
                <w:sz w:val="20"/>
                <w:szCs w:val="20"/>
                <w:lang w:val="fr"/>
              </w:rPr>
              <w:t>0</w:t>
            </w:r>
          </w:p>
        </w:tc>
        <w:tc>
          <w:tcPr>
            <w:tcW w:w="876" w:type="pct"/>
          </w:tcPr>
          <w:p w14:paraId="1C975602" w14:textId="77777777" w:rsidR="00EF64BA" w:rsidRPr="00B37E80" w:rsidRDefault="00EF64BA" w:rsidP="00A27198">
            <w:pPr>
              <w:jc w:val="right"/>
              <w:rPr>
                <w:sz w:val="20"/>
                <w:szCs w:val="20"/>
              </w:rPr>
            </w:pPr>
            <w:r>
              <w:rPr>
                <w:sz w:val="20"/>
                <w:szCs w:val="20"/>
                <w:lang w:val="fr"/>
              </w:rPr>
              <w:t>286 920</w:t>
            </w:r>
          </w:p>
        </w:tc>
      </w:tr>
    </w:tbl>
    <w:p w14:paraId="381AA027" w14:textId="77777777" w:rsidR="00EF64BA" w:rsidRPr="00EF64BA" w:rsidRDefault="00EF64BA" w:rsidP="00277197">
      <w:pPr>
        <w:ind w:left="-630" w:right="-563" w:hanging="90"/>
        <w:rPr>
          <w:sz w:val="18"/>
          <w:szCs w:val="18"/>
          <w:lang w:val="fr-FR"/>
        </w:rPr>
      </w:pPr>
      <w:r>
        <w:rPr>
          <w:sz w:val="18"/>
          <w:szCs w:val="18"/>
          <w:lang w:val="fr"/>
        </w:rPr>
        <w:t>*Y compris 120 000 $ US (sans coûts d’appui) pour le PNUD pour les activités supplémentaires de maintien du rendement énergétique (décision 89/6)</w:t>
      </w:r>
    </w:p>
    <w:p w14:paraId="707EDB25" w14:textId="77777777" w:rsidR="00EF64BA" w:rsidRPr="00EF64BA" w:rsidRDefault="00EF64BA" w:rsidP="00EF64BA">
      <w:pPr>
        <w:jc w:val="left"/>
        <w:rPr>
          <w:sz w:val="18"/>
          <w:szCs w:val="18"/>
          <w:lang w:val="fr-FR"/>
        </w:rPr>
      </w:pPr>
    </w:p>
    <w:tbl>
      <w:tblPr>
        <w:tblStyle w:val="TableGrid"/>
        <w:tblW w:w="11250" w:type="dxa"/>
        <w:tblInd w:w="-815" w:type="dxa"/>
        <w:tblLayout w:type="fixed"/>
        <w:tblCellMar>
          <w:left w:w="57" w:type="dxa"/>
          <w:right w:w="85" w:type="dxa"/>
        </w:tblCellMar>
        <w:tblLook w:val="04A0" w:firstRow="1" w:lastRow="0" w:firstColumn="1" w:lastColumn="0" w:noHBand="0" w:noVBand="1"/>
      </w:tblPr>
      <w:tblGrid>
        <w:gridCol w:w="2234"/>
        <w:gridCol w:w="852"/>
        <w:gridCol w:w="1280"/>
        <w:gridCol w:w="910"/>
        <w:gridCol w:w="934"/>
        <w:gridCol w:w="900"/>
        <w:gridCol w:w="810"/>
        <w:gridCol w:w="810"/>
        <w:gridCol w:w="810"/>
        <w:gridCol w:w="810"/>
        <w:gridCol w:w="900"/>
      </w:tblGrid>
      <w:tr w:rsidR="00EF64BA" w:rsidRPr="00B37E80" w14:paraId="2FA7BE68" w14:textId="77777777" w:rsidTr="00C049B1">
        <w:trPr>
          <w:trHeight w:val="276"/>
        </w:trPr>
        <w:tc>
          <w:tcPr>
            <w:tcW w:w="4366" w:type="dxa"/>
            <w:gridSpan w:val="3"/>
            <w:hideMark/>
          </w:tcPr>
          <w:p w14:paraId="4DAA189F" w14:textId="77777777" w:rsidR="00EF64BA" w:rsidRPr="00B37E80" w:rsidRDefault="00EF64BA" w:rsidP="00A27198">
            <w:pPr>
              <w:spacing w:afterLines="20" w:after="48"/>
              <w:ind w:left="38"/>
              <w:jc w:val="left"/>
              <w:rPr>
                <w:rFonts w:asciiTheme="majorBidi" w:hAnsiTheme="majorBidi" w:cstheme="majorBidi"/>
                <w:b/>
                <w:sz w:val="19"/>
                <w:szCs w:val="19"/>
              </w:rPr>
            </w:pPr>
            <w:r>
              <w:rPr>
                <w:rFonts w:asciiTheme="majorBidi" w:hAnsiTheme="majorBidi" w:cstheme="majorBidi"/>
                <w:b/>
                <w:bCs/>
                <w:sz w:val="19"/>
                <w:szCs w:val="19"/>
                <w:lang w:val="fr"/>
              </w:rPr>
              <w:t xml:space="preserve">(VI) DONNÉES DU PROJET </w:t>
            </w:r>
          </w:p>
        </w:tc>
        <w:tc>
          <w:tcPr>
            <w:tcW w:w="910" w:type="dxa"/>
          </w:tcPr>
          <w:p w14:paraId="117F611C" w14:textId="77777777" w:rsidR="00EF64BA" w:rsidRPr="00B37E80" w:rsidRDefault="00EF64BA" w:rsidP="00A27198">
            <w:pPr>
              <w:spacing w:afterLines="20" w:after="48"/>
              <w:ind w:left="38"/>
              <w:jc w:val="center"/>
              <w:rPr>
                <w:rFonts w:asciiTheme="majorBidi" w:hAnsiTheme="majorBidi" w:cstheme="majorBidi"/>
                <w:b/>
                <w:bCs/>
                <w:sz w:val="19"/>
                <w:szCs w:val="19"/>
              </w:rPr>
            </w:pPr>
            <w:r>
              <w:rPr>
                <w:rFonts w:asciiTheme="majorBidi" w:hAnsiTheme="majorBidi" w:cstheme="majorBidi"/>
                <w:b/>
                <w:bCs/>
                <w:sz w:val="19"/>
                <w:szCs w:val="19"/>
                <w:lang w:val="fr"/>
              </w:rPr>
              <w:t>2020</w:t>
            </w:r>
          </w:p>
        </w:tc>
        <w:tc>
          <w:tcPr>
            <w:tcW w:w="934" w:type="dxa"/>
          </w:tcPr>
          <w:p w14:paraId="5EBD1E60" w14:textId="77777777" w:rsidR="00EF64BA" w:rsidRPr="00B37E80" w:rsidRDefault="00EF64BA" w:rsidP="00A27198">
            <w:pPr>
              <w:spacing w:afterLines="20" w:after="48"/>
              <w:ind w:left="38"/>
              <w:jc w:val="center"/>
              <w:rPr>
                <w:rFonts w:asciiTheme="majorBidi" w:hAnsiTheme="majorBidi" w:cstheme="majorBidi"/>
                <w:b/>
                <w:bCs/>
                <w:sz w:val="19"/>
                <w:szCs w:val="19"/>
              </w:rPr>
            </w:pPr>
            <w:r>
              <w:rPr>
                <w:rFonts w:asciiTheme="majorBidi" w:hAnsiTheme="majorBidi" w:cstheme="majorBidi"/>
                <w:b/>
                <w:bCs/>
                <w:sz w:val="19"/>
                <w:szCs w:val="19"/>
                <w:lang w:val="fr"/>
              </w:rPr>
              <w:t>2021-2023</w:t>
            </w:r>
          </w:p>
        </w:tc>
        <w:tc>
          <w:tcPr>
            <w:tcW w:w="900" w:type="dxa"/>
            <w:hideMark/>
          </w:tcPr>
          <w:p w14:paraId="1843335A" w14:textId="77777777" w:rsidR="00EF64BA" w:rsidRPr="00B37E80" w:rsidRDefault="00EF64BA" w:rsidP="00A27198">
            <w:pPr>
              <w:spacing w:afterLines="20" w:after="48"/>
              <w:ind w:left="38"/>
              <w:jc w:val="center"/>
              <w:rPr>
                <w:rFonts w:asciiTheme="majorBidi" w:hAnsiTheme="majorBidi" w:cstheme="majorBidi"/>
                <w:b/>
                <w:bCs/>
                <w:sz w:val="19"/>
                <w:szCs w:val="19"/>
              </w:rPr>
            </w:pPr>
            <w:r>
              <w:rPr>
                <w:rFonts w:asciiTheme="majorBidi" w:hAnsiTheme="majorBidi" w:cstheme="majorBidi"/>
                <w:b/>
                <w:bCs/>
                <w:sz w:val="19"/>
                <w:szCs w:val="19"/>
                <w:lang w:val="fr"/>
              </w:rPr>
              <w:t>2024*</w:t>
            </w:r>
          </w:p>
        </w:tc>
        <w:tc>
          <w:tcPr>
            <w:tcW w:w="810" w:type="dxa"/>
            <w:hideMark/>
          </w:tcPr>
          <w:p w14:paraId="6515BB71" w14:textId="77777777" w:rsidR="00EF64BA" w:rsidRPr="00B37E80" w:rsidRDefault="00EF64BA" w:rsidP="00A27198">
            <w:pPr>
              <w:spacing w:afterLines="20" w:after="48"/>
              <w:jc w:val="center"/>
              <w:rPr>
                <w:rFonts w:asciiTheme="majorBidi" w:hAnsiTheme="majorBidi" w:cstheme="majorBidi"/>
                <w:b/>
                <w:bCs/>
                <w:sz w:val="19"/>
                <w:szCs w:val="19"/>
              </w:rPr>
            </w:pPr>
            <w:r>
              <w:rPr>
                <w:rFonts w:asciiTheme="majorBidi" w:hAnsiTheme="majorBidi" w:cstheme="majorBidi"/>
                <w:b/>
                <w:bCs/>
                <w:sz w:val="19"/>
                <w:szCs w:val="19"/>
                <w:lang w:val="fr"/>
              </w:rPr>
              <w:t>2025-2026</w:t>
            </w:r>
          </w:p>
        </w:tc>
        <w:tc>
          <w:tcPr>
            <w:tcW w:w="810" w:type="dxa"/>
            <w:hideMark/>
          </w:tcPr>
          <w:p w14:paraId="0DC4BD4A" w14:textId="77777777" w:rsidR="00EF64BA" w:rsidRPr="00B37E80" w:rsidRDefault="00EF64BA" w:rsidP="00A27198">
            <w:pPr>
              <w:spacing w:afterLines="20" w:after="48"/>
              <w:jc w:val="center"/>
              <w:rPr>
                <w:rFonts w:asciiTheme="majorBidi" w:hAnsiTheme="majorBidi" w:cstheme="majorBidi"/>
                <w:b/>
                <w:bCs/>
                <w:sz w:val="19"/>
                <w:szCs w:val="19"/>
              </w:rPr>
            </w:pPr>
            <w:r>
              <w:rPr>
                <w:rFonts w:asciiTheme="majorBidi" w:hAnsiTheme="majorBidi" w:cstheme="majorBidi"/>
                <w:b/>
                <w:bCs/>
                <w:sz w:val="19"/>
                <w:szCs w:val="19"/>
                <w:lang w:val="fr"/>
              </w:rPr>
              <w:t>2027</w:t>
            </w:r>
          </w:p>
        </w:tc>
        <w:tc>
          <w:tcPr>
            <w:tcW w:w="810" w:type="dxa"/>
            <w:hideMark/>
          </w:tcPr>
          <w:p w14:paraId="4F9E6E30" w14:textId="77777777" w:rsidR="00EF64BA" w:rsidRPr="00B37E80" w:rsidRDefault="00EF64BA" w:rsidP="00A27198">
            <w:pPr>
              <w:spacing w:afterLines="20" w:after="48"/>
              <w:jc w:val="center"/>
              <w:rPr>
                <w:rFonts w:asciiTheme="majorBidi" w:hAnsiTheme="majorBidi" w:cstheme="majorBidi"/>
                <w:b/>
                <w:bCs/>
                <w:sz w:val="19"/>
                <w:szCs w:val="19"/>
              </w:rPr>
            </w:pPr>
            <w:r>
              <w:rPr>
                <w:rFonts w:asciiTheme="majorBidi" w:hAnsiTheme="majorBidi" w:cstheme="majorBidi"/>
                <w:b/>
                <w:bCs/>
                <w:sz w:val="19"/>
                <w:szCs w:val="19"/>
                <w:lang w:val="fr"/>
              </w:rPr>
              <w:t>2028-2029</w:t>
            </w:r>
          </w:p>
        </w:tc>
        <w:tc>
          <w:tcPr>
            <w:tcW w:w="810" w:type="dxa"/>
            <w:hideMark/>
          </w:tcPr>
          <w:p w14:paraId="0BF60B05" w14:textId="77777777" w:rsidR="00EF64BA" w:rsidRPr="00B37E80" w:rsidRDefault="00EF64BA" w:rsidP="00A27198">
            <w:pPr>
              <w:spacing w:afterLines="20" w:after="48"/>
              <w:jc w:val="center"/>
              <w:rPr>
                <w:rFonts w:asciiTheme="majorBidi" w:hAnsiTheme="majorBidi" w:cstheme="majorBidi"/>
                <w:b/>
                <w:bCs/>
                <w:sz w:val="19"/>
                <w:szCs w:val="19"/>
              </w:rPr>
            </w:pPr>
            <w:r>
              <w:rPr>
                <w:rFonts w:asciiTheme="majorBidi" w:hAnsiTheme="majorBidi" w:cstheme="majorBidi"/>
                <w:b/>
                <w:bCs/>
                <w:sz w:val="19"/>
                <w:szCs w:val="19"/>
                <w:lang w:val="fr"/>
              </w:rPr>
              <w:t>2030</w:t>
            </w:r>
          </w:p>
        </w:tc>
        <w:tc>
          <w:tcPr>
            <w:tcW w:w="900" w:type="dxa"/>
            <w:hideMark/>
          </w:tcPr>
          <w:p w14:paraId="791181A6" w14:textId="77777777" w:rsidR="00EF64BA" w:rsidRPr="00B37E80" w:rsidRDefault="00EF64BA" w:rsidP="00A27198">
            <w:pPr>
              <w:spacing w:afterLines="20" w:after="48"/>
              <w:jc w:val="center"/>
              <w:rPr>
                <w:rFonts w:asciiTheme="majorBidi" w:hAnsiTheme="majorBidi" w:cstheme="majorBidi"/>
                <w:b/>
                <w:sz w:val="19"/>
                <w:szCs w:val="19"/>
              </w:rPr>
            </w:pPr>
            <w:r>
              <w:rPr>
                <w:rFonts w:asciiTheme="majorBidi" w:hAnsiTheme="majorBidi" w:cstheme="majorBidi"/>
                <w:b/>
                <w:bCs/>
                <w:sz w:val="19"/>
                <w:szCs w:val="19"/>
                <w:lang w:val="fr"/>
              </w:rPr>
              <w:t>Total</w:t>
            </w:r>
          </w:p>
        </w:tc>
      </w:tr>
      <w:tr w:rsidR="00EF64BA" w:rsidRPr="00B37E80" w14:paraId="15673B14" w14:textId="77777777" w:rsidTr="00C049B1">
        <w:trPr>
          <w:trHeight w:val="228"/>
        </w:trPr>
        <w:tc>
          <w:tcPr>
            <w:tcW w:w="4366" w:type="dxa"/>
            <w:gridSpan w:val="3"/>
            <w:hideMark/>
          </w:tcPr>
          <w:p w14:paraId="5140746C" w14:textId="77777777" w:rsidR="00EF64BA" w:rsidRPr="00EF64BA" w:rsidRDefault="00EF64BA" w:rsidP="00A27198">
            <w:pPr>
              <w:spacing w:after="60"/>
              <w:ind w:left="38"/>
              <w:jc w:val="left"/>
              <w:rPr>
                <w:rFonts w:asciiTheme="majorBidi" w:hAnsiTheme="majorBidi" w:cstheme="majorBidi"/>
                <w:sz w:val="19"/>
                <w:szCs w:val="19"/>
                <w:lang w:val="fr-FR"/>
              </w:rPr>
            </w:pPr>
            <w:r>
              <w:rPr>
                <w:rFonts w:asciiTheme="majorBidi" w:hAnsiTheme="majorBidi" w:cstheme="majorBidi"/>
                <w:sz w:val="19"/>
                <w:szCs w:val="19"/>
                <w:lang w:val="fr"/>
              </w:rPr>
              <w:t>Limites de consommation du Protocole de Montréal (tonnes PAO)</w:t>
            </w:r>
          </w:p>
        </w:tc>
        <w:tc>
          <w:tcPr>
            <w:tcW w:w="910" w:type="dxa"/>
          </w:tcPr>
          <w:p w14:paraId="30BF2881"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10,60</w:t>
            </w:r>
          </w:p>
        </w:tc>
        <w:tc>
          <w:tcPr>
            <w:tcW w:w="934" w:type="dxa"/>
          </w:tcPr>
          <w:p w14:paraId="3081AB77"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10,60</w:t>
            </w:r>
          </w:p>
        </w:tc>
        <w:tc>
          <w:tcPr>
            <w:tcW w:w="900" w:type="dxa"/>
          </w:tcPr>
          <w:p w14:paraId="799BBC75"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10,60</w:t>
            </w:r>
          </w:p>
        </w:tc>
        <w:tc>
          <w:tcPr>
            <w:tcW w:w="810" w:type="dxa"/>
          </w:tcPr>
          <w:p w14:paraId="6699D89A"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5,30</w:t>
            </w:r>
          </w:p>
        </w:tc>
        <w:tc>
          <w:tcPr>
            <w:tcW w:w="810" w:type="dxa"/>
          </w:tcPr>
          <w:p w14:paraId="37176EC7"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5,30</w:t>
            </w:r>
          </w:p>
        </w:tc>
        <w:tc>
          <w:tcPr>
            <w:tcW w:w="810" w:type="dxa"/>
          </w:tcPr>
          <w:p w14:paraId="1901922D"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5,30</w:t>
            </w:r>
          </w:p>
        </w:tc>
        <w:tc>
          <w:tcPr>
            <w:tcW w:w="810" w:type="dxa"/>
          </w:tcPr>
          <w:p w14:paraId="6C517F91"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0,00</w:t>
            </w:r>
          </w:p>
        </w:tc>
        <w:tc>
          <w:tcPr>
            <w:tcW w:w="900" w:type="dxa"/>
            <w:hideMark/>
          </w:tcPr>
          <w:p w14:paraId="0D97D8DC" w14:textId="77777777" w:rsidR="00EF64BA" w:rsidRPr="00B37E80" w:rsidRDefault="00EF64BA" w:rsidP="00A27198">
            <w:pPr>
              <w:spacing w:after="60"/>
              <w:jc w:val="right"/>
              <w:rPr>
                <w:rFonts w:asciiTheme="majorBidi" w:hAnsiTheme="majorBidi" w:cstheme="majorBidi"/>
                <w:sz w:val="19"/>
                <w:szCs w:val="19"/>
              </w:rPr>
            </w:pPr>
            <w:proofErr w:type="spellStart"/>
            <w:r>
              <w:rPr>
                <w:rFonts w:asciiTheme="majorBidi" w:hAnsiTheme="majorBidi" w:cstheme="majorBidi"/>
                <w:sz w:val="19"/>
                <w:szCs w:val="19"/>
                <w:lang w:val="fr"/>
              </w:rPr>
              <w:t>s.o</w:t>
            </w:r>
            <w:proofErr w:type="spellEnd"/>
            <w:r>
              <w:rPr>
                <w:rFonts w:asciiTheme="majorBidi" w:hAnsiTheme="majorBidi" w:cstheme="majorBidi"/>
                <w:sz w:val="19"/>
                <w:szCs w:val="19"/>
                <w:lang w:val="fr"/>
              </w:rPr>
              <w:t>.</w:t>
            </w:r>
          </w:p>
        </w:tc>
      </w:tr>
      <w:tr w:rsidR="00EF64BA" w:rsidRPr="00B37E80" w14:paraId="69BE2E5A" w14:textId="77777777" w:rsidTr="00C049B1">
        <w:trPr>
          <w:trHeight w:val="263"/>
        </w:trPr>
        <w:tc>
          <w:tcPr>
            <w:tcW w:w="4366" w:type="dxa"/>
            <w:gridSpan w:val="3"/>
            <w:hideMark/>
          </w:tcPr>
          <w:p w14:paraId="345228DC" w14:textId="77777777" w:rsidR="00EF64BA" w:rsidRPr="00EF64BA" w:rsidRDefault="00EF64BA" w:rsidP="00A27198">
            <w:pPr>
              <w:spacing w:after="60"/>
              <w:ind w:left="38"/>
              <w:jc w:val="left"/>
              <w:rPr>
                <w:rFonts w:asciiTheme="majorBidi" w:hAnsiTheme="majorBidi" w:cstheme="majorBidi"/>
                <w:sz w:val="19"/>
                <w:szCs w:val="19"/>
                <w:lang w:val="fr-FR"/>
              </w:rPr>
            </w:pPr>
            <w:r>
              <w:rPr>
                <w:rFonts w:asciiTheme="majorBidi" w:hAnsiTheme="majorBidi" w:cstheme="majorBidi"/>
                <w:sz w:val="19"/>
                <w:szCs w:val="19"/>
                <w:lang w:val="fr"/>
              </w:rPr>
              <w:t>Consommation maximale admissible (tonnes PAO)</w:t>
            </w:r>
          </w:p>
        </w:tc>
        <w:tc>
          <w:tcPr>
            <w:tcW w:w="910" w:type="dxa"/>
          </w:tcPr>
          <w:p w14:paraId="4EF65B69"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8,20</w:t>
            </w:r>
          </w:p>
        </w:tc>
        <w:tc>
          <w:tcPr>
            <w:tcW w:w="934" w:type="dxa"/>
          </w:tcPr>
          <w:p w14:paraId="5C1D9CAA"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8,20</w:t>
            </w:r>
          </w:p>
        </w:tc>
        <w:tc>
          <w:tcPr>
            <w:tcW w:w="900" w:type="dxa"/>
          </w:tcPr>
          <w:p w14:paraId="77101792"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8,20</w:t>
            </w:r>
          </w:p>
        </w:tc>
        <w:tc>
          <w:tcPr>
            <w:tcW w:w="810" w:type="dxa"/>
          </w:tcPr>
          <w:p w14:paraId="3F6538DF"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5,30</w:t>
            </w:r>
          </w:p>
        </w:tc>
        <w:tc>
          <w:tcPr>
            <w:tcW w:w="810" w:type="dxa"/>
          </w:tcPr>
          <w:p w14:paraId="29438E2B"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5,30</w:t>
            </w:r>
          </w:p>
        </w:tc>
        <w:tc>
          <w:tcPr>
            <w:tcW w:w="810" w:type="dxa"/>
          </w:tcPr>
          <w:p w14:paraId="1FB1C238"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5,30</w:t>
            </w:r>
          </w:p>
        </w:tc>
        <w:tc>
          <w:tcPr>
            <w:tcW w:w="810" w:type="dxa"/>
          </w:tcPr>
          <w:p w14:paraId="01749379"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0,00</w:t>
            </w:r>
          </w:p>
        </w:tc>
        <w:tc>
          <w:tcPr>
            <w:tcW w:w="900" w:type="dxa"/>
            <w:hideMark/>
          </w:tcPr>
          <w:p w14:paraId="704A341D" w14:textId="77777777" w:rsidR="00EF64BA" w:rsidRPr="00B37E80" w:rsidRDefault="00EF64BA" w:rsidP="00A27198">
            <w:pPr>
              <w:spacing w:after="60"/>
              <w:jc w:val="right"/>
              <w:rPr>
                <w:rFonts w:asciiTheme="majorBidi" w:hAnsiTheme="majorBidi" w:cstheme="majorBidi"/>
                <w:sz w:val="19"/>
                <w:szCs w:val="19"/>
              </w:rPr>
            </w:pPr>
            <w:proofErr w:type="spellStart"/>
            <w:r>
              <w:rPr>
                <w:rFonts w:asciiTheme="majorBidi" w:hAnsiTheme="majorBidi" w:cstheme="majorBidi"/>
                <w:sz w:val="19"/>
                <w:szCs w:val="19"/>
                <w:lang w:val="fr"/>
              </w:rPr>
              <w:t>s.o</w:t>
            </w:r>
            <w:proofErr w:type="spellEnd"/>
            <w:r>
              <w:rPr>
                <w:rFonts w:asciiTheme="majorBidi" w:hAnsiTheme="majorBidi" w:cstheme="majorBidi"/>
                <w:sz w:val="19"/>
                <w:szCs w:val="19"/>
                <w:lang w:val="fr"/>
              </w:rPr>
              <w:t>.</w:t>
            </w:r>
          </w:p>
        </w:tc>
      </w:tr>
      <w:tr w:rsidR="00EF64BA" w:rsidRPr="00B37E80" w14:paraId="03D1AF0E" w14:textId="77777777" w:rsidTr="00C049B1">
        <w:trPr>
          <w:trHeight w:val="357"/>
        </w:trPr>
        <w:tc>
          <w:tcPr>
            <w:tcW w:w="2234" w:type="dxa"/>
            <w:vMerge w:val="restart"/>
            <w:hideMark/>
          </w:tcPr>
          <w:p w14:paraId="400514C7" w14:textId="77777777" w:rsidR="00EF64BA" w:rsidRPr="00EF64BA" w:rsidRDefault="00EF64BA" w:rsidP="00A27198">
            <w:pPr>
              <w:spacing w:after="60"/>
              <w:ind w:left="38"/>
              <w:jc w:val="left"/>
              <w:rPr>
                <w:rFonts w:asciiTheme="majorBidi" w:hAnsiTheme="majorBidi" w:cstheme="majorBidi"/>
                <w:sz w:val="19"/>
                <w:szCs w:val="19"/>
                <w:lang w:val="fr-FR"/>
              </w:rPr>
            </w:pPr>
            <w:r>
              <w:rPr>
                <w:rFonts w:asciiTheme="majorBidi" w:hAnsiTheme="majorBidi" w:cstheme="majorBidi"/>
                <w:sz w:val="19"/>
                <w:szCs w:val="19"/>
                <w:lang w:val="fr"/>
              </w:rPr>
              <w:t>Financement convenu en principe ($ US)</w:t>
            </w:r>
          </w:p>
        </w:tc>
        <w:tc>
          <w:tcPr>
            <w:tcW w:w="852" w:type="dxa"/>
            <w:vMerge w:val="restart"/>
            <w:vAlign w:val="center"/>
            <w:hideMark/>
          </w:tcPr>
          <w:p w14:paraId="1DFAE738" w14:textId="77777777" w:rsidR="00EF64BA" w:rsidRPr="00B37E80" w:rsidRDefault="00EF64BA" w:rsidP="00A27198">
            <w:pPr>
              <w:spacing w:after="60"/>
              <w:ind w:left="38"/>
              <w:jc w:val="center"/>
              <w:rPr>
                <w:rFonts w:asciiTheme="majorBidi" w:hAnsiTheme="majorBidi" w:cstheme="majorBidi"/>
                <w:sz w:val="19"/>
                <w:szCs w:val="19"/>
              </w:rPr>
            </w:pPr>
            <w:r>
              <w:rPr>
                <w:rFonts w:asciiTheme="majorBidi" w:hAnsiTheme="majorBidi" w:cstheme="majorBidi"/>
                <w:sz w:val="19"/>
                <w:szCs w:val="19"/>
                <w:lang w:val="fr"/>
              </w:rPr>
              <w:t>PNUD</w:t>
            </w:r>
          </w:p>
        </w:tc>
        <w:tc>
          <w:tcPr>
            <w:tcW w:w="1280" w:type="dxa"/>
            <w:hideMark/>
          </w:tcPr>
          <w:p w14:paraId="3D85096A" w14:textId="77777777" w:rsidR="00EF64BA" w:rsidRPr="00B37E80" w:rsidRDefault="00EF64BA" w:rsidP="00A27198">
            <w:pPr>
              <w:spacing w:after="60"/>
              <w:ind w:left="38"/>
              <w:jc w:val="left"/>
              <w:rPr>
                <w:rFonts w:asciiTheme="majorBidi" w:hAnsiTheme="majorBidi" w:cstheme="majorBidi"/>
                <w:sz w:val="19"/>
                <w:szCs w:val="19"/>
              </w:rPr>
            </w:pPr>
            <w:r>
              <w:rPr>
                <w:rFonts w:asciiTheme="majorBidi" w:hAnsiTheme="majorBidi" w:cstheme="majorBidi"/>
                <w:sz w:val="19"/>
                <w:szCs w:val="19"/>
                <w:lang w:val="fr"/>
              </w:rPr>
              <w:t>Coûts de projet</w:t>
            </w:r>
          </w:p>
        </w:tc>
        <w:tc>
          <w:tcPr>
            <w:tcW w:w="910" w:type="dxa"/>
          </w:tcPr>
          <w:p w14:paraId="33C6F895"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117 000</w:t>
            </w:r>
          </w:p>
        </w:tc>
        <w:tc>
          <w:tcPr>
            <w:tcW w:w="934" w:type="dxa"/>
          </w:tcPr>
          <w:p w14:paraId="733B3422"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414BEB8C"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276 000</w:t>
            </w:r>
          </w:p>
        </w:tc>
        <w:tc>
          <w:tcPr>
            <w:tcW w:w="810" w:type="dxa"/>
          </w:tcPr>
          <w:p w14:paraId="1898229E"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1F74C930"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78 000</w:t>
            </w:r>
          </w:p>
        </w:tc>
        <w:tc>
          <w:tcPr>
            <w:tcW w:w="810" w:type="dxa"/>
          </w:tcPr>
          <w:p w14:paraId="5E56FC58"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4A1BA7DD"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39 000</w:t>
            </w:r>
          </w:p>
        </w:tc>
        <w:tc>
          <w:tcPr>
            <w:tcW w:w="900" w:type="dxa"/>
          </w:tcPr>
          <w:p w14:paraId="2203B8B5"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510 000</w:t>
            </w:r>
          </w:p>
        </w:tc>
      </w:tr>
      <w:tr w:rsidR="00EF64BA" w:rsidRPr="00B37E80" w14:paraId="1078EF1C" w14:textId="77777777" w:rsidTr="00C049B1">
        <w:trPr>
          <w:trHeight w:val="162"/>
        </w:trPr>
        <w:tc>
          <w:tcPr>
            <w:tcW w:w="2234" w:type="dxa"/>
            <w:vMerge/>
            <w:vAlign w:val="center"/>
            <w:hideMark/>
          </w:tcPr>
          <w:p w14:paraId="1E356183" w14:textId="77777777" w:rsidR="00EF64BA" w:rsidRPr="00B37E80" w:rsidRDefault="00EF64BA" w:rsidP="00A27198">
            <w:pPr>
              <w:spacing w:after="60"/>
              <w:ind w:left="38"/>
              <w:rPr>
                <w:rFonts w:asciiTheme="majorBidi" w:hAnsiTheme="majorBidi" w:cstheme="majorBidi"/>
                <w:sz w:val="19"/>
                <w:szCs w:val="19"/>
              </w:rPr>
            </w:pPr>
          </w:p>
        </w:tc>
        <w:tc>
          <w:tcPr>
            <w:tcW w:w="852" w:type="dxa"/>
            <w:vMerge/>
            <w:vAlign w:val="center"/>
            <w:hideMark/>
          </w:tcPr>
          <w:p w14:paraId="00EAA5A0" w14:textId="77777777" w:rsidR="00EF64BA" w:rsidRPr="00B37E80" w:rsidRDefault="00EF64BA" w:rsidP="00A27198">
            <w:pPr>
              <w:spacing w:after="60"/>
              <w:ind w:left="38"/>
              <w:jc w:val="center"/>
              <w:rPr>
                <w:rFonts w:asciiTheme="majorBidi" w:hAnsiTheme="majorBidi" w:cstheme="majorBidi"/>
                <w:sz w:val="19"/>
                <w:szCs w:val="19"/>
              </w:rPr>
            </w:pPr>
          </w:p>
        </w:tc>
        <w:tc>
          <w:tcPr>
            <w:tcW w:w="1280" w:type="dxa"/>
            <w:hideMark/>
          </w:tcPr>
          <w:p w14:paraId="44E0A618" w14:textId="77777777" w:rsidR="00EF64BA" w:rsidRPr="00B37E80" w:rsidRDefault="00EF64BA" w:rsidP="00A27198">
            <w:pPr>
              <w:spacing w:after="60"/>
              <w:ind w:left="38"/>
              <w:jc w:val="left"/>
              <w:rPr>
                <w:rFonts w:asciiTheme="majorBidi" w:hAnsiTheme="majorBidi" w:cstheme="majorBidi"/>
                <w:sz w:val="19"/>
                <w:szCs w:val="19"/>
              </w:rPr>
            </w:pPr>
            <w:r>
              <w:rPr>
                <w:rFonts w:asciiTheme="majorBidi" w:hAnsiTheme="majorBidi" w:cstheme="majorBidi"/>
                <w:sz w:val="19"/>
                <w:szCs w:val="19"/>
                <w:lang w:val="fr"/>
              </w:rPr>
              <w:t>Coûts d’appui</w:t>
            </w:r>
          </w:p>
        </w:tc>
        <w:tc>
          <w:tcPr>
            <w:tcW w:w="910" w:type="dxa"/>
          </w:tcPr>
          <w:p w14:paraId="7950BEAF"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8 190</w:t>
            </w:r>
          </w:p>
        </w:tc>
        <w:tc>
          <w:tcPr>
            <w:tcW w:w="934" w:type="dxa"/>
          </w:tcPr>
          <w:p w14:paraId="29B02E52"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66EDC53F"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19 320</w:t>
            </w:r>
          </w:p>
        </w:tc>
        <w:tc>
          <w:tcPr>
            <w:tcW w:w="810" w:type="dxa"/>
          </w:tcPr>
          <w:p w14:paraId="4AB4EA56"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198EC707"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5 460</w:t>
            </w:r>
          </w:p>
        </w:tc>
        <w:tc>
          <w:tcPr>
            <w:tcW w:w="810" w:type="dxa"/>
          </w:tcPr>
          <w:p w14:paraId="15760C98"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6CCDEDC5"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2 730</w:t>
            </w:r>
          </w:p>
        </w:tc>
        <w:tc>
          <w:tcPr>
            <w:tcW w:w="900" w:type="dxa"/>
          </w:tcPr>
          <w:p w14:paraId="33279481"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35 700</w:t>
            </w:r>
          </w:p>
        </w:tc>
      </w:tr>
      <w:tr w:rsidR="00EF64BA" w:rsidRPr="00B37E80" w14:paraId="4D457E98" w14:textId="77777777" w:rsidTr="00C049B1">
        <w:trPr>
          <w:trHeight w:val="103"/>
        </w:trPr>
        <w:tc>
          <w:tcPr>
            <w:tcW w:w="3086" w:type="dxa"/>
            <w:gridSpan w:val="2"/>
            <w:vMerge w:val="restart"/>
            <w:hideMark/>
          </w:tcPr>
          <w:p w14:paraId="0A79BB46" w14:textId="77777777" w:rsidR="00EF64BA" w:rsidRPr="00EF64BA" w:rsidRDefault="00EF64BA" w:rsidP="00A27198">
            <w:pPr>
              <w:spacing w:after="60"/>
              <w:ind w:left="38"/>
              <w:jc w:val="left"/>
              <w:rPr>
                <w:rFonts w:asciiTheme="majorBidi" w:hAnsiTheme="majorBidi" w:cstheme="majorBidi"/>
                <w:sz w:val="19"/>
                <w:szCs w:val="19"/>
                <w:lang w:val="fr-FR"/>
              </w:rPr>
            </w:pPr>
            <w:r>
              <w:rPr>
                <w:rFonts w:asciiTheme="majorBidi" w:hAnsiTheme="majorBidi" w:cstheme="majorBidi"/>
                <w:sz w:val="19"/>
                <w:szCs w:val="19"/>
                <w:lang w:val="fr"/>
              </w:rPr>
              <w:t xml:space="preserve">Financement approuvé par </w:t>
            </w:r>
            <w:proofErr w:type="spellStart"/>
            <w:r>
              <w:rPr>
                <w:rFonts w:asciiTheme="majorBidi" w:hAnsiTheme="majorBidi" w:cstheme="majorBidi"/>
                <w:sz w:val="19"/>
                <w:szCs w:val="19"/>
                <w:lang w:val="fr"/>
              </w:rPr>
              <w:t>ExCom</w:t>
            </w:r>
            <w:proofErr w:type="spellEnd"/>
            <w:r>
              <w:rPr>
                <w:rFonts w:asciiTheme="majorBidi" w:hAnsiTheme="majorBidi" w:cstheme="majorBidi"/>
                <w:sz w:val="19"/>
                <w:szCs w:val="19"/>
                <w:lang w:val="fr"/>
              </w:rPr>
              <w:t xml:space="preserve"> ($ US)</w:t>
            </w:r>
          </w:p>
        </w:tc>
        <w:tc>
          <w:tcPr>
            <w:tcW w:w="1280" w:type="dxa"/>
            <w:hideMark/>
          </w:tcPr>
          <w:p w14:paraId="7B122572" w14:textId="77777777" w:rsidR="00EF64BA" w:rsidRPr="00B37E80" w:rsidRDefault="00EF64BA" w:rsidP="00A27198">
            <w:pPr>
              <w:spacing w:after="60"/>
              <w:ind w:left="38"/>
              <w:jc w:val="left"/>
              <w:rPr>
                <w:rFonts w:asciiTheme="majorBidi" w:hAnsiTheme="majorBidi" w:cstheme="majorBidi"/>
                <w:sz w:val="19"/>
                <w:szCs w:val="19"/>
              </w:rPr>
            </w:pPr>
            <w:r>
              <w:rPr>
                <w:rFonts w:asciiTheme="majorBidi" w:hAnsiTheme="majorBidi" w:cstheme="majorBidi"/>
                <w:sz w:val="19"/>
                <w:szCs w:val="19"/>
                <w:lang w:val="fr"/>
              </w:rPr>
              <w:t>Coûts de projet</w:t>
            </w:r>
          </w:p>
        </w:tc>
        <w:tc>
          <w:tcPr>
            <w:tcW w:w="910" w:type="dxa"/>
          </w:tcPr>
          <w:p w14:paraId="02338F63"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117 000</w:t>
            </w:r>
          </w:p>
        </w:tc>
        <w:tc>
          <w:tcPr>
            <w:tcW w:w="934" w:type="dxa"/>
          </w:tcPr>
          <w:p w14:paraId="0F107DF1"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06BC4A24"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00750B6B"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2543AE29"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307D2DC5"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4D51997F"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4E7A84CD"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117 000</w:t>
            </w:r>
          </w:p>
        </w:tc>
      </w:tr>
      <w:tr w:rsidR="00EF64BA" w:rsidRPr="00B37E80" w14:paraId="48FB2DA1" w14:textId="77777777" w:rsidTr="00C049B1">
        <w:trPr>
          <w:trHeight w:val="71"/>
        </w:trPr>
        <w:tc>
          <w:tcPr>
            <w:tcW w:w="3086" w:type="dxa"/>
            <w:gridSpan w:val="2"/>
            <w:vMerge/>
            <w:hideMark/>
          </w:tcPr>
          <w:p w14:paraId="7E166A0D" w14:textId="77777777" w:rsidR="00EF64BA" w:rsidRPr="00B37E80" w:rsidRDefault="00EF64BA" w:rsidP="00A27198">
            <w:pPr>
              <w:spacing w:after="60"/>
              <w:ind w:left="38"/>
              <w:jc w:val="left"/>
              <w:rPr>
                <w:rFonts w:asciiTheme="majorBidi" w:hAnsiTheme="majorBidi" w:cstheme="majorBidi"/>
                <w:sz w:val="19"/>
                <w:szCs w:val="19"/>
              </w:rPr>
            </w:pPr>
          </w:p>
        </w:tc>
        <w:tc>
          <w:tcPr>
            <w:tcW w:w="1280" w:type="dxa"/>
            <w:hideMark/>
          </w:tcPr>
          <w:p w14:paraId="3CEF76F3" w14:textId="77777777" w:rsidR="00EF64BA" w:rsidRPr="00B37E80" w:rsidRDefault="00EF64BA" w:rsidP="00A27198">
            <w:pPr>
              <w:spacing w:after="60"/>
              <w:ind w:left="38"/>
              <w:jc w:val="left"/>
              <w:rPr>
                <w:rFonts w:asciiTheme="majorBidi" w:hAnsiTheme="majorBidi" w:cstheme="majorBidi"/>
                <w:sz w:val="19"/>
                <w:szCs w:val="19"/>
              </w:rPr>
            </w:pPr>
            <w:r>
              <w:rPr>
                <w:rFonts w:asciiTheme="majorBidi" w:hAnsiTheme="majorBidi" w:cstheme="majorBidi"/>
                <w:sz w:val="19"/>
                <w:szCs w:val="19"/>
                <w:lang w:val="fr"/>
              </w:rPr>
              <w:t>Coûts d’appui</w:t>
            </w:r>
          </w:p>
        </w:tc>
        <w:tc>
          <w:tcPr>
            <w:tcW w:w="910" w:type="dxa"/>
          </w:tcPr>
          <w:p w14:paraId="49B3166D"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8 190</w:t>
            </w:r>
          </w:p>
        </w:tc>
        <w:tc>
          <w:tcPr>
            <w:tcW w:w="934" w:type="dxa"/>
          </w:tcPr>
          <w:p w14:paraId="76703EBE"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4B23F57C"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3D8D76A1"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770CDD7F"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439A3744"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0E46F55C"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533F931A"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8 190</w:t>
            </w:r>
          </w:p>
        </w:tc>
      </w:tr>
      <w:tr w:rsidR="00EF64BA" w:rsidRPr="00B37E80" w14:paraId="3ECDD7FF" w14:textId="77777777" w:rsidTr="00C049B1">
        <w:trPr>
          <w:trHeight w:val="351"/>
        </w:trPr>
        <w:tc>
          <w:tcPr>
            <w:tcW w:w="3086" w:type="dxa"/>
            <w:gridSpan w:val="2"/>
            <w:vMerge w:val="restart"/>
            <w:hideMark/>
          </w:tcPr>
          <w:p w14:paraId="67124384" w14:textId="77777777" w:rsidR="00EF64BA" w:rsidRPr="00EF64BA" w:rsidRDefault="00EF64BA" w:rsidP="00A27198">
            <w:pPr>
              <w:spacing w:after="60"/>
              <w:ind w:left="38" w:right="-85"/>
              <w:jc w:val="left"/>
              <w:rPr>
                <w:rFonts w:asciiTheme="majorBidi" w:hAnsiTheme="majorBidi" w:cstheme="majorBidi"/>
                <w:sz w:val="19"/>
                <w:szCs w:val="19"/>
                <w:lang w:val="fr-FR"/>
              </w:rPr>
            </w:pPr>
            <w:r>
              <w:rPr>
                <w:rFonts w:asciiTheme="majorBidi" w:hAnsiTheme="majorBidi" w:cstheme="majorBidi"/>
                <w:sz w:val="19"/>
                <w:szCs w:val="19"/>
                <w:lang w:val="fr"/>
              </w:rPr>
              <w:t>Total des fonds recommandés aux fins d’approbation lors de la présente réunion ($ US)</w:t>
            </w:r>
          </w:p>
        </w:tc>
        <w:tc>
          <w:tcPr>
            <w:tcW w:w="1280" w:type="dxa"/>
            <w:hideMark/>
          </w:tcPr>
          <w:p w14:paraId="42B50A7A" w14:textId="77777777" w:rsidR="00EF64BA" w:rsidRPr="00B37E80" w:rsidRDefault="00EF64BA" w:rsidP="00A27198">
            <w:pPr>
              <w:spacing w:after="60"/>
              <w:ind w:left="38"/>
              <w:jc w:val="left"/>
              <w:rPr>
                <w:rFonts w:asciiTheme="majorBidi" w:hAnsiTheme="majorBidi" w:cstheme="majorBidi"/>
                <w:sz w:val="19"/>
                <w:szCs w:val="19"/>
              </w:rPr>
            </w:pPr>
            <w:r>
              <w:rPr>
                <w:rFonts w:asciiTheme="majorBidi" w:hAnsiTheme="majorBidi" w:cstheme="majorBidi"/>
                <w:sz w:val="19"/>
                <w:szCs w:val="19"/>
                <w:lang w:val="fr"/>
              </w:rPr>
              <w:t>Coûts de projet</w:t>
            </w:r>
          </w:p>
        </w:tc>
        <w:tc>
          <w:tcPr>
            <w:tcW w:w="910" w:type="dxa"/>
          </w:tcPr>
          <w:p w14:paraId="365FB6E6"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34" w:type="dxa"/>
          </w:tcPr>
          <w:p w14:paraId="10F86176"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23BF9F6B" w14:textId="77777777" w:rsidR="00EF64BA" w:rsidRPr="00B37E80" w:rsidRDefault="00EF64BA" w:rsidP="00A27198">
            <w:pPr>
              <w:spacing w:after="60"/>
              <w:ind w:left="38"/>
              <w:jc w:val="right"/>
              <w:rPr>
                <w:rFonts w:asciiTheme="majorBidi" w:hAnsiTheme="majorBidi" w:cstheme="majorBidi"/>
                <w:sz w:val="19"/>
                <w:szCs w:val="19"/>
              </w:rPr>
            </w:pPr>
            <w:r>
              <w:rPr>
                <w:rFonts w:asciiTheme="majorBidi" w:hAnsiTheme="majorBidi" w:cstheme="majorBidi"/>
                <w:sz w:val="19"/>
                <w:szCs w:val="19"/>
                <w:lang w:val="fr"/>
              </w:rPr>
              <w:t>276 000</w:t>
            </w:r>
          </w:p>
        </w:tc>
        <w:tc>
          <w:tcPr>
            <w:tcW w:w="810" w:type="dxa"/>
          </w:tcPr>
          <w:p w14:paraId="0953A484"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68DB0ADB"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363C6886"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4682A4E9"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1CFD5C62" w14:textId="77777777" w:rsidR="00EF64BA" w:rsidRPr="00B37E80" w:rsidRDefault="00EF64BA" w:rsidP="00A27198">
            <w:pPr>
              <w:spacing w:after="60"/>
              <w:jc w:val="right"/>
              <w:rPr>
                <w:rFonts w:asciiTheme="majorBidi" w:hAnsiTheme="majorBidi" w:cstheme="majorBidi"/>
                <w:sz w:val="19"/>
                <w:szCs w:val="19"/>
              </w:rPr>
            </w:pPr>
            <w:r>
              <w:rPr>
                <w:rFonts w:asciiTheme="majorBidi" w:hAnsiTheme="majorBidi" w:cstheme="majorBidi"/>
                <w:sz w:val="19"/>
                <w:szCs w:val="19"/>
                <w:lang w:val="fr"/>
              </w:rPr>
              <w:t>276 000</w:t>
            </w:r>
          </w:p>
        </w:tc>
      </w:tr>
      <w:tr w:rsidR="00EF64BA" w:rsidRPr="00B37E80" w14:paraId="152982AE" w14:textId="77777777" w:rsidTr="00C049B1">
        <w:trPr>
          <w:trHeight w:val="351"/>
        </w:trPr>
        <w:tc>
          <w:tcPr>
            <w:tcW w:w="3086" w:type="dxa"/>
            <w:gridSpan w:val="2"/>
            <w:vMerge/>
            <w:vAlign w:val="center"/>
            <w:hideMark/>
          </w:tcPr>
          <w:p w14:paraId="79E4148B" w14:textId="77777777" w:rsidR="00EF64BA" w:rsidRPr="00B37E80" w:rsidRDefault="00EF64BA" w:rsidP="00A27198">
            <w:pPr>
              <w:ind w:left="38"/>
              <w:rPr>
                <w:rFonts w:asciiTheme="majorBidi" w:hAnsiTheme="majorBidi" w:cstheme="majorBidi"/>
                <w:sz w:val="19"/>
                <w:szCs w:val="19"/>
              </w:rPr>
            </w:pPr>
          </w:p>
        </w:tc>
        <w:tc>
          <w:tcPr>
            <w:tcW w:w="1280" w:type="dxa"/>
            <w:hideMark/>
          </w:tcPr>
          <w:p w14:paraId="3DF52091" w14:textId="77777777" w:rsidR="00EF64BA" w:rsidRPr="00B37E80" w:rsidRDefault="00EF64BA" w:rsidP="00A27198">
            <w:pPr>
              <w:spacing w:afterLines="20" w:after="48"/>
              <w:ind w:left="38"/>
              <w:jc w:val="left"/>
              <w:rPr>
                <w:rFonts w:asciiTheme="majorBidi" w:hAnsiTheme="majorBidi" w:cstheme="majorBidi"/>
                <w:sz w:val="19"/>
                <w:szCs w:val="19"/>
              </w:rPr>
            </w:pPr>
            <w:r>
              <w:rPr>
                <w:rFonts w:asciiTheme="majorBidi" w:hAnsiTheme="majorBidi" w:cstheme="majorBidi"/>
                <w:sz w:val="19"/>
                <w:szCs w:val="19"/>
                <w:lang w:val="fr"/>
              </w:rPr>
              <w:t>Coûts d’appui</w:t>
            </w:r>
          </w:p>
        </w:tc>
        <w:tc>
          <w:tcPr>
            <w:tcW w:w="910" w:type="dxa"/>
          </w:tcPr>
          <w:p w14:paraId="7FEF2F1E" w14:textId="77777777" w:rsidR="00EF64BA" w:rsidRPr="00B37E80" w:rsidRDefault="00EF64BA" w:rsidP="00A27198">
            <w:pPr>
              <w:spacing w:afterLines="20" w:after="48"/>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34" w:type="dxa"/>
          </w:tcPr>
          <w:p w14:paraId="15EF86F0" w14:textId="77777777" w:rsidR="00EF64BA" w:rsidRPr="00B37E80" w:rsidRDefault="00EF64BA" w:rsidP="00A27198">
            <w:pPr>
              <w:spacing w:afterLines="20" w:after="48"/>
              <w:ind w:left="3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2118748A" w14:textId="77777777" w:rsidR="00EF64BA" w:rsidRPr="00B37E80" w:rsidRDefault="00EF64BA" w:rsidP="00A27198">
            <w:pPr>
              <w:spacing w:afterLines="20" w:after="48"/>
              <w:ind w:left="38"/>
              <w:jc w:val="right"/>
              <w:rPr>
                <w:rFonts w:asciiTheme="majorBidi" w:hAnsiTheme="majorBidi" w:cstheme="majorBidi"/>
                <w:sz w:val="19"/>
                <w:szCs w:val="19"/>
              </w:rPr>
            </w:pPr>
            <w:r>
              <w:rPr>
                <w:rFonts w:asciiTheme="majorBidi" w:hAnsiTheme="majorBidi" w:cstheme="majorBidi"/>
                <w:sz w:val="19"/>
                <w:szCs w:val="19"/>
                <w:lang w:val="fr"/>
              </w:rPr>
              <w:t>19 320</w:t>
            </w:r>
          </w:p>
        </w:tc>
        <w:tc>
          <w:tcPr>
            <w:tcW w:w="810" w:type="dxa"/>
          </w:tcPr>
          <w:p w14:paraId="423B9352" w14:textId="77777777" w:rsidR="00EF64BA" w:rsidRPr="00B37E80" w:rsidRDefault="00EF64BA" w:rsidP="00A27198">
            <w:pPr>
              <w:spacing w:afterLines="20" w:after="48"/>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028F8BAE" w14:textId="77777777" w:rsidR="00EF64BA" w:rsidRPr="00B37E80" w:rsidRDefault="00EF64BA" w:rsidP="00A27198">
            <w:pPr>
              <w:spacing w:afterLines="20" w:after="48"/>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57EE5259" w14:textId="77777777" w:rsidR="00EF64BA" w:rsidRPr="00B37E80" w:rsidRDefault="00EF64BA" w:rsidP="00A27198">
            <w:pPr>
              <w:spacing w:afterLines="20" w:after="48"/>
              <w:jc w:val="right"/>
              <w:rPr>
                <w:rFonts w:asciiTheme="majorBidi" w:hAnsiTheme="majorBidi" w:cstheme="majorBidi"/>
                <w:sz w:val="19"/>
                <w:szCs w:val="19"/>
              </w:rPr>
            </w:pPr>
            <w:r>
              <w:rPr>
                <w:rFonts w:asciiTheme="majorBidi" w:hAnsiTheme="majorBidi" w:cstheme="majorBidi"/>
                <w:sz w:val="19"/>
                <w:szCs w:val="19"/>
                <w:lang w:val="fr"/>
              </w:rPr>
              <w:t>0</w:t>
            </w:r>
          </w:p>
        </w:tc>
        <w:tc>
          <w:tcPr>
            <w:tcW w:w="810" w:type="dxa"/>
          </w:tcPr>
          <w:p w14:paraId="6CDA0CC1" w14:textId="77777777" w:rsidR="00EF64BA" w:rsidRPr="00B37E80" w:rsidRDefault="00EF64BA" w:rsidP="00A27198">
            <w:pPr>
              <w:spacing w:afterLines="20" w:after="48"/>
              <w:jc w:val="right"/>
              <w:rPr>
                <w:rFonts w:asciiTheme="majorBidi" w:hAnsiTheme="majorBidi" w:cstheme="majorBidi"/>
                <w:sz w:val="19"/>
                <w:szCs w:val="19"/>
              </w:rPr>
            </w:pPr>
            <w:r>
              <w:rPr>
                <w:rFonts w:asciiTheme="majorBidi" w:hAnsiTheme="majorBidi" w:cstheme="majorBidi"/>
                <w:sz w:val="19"/>
                <w:szCs w:val="19"/>
                <w:lang w:val="fr"/>
              </w:rPr>
              <w:t>0</w:t>
            </w:r>
          </w:p>
        </w:tc>
        <w:tc>
          <w:tcPr>
            <w:tcW w:w="900" w:type="dxa"/>
          </w:tcPr>
          <w:p w14:paraId="04283297" w14:textId="77777777" w:rsidR="00EF64BA" w:rsidRPr="00B37E80" w:rsidRDefault="00EF64BA" w:rsidP="00A27198">
            <w:pPr>
              <w:spacing w:afterLines="20" w:after="48"/>
              <w:jc w:val="right"/>
              <w:rPr>
                <w:rFonts w:asciiTheme="majorBidi" w:hAnsiTheme="majorBidi" w:cstheme="majorBidi"/>
                <w:sz w:val="19"/>
                <w:szCs w:val="19"/>
              </w:rPr>
            </w:pPr>
            <w:r>
              <w:rPr>
                <w:rFonts w:asciiTheme="majorBidi" w:hAnsiTheme="majorBidi" w:cstheme="majorBidi"/>
                <w:sz w:val="19"/>
                <w:szCs w:val="19"/>
                <w:lang w:val="fr"/>
              </w:rPr>
              <w:t>19 320</w:t>
            </w:r>
          </w:p>
        </w:tc>
      </w:tr>
    </w:tbl>
    <w:p w14:paraId="74870D0C" w14:textId="77777777" w:rsidR="00EF64BA" w:rsidRPr="00EF64BA" w:rsidRDefault="00EF64BA" w:rsidP="00277197">
      <w:pPr>
        <w:ind w:left="-630" w:right="-563" w:hanging="90"/>
        <w:rPr>
          <w:sz w:val="18"/>
          <w:szCs w:val="18"/>
          <w:lang w:val="fr-FR"/>
        </w:rPr>
      </w:pPr>
      <w:r>
        <w:rPr>
          <w:sz w:val="18"/>
          <w:szCs w:val="18"/>
          <w:lang w:val="fr"/>
        </w:rPr>
        <w:t>*Le financement pour 2024 comprend la somme de 120 000 $ US, plus les coûts d’appui d’agence à hauteur de 8 400 $ US pour le PNUD afin de mettre en œuvre les activités supplémentaires de maintien du rendement énergétique (décision 89/6).</w:t>
      </w:r>
    </w:p>
    <w:p w14:paraId="7C0C7C44" w14:textId="77777777" w:rsidR="00EF64BA" w:rsidRPr="00EF64BA" w:rsidRDefault="00EF64BA" w:rsidP="00EF64BA">
      <w:pPr>
        <w:jc w:val="left"/>
        <w:rPr>
          <w:sz w:val="18"/>
          <w:szCs w:val="18"/>
          <w:lang w:val="fr-FR"/>
        </w:rPr>
      </w:pPr>
    </w:p>
    <w:tbl>
      <w:tblPr>
        <w:tblStyle w:val="TableGrid"/>
        <w:tblW w:w="11250" w:type="dxa"/>
        <w:tblInd w:w="-813"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150"/>
        <w:gridCol w:w="8100"/>
      </w:tblGrid>
      <w:tr w:rsidR="00EF64BA" w:rsidRPr="00B37E80" w14:paraId="35C6C808" w14:textId="77777777" w:rsidTr="00C049B1">
        <w:trPr>
          <w:trHeight w:val="42"/>
        </w:trPr>
        <w:tc>
          <w:tcPr>
            <w:tcW w:w="3150" w:type="dxa"/>
            <w:hideMark/>
          </w:tcPr>
          <w:p w14:paraId="06084719" w14:textId="77777777" w:rsidR="00EF64BA" w:rsidRPr="00B37E80" w:rsidRDefault="00EF64BA" w:rsidP="00A27198">
            <w:pPr>
              <w:spacing w:after="60"/>
              <w:jc w:val="left"/>
              <w:rPr>
                <w:b/>
                <w:sz w:val="20"/>
                <w:szCs w:val="20"/>
              </w:rPr>
            </w:pPr>
            <w:r>
              <w:rPr>
                <w:b/>
                <w:bCs/>
                <w:sz w:val="20"/>
                <w:szCs w:val="20"/>
                <w:lang w:val="fr"/>
              </w:rPr>
              <w:t>Recommandation du Secrétariat :</w:t>
            </w:r>
          </w:p>
        </w:tc>
        <w:tc>
          <w:tcPr>
            <w:tcW w:w="8100" w:type="dxa"/>
            <w:hideMark/>
          </w:tcPr>
          <w:p w14:paraId="069C5072" w14:textId="77777777" w:rsidR="00EF64BA" w:rsidRPr="00B37E80" w:rsidRDefault="00EF64BA" w:rsidP="00A27198">
            <w:pPr>
              <w:spacing w:after="60"/>
              <w:jc w:val="center"/>
              <w:rPr>
                <w:sz w:val="20"/>
                <w:szCs w:val="20"/>
              </w:rPr>
            </w:pPr>
            <w:r>
              <w:rPr>
                <w:sz w:val="20"/>
                <w:szCs w:val="20"/>
                <w:lang w:val="fr"/>
              </w:rPr>
              <w:t>Approbation globale</w:t>
            </w:r>
          </w:p>
        </w:tc>
      </w:tr>
    </w:tbl>
    <w:p w14:paraId="25F4B19A" w14:textId="77777777" w:rsidR="00EF64BA" w:rsidRPr="00B37E80" w:rsidRDefault="00EF64BA" w:rsidP="00EF64BA">
      <w:r>
        <w:rPr>
          <w:lang w:val="fr"/>
        </w:rPr>
        <w:br w:type="page"/>
      </w:r>
    </w:p>
    <w:p w14:paraId="374E1A7E" w14:textId="77777777" w:rsidR="00EF64BA" w:rsidRPr="00B37E80" w:rsidRDefault="00EF64BA" w:rsidP="00EF64BA">
      <w:pPr>
        <w:keepNext/>
        <w:spacing w:after="240"/>
        <w:jc w:val="center"/>
        <w:rPr>
          <w:b/>
        </w:rPr>
      </w:pPr>
      <w:r>
        <w:rPr>
          <w:b/>
          <w:bCs/>
          <w:lang w:val="fr"/>
        </w:rPr>
        <w:lastRenderedPageBreak/>
        <w:t>DESCRIPTION DU PROJET</w:t>
      </w:r>
    </w:p>
    <w:p w14:paraId="4A5B1A6E" w14:textId="3E5BCE06" w:rsidR="00EF64BA" w:rsidRPr="00EF64BA" w:rsidRDefault="00EF64BA" w:rsidP="00EF64BA">
      <w:pPr>
        <w:pStyle w:val="Heading1"/>
        <w:rPr>
          <w:lang w:val="fr-FR"/>
        </w:rPr>
      </w:pPr>
      <w:r>
        <w:rPr>
          <w:lang w:val="fr"/>
        </w:rPr>
        <w:t>Au nom du gouvernement de la Jamaïque, le PNUD, à titre d’agence d’exécution principale, a présenté une demande de financement pour la deuxième tranche de la phase II du plan de gestion de l’élimination des HCFC (PGEH), pour un montant s’élevant à 276</w:t>
      </w:r>
      <w:r w:rsidR="00C92FC3">
        <w:rPr>
          <w:lang w:val="fr"/>
        </w:rPr>
        <w:t> </w:t>
      </w:r>
      <w:r>
        <w:rPr>
          <w:lang w:val="fr"/>
        </w:rPr>
        <w:t>000 $ US, plus les coûts d’appui d’agence à hauteur de 19</w:t>
      </w:r>
      <w:r w:rsidR="00E20C67">
        <w:rPr>
          <w:lang w:val="fr"/>
        </w:rPr>
        <w:t> </w:t>
      </w:r>
      <w:r>
        <w:rPr>
          <w:lang w:val="fr"/>
        </w:rPr>
        <w:t>320 $ US.</w:t>
      </w:r>
      <w:r>
        <w:rPr>
          <w:rStyle w:val="FootnoteReference"/>
          <w:lang w:val="fr"/>
        </w:rPr>
        <w:footnoteReference w:id="2"/>
      </w:r>
      <w:r w:rsidR="000373B9">
        <w:rPr>
          <w:lang w:val="fr"/>
        </w:rPr>
        <w:t xml:space="preserve"> </w:t>
      </w:r>
      <w:r>
        <w:rPr>
          <w:lang w:val="fr"/>
        </w:rPr>
        <w:t>La proposition comprend un rapport périodique sur la mise en œuvre de la première tranche, le rapport de vérification de la consommation de HCFC pour la période 2020-2023, une demande de financement d’activités supplémentaires de maintien du rendement énergétique dans le secteur de l’entretien de l’équipement de réfrigération</w:t>
      </w:r>
      <w:r>
        <w:rPr>
          <w:rStyle w:val="FootnoteReference"/>
          <w:lang w:val="fr"/>
        </w:rPr>
        <w:footnoteReference w:id="3"/>
      </w:r>
      <w:r>
        <w:rPr>
          <w:lang w:val="fr"/>
        </w:rPr>
        <w:t xml:space="preserve"> et le plan de mise en œuvre de la tranche pour 2025-2027.</w:t>
      </w:r>
    </w:p>
    <w:p w14:paraId="2411D2D1" w14:textId="77777777" w:rsidR="00EF64BA" w:rsidRPr="00EF64BA" w:rsidRDefault="00EF64BA" w:rsidP="00EF64BA">
      <w:pPr>
        <w:keepNext/>
        <w:spacing w:after="240"/>
        <w:rPr>
          <w:u w:val="single"/>
          <w:lang w:val="fr-FR"/>
        </w:rPr>
      </w:pPr>
      <w:r>
        <w:rPr>
          <w:u w:val="single"/>
          <w:lang w:val="fr"/>
        </w:rPr>
        <w:t>Rapport sur la consommation de HCFC</w:t>
      </w:r>
    </w:p>
    <w:p w14:paraId="5AD16222" w14:textId="5E39F65C" w:rsidR="00EF64BA" w:rsidRPr="00EF64BA" w:rsidRDefault="00EF64BA" w:rsidP="00EF64BA">
      <w:pPr>
        <w:pStyle w:val="Heading1"/>
        <w:rPr>
          <w:lang w:val="fr-FR"/>
        </w:rPr>
      </w:pPr>
      <w:r>
        <w:rPr>
          <w:lang w:val="fr"/>
        </w:rPr>
        <w:t>Le gouvernement de la Jamaïque a déclaré une consommation de 1,40 tonnes</w:t>
      </w:r>
      <w:r w:rsidR="00BB6999">
        <w:rPr>
          <w:lang w:val="fr"/>
        </w:rPr>
        <w:t> </w:t>
      </w:r>
      <w:r>
        <w:rPr>
          <w:lang w:val="fr"/>
        </w:rPr>
        <w:t xml:space="preserve">PAO de HCFC en 2023 qui est inférieure de 91,4 pour cent à la consommation de référence des HCFC </w:t>
      </w:r>
      <w:r w:rsidR="00883A61">
        <w:rPr>
          <w:lang w:val="fr"/>
        </w:rPr>
        <w:t>aux fins de</w:t>
      </w:r>
      <w:r>
        <w:rPr>
          <w:lang w:val="fr"/>
        </w:rPr>
        <w:t xml:space="preserve"> conformité. La consommation de HCFC pour la période 2019-2023 est indiquée au tableau 1.</w:t>
      </w:r>
    </w:p>
    <w:p w14:paraId="2DAE93C3" w14:textId="77777777" w:rsidR="00EF64BA" w:rsidRPr="00EF64BA" w:rsidRDefault="00EF64BA" w:rsidP="00EF64BA">
      <w:pPr>
        <w:keepNext/>
        <w:rPr>
          <w:b/>
          <w:lang w:val="fr-FR"/>
        </w:rPr>
      </w:pPr>
      <w:r>
        <w:rPr>
          <w:b/>
          <w:bCs/>
          <w:lang w:val="fr"/>
        </w:rPr>
        <w:t>Tableau 1. Consommation de HCFC en Jamaïque (Données de 2019-2023, au titre de l’article 7)</w:t>
      </w:r>
    </w:p>
    <w:tbl>
      <w:tblPr>
        <w:tblW w:w="5000" w:type="pct"/>
        <w:tblLook w:val="04A0" w:firstRow="1" w:lastRow="0" w:firstColumn="1" w:lastColumn="0" w:noHBand="0" w:noVBand="1"/>
      </w:tblPr>
      <w:tblGrid>
        <w:gridCol w:w="2753"/>
        <w:gridCol w:w="937"/>
        <w:gridCol w:w="940"/>
        <w:gridCol w:w="938"/>
        <w:gridCol w:w="940"/>
        <w:gridCol w:w="938"/>
        <w:gridCol w:w="1904"/>
      </w:tblGrid>
      <w:tr w:rsidR="00EF64BA" w:rsidRPr="00B37E80" w14:paraId="26105AB7" w14:textId="77777777" w:rsidTr="00A27198">
        <w:trPr>
          <w:trHeight w:val="248"/>
          <w:tblHeader/>
        </w:trPr>
        <w:tc>
          <w:tcPr>
            <w:tcW w:w="154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D67586A" w14:textId="77777777" w:rsidR="00EF64BA" w:rsidRPr="00B37E80" w:rsidRDefault="00EF64BA" w:rsidP="00A27198">
            <w:pPr>
              <w:keepNext/>
              <w:jc w:val="center"/>
              <w:rPr>
                <w:b/>
                <w:bCs/>
                <w:sz w:val="20"/>
                <w:szCs w:val="20"/>
              </w:rPr>
            </w:pPr>
            <w:r>
              <w:rPr>
                <w:b/>
                <w:bCs/>
                <w:sz w:val="20"/>
                <w:szCs w:val="20"/>
                <w:lang w:val="fr"/>
              </w:rPr>
              <w:t>HCFC-22</w:t>
            </w:r>
          </w:p>
        </w:tc>
        <w:tc>
          <w:tcPr>
            <w:tcW w:w="575" w:type="pct"/>
            <w:tcBorders>
              <w:top w:val="single" w:sz="4" w:space="0" w:color="auto"/>
              <w:left w:val="nil"/>
              <w:bottom w:val="single" w:sz="4" w:space="0" w:color="auto"/>
              <w:right w:val="single" w:sz="4" w:space="0" w:color="auto"/>
            </w:tcBorders>
            <w:shd w:val="clear" w:color="auto" w:fill="auto"/>
            <w:noWrap/>
            <w:vAlign w:val="center"/>
            <w:hideMark/>
          </w:tcPr>
          <w:p w14:paraId="20B7934E" w14:textId="77777777" w:rsidR="00EF64BA" w:rsidRPr="00B37E80" w:rsidRDefault="00EF64BA" w:rsidP="00A27198">
            <w:pPr>
              <w:keepNext/>
              <w:jc w:val="center"/>
              <w:rPr>
                <w:b/>
                <w:bCs/>
                <w:sz w:val="20"/>
                <w:szCs w:val="20"/>
              </w:rPr>
            </w:pPr>
            <w:r>
              <w:rPr>
                <w:b/>
                <w:bCs/>
                <w:sz w:val="20"/>
                <w:szCs w:val="20"/>
                <w:lang w:val="fr"/>
              </w:rPr>
              <w:t>2019</w:t>
            </w:r>
          </w:p>
        </w:tc>
        <w:tc>
          <w:tcPr>
            <w:tcW w:w="576" w:type="pct"/>
            <w:tcBorders>
              <w:top w:val="single" w:sz="4" w:space="0" w:color="auto"/>
              <w:left w:val="nil"/>
              <w:bottom w:val="single" w:sz="4" w:space="0" w:color="auto"/>
              <w:right w:val="single" w:sz="4" w:space="0" w:color="auto"/>
            </w:tcBorders>
            <w:shd w:val="clear" w:color="auto" w:fill="auto"/>
            <w:noWrap/>
            <w:vAlign w:val="center"/>
            <w:hideMark/>
          </w:tcPr>
          <w:p w14:paraId="3D9AE509" w14:textId="77777777" w:rsidR="00EF64BA" w:rsidRPr="00B37E80" w:rsidRDefault="00EF64BA" w:rsidP="00A27198">
            <w:pPr>
              <w:keepNext/>
              <w:jc w:val="center"/>
              <w:rPr>
                <w:b/>
                <w:bCs/>
                <w:sz w:val="20"/>
                <w:szCs w:val="20"/>
              </w:rPr>
            </w:pPr>
            <w:r>
              <w:rPr>
                <w:b/>
                <w:bCs/>
                <w:sz w:val="20"/>
                <w:szCs w:val="20"/>
                <w:lang w:val="fr"/>
              </w:rPr>
              <w:t>2020</w:t>
            </w:r>
          </w:p>
        </w:tc>
        <w:tc>
          <w:tcPr>
            <w:tcW w:w="575" w:type="pct"/>
            <w:tcBorders>
              <w:top w:val="single" w:sz="4" w:space="0" w:color="auto"/>
              <w:left w:val="nil"/>
              <w:bottom w:val="single" w:sz="4" w:space="0" w:color="auto"/>
              <w:right w:val="single" w:sz="4" w:space="0" w:color="auto"/>
            </w:tcBorders>
          </w:tcPr>
          <w:p w14:paraId="7A5171F8" w14:textId="77777777" w:rsidR="00EF64BA" w:rsidRPr="00B37E80" w:rsidRDefault="00EF64BA" w:rsidP="00A27198">
            <w:pPr>
              <w:keepNext/>
              <w:jc w:val="center"/>
              <w:rPr>
                <w:b/>
                <w:bCs/>
                <w:sz w:val="20"/>
                <w:szCs w:val="20"/>
              </w:rPr>
            </w:pPr>
            <w:r>
              <w:rPr>
                <w:b/>
                <w:bCs/>
                <w:sz w:val="20"/>
                <w:szCs w:val="20"/>
                <w:lang w:val="fr"/>
              </w:rPr>
              <w:t>2021</w:t>
            </w:r>
          </w:p>
        </w:tc>
        <w:tc>
          <w:tcPr>
            <w:tcW w:w="576" w:type="pct"/>
            <w:tcBorders>
              <w:top w:val="single" w:sz="4" w:space="0" w:color="auto"/>
              <w:left w:val="single" w:sz="4" w:space="0" w:color="auto"/>
              <w:bottom w:val="single" w:sz="4" w:space="0" w:color="auto"/>
              <w:right w:val="single" w:sz="4" w:space="0" w:color="auto"/>
            </w:tcBorders>
          </w:tcPr>
          <w:p w14:paraId="218E1FEC" w14:textId="77777777" w:rsidR="00EF64BA" w:rsidRPr="00B37E80" w:rsidRDefault="00EF64BA" w:rsidP="00A27198">
            <w:pPr>
              <w:keepNext/>
              <w:jc w:val="center"/>
              <w:rPr>
                <w:b/>
                <w:bCs/>
                <w:sz w:val="20"/>
                <w:szCs w:val="20"/>
              </w:rPr>
            </w:pPr>
            <w:r>
              <w:rPr>
                <w:b/>
                <w:bCs/>
                <w:sz w:val="20"/>
                <w:szCs w:val="20"/>
                <w:lang w:val="fr"/>
              </w:rPr>
              <w:t>2022</w:t>
            </w:r>
          </w:p>
        </w:tc>
        <w:tc>
          <w:tcPr>
            <w:tcW w:w="575" w:type="pct"/>
            <w:tcBorders>
              <w:top w:val="single" w:sz="4" w:space="0" w:color="auto"/>
              <w:left w:val="single" w:sz="4" w:space="0" w:color="auto"/>
              <w:bottom w:val="single" w:sz="4" w:space="0" w:color="auto"/>
              <w:right w:val="single" w:sz="4" w:space="0" w:color="auto"/>
            </w:tcBorders>
          </w:tcPr>
          <w:p w14:paraId="646B58B4" w14:textId="77777777" w:rsidR="00EF64BA" w:rsidRPr="00B37E80" w:rsidRDefault="00EF64BA" w:rsidP="00A27198">
            <w:pPr>
              <w:keepNext/>
              <w:jc w:val="center"/>
              <w:rPr>
                <w:b/>
                <w:bCs/>
                <w:sz w:val="20"/>
                <w:szCs w:val="20"/>
              </w:rPr>
            </w:pPr>
            <w:r>
              <w:rPr>
                <w:b/>
                <w:bCs/>
                <w:sz w:val="20"/>
                <w:szCs w:val="20"/>
                <w:lang w:val="fr"/>
              </w:rPr>
              <w:t>2023</w:t>
            </w:r>
          </w:p>
        </w:tc>
        <w:tc>
          <w:tcPr>
            <w:tcW w:w="57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6E589" w14:textId="77777777" w:rsidR="00EF64BA" w:rsidRPr="00B37E80" w:rsidRDefault="00EF64BA" w:rsidP="00A27198">
            <w:pPr>
              <w:keepNext/>
              <w:jc w:val="center"/>
              <w:rPr>
                <w:b/>
                <w:bCs/>
                <w:sz w:val="20"/>
                <w:szCs w:val="20"/>
              </w:rPr>
            </w:pPr>
            <w:r>
              <w:rPr>
                <w:b/>
                <w:bCs/>
                <w:sz w:val="20"/>
                <w:szCs w:val="20"/>
                <w:lang w:val="fr"/>
              </w:rPr>
              <w:t>Valeur de référence</w:t>
            </w:r>
          </w:p>
        </w:tc>
      </w:tr>
      <w:tr w:rsidR="00EF64BA" w:rsidRPr="00B37E80" w14:paraId="37B0F35B" w14:textId="77777777" w:rsidTr="00A27198">
        <w:trPr>
          <w:trHeight w:val="240"/>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C74DCD2" w14:textId="77777777" w:rsidR="00EF64BA" w:rsidRPr="00B37E80" w:rsidRDefault="00EF64BA" w:rsidP="00A27198">
            <w:pPr>
              <w:widowControl w:val="0"/>
              <w:ind w:left="98"/>
              <w:jc w:val="left"/>
              <w:rPr>
                <w:b/>
                <w:sz w:val="20"/>
                <w:szCs w:val="20"/>
              </w:rPr>
            </w:pPr>
            <w:r>
              <w:rPr>
                <w:b/>
                <w:bCs/>
                <w:sz w:val="20"/>
                <w:szCs w:val="20"/>
                <w:lang w:val="fr"/>
              </w:rPr>
              <w:t>Tonnes métriques (</w:t>
            </w:r>
            <w:proofErr w:type="spellStart"/>
            <w:r>
              <w:rPr>
                <w:b/>
                <w:bCs/>
                <w:sz w:val="20"/>
                <w:szCs w:val="20"/>
                <w:lang w:val="fr"/>
              </w:rPr>
              <w:t>tm</w:t>
            </w:r>
            <w:proofErr w:type="spellEnd"/>
            <w:r>
              <w:rPr>
                <w:b/>
                <w:bCs/>
                <w:sz w:val="20"/>
                <w:szCs w:val="20"/>
                <w:lang w:val="fr"/>
              </w:rPr>
              <w:t>)</w:t>
            </w:r>
          </w:p>
        </w:tc>
        <w:tc>
          <w:tcPr>
            <w:tcW w:w="575" w:type="pct"/>
            <w:tcBorders>
              <w:top w:val="nil"/>
              <w:left w:val="nil"/>
              <w:bottom w:val="single" w:sz="4" w:space="0" w:color="auto"/>
              <w:right w:val="single" w:sz="4" w:space="0" w:color="auto"/>
            </w:tcBorders>
            <w:shd w:val="clear" w:color="auto" w:fill="auto"/>
            <w:noWrap/>
          </w:tcPr>
          <w:p w14:paraId="0A4842ED" w14:textId="77777777" w:rsidR="00EF64BA" w:rsidRPr="00B37E80" w:rsidRDefault="00EF64BA" w:rsidP="00A27198">
            <w:pPr>
              <w:ind w:left="-201"/>
              <w:jc w:val="right"/>
              <w:rPr>
                <w:sz w:val="20"/>
                <w:szCs w:val="20"/>
              </w:rPr>
            </w:pPr>
            <w:r>
              <w:rPr>
                <w:sz w:val="20"/>
                <w:szCs w:val="20"/>
                <w:lang w:val="fr"/>
              </w:rPr>
              <w:t>51,98</w:t>
            </w:r>
          </w:p>
        </w:tc>
        <w:tc>
          <w:tcPr>
            <w:tcW w:w="576" w:type="pct"/>
            <w:tcBorders>
              <w:top w:val="nil"/>
              <w:left w:val="nil"/>
              <w:bottom w:val="single" w:sz="4" w:space="0" w:color="auto"/>
              <w:right w:val="single" w:sz="4" w:space="0" w:color="auto"/>
            </w:tcBorders>
            <w:shd w:val="clear" w:color="auto" w:fill="auto"/>
            <w:noWrap/>
          </w:tcPr>
          <w:p w14:paraId="113C4163" w14:textId="77777777" w:rsidR="00EF64BA" w:rsidRPr="00B37E80" w:rsidRDefault="00EF64BA" w:rsidP="00A27198">
            <w:pPr>
              <w:ind w:left="-201"/>
              <w:jc w:val="right"/>
              <w:rPr>
                <w:sz w:val="20"/>
                <w:szCs w:val="20"/>
              </w:rPr>
            </w:pPr>
            <w:r>
              <w:rPr>
                <w:sz w:val="20"/>
                <w:szCs w:val="20"/>
                <w:lang w:val="fr"/>
              </w:rPr>
              <w:t>90,45</w:t>
            </w:r>
          </w:p>
        </w:tc>
        <w:tc>
          <w:tcPr>
            <w:tcW w:w="575" w:type="pct"/>
            <w:tcBorders>
              <w:top w:val="single" w:sz="4" w:space="0" w:color="auto"/>
              <w:left w:val="nil"/>
              <w:bottom w:val="single" w:sz="4" w:space="0" w:color="auto"/>
              <w:right w:val="single" w:sz="4" w:space="0" w:color="auto"/>
            </w:tcBorders>
          </w:tcPr>
          <w:p w14:paraId="4FA52AC9" w14:textId="77777777" w:rsidR="00EF64BA" w:rsidRPr="00B37E80" w:rsidRDefault="00EF64BA" w:rsidP="00A27198">
            <w:pPr>
              <w:widowControl w:val="0"/>
              <w:ind w:left="-201"/>
              <w:jc w:val="right"/>
              <w:rPr>
                <w:sz w:val="20"/>
                <w:szCs w:val="20"/>
              </w:rPr>
            </w:pPr>
            <w:r>
              <w:rPr>
                <w:sz w:val="20"/>
                <w:szCs w:val="20"/>
                <w:lang w:val="fr"/>
              </w:rPr>
              <w:t>19,68</w:t>
            </w:r>
          </w:p>
        </w:tc>
        <w:tc>
          <w:tcPr>
            <w:tcW w:w="576" w:type="pct"/>
            <w:tcBorders>
              <w:top w:val="nil"/>
              <w:left w:val="single" w:sz="4" w:space="0" w:color="auto"/>
              <w:bottom w:val="single" w:sz="4" w:space="0" w:color="auto"/>
              <w:right w:val="single" w:sz="4" w:space="0" w:color="auto"/>
            </w:tcBorders>
          </w:tcPr>
          <w:p w14:paraId="0E67473A" w14:textId="77777777" w:rsidR="00EF64BA" w:rsidRPr="00B37E80" w:rsidRDefault="00EF64BA" w:rsidP="00A27198">
            <w:pPr>
              <w:widowControl w:val="0"/>
              <w:ind w:left="-201"/>
              <w:jc w:val="right"/>
              <w:rPr>
                <w:sz w:val="20"/>
                <w:szCs w:val="20"/>
              </w:rPr>
            </w:pPr>
            <w:r>
              <w:rPr>
                <w:sz w:val="20"/>
                <w:szCs w:val="20"/>
                <w:lang w:val="fr"/>
              </w:rPr>
              <w:t>51,64</w:t>
            </w:r>
          </w:p>
        </w:tc>
        <w:tc>
          <w:tcPr>
            <w:tcW w:w="575" w:type="pct"/>
            <w:tcBorders>
              <w:top w:val="nil"/>
              <w:left w:val="single" w:sz="4" w:space="0" w:color="auto"/>
              <w:bottom w:val="single" w:sz="4" w:space="0" w:color="auto"/>
              <w:right w:val="single" w:sz="4" w:space="0" w:color="auto"/>
            </w:tcBorders>
          </w:tcPr>
          <w:p w14:paraId="2B242642" w14:textId="77777777" w:rsidR="00EF64BA" w:rsidRPr="00B37E80" w:rsidRDefault="00EF64BA" w:rsidP="00A27198">
            <w:pPr>
              <w:widowControl w:val="0"/>
              <w:ind w:left="-201"/>
              <w:jc w:val="right"/>
              <w:rPr>
                <w:rFonts w:eastAsiaTheme="minorHAnsi"/>
                <w:sz w:val="20"/>
                <w:szCs w:val="20"/>
              </w:rPr>
            </w:pPr>
            <w:r>
              <w:rPr>
                <w:sz w:val="20"/>
                <w:szCs w:val="20"/>
                <w:lang w:val="fr"/>
              </w:rPr>
              <w:t xml:space="preserve">25,41 </w:t>
            </w:r>
          </w:p>
        </w:tc>
        <w:tc>
          <w:tcPr>
            <w:tcW w:w="576" w:type="pct"/>
            <w:tcBorders>
              <w:top w:val="nil"/>
              <w:left w:val="single" w:sz="4" w:space="0" w:color="auto"/>
              <w:bottom w:val="single" w:sz="4" w:space="0" w:color="auto"/>
              <w:right w:val="single" w:sz="4" w:space="0" w:color="auto"/>
            </w:tcBorders>
            <w:shd w:val="clear" w:color="auto" w:fill="auto"/>
            <w:noWrap/>
          </w:tcPr>
          <w:p w14:paraId="24DC6F92" w14:textId="77777777" w:rsidR="00EF64BA" w:rsidRPr="00B37E80" w:rsidRDefault="00EF64BA" w:rsidP="00A27198">
            <w:pPr>
              <w:widowControl w:val="0"/>
              <w:ind w:left="-201" w:right="38"/>
              <w:jc w:val="right"/>
              <w:rPr>
                <w:sz w:val="20"/>
                <w:szCs w:val="20"/>
              </w:rPr>
            </w:pPr>
            <w:r>
              <w:rPr>
                <w:sz w:val="20"/>
                <w:szCs w:val="20"/>
                <w:lang w:val="fr"/>
              </w:rPr>
              <w:t>263,69</w:t>
            </w:r>
          </w:p>
        </w:tc>
      </w:tr>
      <w:tr w:rsidR="00EF64BA" w:rsidRPr="00B37E80" w14:paraId="39DD927F" w14:textId="77777777" w:rsidTr="00A27198">
        <w:trPr>
          <w:trHeight w:val="248"/>
        </w:trPr>
        <w:tc>
          <w:tcPr>
            <w:tcW w:w="154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A74B032" w14:textId="77777777" w:rsidR="00EF64BA" w:rsidRPr="00B37E80" w:rsidRDefault="00EF64BA" w:rsidP="00A27198">
            <w:pPr>
              <w:widowControl w:val="0"/>
              <w:ind w:left="98"/>
              <w:jc w:val="left"/>
              <w:rPr>
                <w:b/>
                <w:sz w:val="20"/>
                <w:szCs w:val="20"/>
              </w:rPr>
            </w:pPr>
            <w:r>
              <w:rPr>
                <w:b/>
                <w:bCs/>
                <w:sz w:val="20"/>
                <w:szCs w:val="20"/>
                <w:lang w:val="fr"/>
              </w:rPr>
              <w:t>Tonnes PAO</w:t>
            </w:r>
          </w:p>
        </w:tc>
        <w:tc>
          <w:tcPr>
            <w:tcW w:w="575" w:type="pct"/>
            <w:tcBorders>
              <w:top w:val="nil"/>
              <w:left w:val="nil"/>
              <w:bottom w:val="single" w:sz="4" w:space="0" w:color="auto"/>
              <w:right w:val="single" w:sz="4" w:space="0" w:color="auto"/>
            </w:tcBorders>
            <w:shd w:val="clear" w:color="auto" w:fill="auto"/>
            <w:noWrap/>
          </w:tcPr>
          <w:p w14:paraId="0998223E" w14:textId="77777777" w:rsidR="00EF64BA" w:rsidRPr="00B37E80" w:rsidRDefault="00EF64BA" w:rsidP="00A27198">
            <w:pPr>
              <w:ind w:left="-201"/>
              <w:jc w:val="right"/>
              <w:rPr>
                <w:rFonts w:eastAsiaTheme="minorHAnsi"/>
                <w:sz w:val="20"/>
                <w:szCs w:val="20"/>
              </w:rPr>
            </w:pPr>
            <w:r>
              <w:rPr>
                <w:sz w:val="20"/>
                <w:szCs w:val="20"/>
                <w:lang w:val="fr"/>
              </w:rPr>
              <w:t>2,86</w:t>
            </w:r>
          </w:p>
        </w:tc>
        <w:tc>
          <w:tcPr>
            <w:tcW w:w="576" w:type="pct"/>
            <w:tcBorders>
              <w:top w:val="nil"/>
              <w:left w:val="nil"/>
              <w:bottom w:val="single" w:sz="4" w:space="0" w:color="auto"/>
              <w:right w:val="single" w:sz="4" w:space="0" w:color="auto"/>
            </w:tcBorders>
            <w:shd w:val="clear" w:color="auto" w:fill="auto"/>
            <w:noWrap/>
          </w:tcPr>
          <w:p w14:paraId="2C666138" w14:textId="77777777" w:rsidR="00EF64BA" w:rsidRPr="00B37E80" w:rsidRDefault="00EF64BA" w:rsidP="00A27198">
            <w:pPr>
              <w:ind w:left="-201"/>
              <w:jc w:val="right"/>
              <w:rPr>
                <w:sz w:val="20"/>
                <w:szCs w:val="20"/>
              </w:rPr>
            </w:pPr>
            <w:r>
              <w:rPr>
                <w:sz w:val="20"/>
                <w:szCs w:val="20"/>
                <w:lang w:val="fr"/>
              </w:rPr>
              <w:t>4,97</w:t>
            </w:r>
          </w:p>
        </w:tc>
        <w:tc>
          <w:tcPr>
            <w:tcW w:w="575" w:type="pct"/>
            <w:tcBorders>
              <w:top w:val="single" w:sz="4" w:space="0" w:color="auto"/>
              <w:left w:val="nil"/>
              <w:bottom w:val="single" w:sz="4" w:space="0" w:color="auto"/>
              <w:right w:val="single" w:sz="4" w:space="0" w:color="auto"/>
            </w:tcBorders>
          </w:tcPr>
          <w:p w14:paraId="6EAC59C3" w14:textId="77777777" w:rsidR="00EF64BA" w:rsidRPr="00B37E80" w:rsidRDefault="00EF64BA" w:rsidP="00A27198">
            <w:pPr>
              <w:ind w:left="-201"/>
              <w:jc w:val="right"/>
              <w:rPr>
                <w:sz w:val="20"/>
                <w:szCs w:val="20"/>
              </w:rPr>
            </w:pPr>
            <w:r>
              <w:rPr>
                <w:sz w:val="20"/>
                <w:szCs w:val="20"/>
                <w:lang w:val="fr"/>
              </w:rPr>
              <w:t>1,08</w:t>
            </w:r>
          </w:p>
        </w:tc>
        <w:tc>
          <w:tcPr>
            <w:tcW w:w="576" w:type="pct"/>
            <w:tcBorders>
              <w:top w:val="nil"/>
              <w:left w:val="single" w:sz="4" w:space="0" w:color="auto"/>
              <w:bottom w:val="single" w:sz="4" w:space="0" w:color="auto"/>
              <w:right w:val="single" w:sz="4" w:space="0" w:color="auto"/>
            </w:tcBorders>
          </w:tcPr>
          <w:p w14:paraId="64FC856C" w14:textId="77777777" w:rsidR="00EF64BA" w:rsidRPr="00B37E80" w:rsidRDefault="00EF64BA" w:rsidP="00A27198">
            <w:pPr>
              <w:ind w:left="-201"/>
              <w:jc w:val="right"/>
              <w:rPr>
                <w:sz w:val="20"/>
                <w:szCs w:val="20"/>
              </w:rPr>
            </w:pPr>
            <w:r>
              <w:rPr>
                <w:sz w:val="20"/>
                <w:szCs w:val="20"/>
                <w:lang w:val="fr"/>
              </w:rPr>
              <w:t>2,84</w:t>
            </w:r>
          </w:p>
        </w:tc>
        <w:tc>
          <w:tcPr>
            <w:tcW w:w="575" w:type="pct"/>
            <w:tcBorders>
              <w:top w:val="nil"/>
              <w:left w:val="single" w:sz="4" w:space="0" w:color="auto"/>
              <w:bottom w:val="single" w:sz="4" w:space="0" w:color="auto"/>
              <w:right w:val="single" w:sz="4" w:space="0" w:color="auto"/>
            </w:tcBorders>
          </w:tcPr>
          <w:p w14:paraId="46977C8A" w14:textId="77777777" w:rsidR="00EF64BA" w:rsidRPr="00B37E80" w:rsidRDefault="00EF64BA" w:rsidP="00A27198">
            <w:pPr>
              <w:ind w:left="-201"/>
              <w:jc w:val="right"/>
              <w:rPr>
                <w:rFonts w:eastAsiaTheme="minorHAnsi"/>
                <w:sz w:val="20"/>
                <w:szCs w:val="20"/>
              </w:rPr>
            </w:pPr>
            <w:r>
              <w:rPr>
                <w:sz w:val="20"/>
                <w:szCs w:val="20"/>
                <w:lang w:val="fr"/>
              </w:rPr>
              <w:t>1,40</w:t>
            </w:r>
          </w:p>
        </w:tc>
        <w:tc>
          <w:tcPr>
            <w:tcW w:w="576" w:type="pct"/>
            <w:tcBorders>
              <w:top w:val="nil"/>
              <w:left w:val="single" w:sz="4" w:space="0" w:color="auto"/>
              <w:bottom w:val="single" w:sz="4" w:space="0" w:color="auto"/>
              <w:right w:val="single" w:sz="4" w:space="0" w:color="auto"/>
            </w:tcBorders>
            <w:shd w:val="clear" w:color="auto" w:fill="auto"/>
            <w:noWrap/>
          </w:tcPr>
          <w:p w14:paraId="3C91A116" w14:textId="77777777" w:rsidR="00EF64BA" w:rsidRPr="00B37E80" w:rsidRDefault="00EF64BA" w:rsidP="00A27198">
            <w:pPr>
              <w:ind w:left="-201" w:right="38"/>
              <w:jc w:val="right"/>
              <w:rPr>
                <w:rFonts w:eastAsiaTheme="minorHAnsi"/>
                <w:sz w:val="20"/>
                <w:szCs w:val="20"/>
              </w:rPr>
            </w:pPr>
            <w:r>
              <w:rPr>
                <w:sz w:val="20"/>
                <w:szCs w:val="20"/>
                <w:lang w:val="fr"/>
              </w:rPr>
              <w:t>16,32</w:t>
            </w:r>
          </w:p>
        </w:tc>
      </w:tr>
    </w:tbl>
    <w:p w14:paraId="0449F33F" w14:textId="77777777" w:rsidR="00EF64BA" w:rsidRPr="00B37E80" w:rsidRDefault="00EF64BA" w:rsidP="00EF64BA">
      <w:pPr>
        <w:pStyle w:val="Heading1"/>
        <w:numPr>
          <w:ilvl w:val="0"/>
          <w:numId w:val="0"/>
        </w:numPr>
        <w:spacing w:after="0"/>
      </w:pPr>
    </w:p>
    <w:p w14:paraId="24057AF3" w14:textId="05476290" w:rsidR="00EF64BA" w:rsidRPr="00EF64BA" w:rsidRDefault="00EF64BA" w:rsidP="00EF64BA">
      <w:pPr>
        <w:pStyle w:val="Heading1"/>
        <w:rPr>
          <w:lang w:val="fr-FR"/>
        </w:rPr>
      </w:pPr>
      <w:r>
        <w:rPr>
          <w:lang w:val="fr"/>
        </w:rPr>
        <w:t>Depuis 2016, la consommation de HCFC</w:t>
      </w:r>
      <w:r>
        <w:rPr>
          <w:lang w:val="fr"/>
        </w:rPr>
        <w:noBreakHyphen/>
        <w:t xml:space="preserve">22 de la Jamaïque s’est limitée au HCFC-22. La diminution globale de consommation est </w:t>
      </w:r>
      <w:r w:rsidR="003424CF">
        <w:rPr>
          <w:lang w:val="fr"/>
        </w:rPr>
        <w:t>imputable</w:t>
      </w:r>
      <w:r>
        <w:rPr>
          <w:lang w:val="fr"/>
        </w:rPr>
        <w:t xml:space="preserve"> à la mise en œuvre des activités du PGEH notamment la mise en vigueur d’un système d'octroi de </w:t>
      </w:r>
      <w:r w:rsidR="002725CF">
        <w:rPr>
          <w:lang w:val="fr"/>
        </w:rPr>
        <w:t>permis</w:t>
      </w:r>
      <w:r>
        <w:rPr>
          <w:lang w:val="fr"/>
        </w:rPr>
        <w:t xml:space="preserve"> et de quotas et le soutien au secteur de l’entretien </w:t>
      </w:r>
      <w:r w:rsidR="008C7747">
        <w:rPr>
          <w:lang w:val="fr"/>
        </w:rPr>
        <w:t>ainsi que</w:t>
      </w:r>
      <w:r>
        <w:rPr>
          <w:lang w:val="fr"/>
        </w:rPr>
        <w:t xml:space="preserve"> la transition des équipements de réfrigération et de climatisation vers l’utilisation de frigorigènes de remplacement comme le R-410A et le R-600a. Les fluctuations de consommation entre 2019 et 2023 sont principalement </w:t>
      </w:r>
      <w:r w:rsidR="00211222">
        <w:rPr>
          <w:lang w:val="fr"/>
        </w:rPr>
        <w:t>imputables</w:t>
      </w:r>
      <w:r>
        <w:rPr>
          <w:lang w:val="fr"/>
        </w:rPr>
        <w:t xml:space="preserve"> </w:t>
      </w:r>
      <w:r w:rsidR="00C216BC">
        <w:rPr>
          <w:lang w:val="fr"/>
        </w:rPr>
        <w:t>à des</w:t>
      </w:r>
      <w:r>
        <w:rPr>
          <w:lang w:val="fr"/>
        </w:rPr>
        <w:t xml:space="preserve"> retards d’importations </w:t>
      </w:r>
      <w:r w:rsidR="003F3E3D">
        <w:rPr>
          <w:lang w:val="fr"/>
        </w:rPr>
        <w:t>ayant</w:t>
      </w:r>
      <w:r>
        <w:rPr>
          <w:lang w:val="fr"/>
        </w:rPr>
        <w:t xml:space="preserve"> entraîné une augmentation de la consommation certaines années. L’augmentation de consommation de HCFC en 2020 et 2022 pourrait aussi être due à une augmentation de la demande d’entretien de nombreux foyers et entreprises pour leurs équipements de réfrigération anciens et de grande capacité durant une période avec une activité économique ralentie en raison des restrictions de mouvement dues à la pandémie de COVID-19.</w:t>
      </w:r>
    </w:p>
    <w:p w14:paraId="014A8590" w14:textId="77777777" w:rsidR="00EF64BA" w:rsidRPr="00EF64BA" w:rsidRDefault="00EF64BA" w:rsidP="00EF64BA">
      <w:pPr>
        <w:keepNext/>
        <w:spacing w:after="240"/>
        <w:rPr>
          <w:i/>
          <w:lang w:val="fr-FR"/>
        </w:rPr>
      </w:pPr>
      <w:r>
        <w:rPr>
          <w:i/>
          <w:iCs/>
          <w:lang w:val="fr"/>
        </w:rPr>
        <w:t>Rapport de mise en œuvre du programme du pays</w:t>
      </w:r>
    </w:p>
    <w:p w14:paraId="22F28B27" w14:textId="77777777" w:rsidR="00EF64BA" w:rsidRPr="00EF64BA" w:rsidRDefault="00EF64BA" w:rsidP="00EF64BA">
      <w:pPr>
        <w:pStyle w:val="Heading1"/>
        <w:rPr>
          <w:lang w:val="fr-FR"/>
        </w:rPr>
      </w:pPr>
      <w:r>
        <w:rPr>
          <w:lang w:val="fr"/>
        </w:rPr>
        <w:t xml:space="preserve">Le gouvernement de la Jamaïque a déclaré une consommation du secteur des HCFC dans le rapport de mise en œuvre du programme de pays 2023 qui correspond aux données communiquées en vertu de l’article 7 du Protocole de Montréal. </w:t>
      </w:r>
    </w:p>
    <w:p w14:paraId="4DD12698" w14:textId="77777777" w:rsidR="00EF64BA" w:rsidRPr="00B37E80" w:rsidRDefault="00EF64BA" w:rsidP="00EF64BA">
      <w:pPr>
        <w:keepNext/>
        <w:spacing w:after="240"/>
        <w:rPr>
          <w:i/>
        </w:rPr>
      </w:pPr>
      <w:r>
        <w:rPr>
          <w:i/>
          <w:iCs/>
          <w:lang w:val="fr"/>
        </w:rPr>
        <w:t xml:space="preserve">Rapport de vérification </w:t>
      </w:r>
    </w:p>
    <w:p w14:paraId="6BC268E0" w14:textId="408F150F" w:rsidR="00EF64BA" w:rsidRPr="00EF64BA" w:rsidRDefault="00EF64BA" w:rsidP="00EF64BA">
      <w:pPr>
        <w:pStyle w:val="Heading1"/>
        <w:rPr>
          <w:lang w:val="fr-FR"/>
        </w:rPr>
      </w:pPr>
      <w:r>
        <w:rPr>
          <w:lang w:val="fr"/>
        </w:rPr>
        <w:t xml:space="preserve">Le rapport de vérification a confirmé que le Gouvernement met en œuvre un système d’octroi de </w:t>
      </w:r>
      <w:r w:rsidR="00C17ED3">
        <w:rPr>
          <w:lang w:val="fr"/>
        </w:rPr>
        <w:t>permis</w:t>
      </w:r>
      <w:r>
        <w:rPr>
          <w:lang w:val="fr"/>
        </w:rPr>
        <w:t xml:space="preserve"> et de quotas des importations et des exportations de HCFC, et que la consommation totale de HCFC déclarée au titre de l’article 7 du Protocole de Montréal de 2020 à 2023 était correcte (comme indiqué dans le tableau 1 ci-dessus). La vérification a conclu que la Jamaïque a </w:t>
      </w:r>
      <w:r w:rsidR="007848AB">
        <w:rPr>
          <w:lang w:val="fr"/>
        </w:rPr>
        <w:t>établi</w:t>
      </w:r>
      <w:r>
        <w:rPr>
          <w:lang w:val="fr"/>
        </w:rPr>
        <w:t xml:space="preserve"> une réglementation robuste </w:t>
      </w:r>
      <w:r w:rsidR="00D344EE">
        <w:rPr>
          <w:lang w:val="fr"/>
        </w:rPr>
        <w:t>afin</w:t>
      </w:r>
      <w:r>
        <w:rPr>
          <w:lang w:val="fr"/>
        </w:rPr>
        <w:t xml:space="preserve"> </w:t>
      </w:r>
      <w:r w:rsidR="00D344EE">
        <w:rPr>
          <w:lang w:val="fr"/>
        </w:rPr>
        <w:t xml:space="preserve">de </w:t>
      </w:r>
      <w:r>
        <w:rPr>
          <w:lang w:val="fr"/>
        </w:rPr>
        <w:t>contrôle</w:t>
      </w:r>
      <w:r w:rsidR="00D344EE">
        <w:rPr>
          <w:lang w:val="fr"/>
        </w:rPr>
        <w:t>r</w:t>
      </w:r>
      <w:r>
        <w:rPr>
          <w:lang w:val="fr"/>
        </w:rPr>
        <w:t xml:space="preserve"> </w:t>
      </w:r>
      <w:r w:rsidR="00D344EE">
        <w:rPr>
          <w:lang w:val="fr"/>
        </w:rPr>
        <w:t>l</w:t>
      </w:r>
      <w:r w:rsidR="00514024">
        <w:rPr>
          <w:lang w:val="fr"/>
        </w:rPr>
        <w:t xml:space="preserve">es </w:t>
      </w:r>
      <w:r>
        <w:rPr>
          <w:lang w:val="fr"/>
        </w:rPr>
        <w:t>importation</w:t>
      </w:r>
      <w:r w:rsidR="00514024">
        <w:rPr>
          <w:lang w:val="fr"/>
        </w:rPr>
        <w:t>s</w:t>
      </w:r>
      <w:r>
        <w:rPr>
          <w:lang w:val="fr"/>
        </w:rPr>
        <w:t xml:space="preserve"> de HCFC et d’autres substance</w:t>
      </w:r>
      <w:r w:rsidR="006C0673">
        <w:rPr>
          <w:lang w:val="fr"/>
        </w:rPr>
        <w:t>s</w:t>
      </w:r>
      <w:r>
        <w:rPr>
          <w:lang w:val="fr"/>
        </w:rPr>
        <w:t xml:space="preserve"> appauvrissant la couche d’ozone (SAO)</w:t>
      </w:r>
      <w:r w:rsidR="00CF76C9">
        <w:rPr>
          <w:lang w:val="fr"/>
        </w:rPr>
        <w:t>,</w:t>
      </w:r>
      <w:r>
        <w:rPr>
          <w:lang w:val="fr"/>
        </w:rPr>
        <w:t xml:space="preserve"> avec une procédure structurée pour la délivrance des autorisations d’importation. </w:t>
      </w:r>
      <w:r w:rsidR="00CF76C9">
        <w:rPr>
          <w:lang w:val="fr"/>
        </w:rPr>
        <w:t>L’Ordonnance sur le commerce</w:t>
      </w:r>
      <w:r>
        <w:rPr>
          <w:lang w:val="fr"/>
        </w:rPr>
        <w:t xml:space="preserve"> de 2014 indique les procédures de contrôle pour le non-respect des conditions des permis, les dérogations </w:t>
      </w:r>
      <w:r>
        <w:rPr>
          <w:lang w:val="fr"/>
        </w:rPr>
        <w:lastRenderedPageBreak/>
        <w:t>pour les universités et les centres de recherches et les procédures de transfert de quotas. Cependant, la réglementation actuelle n’interdit pas les importations et exportations d’équipements contenant des HCFC. Il a été confirmé qu’aucun HCFC-141b n’a été importé entre 2020 et 2023 et qu’il n’y a pas eu d’exportations, ce qui signifie que les données de consommation d’importation et d’exportation sont équivalentes.</w:t>
      </w:r>
    </w:p>
    <w:p w14:paraId="1C3E3ED5" w14:textId="77777777" w:rsidR="00EF64BA" w:rsidRPr="00EF64BA" w:rsidRDefault="00EF64BA" w:rsidP="00EF64BA">
      <w:pPr>
        <w:keepNext/>
        <w:spacing w:after="240"/>
        <w:rPr>
          <w:u w:val="single"/>
          <w:lang w:val="fr-FR"/>
        </w:rPr>
      </w:pPr>
      <w:r>
        <w:rPr>
          <w:u w:val="single"/>
          <w:lang w:val="fr"/>
        </w:rPr>
        <w:t xml:space="preserve">État d’avancement de la phase I du plan de gestion de l’élimination des HCFC </w:t>
      </w:r>
    </w:p>
    <w:p w14:paraId="1AFD22C2" w14:textId="77777777" w:rsidR="00EF64BA" w:rsidRPr="00EF64BA" w:rsidRDefault="00EF64BA" w:rsidP="00EF64BA">
      <w:pPr>
        <w:pStyle w:val="Heading1"/>
        <w:rPr>
          <w:lang w:val="fr-FR"/>
        </w:rPr>
      </w:pPr>
      <w:r>
        <w:rPr>
          <w:lang w:val="fr"/>
        </w:rPr>
        <w:t>La phase I du PGEH a été achevée le 1 juin 2022 conformément à la prorogation approuvée par le Comité exécutif dans la décision 88/29(b)(i). Le rapport d’achèvement des projets a été présenté le 16 octobre 2023.</w:t>
      </w:r>
    </w:p>
    <w:p w14:paraId="7C2B3AD9" w14:textId="77777777" w:rsidR="00EF64BA" w:rsidRPr="00EF64BA" w:rsidRDefault="00EF64BA" w:rsidP="00EF64BA">
      <w:pPr>
        <w:keepNext/>
        <w:spacing w:after="240"/>
        <w:rPr>
          <w:u w:val="single"/>
          <w:lang w:val="fr-FR"/>
        </w:rPr>
      </w:pPr>
      <w:r>
        <w:rPr>
          <w:u w:val="single"/>
          <w:lang w:val="fr"/>
        </w:rPr>
        <w:t>Rapport périodique sur la mise en œuvre de la première tranche de la phase II du plan de gestion de l’élimination des HCFC</w:t>
      </w:r>
    </w:p>
    <w:p w14:paraId="217D96E3" w14:textId="77777777" w:rsidR="00EF64BA" w:rsidRPr="00B37E80" w:rsidRDefault="00EF64BA" w:rsidP="00EF64BA">
      <w:pPr>
        <w:keepNext/>
        <w:spacing w:after="240"/>
        <w:rPr>
          <w:i/>
        </w:rPr>
      </w:pPr>
      <w:r>
        <w:rPr>
          <w:i/>
          <w:iCs/>
          <w:lang w:val="fr"/>
        </w:rPr>
        <w:t>Cadre juridique</w:t>
      </w:r>
    </w:p>
    <w:p w14:paraId="6A124646" w14:textId="4576DA62" w:rsidR="00EF64BA" w:rsidRPr="00EF64BA" w:rsidRDefault="00EF64BA" w:rsidP="00EF64BA">
      <w:pPr>
        <w:pStyle w:val="Heading1"/>
        <w:rPr>
          <w:lang w:val="fr-FR"/>
        </w:rPr>
      </w:pPr>
      <w:r>
        <w:rPr>
          <w:lang w:val="fr"/>
        </w:rPr>
        <w:t>Un système d’octroi de permis pour surveiller et contrôler le commerce des SAO est en place depuis 1998. Ce système a été révisé par l’Ordonnance de 2014 sur le commerce afin d’inclure le contrôle des importations et des exportations de HCFC. Les importateurs de HCFC sont tenus d’obtenir une autorisation d’importation auprès du Ministère de la santé et du bien-être et un permis d’importation auprès de la Commission du commerce/Ministère de l’industrie, de</w:t>
      </w:r>
      <w:r w:rsidR="00AC3215">
        <w:rPr>
          <w:lang w:val="fr"/>
        </w:rPr>
        <w:t xml:space="preserve"> l’</w:t>
      </w:r>
      <w:r>
        <w:rPr>
          <w:lang w:val="fr"/>
        </w:rPr>
        <w:t>investissement et du commerce.</w:t>
      </w:r>
    </w:p>
    <w:p w14:paraId="5A1ED407" w14:textId="23287B25" w:rsidR="00EF64BA" w:rsidRPr="00EF64BA" w:rsidRDefault="00EF64BA" w:rsidP="00EF64BA">
      <w:pPr>
        <w:pStyle w:val="Heading1"/>
        <w:rPr>
          <w:lang w:val="fr-FR"/>
        </w:rPr>
      </w:pPr>
      <w:r>
        <w:rPr>
          <w:lang w:val="fr"/>
        </w:rPr>
        <w:t>La mise en œuvre de la première tranche de la phase II a renforcé les systèmes et capacités nationaux de supervision des importations et exportations de SAO, principalement par le biais d’une combinaison de bases données manuelles et en ligne. En outre, des efforts ont été fournis afin de modifier et de mettre à jour la législation relative aux activités d’importation/exportation.</w:t>
      </w:r>
    </w:p>
    <w:p w14:paraId="6BB90042" w14:textId="64EDF416" w:rsidR="00EF64BA" w:rsidRPr="00EF64BA" w:rsidRDefault="00EF64BA" w:rsidP="00EF64BA">
      <w:pPr>
        <w:keepNext/>
        <w:spacing w:after="240"/>
        <w:rPr>
          <w:i/>
          <w:lang w:val="fr-FR"/>
        </w:rPr>
      </w:pPr>
      <w:r>
        <w:rPr>
          <w:i/>
          <w:iCs/>
          <w:lang w:val="fr"/>
        </w:rPr>
        <w:t xml:space="preserve">Mise à jour </w:t>
      </w:r>
      <w:r w:rsidR="00245D3B">
        <w:rPr>
          <w:i/>
          <w:iCs/>
          <w:lang w:val="fr"/>
        </w:rPr>
        <w:t>concernant l’approbation de</w:t>
      </w:r>
      <w:r>
        <w:rPr>
          <w:i/>
          <w:iCs/>
          <w:lang w:val="fr"/>
        </w:rPr>
        <w:t xml:space="preserve"> l’Ordonnance sur le commerce des HCFC (2014) (décision 90/13(b))</w:t>
      </w:r>
      <w:r>
        <w:rPr>
          <w:rStyle w:val="FootnoteReference"/>
          <w:i/>
          <w:iCs/>
          <w:lang w:val="fr"/>
        </w:rPr>
        <w:footnoteReference w:id="4"/>
      </w:r>
    </w:p>
    <w:p w14:paraId="334BDD83" w14:textId="372F9743" w:rsidR="00EF64BA" w:rsidRPr="00EF64BA" w:rsidRDefault="00EF64BA" w:rsidP="00EF64BA">
      <w:pPr>
        <w:pStyle w:val="Heading1"/>
        <w:keepNext/>
        <w:rPr>
          <w:i/>
          <w:lang w:val="fr-FR"/>
        </w:rPr>
      </w:pPr>
      <w:r>
        <w:rPr>
          <w:lang w:val="fr"/>
        </w:rPr>
        <w:t xml:space="preserve">En août 2023, le NEPA et les institutions concernées ont présenté </w:t>
      </w:r>
      <w:r w:rsidR="00966B8B">
        <w:rPr>
          <w:lang w:val="fr"/>
        </w:rPr>
        <w:t xml:space="preserve">pour examen au Ministère de l’industrie, de l’investissement et du commerce </w:t>
      </w:r>
      <w:r>
        <w:rPr>
          <w:lang w:val="fr"/>
        </w:rPr>
        <w:t xml:space="preserve">un projet de </w:t>
      </w:r>
      <w:r w:rsidR="004725B7">
        <w:rPr>
          <w:lang w:val="fr"/>
        </w:rPr>
        <w:t>révision</w:t>
      </w:r>
      <w:r>
        <w:rPr>
          <w:lang w:val="fr"/>
        </w:rPr>
        <w:t xml:space="preserve"> de l’Ordonnance sur le commerce, qui comprend une interdiction des importations d’équipements utilisant des HCFC d’ici le 1</w:t>
      </w:r>
      <w:r w:rsidRPr="00CC1E40">
        <w:rPr>
          <w:vertAlign w:val="superscript"/>
          <w:lang w:val="fr"/>
        </w:rPr>
        <w:t>er</w:t>
      </w:r>
      <w:r>
        <w:rPr>
          <w:lang w:val="fr"/>
        </w:rPr>
        <w:t xml:space="preserve"> janvier 2026. </w:t>
      </w:r>
      <w:r w:rsidR="00B31D69">
        <w:rPr>
          <w:lang w:val="fr"/>
        </w:rPr>
        <w:t>À la suite de</w:t>
      </w:r>
      <w:r>
        <w:rPr>
          <w:lang w:val="fr"/>
        </w:rPr>
        <w:t xml:space="preserve"> l’examen, le document </w:t>
      </w:r>
      <w:r w:rsidR="00B31D69">
        <w:rPr>
          <w:lang w:val="fr"/>
        </w:rPr>
        <w:t>sera</w:t>
      </w:r>
      <w:r>
        <w:rPr>
          <w:lang w:val="fr"/>
        </w:rPr>
        <w:t xml:space="preserve"> envoyé au président du Conseil parlementaire pour préparer l’Ordonnance </w:t>
      </w:r>
      <w:r w:rsidR="00172375">
        <w:rPr>
          <w:lang w:val="fr"/>
        </w:rPr>
        <w:t xml:space="preserve">révisée </w:t>
      </w:r>
      <w:r>
        <w:rPr>
          <w:lang w:val="fr"/>
        </w:rPr>
        <w:t>sur le commerce.</w:t>
      </w:r>
    </w:p>
    <w:p w14:paraId="007DB60C" w14:textId="77777777" w:rsidR="00EF64BA" w:rsidRPr="00EF64BA" w:rsidRDefault="00EF64BA" w:rsidP="00EF64BA">
      <w:pPr>
        <w:pStyle w:val="Heading1"/>
        <w:keepNext/>
        <w:numPr>
          <w:ilvl w:val="0"/>
          <w:numId w:val="0"/>
        </w:numPr>
        <w:rPr>
          <w:i/>
          <w:lang w:val="fr-FR"/>
        </w:rPr>
      </w:pPr>
      <w:r>
        <w:rPr>
          <w:i/>
          <w:iCs/>
          <w:lang w:val="fr"/>
        </w:rPr>
        <w:t>Secteur de l’entretien dans la réfrigération</w:t>
      </w:r>
    </w:p>
    <w:p w14:paraId="71BD9A76" w14:textId="04200CD9" w:rsidR="00EF64BA" w:rsidRPr="00EF64BA" w:rsidRDefault="00EF64BA" w:rsidP="00EF64BA">
      <w:pPr>
        <w:pStyle w:val="Heading1"/>
        <w:rPr>
          <w:lang w:val="fr-FR"/>
        </w:rPr>
      </w:pPr>
      <w:r>
        <w:rPr>
          <w:lang w:val="fr"/>
        </w:rPr>
        <w:t>Durant la période de mise en œuvre, les activités suivantes ont été mises en œuvre :</w:t>
      </w:r>
    </w:p>
    <w:p w14:paraId="11DB923D" w14:textId="22D4DDD3" w:rsidR="00EF64BA" w:rsidRPr="00EF64BA" w:rsidRDefault="00EF64BA" w:rsidP="00EF64BA">
      <w:pPr>
        <w:pStyle w:val="Heading2"/>
        <w:rPr>
          <w:lang w:val="fr-FR"/>
        </w:rPr>
      </w:pPr>
      <w:r>
        <w:rPr>
          <w:lang w:val="fr"/>
        </w:rPr>
        <w:t xml:space="preserve">Le programme de formation pour les agences d’exécution </w:t>
      </w:r>
      <w:r w:rsidR="000113AD">
        <w:rPr>
          <w:lang w:val="fr"/>
        </w:rPr>
        <w:t>a</w:t>
      </w:r>
      <w:r>
        <w:rPr>
          <w:lang w:val="fr"/>
        </w:rPr>
        <w:t xml:space="preserve"> été mis à jour </w:t>
      </w:r>
      <w:r w:rsidR="000113AD">
        <w:rPr>
          <w:lang w:val="fr"/>
        </w:rPr>
        <w:t xml:space="preserve">concernant </w:t>
      </w:r>
      <w:r>
        <w:rPr>
          <w:lang w:val="fr"/>
        </w:rPr>
        <w:t xml:space="preserve">le système d’octroi de permis et de quotas, la surveillance et </w:t>
      </w:r>
      <w:r w:rsidR="007848AB">
        <w:rPr>
          <w:lang w:val="fr"/>
        </w:rPr>
        <w:t>les déclarations</w:t>
      </w:r>
      <w:r>
        <w:rPr>
          <w:lang w:val="fr"/>
        </w:rPr>
        <w:t xml:space="preserve"> de la consommation de HCFC </w:t>
      </w:r>
      <w:r w:rsidR="00771E34">
        <w:rPr>
          <w:lang w:val="fr"/>
        </w:rPr>
        <w:t>ainsi que</w:t>
      </w:r>
      <w:r>
        <w:rPr>
          <w:lang w:val="fr"/>
        </w:rPr>
        <w:t xml:space="preserve"> la prévention du commerce illicite. Le programme de formation de 100 agents des forces de l’ordre </w:t>
      </w:r>
      <w:r w:rsidR="006E24DC">
        <w:rPr>
          <w:lang w:val="fr"/>
        </w:rPr>
        <w:t xml:space="preserve">et des douanes </w:t>
      </w:r>
      <w:r>
        <w:rPr>
          <w:lang w:val="fr"/>
        </w:rPr>
        <w:t>est prévu pour octobre 2024</w:t>
      </w:r>
      <w:r w:rsidR="007F39CD">
        <w:rPr>
          <w:lang w:val="fr"/>
        </w:rPr>
        <w:t> ;</w:t>
      </w:r>
    </w:p>
    <w:p w14:paraId="2F85E66F" w14:textId="53D0CC97" w:rsidR="00EF64BA" w:rsidRPr="00EF64BA" w:rsidRDefault="00EF64BA" w:rsidP="00EF64BA">
      <w:pPr>
        <w:pStyle w:val="Heading2"/>
        <w:rPr>
          <w:lang w:val="fr-FR"/>
        </w:rPr>
      </w:pPr>
      <w:r>
        <w:rPr>
          <w:lang w:val="fr"/>
        </w:rPr>
        <w:t>Quatre ateliers de formation ont été organisé</w:t>
      </w:r>
      <w:r w:rsidR="00C6773D">
        <w:rPr>
          <w:lang w:val="fr"/>
        </w:rPr>
        <w:t>s</w:t>
      </w:r>
      <w:r>
        <w:rPr>
          <w:lang w:val="fr"/>
        </w:rPr>
        <w:t xml:space="preserve"> pour un total de </w:t>
      </w:r>
      <w:r w:rsidR="00F244F7">
        <w:rPr>
          <w:lang w:val="fr"/>
        </w:rPr>
        <w:t>24 </w:t>
      </w:r>
      <w:r>
        <w:rPr>
          <w:lang w:val="fr"/>
        </w:rPr>
        <w:t>techniciens frigoristes sur les bonnes pratiques d’entretien et l’utilisation en sécurité des substances de remplacement à faible potentiel de réchauffement planétaire (PR</w:t>
      </w:r>
      <w:r w:rsidR="007C4160">
        <w:rPr>
          <w:lang w:val="fr"/>
        </w:rPr>
        <w:t>P</w:t>
      </w:r>
      <w:r>
        <w:rPr>
          <w:lang w:val="fr"/>
        </w:rPr>
        <w:t xml:space="preserve">) durant l’installation, </w:t>
      </w:r>
      <w:r>
        <w:rPr>
          <w:lang w:val="fr"/>
        </w:rPr>
        <w:lastRenderedPageBreak/>
        <w:t>l’entretien et la maintenance des équipements de réfrigération et de climatisation ; et</w:t>
      </w:r>
    </w:p>
    <w:p w14:paraId="3EE5F39C" w14:textId="66167B45" w:rsidR="00EF64BA" w:rsidRPr="00EF64BA" w:rsidRDefault="00EF64BA" w:rsidP="00EF64BA">
      <w:pPr>
        <w:pStyle w:val="Heading2"/>
        <w:rPr>
          <w:lang w:val="fr-FR"/>
        </w:rPr>
      </w:pPr>
      <w:r>
        <w:rPr>
          <w:lang w:val="fr"/>
        </w:rPr>
        <w:t xml:space="preserve">Une campagne de sensibilisation a été </w:t>
      </w:r>
      <w:r w:rsidR="00603C36">
        <w:rPr>
          <w:lang w:val="fr"/>
        </w:rPr>
        <w:t>menée</w:t>
      </w:r>
      <w:r>
        <w:rPr>
          <w:lang w:val="fr"/>
        </w:rPr>
        <w:t xml:space="preserve"> sur les technologies de remplacement aux HCFC principalement à destination des importateurs de frigorigènes et d’équipement</w:t>
      </w:r>
      <w:r w:rsidR="00A07816">
        <w:rPr>
          <w:lang w:val="fr"/>
        </w:rPr>
        <w:t>s</w:t>
      </w:r>
      <w:r>
        <w:rPr>
          <w:lang w:val="fr"/>
        </w:rPr>
        <w:t xml:space="preserve"> de réfrigération et de climatisation et à destination des </w:t>
      </w:r>
      <w:r w:rsidR="002B0A05">
        <w:rPr>
          <w:lang w:val="fr"/>
        </w:rPr>
        <w:t>techniciens</w:t>
      </w:r>
      <w:r w:rsidR="00DB5E2D">
        <w:rPr>
          <w:lang w:val="fr"/>
        </w:rPr>
        <w:t xml:space="preserve"> </w:t>
      </w:r>
      <w:r>
        <w:rPr>
          <w:lang w:val="fr"/>
        </w:rPr>
        <w:t xml:space="preserve">d’installation et d’entretien des équipements de grande </w:t>
      </w:r>
      <w:r w:rsidR="00DB5E2D">
        <w:rPr>
          <w:lang w:val="fr"/>
        </w:rPr>
        <w:t>capacité</w:t>
      </w:r>
      <w:r>
        <w:rPr>
          <w:lang w:val="fr"/>
        </w:rPr>
        <w:t xml:space="preserve"> utilisant des HCFC.</w:t>
      </w:r>
    </w:p>
    <w:p w14:paraId="16BF85DC" w14:textId="77777777" w:rsidR="00EF64BA" w:rsidRPr="00EF64BA" w:rsidRDefault="00EF64BA" w:rsidP="00EF64BA">
      <w:pPr>
        <w:keepNext/>
        <w:spacing w:after="240"/>
        <w:rPr>
          <w:i/>
          <w:iCs/>
          <w:lang w:val="fr-FR"/>
        </w:rPr>
      </w:pPr>
      <w:r>
        <w:rPr>
          <w:i/>
          <w:iCs/>
          <w:lang w:val="fr"/>
        </w:rPr>
        <w:t xml:space="preserve">Mise en œuvre et suivi du projet </w:t>
      </w:r>
    </w:p>
    <w:p w14:paraId="4C7F08C3" w14:textId="10602151" w:rsidR="00EF64BA" w:rsidRPr="00EF64BA" w:rsidRDefault="00EF64BA" w:rsidP="00EF64BA">
      <w:pPr>
        <w:pStyle w:val="Heading1"/>
        <w:rPr>
          <w:lang w:val="fr-FR"/>
        </w:rPr>
      </w:pPr>
      <w:r>
        <w:rPr>
          <w:lang w:val="fr"/>
        </w:rPr>
        <w:t xml:space="preserve">Un total de 8 615 $ US a été décaissé afin d’embaucher un consultant national pour réaliser des </w:t>
      </w:r>
      <w:r w:rsidR="00EE7779">
        <w:rPr>
          <w:lang w:val="fr"/>
        </w:rPr>
        <w:t>prestations</w:t>
      </w:r>
      <w:r>
        <w:rPr>
          <w:lang w:val="fr"/>
        </w:rPr>
        <w:t xml:space="preserve"> de supervision, d’évaluation et de déclaration.</w:t>
      </w:r>
    </w:p>
    <w:p w14:paraId="407FF163" w14:textId="77777777" w:rsidR="00EF64BA" w:rsidRPr="00B37E80" w:rsidRDefault="00EF64BA" w:rsidP="00EF64BA">
      <w:pPr>
        <w:keepNext/>
        <w:spacing w:after="240"/>
      </w:pPr>
      <w:r>
        <w:rPr>
          <w:u w:val="single"/>
          <w:lang w:val="fr"/>
        </w:rPr>
        <w:t>Niveau de décaissement des fonds</w:t>
      </w:r>
      <w:r>
        <w:rPr>
          <w:lang w:val="fr"/>
        </w:rPr>
        <w:t xml:space="preserve"> </w:t>
      </w:r>
    </w:p>
    <w:p w14:paraId="075C46EC" w14:textId="77777777" w:rsidR="00EF64BA" w:rsidRPr="00B37E80" w:rsidRDefault="00EF64BA" w:rsidP="00EF64BA">
      <w:pPr>
        <w:pStyle w:val="Heading1"/>
      </w:pPr>
      <w:r>
        <w:rPr>
          <w:lang w:val="fr"/>
        </w:rPr>
        <w:t>En date de septembre 2024, sur les 117 000 $ US approuvés jusque-là, 69 000 $ US (59 pour cent) avaient été décaissés. Le solde de 48 000 $ US sera décaissé en 2024 et 2025.</w:t>
      </w:r>
    </w:p>
    <w:p w14:paraId="7A198B0C" w14:textId="77777777" w:rsidR="00EF64BA" w:rsidRPr="00EF64BA" w:rsidRDefault="00EF64BA" w:rsidP="00EF64BA">
      <w:pPr>
        <w:keepNext/>
        <w:spacing w:before="240" w:after="240"/>
        <w:rPr>
          <w:u w:val="single"/>
          <w:lang w:val="fr-FR"/>
        </w:rPr>
      </w:pPr>
      <w:r>
        <w:rPr>
          <w:u w:val="single"/>
          <w:lang w:val="fr"/>
        </w:rPr>
        <w:t>Plan de mise en œuvre de la deuxième tranche de la phase II du plan de gestion de l’élimination des HCFC</w:t>
      </w:r>
    </w:p>
    <w:p w14:paraId="40F837DB" w14:textId="77777777" w:rsidR="00EF64BA" w:rsidRPr="00EF64BA" w:rsidRDefault="00EF64BA" w:rsidP="00EF64BA">
      <w:pPr>
        <w:pStyle w:val="Heading1"/>
        <w:rPr>
          <w:lang w:val="fr-FR"/>
        </w:rPr>
      </w:pPr>
      <w:bookmarkStart w:id="0" w:name="_Hlk126663552"/>
      <w:bookmarkStart w:id="1" w:name="_Hlk126934425"/>
      <w:r>
        <w:rPr>
          <w:lang w:val="fr"/>
        </w:rPr>
        <w:t>Les activités suivantes seront mises en œuvre entre janvier 2025 et décembre 2027 :</w:t>
      </w:r>
    </w:p>
    <w:p w14:paraId="0D83A700" w14:textId="71CF3322" w:rsidR="00EF64BA" w:rsidRPr="00EF64BA" w:rsidRDefault="00EF64BA" w:rsidP="00EF64BA">
      <w:pPr>
        <w:pStyle w:val="Heading1"/>
        <w:numPr>
          <w:ilvl w:val="1"/>
          <w:numId w:val="1"/>
        </w:numPr>
        <w:rPr>
          <w:lang w:val="fr-FR"/>
        </w:rPr>
      </w:pPr>
      <w:r>
        <w:rPr>
          <w:i/>
          <w:iCs/>
          <w:lang w:val="fr"/>
        </w:rPr>
        <w:t>Renforcement des cadres politiques et juridiques de contrôle de la consommation de HCFC :</w:t>
      </w:r>
      <w:r>
        <w:rPr>
          <w:lang w:val="fr"/>
        </w:rPr>
        <w:t xml:space="preserve"> </w:t>
      </w:r>
      <w:r w:rsidR="006B3CD2">
        <w:rPr>
          <w:lang w:val="fr"/>
        </w:rPr>
        <w:t>p</w:t>
      </w:r>
      <w:r>
        <w:rPr>
          <w:lang w:val="fr"/>
        </w:rPr>
        <w:t>réparation et organisation d’une formation pour 80 agents des douanes et du gouvernement impliqués dans les procédures d’importation de HCFC et d’équipements utilisant du HCFC. La formation traitera du système d’octroi de permis et de la déclaration des données relatives aux importations et exportations de HCFC (49 000 $ US) ;</w:t>
      </w:r>
    </w:p>
    <w:p w14:paraId="0EAA67B2" w14:textId="5810C538" w:rsidR="00EF64BA" w:rsidRPr="00EF64BA" w:rsidRDefault="00EF64BA" w:rsidP="00EF64BA">
      <w:pPr>
        <w:pStyle w:val="Heading1"/>
        <w:numPr>
          <w:ilvl w:val="1"/>
          <w:numId w:val="1"/>
        </w:numPr>
        <w:rPr>
          <w:lang w:val="fr-FR"/>
        </w:rPr>
      </w:pPr>
      <w:r>
        <w:rPr>
          <w:i/>
          <w:iCs/>
          <w:lang w:val="fr"/>
        </w:rPr>
        <w:t>Renforcement des bonnes pratiques dans le secteur de l’entretien des équipements de réfrigération et de climatisation :</w:t>
      </w:r>
      <w:r>
        <w:rPr>
          <w:lang w:val="fr"/>
        </w:rPr>
        <w:t xml:space="preserve"> </w:t>
      </w:r>
      <w:r w:rsidR="00D56039">
        <w:rPr>
          <w:lang w:val="fr"/>
        </w:rPr>
        <w:t>p</w:t>
      </w:r>
      <w:r>
        <w:rPr>
          <w:lang w:val="fr"/>
        </w:rPr>
        <w:t>réparation et organisation d’une formation à destination de 64 techniciens sur les bonnes pratiques de réfrigération et les procédures de récupération, recyclage et régénération des frigorigènes ; mise à jour et impression de manuels pour les techniciens formés et les centres de formation (54 000 $ US) ;</w:t>
      </w:r>
    </w:p>
    <w:p w14:paraId="3A58D016" w14:textId="28D77431" w:rsidR="00EF64BA" w:rsidRPr="00EF64BA" w:rsidRDefault="00EF64BA" w:rsidP="00EF64BA">
      <w:pPr>
        <w:pStyle w:val="Heading1"/>
        <w:numPr>
          <w:ilvl w:val="1"/>
          <w:numId w:val="1"/>
        </w:numPr>
        <w:rPr>
          <w:i/>
          <w:iCs/>
          <w:lang w:val="fr-FR"/>
        </w:rPr>
      </w:pPr>
      <w:r>
        <w:rPr>
          <w:i/>
          <w:iCs/>
          <w:lang w:val="fr"/>
        </w:rPr>
        <w:t xml:space="preserve">Programme de sensibilisation : </w:t>
      </w:r>
      <w:r w:rsidR="00C15E80">
        <w:rPr>
          <w:lang w:val="fr"/>
        </w:rPr>
        <w:t>d</w:t>
      </w:r>
      <w:r>
        <w:rPr>
          <w:lang w:val="fr"/>
        </w:rPr>
        <w:t xml:space="preserve">éveloppement d’activités de sensibilisation </w:t>
      </w:r>
      <w:r w:rsidR="00E7677B">
        <w:rPr>
          <w:lang w:val="fr"/>
        </w:rPr>
        <w:t xml:space="preserve">à </w:t>
      </w:r>
      <w:r>
        <w:rPr>
          <w:lang w:val="fr"/>
        </w:rPr>
        <w:t>la mise en œuvre du PGEH encourageant la participation des techniciens d’entretien des équipements de réfrigération et de climatisation</w:t>
      </w:r>
      <w:r w:rsidR="00E7677B">
        <w:rPr>
          <w:lang w:val="fr"/>
        </w:rPr>
        <w:t> ; développement de</w:t>
      </w:r>
      <w:r>
        <w:rPr>
          <w:lang w:val="fr"/>
        </w:rPr>
        <w:t xml:space="preserve"> deux campagnes nationales de promotion de l’élimination des HCFC (28 000 $ US) ;</w:t>
      </w:r>
    </w:p>
    <w:p w14:paraId="7C33AD36" w14:textId="192B9C80" w:rsidR="00EF64BA" w:rsidRPr="00EF64BA" w:rsidRDefault="00EF64BA" w:rsidP="00EF64BA">
      <w:pPr>
        <w:pStyle w:val="Heading2"/>
        <w:widowControl/>
        <w:numPr>
          <w:ilvl w:val="1"/>
          <w:numId w:val="1"/>
        </w:numPr>
        <w:rPr>
          <w:lang w:val="fr-FR"/>
        </w:rPr>
      </w:pPr>
      <w:r>
        <w:rPr>
          <w:i/>
          <w:iCs/>
          <w:lang w:val="fr"/>
        </w:rPr>
        <w:t>Activités de maintien du rendement énergétique :</w:t>
      </w:r>
      <w:r>
        <w:rPr>
          <w:lang w:val="fr"/>
        </w:rPr>
        <w:t xml:space="preserve"> </w:t>
      </w:r>
      <w:r w:rsidR="00A8475C">
        <w:rPr>
          <w:lang w:val="fr"/>
        </w:rPr>
        <w:t>c</w:t>
      </w:r>
      <w:r>
        <w:rPr>
          <w:lang w:val="fr"/>
        </w:rPr>
        <w:t>es activités sont décrites en détail dans la section suivante (120 000 $ US) ; et</w:t>
      </w:r>
    </w:p>
    <w:p w14:paraId="6588ECEC" w14:textId="4A93F344" w:rsidR="00EF64BA" w:rsidRPr="00EF64BA" w:rsidRDefault="00EF64BA" w:rsidP="00EF64BA">
      <w:pPr>
        <w:pStyle w:val="Heading2"/>
        <w:widowControl/>
        <w:numPr>
          <w:ilvl w:val="1"/>
          <w:numId w:val="1"/>
        </w:numPr>
        <w:rPr>
          <w:lang w:val="fr-FR"/>
        </w:rPr>
      </w:pPr>
      <w:r>
        <w:rPr>
          <w:i/>
          <w:iCs/>
          <w:lang w:val="fr"/>
        </w:rPr>
        <w:t>Mise en œuvre et suivi du projet :</w:t>
      </w:r>
      <w:r>
        <w:rPr>
          <w:lang w:val="fr"/>
        </w:rPr>
        <w:t xml:space="preserve"> </w:t>
      </w:r>
      <w:r w:rsidR="00067FF7">
        <w:rPr>
          <w:lang w:val="fr"/>
        </w:rPr>
        <w:t>c</w:t>
      </w:r>
      <w:r>
        <w:rPr>
          <w:lang w:val="fr"/>
        </w:rPr>
        <w:t>oordination du projet, implication des parties prenantes et mise en œuvre des activités prévues dans le PGEH (25 000 $ US), comprenant des budgets pour les consultants (20 000 $ US) et</w:t>
      </w:r>
      <w:r w:rsidR="004E0678">
        <w:rPr>
          <w:lang w:val="fr"/>
        </w:rPr>
        <w:t xml:space="preserve"> pour les</w:t>
      </w:r>
      <w:r>
        <w:rPr>
          <w:lang w:val="fr"/>
        </w:rPr>
        <w:t xml:space="preserve"> réunions et ateliers (5 000 $ US).</w:t>
      </w:r>
    </w:p>
    <w:p w14:paraId="50F600C3" w14:textId="77777777" w:rsidR="00EF64BA" w:rsidRPr="00EF64BA" w:rsidRDefault="00EF64BA" w:rsidP="00EF64BA">
      <w:pPr>
        <w:keepNext/>
        <w:spacing w:after="240"/>
        <w:rPr>
          <w:i/>
          <w:lang w:val="fr-FR"/>
        </w:rPr>
      </w:pPr>
      <w:r>
        <w:rPr>
          <w:i/>
          <w:iCs/>
          <w:lang w:val="fr"/>
        </w:rPr>
        <w:t xml:space="preserve">Activités de maintien du rendement énergétique dans le secteur de l’entretien de l’équipement de réfrigération </w:t>
      </w:r>
    </w:p>
    <w:p w14:paraId="08880951" w14:textId="485C1D14" w:rsidR="00EF64BA" w:rsidRPr="00EF64BA" w:rsidRDefault="00EF64BA" w:rsidP="00EF64BA">
      <w:pPr>
        <w:pStyle w:val="Heading1"/>
        <w:rPr>
          <w:lang w:val="fr-FR"/>
        </w:rPr>
      </w:pPr>
      <w:bookmarkStart w:id="2" w:name="_Hlk126662278"/>
      <w:r>
        <w:rPr>
          <w:lang w:val="fr"/>
        </w:rPr>
        <w:t>Le projet lié au rendement énergétique, soumis conformément à la décision 89/6, a été conçu afin de promouvoir l’utilisation d’équipements économes en énergie utilisant des technologies à faible PR</w:t>
      </w:r>
      <w:r w:rsidR="00985DBB">
        <w:rPr>
          <w:lang w:val="fr"/>
        </w:rPr>
        <w:t>P</w:t>
      </w:r>
      <w:r>
        <w:rPr>
          <w:lang w:val="fr"/>
        </w:rPr>
        <w:t xml:space="preserve"> dans les systèmes de réfrigération et climatisation à destination des consommateurs et des utilisateurs finals et d’informer et de former des techniciens </w:t>
      </w:r>
      <w:r w:rsidR="005D64CB">
        <w:rPr>
          <w:lang w:val="fr"/>
        </w:rPr>
        <w:t xml:space="preserve">à la façon de maintenir </w:t>
      </w:r>
      <w:r w:rsidR="007F1015">
        <w:rPr>
          <w:lang w:val="fr"/>
        </w:rPr>
        <w:t>ou</w:t>
      </w:r>
      <w:r w:rsidR="005D64CB">
        <w:rPr>
          <w:lang w:val="fr"/>
        </w:rPr>
        <w:t xml:space="preserve"> d’</w:t>
      </w:r>
      <w:r>
        <w:rPr>
          <w:lang w:val="fr"/>
        </w:rPr>
        <w:t>amélior</w:t>
      </w:r>
      <w:r w:rsidR="005D64CB">
        <w:rPr>
          <w:lang w:val="fr"/>
        </w:rPr>
        <w:t>er</w:t>
      </w:r>
      <w:r>
        <w:rPr>
          <w:lang w:val="fr"/>
        </w:rPr>
        <w:t xml:space="preserve"> </w:t>
      </w:r>
      <w:r w:rsidR="005D64CB">
        <w:rPr>
          <w:lang w:val="fr"/>
        </w:rPr>
        <w:t>l</w:t>
      </w:r>
      <w:r>
        <w:rPr>
          <w:lang w:val="fr"/>
        </w:rPr>
        <w:t>es performances énergétiques ainsi qu’à encourager l’utilisation de frigorigènes à faible PR</w:t>
      </w:r>
      <w:r w:rsidR="00A45A3D">
        <w:rPr>
          <w:lang w:val="fr"/>
        </w:rPr>
        <w:t>P</w:t>
      </w:r>
      <w:r>
        <w:rPr>
          <w:lang w:val="fr"/>
        </w:rPr>
        <w:t>. Les activités comprennent aussi la mise en relation des décideurs</w:t>
      </w:r>
      <w:r w:rsidR="00E63EE4">
        <w:rPr>
          <w:lang w:val="fr"/>
        </w:rPr>
        <w:t xml:space="preserve"> politiques</w:t>
      </w:r>
      <w:r>
        <w:rPr>
          <w:lang w:val="fr"/>
        </w:rPr>
        <w:t xml:space="preserve"> en matière </w:t>
      </w:r>
      <w:r w:rsidR="00671EDF">
        <w:rPr>
          <w:lang w:val="fr"/>
        </w:rPr>
        <w:t>de rendement</w:t>
      </w:r>
      <w:r>
        <w:rPr>
          <w:lang w:val="fr"/>
        </w:rPr>
        <w:t xml:space="preserve"> énergétique et les autres parties </w:t>
      </w:r>
      <w:r>
        <w:rPr>
          <w:lang w:val="fr"/>
        </w:rPr>
        <w:lastRenderedPageBreak/>
        <w:t xml:space="preserve">prenantes </w:t>
      </w:r>
      <w:r w:rsidR="00396751">
        <w:rPr>
          <w:lang w:val="fr"/>
        </w:rPr>
        <w:t xml:space="preserve">pertinentes </w:t>
      </w:r>
      <w:r>
        <w:rPr>
          <w:lang w:val="fr"/>
        </w:rPr>
        <w:t xml:space="preserve">du projet. </w:t>
      </w:r>
      <w:bookmarkStart w:id="3" w:name="_Hlk126934504"/>
      <w:bookmarkEnd w:id="0"/>
      <w:bookmarkEnd w:id="1"/>
      <w:bookmarkEnd w:id="2"/>
      <w:r>
        <w:rPr>
          <w:lang w:val="fr"/>
        </w:rPr>
        <w:t xml:space="preserve">La description et la ventilation des coûts proposée des activités de maintien </w:t>
      </w:r>
      <w:r w:rsidR="000B4C14">
        <w:rPr>
          <w:lang w:val="fr"/>
        </w:rPr>
        <w:t>du rendement</w:t>
      </w:r>
      <w:r>
        <w:rPr>
          <w:lang w:val="fr"/>
        </w:rPr>
        <w:t xml:space="preserve"> énergétique dans le secteur sont présentées au tableau 2.</w:t>
      </w:r>
    </w:p>
    <w:p w14:paraId="65DA1F0C" w14:textId="77777777" w:rsidR="00EF64BA" w:rsidRPr="00EF64BA" w:rsidRDefault="00EF64BA" w:rsidP="00EF64BA">
      <w:pPr>
        <w:keepNext/>
        <w:spacing w:before="240"/>
        <w:outlineLvl w:val="0"/>
        <w:rPr>
          <w:b/>
          <w:bCs/>
          <w:lang w:val="fr-FR"/>
        </w:rPr>
      </w:pPr>
      <w:r>
        <w:rPr>
          <w:b/>
          <w:bCs/>
          <w:lang w:val="fr"/>
        </w:rPr>
        <w:t>Tableau 2. Activités de maintien du rendement énergétique dans le secteur de l’entretien</w:t>
      </w:r>
    </w:p>
    <w:tbl>
      <w:tblPr>
        <w:tblStyle w:val="TableGrid"/>
        <w:tblW w:w="9356" w:type="dxa"/>
        <w:tblInd w:w="-5" w:type="dxa"/>
        <w:tblLayout w:type="fixed"/>
        <w:tblLook w:val="04A0" w:firstRow="1" w:lastRow="0" w:firstColumn="1" w:lastColumn="0" w:noHBand="0" w:noVBand="1"/>
      </w:tblPr>
      <w:tblGrid>
        <w:gridCol w:w="5387"/>
        <w:gridCol w:w="2835"/>
        <w:gridCol w:w="1134"/>
      </w:tblGrid>
      <w:tr w:rsidR="00EF64BA" w:rsidRPr="00B37E80" w14:paraId="37653CA8" w14:textId="77777777" w:rsidTr="00A27198">
        <w:trPr>
          <w:tblHeader/>
        </w:trPr>
        <w:tc>
          <w:tcPr>
            <w:tcW w:w="5387" w:type="dxa"/>
            <w:vAlign w:val="center"/>
          </w:tcPr>
          <w:bookmarkEnd w:id="3"/>
          <w:p w14:paraId="7BE5F928" w14:textId="77777777" w:rsidR="00EF64BA" w:rsidRPr="00B37E80" w:rsidRDefault="00EF64BA" w:rsidP="00A27198">
            <w:pPr>
              <w:keepNext/>
              <w:jc w:val="center"/>
              <w:rPr>
                <w:b/>
                <w:bCs/>
                <w:sz w:val="20"/>
                <w:szCs w:val="20"/>
              </w:rPr>
            </w:pPr>
            <w:r>
              <w:rPr>
                <w:b/>
                <w:bCs/>
                <w:sz w:val="20"/>
                <w:szCs w:val="20"/>
                <w:lang w:val="fr"/>
              </w:rPr>
              <w:t>Activité</w:t>
            </w:r>
          </w:p>
        </w:tc>
        <w:tc>
          <w:tcPr>
            <w:tcW w:w="2835" w:type="dxa"/>
            <w:vAlign w:val="center"/>
          </w:tcPr>
          <w:p w14:paraId="40945FA7" w14:textId="77777777" w:rsidR="00EF64BA" w:rsidRPr="00B37E80" w:rsidRDefault="00EF64BA" w:rsidP="00A27198">
            <w:pPr>
              <w:keepNext/>
              <w:jc w:val="center"/>
              <w:rPr>
                <w:b/>
                <w:bCs/>
                <w:sz w:val="20"/>
                <w:szCs w:val="20"/>
              </w:rPr>
            </w:pPr>
            <w:r>
              <w:rPr>
                <w:b/>
                <w:bCs/>
                <w:sz w:val="20"/>
                <w:szCs w:val="20"/>
                <w:lang w:val="fr"/>
              </w:rPr>
              <w:t>Indicateurs de performance</w:t>
            </w:r>
          </w:p>
        </w:tc>
        <w:tc>
          <w:tcPr>
            <w:tcW w:w="1134" w:type="dxa"/>
            <w:vAlign w:val="center"/>
          </w:tcPr>
          <w:p w14:paraId="172667B5" w14:textId="77777777" w:rsidR="00EF64BA" w:rsidRPr="00B37E80" w:rsidRDefault="00EF64BA" w:rsidP="00A27198">
            <w:pPr>
              <w:keepNext/>
              <w:jc w:val="center"/>
              <w:rPr>
                <w:b/>
                <w:bCs/>
                <w:sz w:val="20"/>
                <w:szCs w:val="20"/>
              </w:rPr>
            </w:pPr>
            <w:r>
              <w:rPr>
                <w:b/>
                <w:bCs/>
                <w:sz w:val="20"/>
                <w:szCs w:val="20"/>
                <w:lang w:val="fr"/>
              </w:rPr>
              <w:t>Coût ($ US)</w:t>
            </w:r>
          </w:p>
        </w:tc>
      </w:tr>
      <w:tr w:rsidR="00EF64BA" w:rsidRPr="00277197" w14:paraId="1C82487F" w14:textId="77777777" w:rsidTr="00A27198">
        <w:trPr>
          <w:trHeight w:val="75"/>
        </w:trPr>
        <w:tc>
          <w:tcPr>
            <w:tcW w:w="9356" w:type="dxa"/>
            <w:gridSpan w:val="3"/>
            <w:vAlign w:val="center"/>
          </w:tcPr>
          <w:p w14:paraId="41D4D1D2" w14:textId="1E879746" w:rsidR="00EF64BA" w:rsidRPr="00EF64BA" w:rsidRDefault="00EF64BA" w:rsidP="00A27198">
            <w:pPr>
              <w:keepNext/>
              <w:jc w:val="center"/>
              <w:outlineLvl w:val="0"/>
              <w:rPr>
                <w:b/>
                <w:bCs/>
                <w:sz w:val="20"/>
                <w:szCs w:val="20"/>
                <w:lang w:val="fr-FR"/>
              </w:rPr>
            </w:pPr>
            <w:r>
              <w:rPr>
                <w:rFonts w:asciiTheme="majorBidi" w:hAnsiTheme="majorBidi" w:cstheme="majorBidi"/>
                <w:b/>
                <w:bCs/>
                <w:sz w:val="20"/>
                <w:szCs w:val="20"/>
                <w:lang w:val="fr"/>
              </w:rPr>
              <w:t>Coopération inter-agences et renforcement de la capacité des décideurs</w:t>
            </w:r>
            <w:r w:rsidR="00693ECA">
              <w:rPr>
                <w:rFonts w:asciiTheme="majorBidi" w:hAnsiTheme="majorBidi" w:cstheme="majorBidi"/>
                <w:b/>
                <w:bCs/>
                <w:sz w:val="20"/>
                <w:szCs w:val="20"/>
                <w:lang w:val="fr"/>
              </w:rPr>
              <w:t xml:space="preserve"> politiques</w:t>
            </w:r>
          </w:p>
        </w:tc>
      </w:tr>
      <w:tr w:rsidR="00EF64BA" w:rsidRPr="00B37E80" w14:paraId="173948D7" w14:textId="77777777" w:rsidTr="00A27198">
        <w:trPr>
          <w:trHeight w:val="570"/>
        </w:trPr>
        <w:tc>
          <w:tcPr>
            <w:tcW w:w="5387" w:type="dxa"/>
            <w:vMerge w:val="restart"/>
          </w:tcPr>
          <w:p w14:paraId="4D23F67E" w14:textId="7481A873" w:rsidR="00EF64BA" w:rsidRPr="00EF64BA" w:rsidRDefault="00EF64BA" w:rsidP="00A27198">
            <w:pPr>
              <w:keepNext/>
              <w:jc w:val="left"/>
              <w:rPr>
                <w:rFonts w:asciiTheme="majorBidi" w:hAnsiTheme="majorBidi" w:cstheme="majorBidi"/>
                <w:sz w:val="20"/>
                <w:szCs w:val="20"/>
                <w:lang w:val="fr-FR"/>
              </w:rPr>
            </w:pPr>
            <w:r>
              <w:rPr>
                <w:rFonts w:asciiTheme="majorBidi" w:hAnsiTheme="majorBidi" w:cstheme="majorBidi"/>
                <w:sz w:val="20"/>
                <w:szCs w:val="20"/>
                <w:lang w:val="fr"/>
              </w:rPr>
              <w:t xml:space="preserve">Organisation de sessions de dialogue entre les décideurs </w:t>
            </w:r>
            <w:r w:rsidR="00E0353D">
              <w:rPr>
                <w:rFonts w:asciiTheme="majorBidi" w:hAnsiTheme="majorBidi" w:cstheme="majorBidi"/>
                <w:sz w:val="20"/>
                <w:szCs w:val="20"/>
                <w:lang w:val="fr"/>
              </w:rPr>
              <w:t xml:space="preserve">politiques </w:t>
            </w:r>
            <w:r>
              <w:rPr>
                <w:rFonts w:asciiTheme="majorBidi" w:hAnsiTheme="majorBidi" w:cstheme="majorBidi"/>
                <w:sz w:val="20"/>
                <w:szCs w:val="20"/>
                <w:lang w:val="fr"/>
              </w:rPr>
              <w:t xml:space="preserve">en matière </w:t>
            </w:r>
            <w:r w:rsidR="00F97E54">
              <w:rPr>
                <w:rFonts w:asciiTheme="majorBidi" w:hAnsiTheme="majorBidi" w:cstheme="majorBidi"/>
                <w:sz w:val="20"/>
                <w:szCs w:val="20"/>
                <w:lang w:val="fr"/>
              </w:rPr>
              <w:t xml:space="preserve">de rendement </w:t>
            </w:r>
            <w:r>
              <w:rPr>
                <w:rFonts w:asciiTheme="majorBidi" w:hAnsiTheme="majorBidi" w:cstheme="majorBidi"/>
                <w:sz w:val="20"/>
                <w:szCs w:val="20"/>
                <w:lang w:val="fr"/>
              </w:rPr>
              <w:t>énergétique portant sur la façon de promouvoir les équipements de réfrigération et de climatisation à faible PR</w:t>
            </w:r>
            <w:r w:rsidR="00EF1F04">
              <w:rPr>
                <w:rFonts w:asciiTheme="majorBidi" w:hAnsiTheme="majorBidi" w:cstheme="majorBidi"/>
                <w:sz w:val="20"/>
                <w:szCs w:val="20"/>
                <w:lang w:val="fr"/>
              </w:rPr>
              <w:t>P</w:t>
            </w:r>
            <w:r>
              <w:rPr>
                <w:rFonts w:asciiTheme="majorBidi" w:hAnsiTheme="majorBidi" w:cstheme="majorBidi"/>
                <w:sz w:val="20"/>
                <w:szCs w:val="20"/>
                <w:lang w:val="fr"/>
              </w:rPr>
              <w:t xml:space="preserve">, le programme d’étiquetage, et la mise à jour/adoption de normes </w:t>
            </w:r>
            <w:r w:rsidR="00C9226D">
              <w:rPr>
                <w:rFonts w:asciiTheme="majorBidi" w:hAnsiTheme="majorBidi" w:cstheme="majorBidi"/>
                <w:sz w:val="20"/>
                <w:szCs w:val="20"/>
                <w:lang w:val="fr"/>
              </w:rPr>
              <w:t>de rendement</w:t>
            </w:r>
            <w:r>
              <w:rPr>
                <w:rFonts w:asciiTheme="majorBidi" w:hAnsiTheme="majorBidi" w:cstheme="majorBidi"/>
                <w:sz w:val="20"/>
                <w:szCs w:val="20"/>
                <w:lang w:val="fr"/>
              </w:rPr>
              <w:t xml:space="preserve"> énergétique pour les équipements de réfrigération et de climatisation le cas échéant.</w:t>
            </w:r>
          </w:p>
        </w:tc>
        <w:tc>
          <w:tcPr>
            <w:tcW w:w="2835" w:type="dxa"/>
          </w:tcPr>
          <w:p w14:paraId="77B42F1D" w14:textId="5728B4CD" w:rsidR="00EF64BA" w:rsidRPr="00EF64BA" w:rsidRDefault="00EF64BA" w:rsidP="00A27198">
            <w:pPr>
              <w:keepNext/>
              <w:jc w:val="left"/>
              <w:rPr>
                <w:sz w:val="20"/>
                <w:szCs w:val="20"/>
                <w:lang w:val="fr-FR"/>
              </w:rPr>
            </w:pPr>
            <w:r>
              <w:rPr>
                <w:rFonts w:asciiTheme="majorBidi" w:hAnsiTheme="majorBidi" w:cstheme="majorBidi"/>
                <w:sz w:val="20"/>
                <w:szCs w:val="20"/>
                <w:lang w:val="fr"/>
              </w:rPr>
              <w:t>Deux sessions d’information</w:t>
            </w:r>
            <w:r w:rsidR="00797E67">
              <w:rPr>
                <w:rFonts w:asciiTheme="majorBidi" w:hAnsiTheme="majorBidi" w:cstheme="majorBidi"/>
                <w:sz w:val="20"/>
                <w:szCs w:val="20"/>
                <w:lang w:val="fr"/>
              </w:rPr>
              <w:t>, chacune</w:t>
            </w:r>
            <w:r>
              <w:rPr>
                <w:rFonts w:asciiTheme="majorBidi" w:hAnsiTheme="majorBidi" w:cstheme="majorBidi"/>
                <w:sz w:val="20"/>
                <w:szCs w:val="20"/>
                <w:lang w:val="fr"/>
              </w:rPr>
              <w:t xml:space="preserve"> à destination de 20 parties prenantes</w:t>
            </w:r>
          </w:p>
        </w:tc>
        <w:tc>
          <w:tcPr>
            <w:tcW w:w="1134" w:type="dxa"/>
            <w:vMerge w:val="restart"/>
          </w:tcPr>
          <w:p w14:paraId="56806897" w14:textId="77777777" w:rsidR="00EF64BA" w:rsidRPr="00B37E80" w:rsidRDefault="00EF64BA" w:rsidP="00A27198">
            <w:pPr>
              <w:keepNext/>
              <w:jc w:val="right"/>
              <w:rPr>
                <w:sz w:val="20"/>
                <w:szCs w:val="20"/>
              </w:rPr>
            </w:pPr>
            <w:r>
              <w:rPr>
                <w:rFonts w:asciiTheme="majorBidi" w:hAnsiTheme="majorBidi" w:cstheme="majorBidi"/>
                <w:sz w:val="20"/>
                <w:szCs w:val="20"/>
                <w:lang w:val="fr"/>
              </w:rPr>
              <w:t>8 000</w:t>
            </w:r>
          </w:p>
        </w:tc>
      </w:tr>
      <w:tr w:rsidR="00EF64BA" w:rsidRPr="00277197" w14:paraId="1EAE5C47" w14:textId="77777777" w:rsidTr="00A27198">
        <w:trPr>
          <w:trHeight w:val="570"/>
        </w:trPr>
        <w:tc>
          <w:tcPr>
            <w:tcW w:w="5387" w:type="dxa"/>
            <w:vMerge/>
          </w:tcPr>
          <w:p w14:paraId="0BAC2DBC" w14:textId="77777777" w:rsidR="00EF64BA" w:rsidRPr="00B37E80" w:rsidRDefault="00EF64BA" w:rsidP="00A27198">
            <w:pPr>
              <w:jc w:val="left"/>
              <w:rPr>
                <w:rFonts w:asciiTheme="majorBidi" w:hAnsiTheme="majorBidi" w:cstheme="majorBidi"/>
                <w:sz w:val="20"/>
                <w:szCs w:val="20"/>
              </w:rPr>
            </w:pPr>
          </w:p>
        </w:tc>
        <w:tc>
          <w:tcPr>
            <w:tcW w:w="2835" w:type="dxa"/>
          </w:tcPr>
          <w:p w14:paraId="67633FAA" w14:textId="77777777" w:rsidR="00EF64BA" w:rsidRPr="00EF64BA" w:rsidRDefault="00EF64BA" w:rsidP="00A27198">
            <w:pPr>
              <w:jc w:val="left"/>
              <w:rPr>
                <w:sz w:val="20"/>
                <w:szCs w:val="20"/>
                <w:lang w:val="fr-FR"/>
              </w:rPr>
            </w:pPr>
            <w:r>
              <w:rPr>
                <w:rFonts w:asciiTheme="majorBidi" w:hAnsiTheme="majorBidi" w:cstheme="majorBidi"/>
                <w:sz w:val="20"/>
                <w:szCs w:val="20"/>
                <w:lang w:val="fr"/>
              </w:rPr>
              <w:t>Rapport sur les conclusions et recommandations</w:t>
            </w:r>
          </w:p>
        </w:tc>
        <w:tc>
          <w:tcPr>
            <w:tcW w:w="1134" w:type="dxa"/>
            <w:vMerge/>
          </w:tcPr>
          <w:p w14:paraId="658E49B4" w14:textId="77777777" w:rsidR="00EF64BA" w:rsidRPr="00EF64BA" w:rsidRDefault="00EF64BA" w:rsidP="00A27198">
            <w:pPr>
              <w:jc w:val="right"/>
              <w:rPr>
                <w:sz w:val="20"/>
                <w:szCs w:val="20"/>
                <w:lang w:val="fr-FR"/>
              </w:rPr>
            </w:pPr>
          </w:p>
        </w:tc>
      </w:tr>
      <w:tr w:rsidR="00EF64BA" w:rsidRPr="00B37E80" w14:paraId="64F781CA" w14:textId="77777777" w:rsidTr="00A27198">
        <w:tc>
          <w:tcPr>
            <w:tcW w:w="5387" w:type="dxa"/>
          </w:tcPr>
          <w:p w14:paraId="2216DA20" w14:textId="52F8B1D6" w:rsidR="00EF64BA" w:rsidRPr="00EF64BA" w:rsidRDefault="00EF64BA" w:rsidP="00A27198">
            <w:pPr>
              <w:jc w:val="left"/>
              <w:rPr>
                <w:sz w:val="20"/>
                <w:szCs w:val="20"/>
                <w:lang w:val="fr-FR"/>
              </w:rPr>
            </w:pPr>
            <w:r>
              <w:rPr>
                <w:rFonts w:asciiTheme="majorBidi" w:hAnsiTheme="majorBidi" w:cstheme="majorBidi"/>
                <w:sz w:val="20"/>
                <w:szCs w:val="20"/>
                <w:lang w:val="fr"/>
              </w:rPr>
              <w:t xml:space="preserve">Définition de stratégies avec le soutien des décideurs en matière </w:t>
            </w:r>
            <w:r w:rsidR="00AF2669">
              <w:rPr>
                <w:rFonts w:asciiTheme="majorBidi" w:hAnsiTheme="majorBidi" w:cstheme="majorBidi"/>
                <w:sz w:val="20"/>
                <w:szCs w:val="20"/>
                <w:lang w:val="fr"/>
              </w:rPr>
              <w:t>de rendement</w:t>
            </w:r>
            <w:r>
              <w:rPr>
                <w:rFonts w:asciiTheme="majorBidi" w:hAnsiTheme="majorBidi" w:cstheme="majorBidi"/>
                <w:sz w:val="20"/>
                <w:szCs w:val="20"/>
                <w:lang w:val="fr"/>
              </w:rPr>
              <w:t xml:space="preserve"> énergétique afin d’améliorer l’</w:t>
            </w:r>
            <w:r w:rsidR="007848AB">
              <w:rPr>
                <w:rFonts w:asciiTheme="majorBidi" w:hAnsiTheme="majorBidi" w:cstheme="majorBidi"/>
                <w:sz w:val="20"/>
                <w:szCs w:val="20"/>
                <w:lang w:val="fr"/>
              </w:rPr>
              <w:t>étiquetage</w:t>
            </w:r>
            <w:r>
              <w:rPr>
                <w:rFonts w:asciiTheme="majorBidi" w:hAnsiTheme="majorBidi" w:cstheme="majorBidi"/>
                <w:sz w:val="20"/>
                <w:szCs w:val="20"/>
                <w:lang w:val="fr"/>
              </w:rPr>
              <w:t xml:space="preserve"> relatif </w:t>
            </w:r>
            <w:r w:rsidR="00AF2669">
              <w:rPr>
                <w:rFonts w:asciiTheme="majorBidi" w:hAnsiTheme="majorBidi" w:cstheme="majorBidi"/>
                <w:sz w:val="20"/>
                <w:szCs w:val="20"/>
                <w:lang w:val="fr"/>
              </w:rPr>
              <w:t>au rendement</w:t>
            </w:r>
            <w:r>
              <w:rPr>
                <w:rFonts w:asciiTheme="majorBidi" w:hAnsiTheme="majorBidi" w:cstheme="majorBidi"/>
                <w:sz w:val="20"/>
                <w:szCs w:val="20"/>
                <w:lang w:val="fr"/>
              </w:rPr>
              <w:t xml:space="preserve"> énergétique et les normes de performance énergétique minimale (MEPS) des équipements de réfrigération et de climatisation</w:t>
            </w:r>
          </w:p>
        </w:tc>
        <w:tc>
          <w:tcPr>
            <w:tcW w:w="2835" w:type="dxa"/>
          </w:tcPr>
          <w:p w14:paraId="61BAB84B" w14:textId="2E163803" w:rsidR="00EF64BA" w:rsidRPr="00EF64BA" w:rsidRDefault="00EF64BA" w:rsidP="00A27198">
            <w:pPr>
              <w:jc w:val="left"/>
              <w:rPr>
                <w:sz w:val="20"/>
                <w:szCs w:val="20"/>
                <w:lang w:val="fr-FR"/>
              </w:rPr>
            </w:pPr>
            <w:r>
              <w:rPr>
                <w:rFonts w:asciiTheme="majorBidi" w:hAnsiTheme="majorBidi" w:cstheme="majorBidi"/>
                <w:sz w:val="20"/>
                <w:szCs w:val="20"/>
                <w:lang w:val="fr"/>
              </w:rPr>
              <w:t xml:space="preserve">Un rapport sur les conclusions et recommandations portant sur l’amélioration des politiques en matière </w:t>
            </w:r>
            <w:r w:rsidR="0087351C">
              <w:rPr>
                <w:rFonts w:asciiTheme="majorBidi" w:hAnsiTheme="majorBidi" w:cstheme="majorBidi"/>
                <w:sz w:val="20"/>
                <w:szCs w:val="20"/>
                <w:lang w:val="fr"/>
              </w:rPr>
              <w:t xml:space="preserve">de rendement </w:t>
            </w:r>
            <w:r>
              <w:rPr>
                <w:rFonts w:asciiTheme="majorBidi" w:hAnsiTheme="majorBidi" w:cstheme="majorBidi"/>
                <w:sz w:val="20"/>
                <w:szCs w:val="20"/>
                <w:lang w:val="fr"/>
              </w:rPr>
              <w:t>énergétique</w:t>
            </w:r>
          </w:p>
        </w:tc>
        <w:tc>
          <w:tcPr>
            <w:tcW w:w="1134" w:type="dxa"/>
          </w:tcPr>
          <w:p w14:paraId="533CF7B3" w14:textId="77777777" w:rsidR="00EF64BA" w:rsidRPr="00B37E80" w:rsidRDefault="00EF64BA" w:rsidP="00A27198">
            <w:pPr>
              <w:jc w:val="right"/>
              <w:rPr>
                <w:sz w:val="20"/>
                <w:szCs w:val="20"/>
              </w:rPr>
            </w:pPr>
            <w:r>
              <w:rPr>
                <w:rFonts w:asciiTheme="majorBidi" w:hAnsiTheme="majorBidi" w:cstheme="majorBidi"/>
                <w:sz w:val="20"/>
                <w:szCs w:val="20"/>
                <w:lang w:val="fr"/>
              </w:rPr>
              <w:t>10 000</w:t>
            </w:r>
          </w:p>
        </w:tc>
      </w:tr>
      <w:tr w:rsidR="00EF64BA" w:rsidRPr="00B37E80" w14:paraId="493D829D" w14:textId="77777777" w:rsidTr="00A27198">
        <w:tc>
          <w:tcPr>
            <w:tcW w:w="5387" w:type="dxa"/>
          </w:tcPr>
          <w:p w14:paraId="063B1494" w14:textId="5FF6A31E" w:rsidR="00EF64BA" w:rsidRPr="00EF64BA" w:rsidRDefault="00EF64BA" w:rsidP="00A27198">
            <w:pPr>
              <w:jc w:val="left"/>
              <w:rPr>
                <w:rFonts w:asciiTheme="majorBidi" w:hAnsiTheme="majorBidi" w:cstheme="majorBidi"/>
                <w:sz w:val="20"/>
                <w:szCs w:val="20"/>
                <w:lang w:val="fr-FR"/>
              </w:rPr>
            </w:pPr>
            <w:r>
              <w:rPr>
                <w:rFonts w:asciiTheme="majorBidi" w:hAnsiTheme="majorBidi" w:cstheme="majorBidi"/>
                <w:sz w:val="20"/>
                <w:szCs w:val="20"/>
                <w:lang w:val="fr"/>
              </w:rPr>
              <w:t xml:space="preserve">Réalisation d’ateliers de formation à destination des importateurs portant sur l’inspection des produits utilisant des frigorigènes à faible PRP et leur classification en matière </w:t>
            </w:r>
            <w:r w:rsidR="0067440B">
              <w:rPr>
                <w:rFonts w:asciiTheme="majorBidi" w:hAnsiTheme="majorBidi" w:cstheme="majorBidi"/>
                <w:sz w:val="20"/>
                <w:szCs w:val="20"/>
                <w:lang w:val="fr"/>
              </w:rPr>
              <w:t>de rendement</w:t>
            </w:r>
            <w:r>
              <w:rPr>
                <w:rFonts w:asciiTheme="majorBidi" w:hAnsiTheme="majorBidi" w:cstheme="majorBidi"/>
                <w:sz w:val="20"/>
                <w:szCs w:val="20"/>
                <w:lang w:val="fr"/>
              </w:rPr>
              <w:t xml:space="preserve"> énergétique</w:t>
            </w:r>
          </w:p>
        </w:tc>
        <w:tc>
          <w:tcPr>
            <w:tcW w:w="2835" w:type="dxa"/>
          </w:tcPr>
          <w:p w14:paraId="23911E5A" w14:textId="77777777" w:rsidR="00EF64BA" w:rsidRPr="00EF64BA" w:rsidRDefault="00EF64BA" w:rsidP="00A27198">
            <w:pPr>
              <w:jc w:val="left"/>
              <w:rPr>
                <w:rFonts w:asciiTheme="majorBidi" w:hAnsiTheme="majorBidi" w:cstheme="majorBidi"/>
                <w:sz w:val="20"/>
                <w:szCs w:val="20"/>
                <w:lang w:val="fr-FR"/>
              </w:rPr>
            </w:pPr>
            <w:r>
              <w:rPr>
                <w:rFonts w:asciiTheme="majorBidi" w:hAnsiTheme="majorBidi" w:cstheme="majorBidi"/>
                <w:sz w:val="20"/>
                <w:szCs w:val="20"/>
                <w:lang w:val="fr"/>
              </w:rPr>
              <w:t>Un atelier à destination des importateurs</w:t>
            </w:r>
          </w:p>
        </w:tc>
        <w:tc>
          <w:tcPr>
            <w:tcW w:w="1134" w:type="dxa"/>
          </w:tcPr>
          <w:p w14:paraId="11461919" w14:textId="77777777" w:rsidR="00EF64BA" w:rsidRPr="00B37E80" w:rsidRDefault="00EF64BA" w:rsidP="00A27198">
            <w:pPr>
              <w:jc w:val="right"/>
              <w:rPr>
                <w:rFonts w:asciiTheme="majorBidi" w:hAnsiTheme="majorBidi" w:cstheme="majorBidi"/>
                <w:sz w:val="20"/>
                <w:szCs w:val="20"/>
              </w:rPr>
            </w:pPr>
            <w:r>
              <w:rPr>
                <w:rFonts w:asciiTheme="majorBidi" w:hAnsiTheme="majorBidi" w:cstheme="majorBidi"/>
                <w:sz w:val="20"/>
                <w:szCs w:val="20"/>
                <w:lang w:val="fr"/>
              </w:rPr>
              <w:t>3 000</w:t>
            </w:r>
          </w:p>
        </w:tc>
      </w:tr>
      <w:tr w:rsidR="00EF64BA" w:rsidRPr="00B37E80" w14:paraId="1902FD18" w14:textId="77777777" w:rsidTr="00A27198">
        <w:tc>
          <w:tcPr>
            <w:tcW w:w="5387" w:type="dxa"/>
          </w:tcPr>
          <w:p w14:paraId="57C89328" w14:textId="2E500856" w:rsidR="00EF64BA" w:rsidRPr="00EF64BA" w:rsidRDefault="00EF64BA" w:rsidP="00A27198">
            <w:pPr>
              <w:jc w:val="left"/>
              <w:rPr>
                <w:rFonts w:asciiTheme="majorBidi" w:hAnsiTheme="majorBidi" w:cstheme="majorBidi"/>
                <w:sz w:val="20"/>
                <w:szCs w:val="20"/>
                <w:lang w:val="fr-FR"/>
              </w:rPr>
            </w:pPr>
            <w:r>
              <w:rPr>
                <w:rFonts w:asciiTheme="majorBidi" w:hAnsiTheme="majorBidi" w:cstheme="majorBidi"/>
                <w:sz w:val="20"/>
                <w:szCs w:val="20"/>
                <w:lang w:val="fr"/>
              </w:rPr>
              <w:t xml:space="preserve">Réalisation d’ateliers de formation à destination des autorités douanières et commerciales portant sur la </w:t>
            </w:r>
            <w:r w:rsidR="001F5B4A">
              <w:rPr>
                <w:rFonts w:asciiTheme="majorBidi" w:hAnsiTheme="majorBidi" w:cstheme="majorBidi"/>
                <w:sz w:val="20"/>
                <w:szCs w:val="20"/>
                <w:lang w:val="fr"/>
              </w:rPr>
              <w:t>surveillance</w:t>
            </w:r>
            <w:r>
              <w:rPr>
                <w:rFonts w:asciiTheme="majorBidi" w:hAnsiTheme="majorBidi" w:cstheme="majorBidi"/>
                <w:sz w:val="20"/>
                <w:szCs w:val="20"/>
                <w:lang w:val="fr"/>
              </w:rPr>
              <w:t xml:space="preserve"> et l’inspection des produits utilisant des frigorigènes à faible PRP et leur classification en matière </w:t>
            </w:r>
            <w:r w:rsidR="00E43D85">
              <w:rPr>
                <w:rFonts w:asciiTheme="majorBidi" w:hAnsiTheme="majorBidi" w:cstheme="majorBidi"/>
                <w:sz w:val="20"/>
                <w:szCs w:val="20"/>
                <w:lang w:val="fr"/>
              </w:rPr>
              <w:t>de rendement</w:t>
            </w:r>
            <w:r>
              <w:rPr>
                <w:rFonts w:asciiTheme="majorBidi" w:hAnsiTheme="majorBidi" w:cstheme="majorBidi"/>
                <w:sz w:val="20"/>
                <w:szCs w:val="20"/>
                <w:lang w:val="fr"/>
              </w:rPr>
              <w:t xml:space="preserve"> énergétique </w:t>
            </w:r>
          </w:p>
        </w:tc>
        <w:tc>
          <w:tcPr>
            <w:tcW w:w="2835" w:type="dxa"/>
          </w:tcPr>
          <w:p w14:paraId="44C2425E" w14:textId="54E84BA4" w:rsidR="00EF64BA" w:rsidRPr="00EF64BA" w:rsidRDefault="00EF64BA" w:rsidP="00A27198">
            <w:pPr>
              <w:jc w:val="left"/>
              <w:rPr>
                <w:rFonts w:asciiTheme="majorBidi" w:hAnsiTheme="majorBidi" w:cstheme="majorBidi"/>
                <w:sz w:val="20"/>
                <w:szCs w:val="20"/>
                <w:lang w:val="fr-FR"/>
              </w:rPr>
            </w:pPr>
            <w:r>
              <w:rPr>
                <w:rFonts w:asciiTheme="majorBidi" w:hAnsiTheme="majorBidi" w:cstheme="majorBidi"/>
                <w:sz w:val="20"/>
                <w:szCs w:val="20"/>
                <w:lang w:val="fr"/>
              </w:rPr>
              <w:t>Trois ateliers</w:t>
            </w:r>
            <w:r w:rsidR="00BC41BE">
              <w:rPr>
                <w:rFonts w:asciiTheme="majorBidi" w:hAnsiTheme="majorBidi" w:cstheme="majorBidi"/>
                <w:sz w:val="20"/>
                <w:szCs w:val="20"/>
                <w:lang w:val="fr"/>
              </w:rPr>
              <w:t>, chacun</w:t>
            </w:r>
            <w:r>
              <w:rPr>
                <w:rFonts w:asciiTheme="majorBidi" w:hAnsiTheme="majorBidi" w:cstheme="majorBidi"/>
                <w:sz w:val="20"/>
                <w:szCs w:val="20"/>
                <w:lang w:val="fr"/>
              </w:rPr>
              <w:t xml:space="preserve"> à destination de 30 représentants des autorités douanières et commerciales</w:t>
            </w:r>
          </w:p>
        </w:tc>
        <w:tc>
          <w:tcPr>
            <w:tcW w:w="1134" w:type="dxa"/>
          </w:tcPr>
          <w:p w14:paraId="6B78EC02" w14:textId="77777777" w:rsidR="00EF64BA" w:rsidRPr="00B37E80" w:rsidRDefault="00EF64BA" w:rsidP="00A27198">
            <w:pPr>
              <w:jc w:val="right"/>
              <w:rPr>
                <w:rFonts w:asciiTheme="majorBidi" w:hAnsiTheme="majorBidi" w:cstheme="majorBidi"/>
                <w:sz w:val="20"/>
                <w:szCs w:val="20"/>
              </w:rPr>
            </w:pPr>
            <w:r>
              <w:rPr>
                <w:rFonts w:asciiTheme="majorBidi" w:hAnsiTheme="majorBidi" w:cstheme="majorBidi"/>
                <w:sz w:val="20"/>
                <w:szCs w:val="20"/>
                <w:lang w:val="fr"/>
              </w:rPr>
              <w:t>9 000</w:t>
            </w:r>
          </w:p>
        </w:tc>
      </w:tr>
      <w:tr w:rsidR="00EF64BA" w:rsidRPr="00B37E80" w14:paraId="1B8D421B" w14:textId="77777777" w:rsidTr="00A27198">
        <w:tc>
          <w:tcPr>
            <w:tcW w:w="8222" w:type="dxa"/>
            <w:gridSpan w:val="2"/>
          </w:tcPr>
          <w:p w14:paraId="22B438A5" w14:textId="77777777" w:rsidR="00EF64BA" w:rsidRPr="00B37E80" w:rsidRDefault="00EF64BA" w:rsidP="00A27198">
            <w:pPr>
              <w:ind w:left="457"/>
              <w:jc w:val="left"/>
              <w:rPr>
                <w:b/>
                <w:bCs/>
                <w:sz w:val="20"/>
                <w:szCs w:val="20"/>
              </w:rPr>
            </w:pPr>
            <w:r>
              <w:rPr>
                <w:b/>
                <w:bCs/>
                <w:sz w:val="20"/>
                <w:szCs w:val="20"/>
                <w:lang w:val="fr"/>
              </w:rPr>
              <w:t>Total partiel</w:t>
            </w:r>
          </w:p>
        </w:tc>
        <w:tc>
          <w:tcPr>
            <w:tcW w:w="1134" w:type="dxa"/>
          </w:tcPr>
          <w:p w14:paraId="76EDCAE2" w14:textId="77777777" w:rsidR="00EF64BA" w:rsidRPr="00B37E80" w:rsidRDefault="00EF64BA" w:rsidP="00A27198">
            <w:pPr>
              <w:jc w:val="right"/>
              <w:rPr>
                <w:b/>
                <w:bCs/>
                <w:sz w:val="20"/>
                <w:szCs w:val="20"/>
              </w:rPr>
            </w:pPr>
            <w:r>
              <w:rPr>
                <w:rFonts w:asciiTheme="majorBidi" w:hAnsiTheme="majorBidi" w:cstheme="majorBidi"/>
                <w:b/>
                <w:bCs/>
                <w:sz w:val="20"/>
                <w:szCs w:val="20"/>
                <w:lang w:val="fr"/>
              </w:rPr>
              <w:t>30 000</w:t>
            </w:r>
          </w:p>
        </w:tc>
      </w:tr>
      <w:tr w:rsidR="00EF64BA" w:rsidRPr="00277197" w14:paraId="17046D5E" w14:textId="77777777" w:rsidTr="00A27198">
        <w:trPr>
          <w:trHeight w:val="54"/>
        </w:trPr>
        <w:tc>
          <w:tcPr>
            <w:tcW w:w="9356" w:type="dxa"/>
            <w:gridSpan w:val="3"/>
            <w:vAlign w:val="center"/>
          </w:tcPr>
          <w:p w14:paraId="152DBEFB" w14:textId="460C9B6F" w:rsidR="00EF64BA" w:rsidRPr="00EF64BA" w:rsidRDefault="00EF64BA" w:rsidP="00A27198">
            <w:pPr>
              <w:ind w:left="317"/>
              <w:jc w:val="center"/>
              <w:rPr>
                <w:b/>
                <w:bCs/>
                <w:sz w:val="20"/>
                <w:szCs w:val="20"/>
                <w:lang w:val="fr-FR"/>
              </w:rPr>
            </w:pPr>
            <w:r>
              <w:rPr>
                <w:rFonts w:asciiTheme="majorBidi" w:hAnsiTheme="majorBidi" w:cstheme="majorBidi"/>
                <w:b/>
                <w:bCs/>
                <w:sz w:val="20"/>
                <w:szCs w:val="20"/>
                <w:lang w:val="fr"/>
              </w:rPr>
              <w:t>Renforcement de la capacité et formation sur l</w:t>
            </w:r>
            <w:r w:rsidR="00C21D19">
              <w:rPr>
                <w:rFonts w:asciiTheme="majorBidi" w:hAnsiTheme="majorBidi" w:cstheme="majorBidi"/>
                <w:b/>
                <w:bCs/>
                <w:sz w:val="20"/>
                <w:szCs w:val="20"/>
                <w:lang w:val="fr"/>
              </w:rPr>
              <w:t xml:space="preserve">e </w:t>
            </w:r>
            <w:r w:rsidR="00C21D19" w:rsidRPr="00D11D57">
              <w:rPr>
                <w:rFonts w:asciiTheme="majorBidi" w:hAnsiTheme="majorBidi" w:cstheme="majorBidi"/>
                <w:b/>
                <w:bCs/>
                <w:sz w:val="20"/>
                <w:szCs w:val="20"/>
                <w:lang w:val="fr"/>
              </w:rPr>
              <w:t xml:space="preserve">rendement </w:t>
            </w:r>
            <w:r>
              <w:rPr>
                <w:rFonts w:asciiTheme="majorBidi" w:hAnsiTheme="majorBidi" w:cstheme="majorBidi"/>
                <w:b/>
                <w:bCs/>
                <w:sz w:val="20"/>
                <w:szCs w:val="20"/>
                <w:lang w:val="fr"/>
              </w:rPr>
              <w:t>énergétique</w:t>
            </w:r>
          </w:p>
        </w:tc>
      </w:tr>
      <w:tr w:rsidR="00EF64BA" w:rsidRPr="00B37E80" w14:paraId="03BBF67B" w14:textId="77777777" w:rsidTr="00A27198">
        <w:trPr>
          <w:trHeight w:val="229"/>
        </w:trPr>
        <w:tc>
          <w:tcPr>
            <w:tcW w:w="5387" w:type="dxa"/>
            <w:vMerge w:val="restart"/>
          </w:tcPr>
          <w:p w14:paraId="1FE45BE2" w14:textId="0C75984D" w:rsidR="00EF64BA" w:rsidRPr="00EF64BA" w:rsidRDefault="006D35BC" w:rsidP="00A27198">
            <w:pPr>
              <w:jc w:val="left"/>
              <w:rPr>
                <w:rFonts w:asciiTheme="majorBidi" w:hAnsiTheme="majorBidi" w:cstheme="majorBidi"/>
                <w:sz w:val="20"/>
                <w:szCs w:val="20"/>
                <w:lang w:val="fr-FR"/>
              </w:rPr>
            </w:pPr>
            <w:r>
              <w:rPr>
                <w:rFonts w:asciiTheme="majorBidi" w:hAnsiTheme="majorBidi" w:cstheme="majorBidi"/>
                <w:sz w:val="20"/>
                <w:szCs w:val="20"/>
                <w:lang w:val="fr"/>
              </w:rPr>
              <w:t>Projet d’</w:t>
            </w:r>
            <w:r w:rsidR="00EF64BA">
              <w:rPr>
                <w:rFonts w:asciiTheme="majorBidi" w:hAnsiTheme="majorBidi" w:cstheme="majorBidi"/>
                <w:sz w:val="20"/>
                <w:szCs w:val="20"/>
                <w:lang w:val="fr"/>
              </w:rPr>
              <w:t xml:space="preserve">étude théorique </w:t>
            </w:r>
            <w:r w:rsidR="00302F66">
              <w:rPr>
                <w:rFonts w:asciiTheme="majorBidi" w:hAnsiTheme="majorBidi" w:cstheme="majorBidi"/>
                <w:sz w:val="20"/>
                <w:szCs w:val="20"/>
                <w:lang w:val="fr"/>
              </w:rPr>
              <w:t>afin d’</w:t>
            </w:r>
            <w:r w:rsidR="00EF64BA">
              <w:rPr>
                <w:rFonts w:asciiTheme="majorBidi" w:hAnsiTheme="majorBidi" w:cstheme="majorBidi"/>
                <w:sz w:val="20"/>
                <w:szCs w:val="20"/>
                <w:lang w:val="fr"/>
              </w:rPr>
              <w:t>identifi</w:t>
            </w:r>
            <w:r w:rsidR="00302F66">
              <w:rPr>
                <w:rFonts w:asciiTheme="majorBidi" w:hAnsiTheme="majorBidi" w:cstheme="majorBidi"/>
                <w:sz w:val="20"/>
                <w:szCs w:val="20"/>
                <w:lang w:val="fr"/>
              </w:rPr>
              <w:t>er l</w:t>
            </w:r>
            <w:r w:rsidR="00EF64BA">
              <w:rPr>
                <w:rFonts w:asciiTheme="majorBidi" w:hAnsiTheme="majorBidi" w:cstheme="majorBidi"/>
                <w:sz w:val="20"/>
                <w:szCs w:val="20"/>
                <w:lang w:val="fr"/>
              </w:rPr>
              <w:t xml:space="preserve">es aspects à </w:t>
            </w:r>
            <w:r w:rsidR="00541CF3">
              <w:rPr>
                <w:rFonts w:asciiTheme="majorBidi" w:hAnsiTheme="majorBidi" w:cstheme="majorBidi"/>
                <w:sz w:val="20"/>
                <w:szCs w:val="20"/>
                <w:lang w:val="fr"/>
              </w:rPr>
              <w:t>intégrer</w:t>
            </w:r>
            <w:r w:rsidR="00EF64BA">
              <w:rPr>
                <w:rFonts w:asciiTheme="majorBidi" w:hAnsiTheme="majorBidi" w:cstheme="majorBidi"/>
                <w:sz w:val="20"/>
                <w:szCs w:val="20"/>
                <w:lang w:val="fr"/>
              </w:rPr>
              <w:t xml:space="preserve"> dans le</w:t>
            </w:r>
            <w:r w:rsidR="00165D8F">
              <w:rPr>
                <w:rFonts w:asciiTheme="majorBidi" w:hAnsiTheme="majorBidi" w:cstheme="majorBidi"/>
                <w:sz w:val="20"/>
                <w:szCs w:val="20"/>
                <w:lang w:val="fr"/>
              </w:rPr>
              <w:t>s</w:t>
            </w:r>
            <w:r w:rsidR="00EF64BA">
              <w:rPr>
                <w:rFonts w:asciiTheme="majorBidi" w:hAnsiTheme="majorBidi" w:cstheme="majorBidi"/>
                <w:sz w:val="20"/>
                <w:szCs w:val="20"/>
                <w:lang w:val="fr"/>
              </w:rPr>
              <w:t xml:space="preserve"> programme</w:t>
            </w:r>
            <w:r w:rsidR="00165D8F">
              <w:rPr>
                <w:rFonts w:asciiTheme="majorBidi" w:hAnsiTheme="majorBidi" w:cstheme="majorBidi"/>
                <w:sz w:val="20"/>
                <w:szCs w:val="20"/>
                <w:lang w:val="fr"/>
              </w:rPr>
              <w:t>s</w:t>
            </w:r>
            <w:r w:rsidR="00EF64BA">
              <w:rPr>
                <w:rFonts w:asciiTheme="majorBidi" w:hAnsiTheme="majorBidi" w:cstheme="majorBidi"/>
                <w:sz w:val="20"/>
                <w:szCs w:val="20"/>
                <w:lang w:val="fr"/>
              </w:rPr>
              <w:t xml:space="preserve"> proposé</w:t>
            </w:r>
            <w:r w:rsidR="00A263A5">
              <w:rPr>
                <w:rFonts w:asciiTheme="majorBidi" w:hAnsiTheme="majorBidi" w:cstheme="majorBidi"/>
                <w:sz w:val="20"/>
                <w:szCs w:val="20"/>
                <w:lang w:val="fr"/>
              </w:rPr>
              <w:t>s</w:t>
            </w:r>
            <w:r w:rsidR="00EF64BA">
              <w:rPr>
                <w:rFonts w:asciiTheme="majorBidi" w:hAnsiTheme="majorBidi" w:cstheme="majorBidi"/>
                <w:sz w:val="20"/>
                <w:szCs w:val="20"/>
                <w:lang w:val="fr"/>
              </w:rPr>
              <w:t xml:space="preserve"> </w:t>
            </w:r>
            <w:r w:rsidR="00A94178">
              <w:rPr>
                <w:rFonts w:asciiTheme="majorBidi" w:hAnsiTheme="majorBidi" w:cstheme="majorBidi"/>
                <w:sz w:val="20"/>
                <w:szCs w:val="20"/>
                <w:lang w:val="fr"/>
              </w:rPr>
              <w:t>par les</w:t>
            </w:r>
            <w:r w:rsidR="007848AB">
              <w:rPr>
                <w:rFonts w:asciiTheme="majorBidi" w:hAnsiTheme="majorBidi" w:cstheme="majorBidi"/>
                <w:sz w:val="20"/>
                <w:szCs w:val="20"/>
                <w:lang w:val="fr"/>
              </w:rPr>
              <w:t xml:space="preserve"> centres</w:t>
            </w:r>
            <w:r w:rsidR="00EF64BA">
              <w:rPr>
                <w:rFonts w:asciiTheme="majorBidi" w:hAnsiTheme="majorBidi" w:cstheme="majorBidi"/>
                <w:sz w:val="20"/>
                <w:szCs w:val="20"/>
                <w:lang w:val="fr"/>
              </w:rPr>
              <w:t xml:space="preserve"> de formation professionnelle et </w:t>
            </w:r>
            <w:r w:rsidR="00FA245C">
              <w:rPr>
                <w:rFonts w:asciiTheme="majorBidi" w:hAnsiTheme="majorBidi" w:cstheme="majorBidi"/>
                <w:sz w:val="20"/>
                <w:szCs w:val="20"/>
                <w:lang w:val="fr"/>
              </w:rPr>
              <w:t>les</w:t>
            </w:r>
            <w:r w:rsidR="00EF64BA">
              <w:rPr>
                <w:rFonts w:asciiTheme="majorBidi" w:hAnsiTheme="majorBidi" w:cstheme="majorBidi"/>
                <w:sz w:val="20"/>
                <w:szCs w:val="20"/>
                <w:lang w:val="fr"/>
              </w:rPr>
              <w:t xml:space="preserve"> écoles afin de limiter la </w:t>
            </w:r>
            <w:r w:rsidR="002464F0">
              <w:rPr>
                <w:rFonts w:asciiTheme="majorBidi" w:hAnsiTheme="majorBidi" w:cstheme="majorBidi"/>
                <w:sz w:val="20"/>
                <w:szCs w:val="20"/>
                <w:lang w:val="fr"/>
              </w:rPr>
              <w:t>déperdition</w:t>
            </w:r>
            <w:r w:rsidR="00EF64BA">
              <w:rPr>
                <w:rFonts w:asciiTheme="majorBidi" w:hAnsiTheme="majorBidi" w:cstheme="majorBidi"/>
                <w:sz w:val="20"/>
                <w:szCs w:val="20"/>
                <w:lang w:val="fr"/>
              </w:rPr>
              <w:t xml:space="preserve"> </w:t>
            </w:r>
            <w:r w:rsidR="00A4647E">
              <w:rPr>
                <w:rFonts w:asciiTheme="majorBidi" w:hAnsiTheme="majorBidi" w:cstheme="majorBidi"/>
                <w:sz w:val="20"/>
                <w:szCs w:val="20"/>
                <w:lang w:val="fr"/>
              </w:rPr>
              <w:t>du rendement</w:t>
            </w:r>
            <w:r w:rsidR="00EF64BA">
              <w:rPr>
                <w:rFonts w:asciiTheme="majorBidi" w:hAnsiTheme="majorBidi" w:cstheme="majorBidi"/>
                <w:sz w:val="20"/>
                <w:szCs w:val="20"/>
                <w:lang w:val="fr"/>
              </w:rPr>
              <w:t xml:space="preserve"> énergétique des équipements de réfrigération et de climatisation durant les activités d’entretien</w:t>
            </w:r>
            <w:r w:rsidR="00162675">
              <w:rPr>
                <w:rFonts w:asciiTheme="majorBidi" w:hAnsiTheme="majorBidi" w:cstheme="majorBidi"/>
                <w:sz w:val="20"/>
                <w:szCs w:val="20"/>
                <w:lang w:val="fr"/>
              </w:rPr>
              <w:t>.</w:t>
            </w:r>
            <w:r w:rsidR="00EF64BA">
              <w:rPr>
                <w:rFonts w:asciiTheme="majorBidi" w:hAnsiTheme="majorBidi" w:cstheme="majorBidi"/>
                <w:sz w:val="20"/>
                <w:szCs w:val="20"/>
                <w:lang w:val="fr"/>
              </w:rPr>
              <w:t xml:space="preserve"> Proposition de programme</w:t>
            </w:r>
            <w:r w:rsidR="00AD6771">
              <w:rPr>
                <w:rFonts w:asciiTheme="majorBidi" w:hAnsiTheme="majorBidi" w:cstheme="majorBidi"/>
                <w:sz w:val="20"/>
                <w:szCs w:val="20"/>
                <w:lang w:val="fr"/>
              </w:rPr>
              <w:t>s</w:t>
            </w:r>
            <w:r w:rsidR="00EF64BA">
              <w:rPr>
                <w:rFonts w:asciiTheme="majorBidi" w:hAnsiTheme="majorBidi" w:cstheme="majorBidi"/>
                <w:sz w:val="20"/>
                <w:szCs w:val="20"/>
                <w:lang w:val="fr"/>
              </w:rPr>
              <w:t xml:space="preserve"> de formation</w:t>
            </w:r>
            <w:r w:rsidR="00AD6771">
              <w:rPr>
                <w:rFonts w:asciiTheme="majorBidi" w:hAnsiTheme="majorBidi" w:cstheme="majorBidi"/>
                <w:sz w:val="20"/>
                <w:szCs w:val="20"/>
                <w:lang w:val="fr"/>
              </w:rPr>
              <w:t>.</w:t>
            </w:r>
          </w:p>
        </w:tc>
        <w:tc>
          <w:tcPr>
            <w:tcW w:w="2835" w:type="dxa"/>
          </w:tcPr>
          <w:p w14:paraId="16A5B170" w14:textId="77777777" w:rsidR="00EF64BA" w:rsidRPr="00EF64BA" w:rsidRDefault="00EF64BA" w:rsidP="00A27198">
            <w:pPr>
              <w:ind w:right="-130"/>
              <w:contextualSpacing/>
              <w:jc w:val="left"/>
              <w:rPr>
                <w:sz w:val="20"/>
                <w:szCs w:val="20"/>
                <w:lang w:val="fr-FR"/>
              </w:rPr>
            </w:pPr>
            <w:r>
              <w:rPr>
                <w:rFonts w:asciiTheme="majorBidi" w:hAnsiTheme="majorBidi" w:cstheme="majorBidi"/>
                <w:sz w:val="20"/>
                <w:szCs w:val="20"/>
                <w:lang w:val="fr"/>
              </w:rPr>
              <w:t>Un rapport sur les conclusions et recommandations</w:t>
            </w:r>
          </w:p>
        </w:tc>
        <w:tc>
          <w:tcPr>
            <w:tcW w:w="1134" w:type="dxa"/>
            <w:vMerge w:val="restart"/>
          </w:tcPr>
          <w:p w14:paraId="6D94E256" w14:textId="77777777" w:rsidR="00EF64BA" w:rsidRPr="00B37E80" w:rsidRDefault="00EF64BA" w:rsidP="00A27198">
            <w:pPr>
              <w:jc w:val="right"/>
              <w:rPr>
                <w:b/>
                <w:bCs/>
                <w:sz w:val="20"/>
                <w:szCs w:val="20"/>
              </w:rPr>
            </w:pPr>
            <w:r>
              <w:rPr>
                <w:rFonts w:asciiTheme="majorBidi" w:hAnsiTheme="majorBidi" w:cstheme="majorBidi"/>
                <w:sz w:val="20"/>
                <w:szCs w:val="20"/>
                <w:lang w:val="fr"/>
              </w:rPr>
              <w:t>10 000</w:t>
            </w:r>
          </w:p>
        </w:tc>
      </w:tr>
      <w:tr w:rsidR="00EF64BA" w:rsidRPr="00277197" w14:paraId="053179DC" w14:textId="77777777" w:rsidTr="00A27198">
        <w:trPr>
          <w:trHeight w:val="229"/>
        </w:trPr>
        <w:tc>
          <w:tcPr>
            <w:tcW w:w="5387" w:type="dxa"/>
            <w:vMerge/>
          </w:tcPr>
          <w:p w14:paraId="5CEB7C43" w14:textId="77777777" w:rsidR="00EF64BA" w:rsidRPr="00B37E80" w:rsidRDefault="00EF64BA" w:rsidP="00A27198">
            <w:pPr>
              <w:jc w:val="left"/>
              <w:rPr>
                <w:rFonts w:asciiTheme="majorBidi" w:hAnsiTheme="majorBidi" w:cstheme="majorBidi"/>
                <w:sz w:val="20"/>
                <w:szCs w:val="20"/>
              </w:rPr>
            </w:pPr>
          </w:p>
        </w:tc>
        <w:tc>
          <w:tcPr>
            <w:tcW w:w="2835" w:type="dxa"/>
          </w:tcPr>
          <w:p w14:paraId="510AFD4A" w14:textId="35697597" w:rsidR="00EF64BA" w:rsidRPr="00EF64BA" w:rsidRDefault="00EF64BA" w:rsidP="00A27198">
            <w:pPr>
              <w:ind w:right="-130"/>
              <w:contextualSpacing/>
              <w:jc w:val="left"/>
              <w:rPr>
                <w:sz w:val="20"/>
                <w:szCs w:val="20"/>
                <w:lang w:val="fr-FR"/>
              </w:rPr>
            </w:pPr>
            <w:r>
              <w:rPr>
                <w:rFonts w:asciiTheme="majorBidi" w:hAnsiTheme="majorBidi" w:cstheme="majorBidi"/>
                <w:sz w:val="20"/>
                <w:szCs w:val="20"/>
                <w:lang w:val="fr"/>
              </w:rPr>
              <w:t xml:space="preserve">Un programme de formation sur </w:t>
            </w:r>
            <w:r w:rsidR="00E24520">
              <w:rPr>
                <w:rFonts w:asciiTheme="majorBidi" w:hAnsiTheme="majorBidi" w:cstheme="majorBidi"/>
                <w:sz w:val="20"/>
                <w:szCs w:val="20"/>
                <w:lang w:val="fr"/>
              </w:rPr>
              <w:t>le rendement</w:t>
            </w:r>
            <w:r>
              <w:rPr>
                <w:rFonts w:asciiTheme="majorBidi" w:hAnsiTheme="majorBidi" w:cstheme="majorBidi"/>
                <w:sz w:val="20"/>
                <w:szCs w:val="20"/>
                <w:lang w:val="fr"/>
              </w:rPr>
              <w:t xml:space="preserve"> énergétique</w:t>
            </w:r>
          </w:p>
        </w:tc>
        <w:tc>
          <w:tcPr>
            <w:tcW w:w="1134" w:type="dxa"/>
            <w:vMerge/>
          </w:tcPr>
          <w:p w14:paraId="2DA3EFC1" w14:textId="77777777" w:rsidR="00EF64BA" w:rsidRPr="00EF64BA" w:rsidRDefault="00EF64BA" w:rsidP="00A27198">
            <w:pPr>
              <w:jc w:val="right"/>
              <w:rPr>
                <w:sz w:val="20"/>
                <w:szCs w:val="20"/>
                <w:lang w:val="fr-FR"/>
              </w:rPr>
            </w:pPr>
          </w:p>
        </w:tc>
      </w:tr>
      <w:tr w:rsidR="00EF64BA" w:rsidRPr="00B37E80" w14:paraId="0C1F37C5" w14:textId="77777777" w:rsidTr="00A27198">
        <w:tc>
          <w:tcPr>
            <w:tcW w:w="5387" w:type="dxa"/>
          </w:tcPr>
          <w:p w14:paraId="561CAFFB" w14:textId="58DDC38A" w:rsidR="00EF64BA" w:rsidRPr="00EF64BA" w:rsidRDefault="00EF64BA" w:rsidP="00A27198">
            <w:pPr>
              <w:jc w:val="left"/>
              <w:rPr>
                <w:b/>
                <w:bCs/>
                <w:sz w:val="20"/>
                <w:szCs w:val="20"/>
                <w:lang w:val="fr-FR"/>
              </w:rPr>
            </w:pPr>
            <w:r>
              <w:rPr>
                <w:rFonts w:asciiTheme="majorBidi" w:hAnsiTheme="majorBidi" w:cstheme="majorBidi"/>
                <w:sz w:val="20"/>
                <w:szCs w:val="20"/>
                <w:lang w:val="fr"/>
              </w:rPr>
              <w:t xml:space="preserve">Fourniture de six kits aux centres de formation professionnelle et aux écoles afin de soutenir la formation des techniciens à la détermination des performances et </w:t>
            </w:r>
            <w:r w:rsidR="009951B5">
              <w:rPr>
                <w:rFonts w:asciiTheme="majorBidi" w:hAnsiTheme="majorBidi" w:cstheme="majorBidi"/>
                <w:sz w:val="20"/>
                <w:szCs w:val="20"/>
                <w:lang w:val="fr"/>
              </w:rPr>
              <w:t>du rendement</w:t>
            </w:r>
            <w:r>
              <w:rPr>
                <w:rFonts w:asciiTheme="majorBidi" w:hAnsiTheme="majorBidi" w:cstheme="majorBidi"/>
                <w:sz w:val="20"/>
                <w:szCs w:val="20"/>
                <w:lang w:val="fr"/>
              </w:rPr>
              <w:t xml:space="preserve"> énergétique des systèmes de réfrigération et de climatisation </w:t>
            </w:r>
          </w:p>
        </w:tc>
        <w:tc>
          <w:tcPr>
            <w:tcW w:w="2835" w:type="dxa"/>
          </w:tcPr>
          <w:p w14:paraId="25981FD4" w14:textId="77777777" w:rsidR="00EF64BA" w:rsidRPr="00EF64BA" w:rsidRDefault="00EF64BA" w:rsidP="00A27198">
            <w:pPr>
              <w:jc w:val="left"/>
              <w:rPr>
                <w:b/>
                <w:bCs/>
                <w:sz w:val="20"/>
                <w:szCs w:val="20"/>
                <w:lang w:val="fr-FR"/>
              </w:rPr>
            </w:pPr>
            <w:r>
              <w:rPr>
                <w:rFonts w:asciiTheme="majorBidi" w:hAnsiTheme="majorBidi" w:cstheme="majorBidi"/>
                <w:sz w:val="20"/>
                <w:szCs w:val="20"/>
                <w:lang w:val="fr"/>
              </w:rPr>
              <w:t>Fourniture de six kits à des centres de formation professionnelle et écoles sélectionnés</w:t>
            </w:r>
          </w:p>
        </w:tc>
        <w:tc>
          <w:tcPr>
            <w:tcW w:w="1134" w:type="dxa"/>
          </w:tcPr>
          <w:p w14:paraId="5809D437" w14:textId="77777777" w:rsidR="00EF64BA" w:rsidRPr="00B37E80" w:rsidRDefault="00EF64BA" w:rsidP="00A27198">
            <w:pPr>
              <w:jc w:val="right"/>
              <w:rPr>
                <w:b/>
                <w:bCs/>
                <w:sz w:val="20"/>
                <w:szCs w:val="20"/>
              </w:rPr>
            </w:pPr>
            <w:r>
              <w:rPr>
                <w:rFonts w:asciiTheme="majorBidi" w:hAnsiTheme="majorBidi" w:cstheme="majorBidi"/>
                <w:sz w:val="20"/>
                <w:szCs w:val="20"/>
                <w:lang w:val="fr"/>
              </w:rPr>
              <w:t>36 000</w:t>
            </w:r>
          </w:p>
        </w:tc>
      </w:tr>
      <w:tr w:rsidR="00EF64BA" w:rsidRPr="00B37E80" w14:paraId="45854FC7" w14:textId="77777777" w:rsidTr="00A27198">
        <w:tc>
          <w:tcPr>
            <w:tcW w:w="5387" w:type="dxa"/>
          </w:tcPr>
          <w:p w14:paraId="24AB48B9" w14:textId="00A499CD" w:rsidR="00EF64BA" w:rsidRPr="00EF64BA" w:rsidRDefault="00EF64BA" w:rsidP="00A27198">
            <w:pPr>
              <w:jc w:val="left"/>
              <w:rPr>
                <w:rFonts w:asciiTheme="majorBidi" w:hAnsiTheme="majorBidi" w:cstheme="majorBidi"/>
                <w:sz w:val="20"/>
                <w:szCs w:val="20"/>
                <w:lang w:val="fr-FR"/>
              </w:rPr>
            </w:pPr>
            <w:r>
              <w:rPr>
                <w:rFonts w:asciiTheme="majorBidi" w:hAnsiTheme="majorBidi" w:cstheme="majorBidi"/>
                <w:sz w:val="20"/>
                <w:szCs w:val="20"/>
                <w:lang w:val="fr"/>
              </w:rPr>
              <w:t xml:space="preserve">Organisation et tenue d’ateliers de formation pour les formateurs et techniciens </w:t>
            </w:r>
            <w:r w:rsidR="00AA6E5D">
              <w:rPr>
                <w:rFonts w:asciiTheme="majorBidi" w:hAnsiTheme="majorBidi" w:cstheme="majorBidi"/>
                <w:sz w:val="20"/>
                <w:szCs w:val="20"/>
                <w:lang w:val="fr"/>
              </w:rPr>
              <w:t>portant sur</w:t>
            </w:r>
            <w:r w:rsidR="00E53C7B">
              <w:rPr>
                <w:rFonts w:asciiTheme="majorBidi" w:hAnsiTheme="majorBidi" w:cstheme="majorBidi"/>
                <w:sz w:val="20"/>
                <w:szCs w:val="20"/>
                <w:lang w:val="fr"/>
              </w:rPr>
              <w:t xml:space="preserve"> les</w:t>
            </w:r>
            <w:r>
              <w:rPr>
                <w:rFonts w:asciiTheme="majorBidi" w:hAnsiTheme="majorBidi" w:cstheme="majorBidi"/>
                <w:sz w:val="20"/>
                <w:szCs w:val="20"/>
                <w:lang w:val="fr"/>
              </w:rPr>
              <w:t xml:space="preserve"> procédures destinées à limiter la </w:t>
            </w:r>
            <w:r w:rsidR="00761236">
              <w:rPr>
                <w:rFonts w:asciiTheme="majorBidi" w:hAnsiTheme="majorBidi" w:cstheme="majorBidi"/>
                <w:sz w:val="20"/>
                <w:szCs w:val="20"/>
                <w:lang w:val="fr"/>
              </w:rPr>
              <w:t>déperdition</w:t>
            </w:r>
            <w:r>
              <w:rPr>
                <w:rFonts w:asciiTheme="majorBidi" w:hAnsiTheme="majorBidi" w:cstheme="majorBidi"/>
                <w:sz w:val="20"/>
                <w:szCs w:val="20"/>
                <w:lang w:val="fr"/>
              </w:rPr>
              <w:t xml:space="preserve"> </w:t>
            </w:r>
            <w:r w:rsidR="005732D2">
              <w:rPr>
                <w:rFonts w:asciiTheme="majorBidi" w:hAnsiTheme="majorBidi" w:cstheme="majorBidi"/>
                <w:sz w:val="20"/>
                <w:szCs w:val="20"/>
                <w:lang w:val="fr"/>
              </w:rPr>
              <w:t>du rendement</w:t>
            </w:r>
            <w:r>
              <w:rPr>
                <w:rFonts w:asciiTheme="majorBidi" w:hAnsiTheme="majorBidi" w:cstheme="majorBidi"/>
                <w:sz w:val="20"/>
                <w:szCs w:val="20"/>
                <w:lang w:val="fr"/>
              </w:rPr>
              <w:t xml:space="preserve"> énergétique des équipements de réfrigération et de climatisation durant les activités d’entretien</w:t>
            </w:r>
          </w:p>
        </w:tc>
        <w:tc>
          <w:tcPr>
            <w:tcW w:w="2835" w:type="dxa"/>
          </w:tcPr>
          <w:p w14:paraId="5A11B7F9" w14:textId="42829E84" w:rsidR="00EF64BA" w:rsidRPr="00EF64BA" w:rsidRDefault="00EF64BA" w:rsidP="00A27198">
            <w:pPr>
              <w:jc w:val="left"/>
              <w:rPr>
                <w:rFonts w:asciiTheme="majorBidi" w:hAnsiTheme="majorBidi" w:cstheme="majorBidi"/>
                <w:sz w:val="20"/>
                <w:szCs w:val="20"/>
                <w:lang w:val="fr-FR"/>
              </w:rPr>
            </w:pPr>
            <w:r>
              <w:rPr>
                <w:rFonts w:asciiTheme="majorBidi" w:hAnsiTheme="majorBidi" w:cstheme="majorBidi"/>
                <w:sz w:val="20"/>
                <w:szCs w:val="20"/>
                <w:lang w:val="fr"/>
              </w:rPr>
              <w:t>Quatre ateliers</w:t>
            </w:r>
            <w:r w:rsidR="007E435E">
              <w:rPr>
                <w:rFonts w:asciiTheme="majorBidi" w:hAnsiTheme="majorBidi" w:cstheme="majorBidi"/>
                <w:sz w:val="20"/>
                <w:szCs w:val="20"/>
                <w:lang w:val="fr"/>
              </w:rPr>
              <w:t>, chacun</w:t>
            </w:r>
            <w:r>
              <w:rPr>
                <w:rFonts w:asciiTheme="majorBidi" w:hAnsiTheme="majorBidi" w:cstheme="majorBidi"/>
                <w:sz w:val="20"/>
                <w:szCs w:val="20"/>
                <w:lang w:val="fr"/>
              </w:rPr>
              <w:t xml:space="preserve"> à destination de 20 formateurs et techniciens</w:t>
            </w:r>
          </w:p>
        </w:tc>
        <w:tc>
          <w:tcPr>
            <w:tcW w:w="1134" w:type="dxa"/>
          </w:tcPr>
          <w:p w14:paraId="74CBB255" w14:textId="77777777" w:rsidR="00EF64BA" w:rsidRPr="00B37E80" w:rsidRDefault="00EF64BA" w:rsidP="00A27198">
            <w:pPr>
              <w:jc w:val="right"/>
              <w:rPr>
                <w:rFonts w:asciiTheme="majorBidi" w:hAnsiTheme="majorBidi" w:cstheme="majorBidi"/>
                <w:sz w:val="20"/>
                <w:szCs w:val="20"/>
              </w:rPr>
            </w:pPr>
            <w:r>
              <w:rPr>
                <w:rFonts w:asciiTheme="majorBidi" w:hAnsiTheme="majorBidi" w:cstheme="majorBidi"/>
                <w:sz w:val="20"/>
                <w:szCs w:val="20"/>
                <w:lang w:val="fr"/>
              </w:rPr>
              <w:t>14 000</w:t>
            </w:r>
          </w:p>
        </w:tc>
      </w:tr>
      <w:tr w:rsidR="00EF64BA" w:rsidRPr="00B37E80" w14:paraId="5AEA37F3" w14:textId="77777777" w:rsidTr="00A27198">
        <w:tc>
          <w:tcPr>
            <w:tcW w:w="8222" w:type="dxa"/>
            <w:gridSpan w:val="2"/>
          </w:tcPr>
          <w:p w14:paraId="26526A86" w14:textId="77777777" w:rsidR="00EF64BA" w:rsidRPr="00B37E80" w:rsidRDefault="00EF64BA" w:rsidP="00A27198">
            <w:pPr>
              <w:ind w:left="458"/>
              <w:jc w:val="left"/>
              <w:rPr>
                <w:b/>
                <w:bCs/>
                <w:sz w:val="20"/>
                <w:szCs w:val="20"/>
              </w:rPr>
            </w:pPr>
            <w:r>
              <w:rPr>
                <w:b/>
                <w:bCs/>
                <w:sz w:val="20"/>
                <w:szCs w:val="20"/>
                <w:lang w:val="fr"/>
              </w:rPr>
              <w:t>Total partiel</w:t>
            </w:r>
          </w:p>
        </w:tc>
        <w:tc>
          <w:tcPr>
            <w:tcW w:w="1134" w:type="dxa"/>
          </w:tcPr>
          <w:p w14:paraId="42CD595E" w14:textId="77777777" w:rsidR="00EF64BA" w:rsidRPr="00B37E80" w:rsidRDefault="00EF64BA" w:rsidP="00A27198">
            <w:pPr>
              <w:jc w:val="right"/>
              <w:rPr>
                <w:b/>
                <w:bCs/>
                <w:sz w:val="20"/>
                <w:szCs w:val="20"/>
              </w:rPr>
            </w:pPr>
            <w:r>
              <w:rPr>
                <w:rFonts w:asciiTheme="majorBidi" w:hAnsiTheme="majorBidi" w:cstheme="majorBidi"/>
                <w:b/>
                <w:bCs/>
                <w:sz w:val="20"/>
                <w:szCs w:val="20"/>
                <w:lang w:val="fr"/>
              </w:rPr>
              <w:t>60 000</w:t>
            </w:r>
          </w:p>
        </w:tc>
      </w:tr>
      <w:tr w:rsidR="00EF64BA" w:rsidRPr="00277197" w14:paraId="229A878C" w14:textId="77777777" w:rsidTr="00A27198">
        <w:trPr>
          <w:trHeight w:val="249"/>
        </w:trPr>
        <w:tc>
          <w:tcPr>
            <w:tcW w:w="9356" w:type="dxa"/>
            <w:gridSpan w:val="3"/>
            <w:vAlign w:val="center"/>
          </w:tcPr>
          <w:p w14:paraId="66714615" w14:textId="77777777" w:rsidR="00EF64BA" w:rsidRPr="00EF64BA" w:rsidRDefault="00EF64BA" w:rsidP="00A27198">
            <w:pPr>
              <w:ind w:left="175"/>
              <w:jc w:val="center"/>
              <w:rPr>
                <w:b/>
                <w:bCs/>
                <w:sz w:val="20"/>
                <w:szCs w:val="20"/>
                <w:lang w:val="fr-FR"/>
              </w:rPr>
            </w:pPr>
            <w:r>
              <w:rPr>
                <w:rFonts w:asciiTheme="majorBidi" w:hAnsiTheme="majorBidi" w:cstheme="majorBidi"/>
                <w:b/>
                <w:bCs/>
                <w:sz w:val="20"/>
                <w:szCs w:val="20"/>
                <w:lang w:val="fr"/>
              </w:rPr>
              <w:t>Sensibilisation et travail de proximité</w:t>
            </w:r>
          </w:p>
        </w:tc>
      </w:tr>
      <w:tr w:rsidR="00EF64BA" w:rsidRPr="00B37E80" w14:paraId="3017BA14" w14:textId="77777777" w:rsidTr="00A27198">
        <w:tc>
          <w:tcPr>
            <w:tcW w:w="5387" w:type="dxa"/>
          </w:tcPr>
          <w:p w14:paraId="1D4EB943" w14:textId="2A2FF58A" w:rsidR="00EF64BA" w:rsidRPr="00EF64BA" w:rsidRDefault="00EF64BA" w:rsidP="00A27198">
            <w:pPr>
              <w:jc w:val="left"/>
              <w:rPr>
                <w:b/>
                <w:bCs/>
                <w:sz w:val="20"/>
                <w:szCs w:val="20"/>
                <w:lang w:val="fr-FR"/>
              </w:rPr>
            </w:pPr>
            <w:r>
              <w:rPr>
                <w:rFonts w:asciiTheme="majorBidi" w:hAnsiTheme="majorBidi" w:cstheme="majorBidi"/>
                <w:sz w:val="20"/>
                <w:szCs w:val="20"/>
                <w:lang w:val="fr"/>
              </w:rPr>
              <w:t xml:space="preserve">Conception d’une campagne de sensibilisation </w:t>
            </w:r>
            <w:r w:rsidR="00164D07">
              <w:rPr>
                <w:rFonts w:asciiTheme="majorBidi" w:hAnsiTheme="majorBidi" w:cstheme="majorBidi"/>
                <w:sz w:val="20"/>
                <w:szCs w:val="20"/>
                <w:lang w:val="fr"/>
              </w:rPr>
              <w:t xml:space="preserve">de proximité </w:t>
            </w:r>
            <w:r>
              <w:rPr>
                <w:rFonts w:asciiTheme="majorBidi" w:hAnsiTheme="majorBidi" w:cstheme="majorBidi"/>
                <w:sz w:val="20"/>
                <w:szCs w:val="20"/>
                <w:lang w:val="fr"/>
              </w:rPr>
              <w:t xml:space="preserve">à destination des techniciens frigoristes, des revendeurs et des utilisateurs finals concernant l’importance et les avantages de proposer, d’entretenir et d’utiliser des produits </w:t>
            </w:r>
            <w:r w:rsidR="00BF734F">
              <w:rPr>
                <w:rFonts w:asciiTheme="majorBidi" w:hAnsiTheme="majorBidi" w:cstheme="majorBidi"/>
                <w:sz w:val="20"/>
                <w:szCs w:val="20"/>
                <w:lang w:val="fr"/>
              </w:rPr>
              <w:t>utilisant</w:t>
            </w:r>
            <w:r>
              <w:rPr>
                <w:rFonts w:asciiTheme="majorBidi" w:hAnsiTheme="majorBidi" w:cstheme="majorBidi"/>
                <w:sz w:val="20"/>
                <w:szCs w:val="20"/>
                <w:lang w:val="fr"/>
              </w:rPr>
              <w:t xml:space="preserve"> des substances de remplacement à faible PRP et à </w:t>
            </w:r>
            <w:r w:rsidR="00596349">
              <w:rPr>
                <w:rFonts w:asciiTheme="majorBidi" w:hAnsiTheme="majorBidi" w:cstheme="majorBidi"/>
                <w:sz w:val="20"/>
                <w:szCs w:val="20"/>
                <w:lang w:val="fr"/>
              </w:rPr>
              <w:t xml:space="preserve">rendement </w:t>
            </w:r>
            <w:r>
              <w:rPr>
                <w:rFonts w:asciiTheme="majorBidi" w:hAnsiTheme="majorBidi" w:cstheme="majorBidi"/>
                <w:sz w:val="20"/>
                <w:szCs w:val="20"/>
                <w:lang w:val="fr"/>
              </w:rPr>
              <w:t>énergétique plus élevé</w:t>
            </w:r>
          </w:p>
        </w:tc>
        <w:tc>
          <w:tcPr>
            <w:tcW w:w="2835" w:type="dxa"/>
          </w:tcPr>
          <w:p w14:paraId="70260A0A" w14:textId="55D85127" w:rsidR="00EF64BA" w:rsidRPr="009D55FF" w:rsidRDefault="00EF64BA" w:rsidP="00A27198">
            <w:pPr>
              <w:jc w:val="left"/>
              <w:rPr>
                <w:b/>
                <w:bCs/>
                <w:sz w:val="20"/>
                <w:szCs w:val="20"/>
                <w:lang w:val="fr-FR"/>
              </w:rPr>
            </w:pPr>
            <w:r>
              <w:rPr>
                <w:rFonts w:asciiTheme="majorBidi" w:hAnsiTheme="majorBidi" w:cstheme="majorBidi"/>
                <w:sz w:val="20"/>
                <w:szCs w:val="20"/>
                <w:lang w:val="fr"/>
              </w:rPr>
              <w:t xml:space="preserve">Développement de deux infographies afin d’impliquer les techniciens frigoristes, les importateurs et les utilisateurs finals aux méthodes efficaces de lecture des étiquettes relatives </w:t>
            </w:r>
            <w:r w:rsidR="009951B5">
              <w:rPr>
                <w:rFonts w:asciiTheme="majorBidi" w:hAnsiTheme="majorBidi" w:cstheme="majorBidi"/>
                <w:sz w:val="20"/>
                <w:szCs w:val="20"/>
                <w:lang w:val="fr"/>
              </w:rPr>
              <w:t>au rendement</w:t>
            </w:r>
            <w:r>
              <w:rPr>
                <w:rFonts w:asciiTheme="majorBidi" w:hAnsiTheme="majorBidi" w:cstheme="majorBidi"/>
                <w:sz w:val="20"/>
                <w:szCs w:val="20"/>
                <w:lang w:val="fr"/>
              </w:rPr>
              <w:t xml:space="preserve"> énergétique, aux taux de SAO et de PRP des frigorigènes et aux bénéfices environnementaux et économiques. Impression et </w:t>
            </w:r>
            <w:r>
              <w:rPr>
                <w:rFonts w:asciiTheme="majorBidi" w:hAnsiTheme="majorBidi" w:cstheme="majorBidi"/>
                <w:sz w:val="20"/>
                <w:szCs w:val="20"/>
                <w:lang w:val="fr"/>
              </w:rPr>
              <w:lastRenderedPageBreak/>
              <w:t>distribution de 3 000</w:t>
            </w:r>
            <w:r w:rsidR="00F66CCF">
              <w:rPr>
                <w:rFonts w:asciiTheme="majorBidi" w:hAnsiTheme="majorBidi" w:cstheme="majorBidi"/>
                <w:sz w:val="20"/>
                <w:szCs w:val="20"/>
                <w:lang w:val="fr"/>
              </w:rPr>
              <w:t> </w:t>
            </w:r>
            <w:r>
              <w:rPr>
                <w:rFonts w:asciiTheme="majorBidi" w:hAnsiTheme="majorBidi" w:cstheme="majorBidi"/>
                <w:sz w:val="20"/>
                <w:szCs w:val="20"/>
                <w:lang w:val="fr"/>
              </w:rPr>
              <w:t>exemplaires</w:t>
            </w:r>
          </w:p>
        </w:tc>
        <w:tc>
          <w:tcPr>
            <w:tcW w:w="1134" w:type="dxa"/>
          </w:tcPr>
          <w:p w14:paraId="7E5C2581" w14:textId="77777777" w:rsidR="00EF64BA" w:rsidRPr="00B37E80" w:rsidRDefault="00EF64BA" w:rsidP="00A27198">
            <w:pPr>
              <w:jc w:val="right"/>
              <w:rPr>
                <w:b/>
                <w:bCs/>
                <w:sz w:val="20"/>
                <w:szCs w:val="20"/>
              </w:rPr>
            </w:pPr>
            <w:r>
              <w:rPr>
                <w:rFonts w:asciiTheme="majorBidi" w:hAnsiTheme="majorBidi" w:cstheme="majorBidi"/>
                <w:sz w:val="20"/>
                <w:szCs w:val="20"/>
                <w:lang w:val="fr"/>
              </w:rPr>
              <w:lastRenderedPageBreak/>
              <w:t>15 000</w:t>
            </w:r>
          </w:p>
        </w:tc>
      </w:tr>
      <w:tr w:rsidR="00EF64BA" w:rsidRPr="00B37E80" w14:paraId="35D38EBE" w14:textId="77777777" w:rsidTr="00A27198">
        <w:tc>
          <w:tcPr>
            <w:tcW w:w="5387" w:type="dxa"/>
          </w:tcPr>
          <w:p w14:paraId="194A609E" w14:textId="2980DBA3" w:rsidR="00EF64BA" w:rsidRPr="00EF64BA" w:rsidRDefault="00EF64BA" w:rsidP="00BF1A57">
            <w:pPr>
              <w:rPr>
                <w:b/>
                <w:bCs/>
                <w:sz w:val="20"/>
                <w:szCs w:val="20"/>
                <w:lang w:val="fr-FR"/>
              </w:rPr>
            </w:pPr>
            <w:r>
              <w:rPr>
                <w:rFonts w:asciiTheme="majorBidi" w:hAnsiTheme="majorBidi" w:cstheme="majorBidi"/>
                <w:sz w:val="20"/>
                <w:szCs w:val="20"/>
                <w:lang w:val="fr"/>
              </w:rPr>
              <w:t>Conception et distribution d’un guide qui oriente les techniciens d’entretien à inspecter les performances des systèmes de réfrigération et de climatisation, compren</w:t>
            </w:r>
            <w:r w:rsidR="00BF1A57">
              <w:rPr>
                <w:rFonts w:asciiTheme="majorBidi" w:hAnsiTheme="majorBidi" w:cstheme="majorBidi"/>
                <w:sz w:val="20"/>
                <w:szCs w:val="20"/>
                <w:lang w:val="fr"/>
              </w:rPr>
              <w:t>ant</w:t>
            </w:r>
            <w:r>
              <w:rPr>
                <w:rFonts w:asciiTheme="majorBidi" w:hAnsiTheme="majorBidi" w:cstheme="majorBidi"/>
                <w:sz w:val="20"/>
                <w:szCs w:val="20"/>
                <w:lang w:val="fr"/>
              </w:rPr>
              <w:t xml:space="preserve"> </w:t>
            </w:r>
            <w:r w:rsidR="00D7475D">
              <w:rPr>
                <w:rFonts w:asciiTheme="majorBidi" w:hAnsiTheme="majorBidi" w:cstheme="majorBidi"/>
                <w:sz w:val="20"/>
                <w:szCs w:val="20"/>
                <w:lang w:val="fr"/>
              </w:rPr>
              <w:t>d</w:t>
            </w:r>
            <w:r>
              <w:rPr>
                <w:rFonts w:asciiTheme="majorBidi" w:hAnsiTheme="majorBidi" w:cstheme="majorBidi"/>
                <w:sz w:val="20"/>
                <w:szCs w:val="20"/>
                <w:lang w:val="fr"/>
              </w:rPr>
              <w:t xml:space="preserve">es </w:t>
            </w:r>
            <w:r w:rsidR="00D7475D">
              <w:rPr>
                <w:rFonts w:asciiTheme="majorBidi" w:hAnsiTheme="majorBidi" w:cstheme="majorBidi"/>
                <w:sz w:val="20"/>
                <w:szCs w:val="20"/>
                <w:lang w:val="fr"/>
              </w:rPr>
              <w:t>suggestions d’</w:t>
            </w:r>
            <w:r>
              <w:rPr>
                <w:rFonts w:asciiTheme="majorBidi" w:hAnsiTheme="majorBidi" w:cstheme="majorBidi"/>
                <w:sz w:val="20"/>
                <w:szCs w:val="20"/>
                <w:lang w:val="fr"/>
              </w:rPr>
              <w:t xml:space="preserve">activités </w:t>
            </w:r>
            <w:r w:rsidR="00D7475D">
              <w:rPr>
                <w:rFonts w:asciiTheme="majorBidi" w:hAnsiTheme="majorBidi" w:cstheme="majorBidi"/>
                <w:sz w:val="20"/>
                <w:szCs w:val="20"/>
                <w:lang w:val="fr"/>
              </w:rPr>
              <w:t xml:space="preserve">pour </w:t>
            </w:r>
            <w:r>
              <w:rPr>
                <w:rFonts w:asciiTheme="majorBidi" w:hAnsiTheme="majorBidi" w:cstheme="majorBidi"/>
                <w:sz w:val="20"/>
                <w:szCs w:val="20"/>
                <w:lang w:val="fr"/>
              </w:rPr>
              <w:t>amélior</w:t>
            </w:r>
            <w:r w:rsidR="00D7475D">
              <w:rPr>
                <w:rFonts w:asciiTheme="majorBidi" w:hAnsiTheme="majorBidi" w:cstheme="majorBidi"/>
                <w:sz w:val="20"/>
                <w:szCs w:val="20"/>
                <w:lang w:val="fr"/>
              </w:rPr>
              <w:t>er le</w:t>
            </w:r>
            <w:r w:rsidR="009F5F47">
              <w:rPr>
                <w:rFonts w:asciiTheme="majorBidi" w:hAnsiTheme="majorBidi" w:cstheme="majorBidi"/>
                <w:sz w:val="20"/>
                <w:szCs w:val="20"/>
                <w:lang w:val="fr"/>
              </w:rPr>
              <w:t xml:space="preserve"> rendement</w:t>
            </w:r>
            <w:r>
              <w:rPr>
                <w:rFonts w:asciiTheme="majorBidi" w:hAnsiTheme="majorBidi" w:cstheme="majorBidi"/>
                <w:sz w:val="20"/>
                <w:szCs w:val="20"/>
                <w:lang w:val="fr"/>
              </w:rPr>
              <w:t xml:space="preserve"> énergétique</w:t>
            </w:r>
          </w:p>
        </w:tc>
        <w:tc>
          <w:tcPr>
            <w:tcW w:w="2835" w:type="dxa"/>
          </w:tcPr>
          <w:p w14:paraId="55694E96" w14:textId="25798C52" w:rsidR="00EF64BA" w:rsidRPr="00EF64BA" w:rsidRDefault="00EF64BA" w:rsidP="00A27198">
            <w:pPr>
              <w:jc w:val="left"/>
              <w:rPr>
                <w:b/>
                <w:bCs/>
                <w:sz w:val="20"/>
                <w:szCs w:val="20"/>
                <w:lang w:val="fr-FR"/>
              </w:rPr>
            </w:pPr>
            <w:r>
              <w:rPr>
                <w:rFonts w:asciiTheme="majorBidi" w:hAnsiTheme="majorBidi" w:cstheme="majorBidi"/>
                <w:sz w:val="20"/>
                <w:szCs w:val="20"/>
                <w:lang w:val="fr"/>
              </w:rPr>
              <w:t>Conception d’un guide, comprenant l’impression et la distribution de 1 000</w:t>
            </w:r>
            <w:r w:rsidR="00C6178E">
              <w:rPr>
                <w:rFonts w:asciiTheme="majorBidi" w:hAnsiTheme="majorBidi" w:cstheme="majorBidi"/>
                <w:sz w:val="20"/>
                <w:szCs w:val="20"/>
                <w:lang w:val="fr"/>
              </w:rPr>
              <w:t> </w:t>
            </w:r>
            <w:r w:rsidR="00AC3EF2">
              <w:rPr>
                <w:rFonts w:asciiTheme="majorBidi" w:hAnsiTheme="majorBidi" w:cstheme="majorBidi"/>
                <w:sz w:val="20"/>
                <w:szCs w:val="20"/>
                <w:lang w:val="fr"/>
              </w:rPr>
              <w:t>exemplaires</w:t>
            </w:r>
            <w:r>
              <w:rPr>
                <w:rFonts w:asciiTheme="majorBidi" w:hAnsiTheme="majorBidi" w:cstheme="majorBidi"/>
                <w:sz w:val="20"/>
                <w:szCs w:val="20"/>
                <w:lang w:val="fr"/>
              </w:rPr>
              <w:t xml:space="preserve"> </w:t>
            </w:r>
          </w:p>
        </w:tc>
        <w:tc>
          <w:tcPr>
            <w:tcW w:w="1134" w:type="dxa"/>
          </w:tcPr>
          <w:p w14:paraId="43F8AB61" w14:textId="77777777" w:rsidR="00EF64BA" w:rsidRPr="00B37E80" w:rsidRDefault="00EF64BA" w:rsidP="00A27198">
            <w:pPr>
              <w:jc w:val="right"/>
              <w:rPr>
                <w:b/>
                <w:bCs/>
                <w:sz w:val="20"/>
                <w:szCs w:val="20"/>
              </w:rPr>
            </w:pPr>
            <w:r>
              <w:rPr>
                <w:rFonts w:asciiTheme="majorBidi" w:hAnsiTheme="majorBidi" w:cstheme="majorBidi"/>
                <w:sz w:val="20"/>
                <w:szCs w:val="20"/>
                <w:lang w:val="fr"/>
              </w:rPr>
              <w:t>15 000</w:t>
            </w:r>
          </w:p>
        </w:tc>
      </w:tr>
      <w:tr w:rsidR="00EF64BA" w:rsidRPr="00B37E80" w14:paraId="74CB5841" w14:textId="77777777" w:rsidTr="00A27198">
        <w:trPr>
          <w:trHeight w:val="68"/>
        </w:trPr>
        <w:tc>
          <w:tcPr>
            <w:tcW w:w="8222" w:type="dxa"/>
            <w:gridSpan w:val="2"/>
          </w:tcPr>
          <w:p w14:paraId="1017D516" w14:textId="77777777" w:rsidR="00EF64BA" w:rsidRPr="00B37E80" w:rsidRDefault="00EF64BA" w:rsidP="00A27198">
            <w:pPr>
              <w:tabs>
                <w:tab w:val="right" w:pos="8006"/>
              </w:tabs>
              <w:ind w:left="457"/>
              <w:jc w:val="left"/>
              <w:rPr>
                <w:b/>
                <w:bCs/>
                <w:sz w:val="20"/>
                <w:szCs w:val="20"/>
              </w:rPr>
            </w:pPr>
            <w:r>
              <w:rPr>
                <w:b/>
                <w:bCs/>
                <w:sz w:val="20"/>
                <w:szCs w:val="20"/>
                <w:lang w:val="fr"/>
              </w:rPr>
              <w:t>Total partiel</w:t>
            </w:r>
          </w:p>
        </w:tc>
        <w:tc>
          <w:tcPr>
            <w:tcW w:w="1134" w:type="dxa"/>
          </w:tcPr>
          <w:p w14:paraId="7D565A18" w14:textId="77777777" w:rsidR="00EF64BA" w:rsidRPr="00B37E80" w:rsidRDefault="00EF64BA" w:rsidP="00A27198">
            <w:pPr>
              <w:jc w:val="right"/>
              <w:rPr>
                <w:b/>
                <w:bCs/>
                <w:sz w:val="20"/>
                <w:szCs w:val="20"/>
              </w:rPr>
            </w:pPr>
            <w:r>
              <w:rPr>
                <w:rFonts w:asciiTheme="majorBidi" w:hAnsiTheme="majorBidi" w:cstheme="majorBidi"/>
                <w:b/>
                <w:bCs/>
                <w:sz w:val="20"/>
                <w:szCs w:val="20"/>
                <w:lang w:val="fr"/>
              </w:rPr>
              <w:t>30 000</w:t>
            </w:r>
          </w:p>
        </w:tc>
      </w:tr>
      <w:tr w:rsidR="00EF64BA" w:rsidRPr="00B37E80" w14:paraId="7A8B200F" w14:textId="77777777" w:rsidTr="00A27198">
        <w:tc>
          <w:tcPr>
            <w:tcW w:w="8222" w:type="dxa"/>
            <w:gridSpan w:val="2"/>
          </w:tcPr>
          <w:p w14:paraId="3805BA76" w14:textId="77777777" w:rsidR="00EF64BA" w:rsidRPr="00B37E80" w:rsidRDefault="00EF64BA" w:rsidP="00A27198">
            <w:pPr>
              <w:ind w:left="457"/>
              <w:jc w:val="left"/>
              <w:rPr>
                <w:b/>
                <w:bCs/>
                <w:sz w:val="20"/>
                <w:szCs w:val="20"/>
              </w:rPr>
            </w:pPr>
            <w:r>
              <w:rPr>
                <w:b/>
                <w:bCs/>
                <w:sz w:val="20"/>
                <w:szCs w:val="20"/>
                <w:lang w:val="fr"/>
              </w:rPr>
              <w:t>Total</w:t>
            </w:r>
          </w:p>
        </w:tc>
        <w:tc>
          <w:tcPr>
            <w:tcW w:w="1134" w:type="dxa"/>
          </w:tcPr>
          <w:p w14:paraId="4ECF1CA7" w14:textId="77777777" w:rsidR="00EF64BA" w:rsidRPr="00B37E80" w:rsidRDefault="00EF64BA" w:rsidP="00A27198">
            <w:pPr>
              <w:jc w:val="right"/>
              <w:rPr>
                <w:b/>
                <w:bCs/>
                <w:sz w:val="20"/>
                <w:szCs w:val="20"/>
              </w:rPr>
            </w:pPr>
            <w:r>
              <w:rPr>
                <w:rFonts w:asciiTheme="majorBidi" w:hAnsiTheme="majorBidi" w:cstheme="majorBidi"/>
                <w:b/>
                <w:bCs/>
                <w:sz w:val="20"/>
                <w:szCs w:val="20"/>
                <w:lang w:val="fr"/>
              </w:rPr>
              <w:t>120 000</w:t>
            </w:r>
          </w:p>
        </w:tc>
      </w:tr>
    </w:tbl>
    <w:p w14:paraId="4659E725" w14:textId="77777777" w:rsidR="00EF64BA" w:rsidRPr="00B37E80" w:rsidRDefault="00EF64BA" w:rsidP="00EF64BA">
      <w:pPr>
        <w:keepNext/>
        <w:keepLines/>
        <w:spacing w:before="360" w:after="240"/>
        <w:jc w:val="center"/>
        <w:rPr>
          <w:b/>
        </w:rPr>
      </w:pPr>
      <w:r>
        <w:rPr>
          <w:b/>
          <w:bCs/>
          <w:lang w:val="fr"/>
        </w:rPr>
        <w:t>OBSERVATIONS ET RECOMMANDATION DU SECRÉTARIAT</w:t>
      </w:r>
    </w:p>
    <w:p w14:paraId="02054E7C" w14:textId="77777777" w:rsidR="00EF64BA" w:rsidRPr="00B37E80" w:rsidRDefault="00EF64BA" w:rsidP="00EF64BA">
      <w:pPr>
        <w:keepNext/>
        <w:keepLines/>
        <w:rPr>
          <w:b/>
        </w:rPr>
      </w:pPr>
      <w:r>
        <w:rPr>
          <w:b/>
          <w:bCs/>
          <w:lang w:val="fr"/>
        </w:rPr>
        <w:t>OBSERVATIONS</w:t>
      </w:r>
    </w:p>
    <w:p w14:paraId="20A0AEEF" w14:textId="77777777" w:rsidR="00EF64BA" w:rsidRPr="00EF64BA" w:rsidRDefault="00EF64BA" w:rsidP="00EF64BA">
      <w:pPr>
        <w:keepNext/>
        <w:keepLines/>
        <w:spacing w:before="240" w:after="240"/>
        <w:rPr>
          <w:u w:val="single"/>
          <w:lang w:val="fr-FR"/>
        </w:rPr>
      </w:pPr>
      <w:r>
        <w:rPr>
          <w:u w:val="single"/>
          <w:lang w:val="fr"/>
        </w:rPr>
        <w:t>Rapport périodique sur la mise en œuvre de la première tranche de la phase II du plan de gestion de l’élimination des HCFC</w:t>
      </w:r>
    </w:p>
    <w:p w14:paraId="4F63D008" w14:textId="77777777" w:rsidR="00EF64BA" w:rsidRPr="00B37E80" w:rsidRDefault="00EF64BA" w:rsidP="00EF64BA">
      <w:pPr>
        <w:keepNext/>
        <w:keepLines/>
        <w:spacing w:before="240" w:after="240"/>
        <w:rPr>
          <w:i/>
        </w:rPr>
      </w:pPr>
      <w:r>
        <w:rPr>
          <w:i/>
          <w:iCs/>
          <w:lang w:val="fr"/>
        </w:rPr>
        <w:t>Cadre juridique</w:t>
      </w:r>
    </w:p>
    <w:p w14:paraId="43309F25" w14:textId="77777777" w:rsidR="00EF64BA" w:rsidRPr="00EF64BA" w:rsidRDefault="00EF64BA" w:rsidP="00EF64BA">
      <w:pPr>
        <w:pStyle w:val="Heading1"/>
        <w:rPr>
          <w:lang w:val="fr-FR"/>
        </w:rPr>
      </w:pPr>
      <w:r>
        <w:rPr>
          <w:lang w:val="fr"/>
        </w:rPr>
        <w:t>Le gouvernement de la Jamaïque a déjà émis des quotas d’importation à hauteur de 8,2 tonnes PAO de HCFC pour 2024, ce qui est inférieur aux objectifs de réglementation du Protocole de Montréal.</w:t>
      </w:r>
    </w:p>
    <w:p w14:paraId="3B5618EC" w14:textId="15790420" w:rsidR="00EF64BA" w:rsidRPr="00EF64BA" w:rsidRDefault="00EF64BA" w:rsidP="00EF64BA">
      <w:pPr>
        <w:keepNext/>
        <w:spacing w:after="240"/>
        <w:rPr>
          <w:i/>
          <w:lang w:val="fr-FR"/>
        </w:rPr>
      </w:pPr>
      <w:r>
        <w:rPr>
          <w:i/>
          <w:iCs/>
          <w:lang w:val="fr"/>
        </w:rPr>
        <w:t>Mise à jou</w:t>
      </w:r>
      <w:r w:rsidR="00587B10">
        <w:rPr>
          <w:i/>
          <w:iCs/>
          <w:lang w:val="fr"/>
        </w:rPr>
        <w:t xml:space="preserve">r concernant l’approbation de </w:t>
      </w:r>
      <w:r>
        <w:rPr>
          <w:i/>
          <w:iCs/>
          <w:lang w:val="fr"/>
        </w:rPr>
        <w:t>l’Ordonnance sur le commerce des HCFC (2014) (décision 90/13(b))</w:t>
      </w:r>
    </w:p>
    <w:p w14:paraId="7106DE56" w14:textId="2E3383F4" w:rsidR="00EF64BA" w:rsidRPr="00EF64BA" w:rsidRDefault="00EF64BA" w:rsidP="00EF64BA">
      <w:pPr>
        <w:pStyle w:val="Heading1"/>
        <w:keepNext/>
        <w:widowControl w:val="0"/>
        <w:rPr>
          <w:lang w:val="fr-FR"/>
        </w:rPr>
      </w:pPr>
      <w:r>
        <w:rPr>
          <w:lang w:val="fr"/>
        </w:rPr>
        <w:t xml:space="preserve">Le Secrétariat a demandé des informations supplémentaires concernant le calendrier et les retards d’achèvement des amendements à l’Ordonnance sur le commerce (2014) conformément à la décision 90/13(b). Le PNUD a expliqué que les retards étaient de nature administrative et découlaient des procédures gouvernementales. L’Unité nationale d’ozone (UNO) </w:t>
      </w:r>
      <w:r w:rsidR="001B2F74">
        <w:rPr>
          <w:lang w:val="fr"/>
        </w:rPr>
        <w:t>suit de près</w:t>
      </w:r>
      <w:r>
        <w:rPr>
          <w:lang w:val="fr"/>
        </w:rPr>
        <w:t xml:space="preserve"> </w:t>
      </w:r>
      <w:r w:rsidR="00C34E0A">
        <w:rPr>
          <w:lang w:val="fr"/>
        </w:rPr>
        <w:t>l</w:t>
      </w:r>
      <w:r>
        <w:rPr>
          <w:lang w:val="fr"/>
        </w:rPr>
        <w:t>es procédures afin d’accélérer l’approbation de l’Ordonnance sur le commerce, qui est prévue pour la fin 2024.</w:t>
      </w:r>
    </w:p>
    <w:p w14:paraId="2F8C89D2" w14:textId="77777777" w:rsidR="00EF64BA" w:rsidRPr="00EF64BA" w:rsidRDefault="00EF64BA" w:rsidP="00EF64BA">
      <w:pPr>
        <w:pStyle w:val="Heading1"/>
        <w:keepNext/>
        <w:widowControl w:val="0"/>
        <w:numPr>
          <w:ilvl w:val="0"/>
          <w:numId w:val="0"/>
        </w:numPr>
        <w:rPr>
          <w:i/>
          <w:lang w:val="fr-FR"/>
        </w:rPr>
      </w:pPr>
      <w:r>
        <w:rPr>
          <w:i/>
          <w:iCs/>
          <w:lang w:val="fr"/>
        </w:rPr>
        <w:t>Secteur de l’entretien dans la réfrigération</w:t>
      </w:r>
    </w:p>
    <w:p w14:paraId="3D900B71" w14:textId="6A588BF5" w:rsidR="00EF64BA" w:rsidRPr="00EF64BA" w:rsidRDefault="00EF64BA" w:rsidP="00EF64BA">
      <w:pPr>
        <w:pStyle w:val="Heading1"/>
        <w:rPr>
          <w:lang w:val="fr-FR"/>
        </w:rPr>
      </w:pPr>
      <w:r>
        <w:rPr>
          <w:lang w:val="fr"/>
        </w:rPr>
        <w:t xml:space="preserve">Le Secrétariat a demandé des clarifications concernant la mise en œuvre ralentie de la formation des techniciens frigoristes et des agents des forces de l’ordre et des douanes. Le PNUD a expliqué que le retard dans le programme de formation dans le cadre de la première tranche était principalement </w:t>
      </w:r>
      <w:r w:rsidR="00F160B4">
        <w:rPr>
          <w:lang w:val="fr"/>
        </w:rPr>
        <w:t>imputable</w:t>
      </w:r>
      <w:r>
        <w:rPr>
          <w:lang w:val="fr"/>
        </w:rPr>
        <w:t xml:space="preserve"> aux restrictions de mouvement relatives à la pandémie de COVID-19 entre 2020 et 2022, qui ont entraîné l’arrêt des programmes de formation en présentiel. Par conséquent, la Jamaïque a connu un renouvellement des techniciens expérimentés durant la même période, nécessitant des efforts supplémentaires afin de consolider </w:t>
      </w:r>
      <w:r w:rsidR="00E40B0C">
        <w:rPr>
          <w:lang w:val="fr"/>
        </w:rPr>
        <w:t>une</w:t>
      </w:r>
      <w:r>
        <w:rPr>
          <w:lang w:val="fr"/>
        </w:rPr>
        <w:t xml:space="preserve"> base de données de techniciens et </w:t>
      </w:r>
      <w:r w:rsidR="00F76645">
        <w:rPr>
          <w:lang w:val="fr"/>
        </w:rPr>
        <w:t xml:space="preserve">de </w:t>
      </w:r>
      <w:r>
        <w:rPr>
          <w:lang w:val="fr"/>
        </w:rPr>
        <w:t>réévaluer leurs capacités à déterminer le</w:t>
      </w:r>
      <w:r w:rsidR="00A95A86">
        <w:rPr>
          <w:lang w:val="fr"/>
        </w:rPr>
        <w:t>urs</w:t>
      </w:r>
      <w:r>
        <w:rPr>
          <w:lang w:val="fr"/>
        </w:rPr>
        <w:t xml:space="preserve"> besoins en formation. Ces circonstances imprévues ont mené à des retards dans la mise en œuvre de la première tranche.</w:t>
      </w:r>
    </w:p>
    <w:p w14:paraId="5A13B2D5" w14:textId="0831D407" w:rsidR="00EF64BA" w:rsidRPr="00EF64BA" w:rsidRDefault="00EF64BA" w:rsidP="00EF64BA">
      <w:pPr>
        <w:pStyle w:val="Heading1"/>
        <w:rPr>
          <w:lang w:val="fr-FR"/>
        </w:rPr>
      </w:pPr>
      <w:r>
        <w:rPr>
          <w:lang w:val="fr"/>
        </w:rPr>
        <w:t xml:space="preserve">Le PNUD a en outre indiqué qu’un consultant international pour le programme de formation des formateurs avait été sélectionné en juin 2024 et que la formation était prévue pour les formateurs nationaux au premier semestre 2025. Cela sera suivi </w:t>
      </w:r>
      <w:r w:rsidR="00EE0803">
        <w:rPr>
          <w:lang w:val="fr"/>
        </w:rPr>
        <w:t>d’une</w:t>
      </w:r>
      <w:r>
        <w:rPr>
          <w:lang w:val="fr"/>
        </w:rPr>
        <w:t xml:space="preserve"> formation de techniciens frigoristes aux substances et équipements de remplacement des HCFC, aux stratégies </w:t>
      </w:r>
      <w:r w:rsidR="00727A52">
        <w:rPr>
          <w:lang w:val="fr"/>
        </w:rPr>
        <w:t xml:space="preserve">de </w:t>
      </w:r>
      <w:r w:rsidR="00727A52" w:rsidRPr="00AB0FDD">
        <w:rPr>
          <w:rFonts w:asciiTheme="majorBidi" w:hAnsiTheme="majorBidi" w:cstheme="majorBidi"/>
          <w:lang w:val="fr"/>
        </w:rPr>
        <w:t>rendement</w:t>
      </w:r>
      <w:r w:rsidR="00727A52">
        <w:rPr>
          <w:lang w:val="fr"/>
        </w:rPr>
        <w:t xml:space="preserve"> </w:t>
      </w:r>
      <w:r>
        <w:rPr>
          <w:lang w:val="fr"/>
        </w:rPr>
        <w:t xml:space="preserve">énergétique dans les systèmes de réfrigération et de climatisation </w:t>
      </w:r>
      <w:r w:rsidR="00440ABD">
        <w:rPr>
          <w:lang w:val="fr"/>
        </w:rPr>
        <w:t>ainsi qu’</w:t>
      </w:r>
      <w:r>
        <w:rPr>
          <w:lang w:val="fr"/>
        </w:rPr>
        <w:t>à la maintenance correcte et aux bonnes pratiques.</w:t>
      </w:r>
    </w:p>
    <w:p w14:paraId="40C08BD7" w14:textId="77777777" w:rsidR="00EF64BA" w:rsidRPr="00EF64BA" w:rsidRDefault="00EF64BA" w:rsidP="00EF64BA">
      <w:pPr>
        <w:keepNext/>
        <w:spacing w:after="240"/>
        <w:rPr>
          <w:u w:val="single"/>
          <w:lang w:val="fr-FR"/>
        </w:rPr>
      </w:pPr>
      <w:r>
        <w:rPr>
          <w:u w:val="single"/>
          <w:lang w:val="fr"/>
        </w:rPr>
        <w:lastRenderedPageBreak/>
        <w:t>Plan de mise en œuvre de la deuxième tranche de la phase II du plan de gestion de l’élimination des HCFC</w:t>
      </w:r>
    </w:p>
    <w:p w14:paraId="35C1979D" w14:textId="77777777" w:rsidR="00EF64BA" w:rsidRPr="00EF64BA" w:rsidRDefault="00EF64BA" w:rsidP="00EF64BA">
      <w:pPr>
        <w:keepNext/>
        <w:spacing w:after="240"/>
        <w:outlineLvl w:val="0"/>
        <w:rPr>
          <w:lang w:val="fr-FR"/>
        </w:rPr>
      </w:pPr>
      <w:r>
        <w:rPr>
          <w:i/>
          <w:iCs/>
          <w:lang w:val="fr"/>
        </w:rPr>
        <w:t xml:space="preserve">Activités de maintien du rendement énergétique dans le secteur de l’entretien de l’équipement de réfrigération </w:t>
      </w:r>
    </w:p>
    <w:p w14:paraId="5EE23A13" w14:textId="52EE5D7B" w:rsidR="00EF64BA" w:rsidRPr="00EF64BA" w:rsidRDefault="00EF64BA" w:rsidP="00EF64BA">
      <w:pPr>
        <w:pStyle w:val="Heading1"/>
        <w:rPr>
          <w:lang w:val="fr-FR"/>
        </w:rPr>
      </w:pPr>
      <w:r>
        <w:rPr>
          <w:lang w:val="fr"/>
        </w:rPr>
        <w:t xml:space="preserve">Actuellement le système d’évaluation </w:t>
      </w:r>
      <w:r w:rsidR="008B7ABB">
        <w:rPr>
          <w:lang w:val="fr"/>
        </w:rPr>
        <w:t>du</w:t>
      </w:r>
      <w:r w:rsidR="008B7ABB" w:rsidRPr="008B7ABB">
        <w:rPr>
          <w:rFonts w:asciiTheme="majorBidi" w:hAnsiTheme="majorBidi" w:cstheme="majorBidi"/>
          <w:sz w:val="20"/>
          <w:szCs w:val="20"/>
          <w:lang w:val="fr"/>
        </w:rPr>
        <w:t xml:space="preserve"> </w:t>
      </w:r>
      <w:r w:rsidR="008B7ABB" w:rsidRPr="001A0D3F">
        <w:rPr>
          <w:rFonts w:asciiTheme="majorBidi" w:hAnsiTheme="majorBidi" w:cstheme="majorBidi"/>
          <w:lang w:val="fr"/>
        </w:rPr>
        <w:t>rendement</w:t>
      </w:r>
      <w:r w:rsidRPr="001A0D3F">
        <w:rPr>
          <w:sz w:val="24"/>
          <w:szCs w:val="24"/>
          <w:lang w:val="fr"/>
        </w:rPr>
        <w:t xml:space="preserve"> </w:t>
      </w:r>
      <w:r>
        <w:rPr>
          <w:lang w:val="fr"/>
        </w:rPr>
        <w:t xml:space="preserve">énergétique englobe les appareils domestiques, proposant aux consommateurs des économies potentielles par le biais de facture d’énergie moins chères quand ils ont recours à des substances de remplacement aux HCFC </w:t>
      </w:r>
      <w:r w:rsidR="006574A8">
        <w:rPr>
          <w:lang w:val="fr"/>
        </w:rPr>
        <w:t>plus économes en énergie</w:t>
      </w:r>
      <w:r>
        <w:rPr>
          <w:lang w:val="fr"/>
        </w:rPr>
        <w:t>. Le Bureau des normes de la Jamaïque (BSJ), qui fonctionne comme un laboratoire d’essais national, a déjà collaboré avec l’UNO sur des normes pour la manipulation des frigorigènes et l’étiquetage des produits. Une implication plus importante du BSJ est prévue afin de soutenir les initiatives de formation et de renforcement de la capacité dans le cadre de ce projet.</w:t>
      </w:r>
    </w:p>
    <w:p w14:paraId="27DAD527" w14:textId="5E579A7B" w:rsidR="00EF64BA" w:rsidRPr="00EF64BA" w:rsidRDefault="00EF64BA" w:rsidP="00EF64BA">
      <w:pPr>
        <w:pStyle w:val="Heading1"/>
        <w:rPr>
          <w:lang w:val="fr-FR"/>
        </w:rPr>
      </w:pPr>
      <w:r>
        <w:rPr>
          <w:lang w:val="fr"/>
        </w:rPr>
        <w:t xml:space="preserve">Conformément à la décision 89/6(d), le PNUD a intégré dans le plan de mise en œuvre de la tranche les </w:t>
      </w:r>
      <w:r w:rsidR="00472BC9">
        <w:rPr>
          <w:lang w:val="fr"/>
        </w:rPr>
        <w:t>actions spécifiques</w:t>
      </w:r>
      <w:r>
        <w:rPr>
          <w:lang w:val="fr"/>
        </w:rPr>
        <w:t xml:space="preserve">, les indicateurs de performance et le financement associé aux activités supplémentaires de maintien </w:t>
      </w:r>
      <w:r w:rsidR="00013709">
        <w:rPr>
          <w:lang w:val="fr"/>
        </w:rPr>
        <w:t>du rendement</w:t>
      </w:r>
      <w:r>
        <w:rPr>
          <w:lang w:val="fr"/>
        </w:rPr>
        <w:t xml:space="preserve"> énergétique. Le projet se concentre sur trois composantes principales : (a) la promotion de la coopération et </w:t>
      </w:r>
      <w:r w:rsidR="00F01D65">
        <w:rPr>
          <w:lang w:val="fr"/>
        </w:rPr>
        <w:t>du</w:t>
      </w:r>
      <w:r>
        <w:rPr>
          <w:lang w:val="fr"/>
        </w:rPr>
        <w:t xml:space="preserve"> dialogue entre l’UNO et les décideurs politiques afin d’améliorer l’étiquetage </w:t>
      </w:r>
      <w:r w:rsidR="00C9449F">
        <w:rPr>
          <w:lang w:val="fr"/>
        </w:rPr>
        <w:t>portant sur le</w:t>
      </w:r>
      <w:r w:rsidR="00C9449F" w:rsidRPr="00C9449F">
        <w:rPr>
          <w:rFonts w:asciiTheme="majorBidi" w:hAnsiTheme="majorBidi" w:cstheme="majorBidi"/>
          <w:sz w:val="20"/>
          <w:szCs w:val="20"/>
          <w:lang w:val="fr"/>
        </w:rPr>
        <w:t xml:space="preserve"> </w:t>
      </w:r>
      <w:r w:rsidR="00C9449F" w:rsidRPr="00A101A2">
        <w:rPr>
          <w:rFonts w:asciiTheme="majorBidi" w:hAnsiTheme="majorBidi" w:cstheme="majorBidi"/>
          <w:lang w:val="fr"/>
        </w:rPr>
        <w:t>rendement</w:t>
      </w:r>
      <w:r>
        <w:rPr>
          <w:lang w:val="fr"/>
        </w:rPr>
        <w:t xml:space="preserve"> énergétique et d’établir des normes de performance énergétique minimale pour le secteur de la réfrigération et de la climatisation ; (b) le renforcement de la capacité technique des formateurs et des techniciens dans le secteur de la réfrigération et de la climatisation </w:t>
      </w:r>
      <w:r w:rsidR="00333628">
        <w:rPr>
          <w:lang w:val="fr"/>
        </w:rPr>
        <w:t>à</w:t>
      </w:r>
      <w:r>
        <w:rPr>
          <w:lang w:val="fr"/>
        </w:rPr>
        <w:t xml:space="preserve"> mesure</w:t>
      </w:r>
      <w:r w:rsidR="0017027E">
        <w:rPr>
          <w:lang w:val="fr"/>
        </w:rPr>
        <w:t>r</w:t>
      </w:r>
      <w:r>
        <w:rPr>
          <w:lang w:val="fr"/>
        </w:rPr>
        <w:t xml:space="preserve"> les performances énergétiques et </w:t>
      </w:r>
      <w:r w:rsidR="00333628">
        <w:rPr>
          <w:lang w:val="fr"/>
        </w:rPr>
        <w:t xml:space="preserve">à </w:t>
      </w:r>
      <w:r>
        <w:rPr>
          <w:lang w:val="fr"/>
        </w:rPr>
        <w:t>améliorer les pratiques de maintenance des équipements et (c) l’intensification de la sensibilisation des consommateurs à l’importance d’utiliser des équipements de réfrigération et de climatisation économes en énergie et des frigorigènes à faible PRP.</w:t>
      </w:r>
    </w:p>
    <w:p w14:paraId="11300260" w14:textId="77777777" w:rsidR="00EF64BA" w:rsidRPr="00EF64BA" w:rsidRDefault="00EF64BA" w:rsidP="00EF64BA">
      <w:pPr>
        <w:pStyle w:val="Heading1"/>
        <w:rPr>
          <w:lang w:val="fr-FR"/>
        </w:rPr>
      </w:pPr>
      <w:r>
        <w:rPr>
          <w:lang w:val="fr"/>
        </w:rPr>
        <w:t>Le PNUD a confirmé qu’il n’y avait pas d’autres activités en cours de mise en œuvre avec des sources de financement étrangères au Fonds multilatéral qui pourraient se recouper avec les activités planifiées dans le cadre de ce projet.</w:t>
      </w:r>
    </w:p>
    <w:p w14:paraId="79D7E21B" w14:textId="77777777" w:rsidR="00EF64BA" w:rsidRPr="00EF64BA" w:rsidRDefault="00EF64BA" w:rsidP="00EF64BA">
      <w:pPr>
        <w:keepNext/>
        <w:spacing w:after="240"/>
        <w:rPr>
          <w:u w:val="single"/>
          <w:lang w:val="fr-FR"/>
        </w:rPr>
      </w:pPr>
      <w:r>
        <w:rPr>
          <w:u w:val="single"/>
          <w:lang w:val="fr"/>
        </w:rPr>
        <w:t>Mise en œuvre de la politique d’égalité des genres</w:t>
      </w:r>
    </w:p>
    <w:p w14:paraId="6A0A1FB7" w14:textId="668A3A92" w:rsidR="00EF64BA" w:rsidRPr="00EF64BA" w:rsidRDefault="00EF64BA" w:rsidP="00EF64BA">
      <w:pPr>
        <w:pStyle w:val="Heading1"/>
        <w:rPr>
          <w:i/>
          <w:lang w:val="fr-FR"/>
        </w:rPr>
      </w:pPr>
      <w:r>
        <w:rPr>
          <w:lang w:val="fr"/>
        </w:rPr>
        <w:t xml:space="preserve">Conformément aux décisions 84/92(d) et 90/48(c), le gouvernement de la Jamaïque et le PNUD sont totalement </w:t>
      </w:r>
      <w:r w:rsidR="00AB10AC">
        <w:rPr>
          <w:lang w:val="fr"/>
        </w:rPr>
        <w:t>investis</w:t>
      </w:r>
      <w:r>
        <w:rPr>
          <w:lang w:val="fr"/>
        </w:rPr>
        <w:t xml:space="preserve"> dans la mise en œuvre de la politique </w:t>
      </w:r>
      <w:r w:rsidR="0094648A">
        <w:rPr>
          <w:lang w:val="fr"/>
        </w:rPr>
        <w:t>opérationnelle</w:t>
      </w:r>
      <w:r>
        <w:rPr>
          <w:lang w:val="fr"/>
        </w:rPr>
        <w:t xml:space="preserve"> en matière d’égalité des genres du Fonds multilatéral. Des campagnes de sensibilisation ont été menées auprès des femmes travaillant actuellement dans le secteur de la réfrigération et de la climatisation par le PNUD et l’UNO, notamment les techniciennes, les importatrices, les commerciales et les propriétaires de magasins. En outre, des efforts ont été fournis afin de garantir un niveau maximum de participation des femmes aux différentes activités réalisées dans le cadre des phases du PGEH. La formation réalisée durant la première tranche totalisait une participation des femmes à hauteur de 45,8 pour cent.</w:t>
      </w:r>
    </w:p>
    <w:p w14:paraId="216F9DB4" w14:textId="2949B415" w:rsidR="00EF64BA" w:rsidRPr="00B37E80" w:rsidRDefault="00EF64BA" w:rsidP="00EF64BA">
      <w:pPr>
        <w:keepNext/>
        <w:spacing w:after="240"/>
      </w:pPr>
      <w:r>
        <w:rPr>
          <w:u w:val="single"/>
          <w:lang w:val="fr"/>
        </w:rPr>
        <w:t>Accord révisé</w:t>
      </w:r>
    </w:p>
    <w:p w14:paraId="5201BD49" w14:textId="77777777" w:rsidR="00EF64BA" w:rsidRPr="00EF64BA" w:rsidRDefault="00EF64BA" w:rsidP="00EF64BA">
      <w:pPr>
        <w:pStyle w:val="Heading1"/>
        <w:rPr>
          <w:lang w:val="fr-FR"/>
        </w:rPr>
      </w:pPr>
      <w:r>
        <w:rPr>
          <w:lang w:val="fr"/>
        </w:rPr>
        <w:t>Compte tenu de l’inclusion de financement pour les activités supplémentaires de maintien du rendement énergétique dans le secteur de l’entretien de l’équipement de réfrigération et conformément au calendrier de financement révisé, l’Accord entre le gouvernement de la Jamaïque et le Comité exécutif a été mis à jour. Précisément, l’Appendice 2-A a été actualisé et le paragraphe 17 a été ajouté afin d’indiquer que l’Accord révisé se substitue à celui entériné lors de la 86</w:t>
      </w:r>
      <w:r>
        <w:rPr>
          <w:vertAlign w:val="superscript"/>
          <w:lang w:val="fr"/>
        </w:rPr>
        <w:t>e</w:t>
      </w:r>
      <w:r>
        <w:rPr>
          <w:lang w:val="fr"/>
        </w:rPr>
        <w:t> réunion par la décision 86/72, comme indiqué dans l’Annexe I au présent document. L’Accord révisé complet sera annexé au rapport final de la 95</w:t>
      </w:r>
      <w:r>
        <w:rPr>
          <w:vertAlign w:val="superscript"/>
          <w:lang w:val="fr"/>
        </w:rPr>
        <w:t>e </w:t>
      </w:r>
      <w:r>
        <w:rPr>
          <w:lang w:val="fr"/>
        </w:rPr>
        <w:t>réunion.</w:t>
      </w:r>
    </w:p>
    <w:p w14:paraId="27C76A85" w14:textId="77777777" w:rsidR="00EF64BA" w:rsidRPr="00EF64BA" w:rsidRDefault="00EF64BA" w:rsidP="00EF64BA">
      <w:pPr>
        <w:pStyle w:val="NormalWeb"/>
        <w:keepNext/>
        <w:rPr>
          <w:sz w:val="22"/>
          <w:szCs w:val="22"/>
          <w:u w:val="single"/>
          <w:lang w:val="fr-FR"/>
        </w:rPr>
      </w:pPr>
      <w:r>
        <w:rPr>
          <w:sz w:val="22"/>
          <w:szCs w:val="22"/>
          <w:u w:val="single"/>
          <w:lang w:val="fr"/>
        </w:rPr>
        <w:t>Pérennité de l’élimination des HCFC et évaluation des risques</w:t>
      </w:r>
    </w:p>
    <w:p w14:paraId="284E315B" w14:textId="4B1D6720" w:rsidR="00EF64BA" w:rsidRPr="00EF64BA" w:rsidRDefault="00EF64BA" w:rsidP="00EF64BA">
      <w:pPr>
        <w:pStyle w:val="Heading1"/>
        <w:rPr>
          <w:lang w:val="fr-FR"/>
        </w:rPr>
      </w:pPr>
      <w:r>
        <w:rPr>
          <w:noProof/>
          <w:lang w:val="fr"/>
        </w:rPr>
        <w:t xml:space="preserve">Le gouvernement de la Jamaïque poursuit la mise en vigueur et </w:t>
      </w:r>
      <w:r w:rsidR="001C236C">
        <w:rPr>
          <w:noProof/>
          <w:lang w:val="fr"/>
        </w:rPr>
        <w:t>la supervision de</w:t>
      </w:r>
      <w:r>
        <w:rPr>
          <w:noProof/>
          <w:lang w:val="fr"/>
        </w:rPr>
        <w:t xml:space="preserve"> la mise en œuvre des réglementations nationales liées au système de quotas et d’octroi de permis relatif aux HCFC. Par le </w:t>
      </w:r>
      <w:r>
        <w:rPr>
          <w:noProof/>
          <w:lang w:val="fr"/>
        </w:rPr>
        <w:lastRenderedPageBreak/>
        <w:t xml:space="preserve">biais d’une formation continue des agents des forces de l’ordre et des douanes, la consommation de HCFC reste contrôlée et inférieure aux objectifs indiqués dans l’Accord du pays avec le Comité exécutif. Afin d’atténuer les risques liés à l’élimination durable des HCFC, le Gouvernement va poursuivre la mise en vigueur des mesures de contrôle des approvisionnements en HCFC en mettant à jour l’Ordonnance sur le commerce (2014) pour y intégrer des réglementations interdisant l’importation d’équipements utilisant des HCFC, </w:t>
      </w:r>
      <w:r w:rsidR="00722A8D">
        <w:rPr>
          <w:noProof/>
          <w:lang w:val="fr"/>
        </w:rPr>
        <w:t>après avoir procédé aux</w:t>
      </w:r>
      <w:r>
        <w:rPr>
          <w:noProof/>
          <w:lang w:val="fr"/>
        </w:rPr>
        <w:t xml:space="preserve"> consultations et approbations nécessaires. En outre, </w:t>
      </w:r>
      <w:r w:rsidR="00DB28A6">
        <w:rPr>
          <w:noProof/>
          <w:lang w:val="fr"/>
        </w:rPr>
        <w:t>d</w:t>
      </w:r>
      <w:r>
        <w:rPr>
          <w:noProof/>
          <w:lang w:val="fr"/>
        </w:rPr>
        <w:t>es programmes de formation des techniciens frigoristes seront mis en oeuvre afin de renforcer la capacité en matière de bonnes pratiques d’entretien, notamment l’adoption prudente de substances de remplacement. Une fois approuvées et mises en œuvre, les activités de la composante du projet conform</w:t>
      </w:r>
      <w:r w:rsidR="00F16F5A">
        <w:rPr>
          <w:noProof/>
          <w:lang w:val="fr"/>
        </w:rPr>
        <w:t>es</w:t>
      </w:r>
      <w:r>
        <w:rPr>
          <w:noProof/>
          <w:lang w:val="fr"/>
        </w:rPr>
        <w:t xml:space="preserve"> à la décision 89/6 </w:t>
      </w:r>
      <w:r w:rsidR="00CF730A">
        <w:rPr>
          <w:noProof/>
          <w:lang w:val="fr"/>
        </w:rPr>
        <w:t xml:space="preserve">contribueront à </w:t>
      </w:r>
      <w:r w:rsidR="00FC2331">
        <w:rPr>
          <w:noProof/>
          <w:lang w:val="fr"/>
        </w:rPr>
        <w:t>accroître</w:t>
      </w:r>
      <w:r>
        <w:rPr>
          <w:noProof/>
          <w:lang w:val="fr"/>
        </w:rPr>
        <w:t xml:space="preserve"> l’adoption de substances de remplacement durables, économes en énergie et à faible PRP, en particulier dans le secteur de la climatisation.</w:t>
      </w:r>
    </w:p>
    <w:p w14:paraId="5AC83D02" w14:textId="77777777" w:rsidR="00EF64BA" w:rsidRPr="00B37E80" w:rsidRDefault="00EF64BA" w:rsidP="00EF64BA">
      <w:pPr>
        <w:pStyle w:val="NormalWeb"/>
        <w:keepNext/>
        <w:rPr>
          <w:sz w:val="22"/>
          <w:szCs w:val="22"/>
          <w:u w:val="single"/>
        </w:rPr>
      </w:pPr>
      <w:r>
        <w:rPr>
          <w:sz w:val="22"/>
          <w:szCs w:val="22"/>
          <w:u w:val="single"/>
          <w:lang w:val="fr"/>
        </w:rPr>
        <w:t>Conclusion</w:t>
      </w:r>
    </w:p>
    <w:p w14:paraId="4ED96478" w14:textId="34F5DC45" w:rsidR="00EF64BA" w:rsidRPr="00EF64BA" w:rsidRDefault="00EF64BA" w:rsidP="00EF64BA">
      <w:pPr>
        <w:pStyle w:val="Heading1"/>
        <w:rPr>
          <w:lang w:val="fr-FR"/>
        </w:rPr>
      </w:pPr>
      <w:r>
        <w:rPr>
          <w:noProof/>
          <w:lang w:val="fr"/>
        </w:rPr>
        <w:t xml:space="preserve">Le gouvernement de la Jamaïque a réduit sa consommation de HCFC à 1,40 tonne PAO de HCFC en 2023, ce qui représente 91.4 pour cent de moins que la valeur de référence pour les HCFC aux fins de conformité et 82,9 pour cent de moins que les objectifs de consommation pour cette année établis dans l’Accord relatif au PGEH avec le Comité exécutif. Le Gouvernement met en œuvre un système d'octroi de </w:t>
      </w:r>
      <w:r w:rsidR="00B45646">
        <w:rPr>
          <w:noProof/>
          <w:lang w:val="fr"/>
        </w:rPr>
        <w:t>permis</w:t>
      </w:r>
      <w:r>
        <w:rPr>
          <w:noProof/>
          <w:lang w:val="fr"/>
        </w:rPr>
        <w:t xml:space="preserve"> et de quotas pour les HCFC et travaille étroitement avec les douanes et les services répressifs afin de renforcer le système et d’effectuer une transition vers un système totalement dématérialisé. Les activités liées à la formation et au renforcement de la capacité pour les techniciens d’entretien en réfrigération et climatisation sur les substances de remplacement des HCFC à faible PRP, sur les stratégie d’économie d’énergie dans les systèmes de réfrigération et de climatisation </w:t>
      </w:r>
      <w:r w:rsidR="000303A8">
        <w:rPr>
          <w:noProof/>
          <w:lang w:val="fr"/>
        </w:rPr>
        <w:t xml:space="preserve">ainsi que </w:t>
      </w:r>
      <w:r>
        <w:rPr>
          <w:noProof/>
          <w:lang w:val="fr"/>
        </w:rPr>
        <w:t>sur la maintenance correcte et les bonnes pratqieus d’entretien sont aussi en cours. Les activités de sensibilisation et le travail de proximité liés à la mise en œuvre du PGEH, notamment la promotion des bonnes pratiques d’entretien pour les HCFC et l’adoption de technologies à faible PRP sont menées activement. Sur le montant total du financement approuvé dans le cadre de la première tranche, 59 pour cent ont été décaissés. Dans le cadre de la deuxième tranche, le Gouvernement continuera à mettre en œuvre des activités de formation pour les techniciens d’entretien, les agents des forces de l’ordre et des douanes, ainsi que des activités de sensibilisation et un travail de proximité sur la maintenance correcte, les pratiques d’entretien et l’adoption de substances de remplacement à faible PRP. La proposition de projet soumise conformément à la décision 89/6(b) aiderait le pays à mettre en œuvre des normes de performance énergétique minimale et des programmes d’étiquetage.</w:t>
      </w:r>
    </w:p>
    <w:p w14:paraId="04F03B45" w14:textId="77777777" w:rsidR="00EF64BA" w:rsidRPr="00B37E80" w:rsidRDefault="00EF64BA" w:rsidP="00EF64BA">
      <w:pPr>
        <w:keepNext/>
        <w:spacing w:before="360" w:after="240"/>
        <w:rPr>
          <w:b/>
        </w:rPr>
      </w:pPr>
      <w:r>
        <w:rPr>
          <w:b/>
          <w:bCs/>
          <w:lang w:val="fr"/>
        </w:rPr>
        <w:t>RECOMMANDATION</w:t>
      </w:r>
    </w:p>
    <w:p w14:paraId="0F1E7A38" w14:textId="77777777" w:rsidR="00EF64BA" w:rsidRPr="00EF64BA" w:rsidRDefault="00EF64BA" w:rsidP="00EF64BA">
      <w:pPr>
        <w:pStyle w:val="Heading1"/>
        <w:keepNext/>
        <w:spacing w:before="240"/>
        <w:rPr>
          <w:lang w:val="fr-FR"/>
        </w:rPr>
      </w:pPr>
      <w:r>
        <w:rPr>
          <w:lang w:val="fr"/>
        </w:rPr>
        <w:t>Le Secrétariat du Fonds recommande au Comité exécutif de prendre note :</w:t>
      </w:r>
    </w:p>
    <w:p w14:paraId="1F437A02" w14:textId="77777777" w:rsidR="00EF64BA" w:rsidRPr="00EF64BA" w:rsidRDefault="00EF64BA" w:rsidP="00EF64BA">
      <w:pPr>
        <w:pStyle w:val="Heading2"/>
        <w:keepNext/>
        <w:widowControl/>
        <w:numPr>
          <w:ilvl w:val="1"/>
          <w:numId w:val="1"/>
        </w:numPr>
        <w:rPr>
          <w:lang w:val="fr-FR"/>
        </w:rPr>
      </w:pPr>
      <w:r>
        <w:rPr>
          <w:lang w:val="fr"/>
        </w:rPr>
        <w:t>Du rapport périodique sur la mise en œuvre de la première tranche de la phase II du plan de gestion de l’élimination du HCFC (PGEH) pour la Jamaïque ;</w:t>
      </w:r>
    </w:p>
    <w:p w14:paraId="7AAC5306" w14:textId="334259BB" w:rsidR="00EF64BA" w:rsidRPr="00EF64BA" w:rsidRDefault="00EF64BA" w:rsidP="00EF64BA">
      <w:pPr>
        <w:pStyle w:val="Heading2"/>
        <w:keepNext/>
        <w:widowControl/>
        <w:numPr>
          <w:ilvl w:val="1"/>
          <w:numId w:val="1"/>
        </w:numPr>
        <w:rPr>
          <w:lang w:val="fr-FR"/>
        </w:rPr>
      </w:pPr>
      <w:r>
        <w:rPr>
          <w:lang w:val="fr"/>
        </w:rPr>
        <w:t xml:space="preserve">De la soumission d’une demande de financement d’activités supplémentaires de maintien </w:t>
      </w:r>
      <w:r w:rsidR="00307E63">
        <w:rPr>
          <w:lang w:val="fr"/>
        </w:rPr>
        <w:t xml:space="preserve">du </w:t>
      </w:r>
      <w:r w:rsidR="00307E63" w:rsidRPr="00A101A2">
        <w:rPr>
          <w:rFonts w:asciiTheme="majorBidi" w:hAnsiTheme="majorBidi" w:cstheme="majorBidi"/>
          <w:lang w:val="fr"/>
        </w:rPr>
        <w:t>rendement</w:t>
      </w:r>
      <w:r>
        <w:rPr>
          <w:lang w:val="fr"/>
        </w:rPr>
        <w:t xml:space="preserve"> énergétique dans le secteur de l’entretien des équipements de réfrigération pour un montant de 120 000 $ US, plus les coûts d’appui d’agence à hauteur de 8 400 $ US pour le PNUD ;</w:t>
      </w:r>
    </w:p>
    <w:p w14:paraId="3FFA0524" w14:textId="77777777" w:rsidR="00EF64BA" w:rsidRPr="00EF64BA" w:rsidRDefault="00EF64BA" w:rsidP="00EF64BA">
      <w:pPr>
        <w:pStyle w:val="Heading2"/>
        <w:keepNext/>
        <w:widowControl/>
        <w:numPr>
          <w:ilvl w:val="1"/>
          <w:numId w:val="1"/>
        </w:numPr>
        <w:rPr>
          <w:lang w:val="fr-FR"/>
        </w:rPr>
      </w:pPr>
      <w:r>
        <w:rPr>
          <w:lang w:val="fr"/>
        </w:rPr>
        <w:t xml:space="preserve">Que le Secrétariat du Fonds a actualisé l’Accord entre le gouvernement de la Jamaïque et le Comité exécutif, figurant à l’Annexe I du présent document, et en particulier : L’Appendice 2-A, en s’appuyant sur l’intégration du financement d’activités supplémentaires de maintien du rendement énergétique dans le secteur de l’entretien de l’équipement de réfrigération mentionnée dans le sous-paragraphe (b) ci-dessus, et le </w:t>
      </w:r>
      <w:r>
        <w:rPr>
          <w:lang w:val="fr"/>
        </w:rPr>
        <w:lastRenderedPageBreak/>
        <w:t>paragraphe 17 qui a été modifié afin d’indiquer que l’Accord révisé se substitue à celui entériné lors de la 86</w:t>
      </w:r>
      <w:r>
        <w:rPr>
          <w:vertAlign w:val="superscript"/>
          <w:lang w:val="fr"/>
        </w:rPr>
        <w:t>e</w:t>
      </w:r>
      <w:r>
        <w:rPr>
          <w:lang w:val="fr"/>
        </w:rPr>
        <w:t> réunion par la décision 86/72.</w:t>
      </w:r>
    </w:p>
    <w:p w14:paraId="75A40892" w14:textId="77777777" w:rsidR="00EF64BA" w:rsidRPr="00EF64BA" w:rsidRDefault="00EF64BA" w:rsidP="00EF64BA">
      <w:pPr>
        <w:pStyle w:val="Heading1"/>
        <w:rPr>
          <w:lang w:val="fr-FR"/>
        </w:rPr>
      </w:pPr>
      <w:r>
        <w:rPr>
          <w:lang w:val="fr"/>
        </w:rPr>
        <w:t>Le Secrétariat du Fonds recommande par ailleurs l’approbation globale de la deuxième tranche de la phase II du PGEH de la Jamaïque, ainsi que le plan correspondant de mise en œuvre de la tranche pour 2024-2027, au niveau de financement indiqué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EF64BA" w:rsidRPr="00B37E80" w14:paraId="60ECF70E" w14:textId="77777777" w:rsidTr="00A27198">
        <w:trPr>
          <w:tblHeader/>
        </w:trPr>
        <w:tc>
          <w:tcPr>
            <w:tcW w:w="536" w:type="dxa"/>
          </w:tcPr>
          <w:p w14:paraId="30E9C8B8" w14:textId="77777777" w:rsidR="00EF64BA" w:rsidRPr="00EF64BA" w:rsidRDefault="00EF64BA" w:rsidP="00A27198">
            <w:pPr>
              <w:keepNext/>
              <w:jc w:val="center"/>
              <w:rPr>
                <w:b/>
                <w:bCs/>
                <w:sz w:val="20"/>
                <w:szCs w:val="20"/>
                <w:lang w:val="fr-FR"/>
              </w:rPr>
            </w:pPr>
          </w:p>
        </w:tc>
        <w:tc>
          <w:tcPr>
            <w:tcW w:w="4260" w:type="dxa"/>
          </w:tcPr>
          <w:p w14:paraId="13C6021B" w14:textId="77777777" w:rsidR="00EF64BA" w:rsidRPr="00B37E80" w:rsidRDefault="00EF64BA" w:rsidP="00A27198">
            <w:pPr>
              <w:keepNext/>
              <w:jc w:val="center"/>
              <w:rPr>
                <w:b/>
                <w:bCs/>
                <w:sz w:val="20"/>
                <w:szCs w:val="20"/>
              </w:rPr>
            </w:pPr>
            <w:r>
              <w:rPr>
                <w:b/>
                <w:bCs/>
                <w:sz w:val="20"/>
                <w:szCs w:val="20"/>
                <w:lang w:val="fr"/>
              </w:rPr>
              <w:t>Titre du projet</w:t>
            </w:r>
          </w:p>
        </w:tc>
        <w:tc>
          <w:tcPr>
            <w:tcW w:w="1543" w:type="dxa"/>
            <w:tcMar>
              <w:left w:w="29" w:type="dxa"/>
              <w:right w:w="29" w:type="dxa"/>
            </w:tcMar>
          </w:tcPr>
          <w:p w14:paraId="2E4B6F52" w14:textId="77777777" w:rsidR="00EF64BA" w:rsidRPr="00B37E80" w:rsidRDefault="00EF64BA" w:rsidP="00A27198">
            <w:pPr>
              <w:keepNext/>
              <w:jc w:val="center"/>
              <w:rPr>
                <w:b/>
                <w:bCs/>
                <w:sz w:val="20"/>
                <w:szCs w:val="20"/>
              </w:rPr>
            </w:pPr>
            <w:r>
              <w:rPr>
                <w:b/>
                <w:bCs/>
                <w:sz w:val="20"/>
                <w:szCs w:val="20"/>
                <w:lang w:val="fr"/>
              </w:rPr>
              <w:t>Financement du projet ($ US)</w:t>
            </w:r>
          </w:p>
        </w:tc>
        <w:tc>
          <w:tcPr>
            <w:tcW w:w="1437" w:type="dxa"/>
            <w:tcMar>
              <w:left w:w="29" w:type="dxa"/>
              <w:right w:w="29" w:type="dxa"/>
            </w:tcMar>
          </w:tcPr>
          <w:p w14:paraId="1EFA6865" w14:textId="77777777" w:rsidR="00EF64BA" w:rsidRPr="00B37E80" w:rsidRDefault="00EF64BA" w:rsidP="00A27198">
            <w:pPr>
              <w:keepNext/>
              <w:jc w:val="center"/>
              <w:rPr>
                <w:b/>
                <w:bCs/>
                <w:sz w:val="20"/>
                <w:szCs w:val="20"/>
              </w:rPr>
            </w:pPr>
            <w:r>
              <w:rPr>
                <w:b/>
                <w:bCs/>
                <w:sz w:val="20"/>
                <w:szCs w:val="20"/>
                <w:lang w:val="fr"/>
              </w:rPr>
              <w:t>Coûts d’appui ($ US)</w:t>
            </w:r>
          </w:p>
        </w:tc>
        <w:tc>
          <w:tcPr>
            <w:tcW w:w="1574" w:type="dxa"/>
            <w:tcMar>
              <w:left w:w="29" w:type="dxa"/>
              <w:right w:w="29" w:type="dxa"/>
            </w:tcMar>
          </w:tcPr>
          <w:p w14:paraId="0783A8BC" w14:textId="77777777" w:rsidR="00EF64BA" w:rsidRPr="00B37E80" w:rsidRDefault="00EF64BA" w:rsidP="00A27198">
            <w:pPr>
              <w:keepNext/>
              <w:jc w:val="center"/>
              <w:rPr>
                <w:b/>
                <w:bCs/>
                <w:sz w:val="20"/>
                <w:szCs w:val="20"/>
              </w:rPr>
            </w:pPr>
            <w:r>
              <w:rPr>
                <w:b/>
                <w:bCs/>
                <w:sz w:val="20"/>
                <w:szCs w:val="20"/>
                <w:lang w:val="fr"/>
              </w:rPr>
              <w:t>Agence d’exécution</w:t>
            </w:r>
          </w:p>
        </w:tc>
      </w:tr>
      <w:tr w:rsidR="00EF64BA" w:rsidRPr="00B37E80" w14:paraId="6C6C7297" w14:textId="77777777" w:rsidTr="00A27198">
        <w:tc>
          <w:tcPr>
            <w:tcW w:w="536" w:type="dxa"/>
          </w:tcPr>
          <w:p w14:paraId="7DCECE37" w14:textId="77777777" w:rsidR="00EF64BA" w:rsidRPr="00B37E80" w:rsidRDefault="00EF64BA" w:rsidP="00A27198">
            <w:pPr>
              <w:keepNext/>
              <w:rPr>
                <w:sz w:val="20"/>
                <w:szCs w:val="20"/>
              </w:rPr>
            </w:pPr>
            <w:r>
              <w:rPr>
                <w:sz w:val="20"/>
                <w:szCs w:val="20"/>
                <w:lang w:val="fr"/>
              </w:rPr>
              <w:t>(a)</w:t>
            </w:r>
          </w:p>
        </w:tc>
        <w:tc>
          <w:tcPr>
            <w:tcW w:w="4260" w:type="dxa"/>
          </w:tcPr>
          <w:p w14:paraId="01CA1709" w14:textId="77777777" w:rsidR="00EF64BA" w:rsidRPr="00EF64BA" w:rsidRDefault="00EF64BA" w:rsidP="00A27198">
            <w:pPr>
              <w:keepNext/>
              <w:jc w:val="left"/>
              <w:rPr>
                <w:sz w:val="20"/>
                <w:szCs w:val="20"/>
                <w:lang w:val="fr-FR"/>
              </w:rPr>
            </w:pPr>
            <w:r>
              <w:rPr>
                <w:sz w:val="20"/>
                <w:szCs w:val="20"/>
                <w:lang w:val="fr"/>
              </w:rPr>
              <w:t>Plan de gestion de l’élimination des HCFC (phase II, deuxième tranche)</w:t>
            </w:r>
          </w:p>
        </w:tc>
        <w:tc>
          <w:tcPr>
            <w:tcW w:w="1543" w:type="dxa"/>
          </w:tcPr>
          <w:p w14:paraId="40E25BE8" w14:textId="77777777" w:rsidR="00EF64BA" w:rsidRPr="00B37E80" w:rsidRDefault="00EF64BA" w:rsidP="00A27198">
            <w:pPr>
              <w:keepNext/>
              <w:jc w:val="right"/>
              <w:rPr>
                <w:sz w:val="20"/>
                <w:szCs w:val="20"/>
              </w:rPr>
            </w:pPr>
            <w:r>
              <w:rPr>
                <w:sz w:val="20"/>
                <w:szCs w:val="20"/>
                <w:lang w:val="fr"/>
              </w:rPr>
              <w:t>276 000</w:t>
            </w:r>
          </w:p>
        </w:tc>
        <w:tc>
          <w:tcPr>
            <w:tcW w:w="1437" w:type="dxa"/>
          </w:tcPr>
          <w:p w14:paraId="46ECB07F" w14:textId="77777777" w:rsidR="00EF64BA" w:rsidRPr="00B37E80" w:rsidRDefault="00EF64BA" w:rsidP="00A27198">
            <w:pPr>
              <w:keepNext/>
              <w:jc w:val="right"/>
            </w:pPr>
            <w:r>
              <w:rPr>
                <w:sz w:val="20"/>
                <w:szCs w:val="20"/>
                <w:lang w:val="fr"/>
              </w:rPr>
              <w:t>19 320</w:t>
            </w:r>
          </w:p>
        </w:tc>
        <w:tc>
          <w:tcPr>
            <w:tcW w:w="1574" w:type="dxa"/>
          </w:tcPr>
          <w:p w14:paraId="013BC11F" w14:textId="77777777" w:rsidR="00EF64BA" w:rsidRPr="00B37E80" w:rsidRDefault="00EF64BA" w:rsidP="00A27198">
            <w:pPr>
              <w:keepNext/>
              <w:jc w:val="center"/>
              <w:rPr>
                <w:sz w:val="20"/>
                <w:szCs w:val="20"/>
              </w:rPr>
            </w:pPr>
            <w:r>
              <w:rPr>
                <w:sz w:val="20"/>
                <w:szCs w:val="20"/>
                <w:lang w:val="fr"/>
              </w:rPr>
              <w:t>PNUD</w:t>
            </w:r>
          </w:p>
        </w:tc>
      </w:tr>
    </w:tbl>
    <w:p w14:paraId="28CB0D06" w14:textId="58FCEF7D" w:rsidR="0053175F" w:rsidRDefault="0053175F" w:rsidP="00FD04E8">
      <w:pPr>
        <w:pStyle w:val="Title1"/>
        <w:jc w:val="both"/>
        <w:rPr>
          <w:lang w:val="fr-CA"/>
        </w:rPr>
        <w:sectPr w:rsidR="0053175F" w:rsidSect="008A4946">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6F285CAA" w14:textId="77777777" w:rsidR="009E6AF1" w:rsidRDefault="009E6AF1" w:rsidP="009E6AF1">
      <w:pPr>
        <w:jc w:val="center"/>
        <w:rPr>
          <w:b/>
          <w:bCs/>
          <w:lang w:val="fr-CA"/>
        </w:rPr>
      </w:pPr>
      <w:r w:rsidRPr="003D4B24">
        <w:rPr>
          <w:b/>
          <w:bCs/>
          <w:lang w:val="fr-CA"/>
        </w:rPr>
        <w:lastRenderedPageBreak/>
        <w:t>Annexe I</w:t>
      </w:r>
    </w:p>
    <w:p w14:paraId="7A77E06A" w14:textId="77777777" w:rsidR="009E6AF1" w:rsidRPr="003D4B24" w:rsidRDefault="009E6AF1" w:rsidP="009E6AF1">
      <w:pPr>
        <w:jc w:val="center"/>
        <w:rPr>
          <w:b/>
          <w:bCs/>
          <w:lang w:val="fr-CA"/>
        </w:rPr>
      </w:pPr>
    </w:p>
    <w:p w14:paraId="63E929AF" w14:textId="77777777" w:rsidR="009E6AF1" w:rsidRPr="008C5199" w:rsidRDefault="009E6AF1" w:rsidP="009E6AF1">
      <w:pPr>
        <w:jc w:val="center"/>
        <w:rPr>
          <w:b/>
          <w:bCs/>
          <w:lang w:val="fr-CA"/>
        </w:rPr>
      </w:pPr>
      <w:r w:rsidRPr="008C5199">
        <w:rPr>
          <w:b/>
          <w:bCs/>
          <w:lang w:val="fr-CA"/>
        </w:rPr>
        <w:t>TEXTE À INCLURE DANS L’ACCORD ENTRE LE GOUVERNEMENT DE LA JAMAÏQUE ET LE COMITÉ EXÉCUTIF DU FONDS MULTILATÉRAL POUR LA RÉDUCTION DE LA CONSOMMATION DES HYDROFLUOROCARBURES CONFORMÉMENT À LA DEUXIÈME PHASE DU PLAN DE GESTION DE L’ÉLIMINATION DES HCFC</w:t>
      </w:r>
    </w:p>
    <w:p w14:paraId="02F0FD10" w14:textId="77777777" w:rsidR="009E6AF1" w:rsidRPr="008C5199" w:rsidRDefault="009E6AF1" w:rsidP="009E6AF1">
      <w:pPr>
        <w:jc w:val="center"/>
        <w:rPr>
          <w:b/>
          <w:bCs/>
          <w:lang w:val="fr-CA"/>
        </w:rPr>
      </w:pPr>
    </w:p>
    <w:p w14:paraId="72290429" w14:textId="77777777" w:rsidR="009E6AF1" w:rsidRPr="008C5199" w:rsidRDefault="009E6AF1" w:rsidP="009E6AF1">
      <w:pPr>
        <w:jc w:val="center"/>
        <w:rPr>
          <w:lang w:val="fr-CA"/>
        </w:rPr>
      </w:pPr>
      <w:r w:rsidRPr="008C5199">
        <w:rPr>
          <w:lang w:val="fr-CA"/>
        </w:rPr>
        <w:t>(Les changements pertinents sont indiqués en caractères gras afin d’en faciliter la consultation)</w:t>
      </w:r>
    </w:p>
    <w:p w14:paraId="2A917F53" w14:textId="77777777" w:rsidR="009E6AF1" w:rsidRPr="008C5199" w:rsidRDefault="009E6AF1" w:rsidP="009E6AF1">
      <w:pPr>
        <w:jc w:val="center"/>
        <w:rPr>
          <w:lang w:val="fr-CA"/>
        </w:rPr>
      </w:pPr>
    </w:p>
    <w:p w14:paraId="2ACE693F" w14:textId="77777777" w:rsidR="009E6AF1" w:rsidRPr="006106D1" w:rsidRDefault="009E6AF1" w:rsidP="009E6AF1">
      <w:pPr>
        <w:pStyle w:val="Heading1"/>
        <w:numPr>
          <w:ilvl w:val="0"/>
          <w:numId w:val="0"/>
        </w:numPr>
        <w:rPr>
          <w:lang w:val="fr-CA"/>
        </w:rPr>
      </w:pPr>
      <w:r w:rsidRPr="008C5199">
        <w:rPr>
          <w:b/>
          <w:bCs/>
          <w:lang w:val="fr-CA"/>
        </w:rPr>
        <w:t xml:space="preserve">17. </w:t>
      </w:r>
      <w:r w:rsidRPr="008C5199">
        <w:rPr>
          <w:b/>
          <w:bCs/>
          <w:lang w:val="fr-CA"/>
        </w:rPr>
        <w:tab/>
        <w:t>Le présent Accord mis à jour remplace l’Accord conclu entre le gouvernement de la Jamaïque et le Comité exécutif à la 86</w:t>
      </w:r>
      <w:r w:rsidRPr="008C5199">
        <w:rPr>
          <w:b/>
          <w:bCs/>
          <w:vertAlign w:val="superscript"/>
          <w:lang w:val="fr-CA"/>
        </w:rPr>
        <w:t>e</w:t>
      </w:r>
      <w:r w:rsidRPr="008C5199">
        <w:rPr>
          <w:b/>
          <w:bCs/>
          <w:lang w:val="fr-CA"/>
        </w:rPr>
        <w:t> réunion du Comité exécutif.</w:t>
      </w:r>
    </w:p>
    <w:p w14:paraId="4BA86469" w14:textId="77777777" w:rsidR="009E6AF1" w:rsidRDefault="009E6AF1" w:rsidP="009E6AF1">
      <w:pPr>
        <w:rPr>
          <w:sz w:val="16"/>
          <w:szCs w:val="16"/>
          <w:lang w:val="fr-CA"/>
        </w:rPr>
      </w:pPr>
    </w:p>
    <w:p w14:paraId="1620F7C6" w14:textId="77777777" w:rsidR="009E6AF1" w:rsidRPr="009E6AF1" w:rsidRDefault="009E6AF1" w:rsidP="009E6AF1">
      <w:pPr>
        <w:keepNext/>
        <w:keepLines/>
        <w:rPr>
          <w:b/>
          <w:lang w:val="fr-CA"/>
        </w:rPr>
      </w:pPr>
      <w:r w:rsidRPr="009E6AF1">
        <w:rPr>
          <w:b/>
          <w:lang w:val="fr-CA"/>
        </w:rPr>
        <w:t>APPENDICE 2-A : LES OBJECTIFS ET LE FINANCEMENT</w:t>
      </w:r>
    </w:p>
    <w:p w14:paraId="09CE226D" w14:textId="77777777" w:rsidR="009E6AF1" w:rsidRPr="009E6AF1" w:rsidRDefault="009E6AF1" w:rsidP="009E6AF1">
      <w:pPr>
        <w:keepNext/>
        <w:keepLines/>
        <w:rPr>
          <w:b/>
          <w:lang w:val="fr-CA"/>
        </w:rPr>
      </w:pPr>
    </w:p>
    <w:tbl>
      <w:tblPr>
        <w:tblW w:w="5486" w:type="pct"/>
        <w:jc w:val="center"/>
        <w:tblCellMar>
          <w:left w:w="10" w:type="dxa"/>
          <w:right w:w="10" w:type="dxa"/>
        </w:tblCellMar>
        <w:tblLook w:val="04A0" w:firstRow="1" w:lastRow="0" w:firstColumn="1" w:lastColumn="0" w:noHBand="0" w:noVBand="1"/>
      </w:tblPr>
      <w:tblGrid>
        <w:gridCol w:w="705"/>
        <w:gridCol w:w="3271"/>
        <w:gridCol w:w="1036"/>
        <w:gridCol w:w="712"/>
        <w:gridCol w:w="862"/>
        <w:gridCol w:w="683"/>
        <w:gridCol w:w="887"/>
        <w:gridCol w:w="616"/>
        <w:gridCol w:w="706"/>
        <w:gridCol w:w="781"/>
      </w:tblGrid>
      <w:tr w:rsidR="009E6AF1" w:rsidRPr="00C909B7" w14:paraId="4E0F4D0E" w14:textId="77777777" w:rsidTr="006054A5">
        <w:trPr>
          <w:trHeight w:val="98"/>
          <w:jc w:val="center"/>
        </w:trPr>
        <w:tc>
          <w:tcPr>
            <w:tcW w:w="3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0B6B9E" w14:textId="77777777" w:rsidR="009E6AF1" w:rsidRPr="001111BC" w:rsidRDefault="009E6AF1" w:rsidP="0056250F">
            <w:pPr>
              <w:keepNext/>
              <w:keepLines/>
              <w:jc w:val="center"/>
              <w:rPr>
                <w:b/>
                <w:bCs/>
                <w:color w:val="000000"/>
                <w:sz w:val="20"/>
                <w:szCs w:val="20"/>
              </w:rPr>
            </w:pPr>
            <w:r w:rsidRPr="001111BC">
              <w:rPr>
                <w:b/>
                <w:bCs/>
                <w:color w:val="000000"/>
                <w:sz w:val="20"/>
                <w:szCs w:val="20"/>
              </w:rPr>
              <w:t>Ligne</w:t>
            </w:r>
          </w:p>
        </w:tc>
        <w:tc>
          <w:tcPr>
            <w:tcW w:w="159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052C52D6" w14:textId="77777777" w:rsidR="009E6AF1" w:rsidRPr="001111BC" w:rsidRDefault="009E6AF1" w:rsidP="0056250F">
            <w:pPr>
              <w:keepNext/>
              <w:keepLines/>
              <w:jc w:val="center"/>
              <w:rPr>
                <w:b/>
                <w:bCs/>
                <w:color w:val="000000"/>
                <w:sz w:val="20"/>
                <w:szCs w:val="20"/>
              </w:rPr>
            </w:pPr>
            <w:proofErr w:type="spellStart"/>
            <w:r w:rsidRPr="001111BC">
              <w:rPr>
                <w:b/>
                <w:bCs/>
                <w:color w:val="000000"/>
                <w:sz w:val="20"/>
                <w:szCs w:val="20"/>
              </w:rPr>
              <w:t>Caractéristiques</w:t>
            </w:r>
            <w:proofErr w:type="spellEnd"/>
          </w:p>
        </w:tc>
        <w:tc>
          <w:tcPr>
            <w:tcW w:w="510" w:type="pct"/>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hideMark/>
          </w:tcPr>
          <w:p w14:paraId="10728555" w14:textId="77777777" w:rsidR="009E6AF1" w:rsidRPr="001111BC" w:rsidRDefault="009E6AF1" w:rsidP="0056250F">
            <w:pPr>
              <w:keepNext/>
              <w:keepLines/>
              <w:tabs>
                <w:tab w:val="left" w:pos="720"/>
              </w:tabs>
              <w:overflowPunct w:val="0"/>
              <w:adjustRightInd w:val="0"/>
              <w:jc w:val="center"/>
              <w:rPr>
                <w:b/>
                <w:bCs/>
                <w:kern w:val="28"/>
                <w:sz w:val="20"/>
                <w:szCs w:val="20"/>
              </w:rPr>
            </w:pPr>
            <w:r w:rsidRPr="001111BC">
              <w:rPr>
                <w:b/>
                <w:bCs/>
                <w:kern w:val="28"/>
                <w:sz w:val="20"/>
                <w:szCs w:val="20"/>
              </w:rPr>
              <w:t>2020</w:t>
            </w:r>
          </w:p>
        </w:tc>
        <w:tc>
          <w:tcPr>
            <w:tcW w:w="352"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1471BA17" w14:textId="77777777" w:rsidR="009E6AF1" w:rsidRPr="001111BC" w:rsidRDefault="009E6AF1" w:rsidP="0056250F">
            <w:pPr>
              <w:keepNext/>
              <w:keepLines/>
              <w:tabs>
                <w:tab w:val="left" w:pos="720"/>
              </w:tabs>
              <w:overflowPunct w:val="0"/>
              <w:adjustRightInd w:val="0"/>
              <w:jc w:val="center"/>
              <w:rPr>
                <w:b/>
                <w:bCs/>
                <w:kern w:val="28"/>
                <w:sz w:val="20"/>
                <w:szCs w:val="20"/>
              </w:rPr>
            </w:pPr>
            <w:r w:rsidRPr="001111BC">
              <w:rPr>
                <w:b/>
                <w:bCs/>
                <w:kern w:val="28"/>
                <w:sz w:val="20"/>
                <w:szCs w:val="20"/>
              </w:rPr>
              <w:t>2021-2023</w:t>
            </w:r>
          </w:p>
        </w:tc>
        <w:tc>
          <w:tcPr>
            <w:tcW w:w="425" w:type="pct"/>
            <w:tcBorders>
              <w:top w:val="single" w:sz="4" w:space="0" w:color="000000"/>
              <w:left w:val="single" w:sz="2" w:space="0" w:color="000000"/>
              <w:bottom w:val="single" w:sz="4" w:space="0" w:color="000000"/>
              <w:right w:val="single" w:sz="2" w:space="0" w:color="000000"/>
            </w:tcBorders>
            <w:hideMark/>
          </w:tcPr>
          <w:p w14:paraId="69FCBE46" w14:textId="77777777" w:rsidR="009E6AF1" w:rsidRPr="001111BC" w:rsidRDefault="009E6AF1" w:rsidP="0056250F">
            <w:pPr>
              <w:keepNext/>
              <w:keepLines/>
              <w:tabs>
                <w:tab w:val="left" w:pos="720"/>
              </w:tabs>
              <w:overflowPunct w:val="0"/>
              <w:adjustRightInd w:val="0"/>
              <w:jc w:val="center"/>
              <w:rPr>
                <w:kern w:val="28"/>
                <w:sz w:val="20"/>
                <w:szCs w:val="20"/>
              </w:rPr>
            </w:pPr>
            <w:r w:rsidRPr="001111BC">
              <w:rPr>
                <w:b/>
                <w:bCs/>
                <w:kern w:val="28"/>
                <w:sz w:val="20"/>
                <w:szCs w:val="20"/>
              </w:rPr>
              <w:t>2024</w:t>
            </w:r>
          </w:p>
        </w:tc>
        <w:tc>
          <w:tcPr>
            <w:tcW w:w="333"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201C6CEE" w14:textId="77777777" w:rsidR="009E6AF1" w:rsidRPr="001111BC" w:rsidRDefault="009E6AF1" w:rsidP="0056250F">
            <w:pPr>
              <w:keepNext/>
              <w:keepLines/>
              <w:tabs>
                <w:tab w:val="left" w:pos="720"/>
              </w:tabs>
              <w:overflowPunct w:val="0"/>
              <w:adjustRightInd w:val="0"/>
              <w:jc w:val="center"/>
              <w:rPr>
                <w:b/>
                <w:bCs/>
                <w:kern w:val="28"/>
                <w:sz w:val="20"/>
                <w:szCs w:val="20"/>
              </w:rPr>
            </w:pPr>
            <w:r w:rsidRPr="001111BC">
              <w:rPr>
                <w:b/>
                <w:bCs/>
                <w:kern w:val="28"/>
                <w:sz w:val="20"/>
                <w:szCs w:val="20"/>
              </w:rPr>
              <w:t>2025-2026</w:t>
            </w:r>
          </w:p>
        </w:tc>
        <w:tc>
          <w:tcPr>
            <w:tcW w:w="437" w:type="pct"/>
            <w:tcBorders>
              <w:top w:val="single" w:sz="4" w:space="0" w:color="000000"/>
              <w:left w:val="single" w:sz="2" w:space="0" w:color="000000"/>
              <w:bottom w:val="single" w:sz="4" w:space="0" w:color="000000"/>
              <w:right w:val="single" w:sz="2" w:space="0" w:color="000000"/>
            </w:tcBorders>
          </w:tcPr>
          <w:p w14:paraId="7D8BB6B5" w14:textId="77777777" w:rsidR="009E6AF1" w:rsidRPr="001111BC" w:rsidRDefault="009E6AF1" w:rsidP="0056250F">
            <w:pPr>
              <w:keepNext/>
              <w:keepLines/>
              <w:tabs>
                <w:tab w:val="left" w:pos="720"/>
              </w:tabs>
              <w:overflowPunct w:val="0"/>
              <w:adjustRightInd w:val="0"/>
              <w:jc w:val="center"/>
              <w:rPr>
                <w:b/>
                <w:kern w:val="28"/>
                <w:sz w:val="20"/>
                <w:szCs w:val="20"/>
              </w:rPr>
            </w:pPr>
            <w:r w:rsidRPr="001111BC">
              <w:rPr>
                <w:b/>
                <w:kern w:val="28"/>
                <w:sz w:val="20"/>
                <w:szCs w:val="20"/>
              </w:rPr>
              <w:t>2027</w:t>
            </w:r>
          </w:p>
        </w:tc>
        <w:tc>
          <w:tcPr>
            <w:tcW w:w="305" w:type="pct"/>
            <w:tcBorders>
              <w:top w:val="single" w:sz="4" w:space="0" w:color="000000"/>
              <w:left w:val="single" w:sz="2" w:space="0" w:color="000000"/>
              <w:bottom w:val="single" w:sz="4" w:space="0" w:color="000000"/>
              <w:right w:val="single" w:sz="2" w:space="0" w:color="000000"/>
            </w:tcBorders>
          </w:tcPr>
          <w:p w14:paraId="73ED2C32" w14:textId="77777777" w:rsidR="009E6AF1" w:rsidRPr="001111BC" w:rsidRDefault="009E6AF1" w:rsidP="0056250F">
            <w:pPr>
              <w:keepNext/>
              <w:keepLines/>
              <w:tabs>
                <w:tab w:val="left" w:pos="720"/>
              </w:tabs>
              <w:overflowPunct w:val="0"/>
              <w:adjustRightInd w:val="0"/>
              <w:jc w:val="center"/>
              <w:rPr>
                <w:b/>
                <w:kern w:val="28"/>
                <w:sz w:val="20"/>
                <w:szCs w:val="20"/>
              </w:rPr>
            </w:pPr>
            <w:r w:rsidRPr="001111BC">
              <w:rPr>
                <w:b/>
                <w:kern w:val="28"/>
                <w:sz w:val="20"/>
                <w:szCs w:val="20"/>
              </w:rPr>
              <w:t>2028-2029</w:t>
            </w:r>
          </w:p>
        </w:tc>
        <w:tc>
          <w:tcPr>
            <w:tcW w:w="349"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CC57079" w14:textId="77777777" w:rsidR="009E6AF1" w:rsidRPr="001111BC" w:rsidRDefault="009E6AF1" w:rsidP="0056250F">
            <w:pPr>
              <w:keepNext/>
              <w:keepLines/>
              <w:tabs>
                <w:tab w:val="left" w:pos="720"/>
              </w:tabs>
              <w:overflowPunct w:val="0"/>
              <w:adjustRightInd w:val="0"/>
              <w:jc w:val="center"/>
              <w:rPr>
                <w:kern w:val="28"/>
                <w:sz w:val="20"/>
                <w:szCs w:val="20"/>
              </w:rPr>
            </w:pPr>
            <w:r w:rsidRPr="001111BC">
              <w:rPr>
                <w:b/>
                <w:kern w:val="28"/>
                <w:sz w:val="20"/>
                <w:szCs w:val="20"/>
              </w:rPr>
              <w:t>2030</w:t>
            </w:r>
          </w:p>
        </w:tc>
        <w:tc>
          <w:tcPr>
            <w:tcW w:w="386" w:type="pct"/>
            <w:tcBorders>
              <w:top w:val="single" w:sz="4" w:space="0" w:color="000000"/>
              <w:left w:val="single" w:sz="2" w:space="0" w:color="000000"/>
              <w:bottom w:val="single" w:sz="4" w:space="0" w:color="000000"/>
              <w:right w:val="single" w:sz="4" w:space="0" w:color="000000"/>
            </w:tcBorders>
            <w:tcMar>
              <w:top w:w="0" w:type="dxa"/>
              <w:left w:w="108" w:type="dxa"/>
              <w:bottom w:w="0" w:type="dxa"/>
              <w:right w:w="108" w:type="dxa"/>
            </w:tcMar>
            <w:hideMark/>
          </w:tcPr>
          <w:p w14:paraId="6D78CAF7" w14:textId="77777777" w:rsidR="009E6AF1" w:rsidRPr="001111BC" w:rsidRDefault="009E6AF1" w:rsidP="0056250F">
            <w:pPr>
              <w:keepNext/>
              <w:keepLines/>
              <w:tabs>
                <w:tab w:val="left" w:pos="720"/>
              </w:tabs>
              <w:overflowPunct w:val="0"/>
              <w:adjustRightInd w:val="0"/>
              <w:jc w:val="center"/>
              <w:rPr>
                <w:kern w:val="28"/>
                <w:sz w:val="20"/>
                <w:szCs w:val="20"/>
              </w:rPr>
            </w:pPr>
            <w:r w:rsidRPr="001111BC">
              <w:rPr>
                <w:b/>
                <w:kern w:val="28"/>
                <w:sz w:val="20"/>
                <w:szCs w:val="20"/>
              </w:rPr>
              <w:t>Total</w:t>
            </w:r>
          </w:p>
        </w:tc>
      </w:tr>
      <w:tr w:rsidR="009E6AF1" w:rsidRPr="00C909B7" w14:paraId="47EF3F91" w14:textId="77777777" w:rsidTr="006054A5">
        <w:trPr>
          <w:trHeight w:val="408"/>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0BFE82" w14:textId="77777777" w:rsidR="009E6AF1" w:rsidRPr="001111BC" w:rsidRDefault="009E6AF1" w:rsidP="0056250F">
            <w:pPr>
              <w:keepNext/>
              <w:keepLines/>
              <w:tabs>
                <w:tab w:val="left" w:pos="720"/>
              </w:tabs>
              <w:overflowPunct w:val="0"/>
              <w:adjustRightInd w:val="0"/>
              <w:rPr>
                <w:kern w:val="28"/>
                <w:sz w:val="20"/>
                <w:szCs w:val="20"/>
              </w:rPr>
            </w:pPr>
            <w:r w:rsidRPr="001111BC">
              <w:rPr>
                <w:kern w:val="28"/>
                <w:sz w:val="20"/>
                <w:szCs w:val="20"/>
              </w:rPr>
              <w:t>1.1</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32F94B3" w14:textId="77777777" w:rsidR="009E6AF1" w:rsidRPr="009E6AF1" w:rsidRDefault="009E6AF1" w:rsidP="0056250F">
            <w:pPr>
              <w:keepNext/>
              <w:keepLines/>
              <w:jc w:val="left"/>
              <w:rPr>
                <w:color w:val="000000"/>
                <w:sz w:val="20"/>
                <w:szCs w:val="20"/>
                <w:lang w:val="fr-CA"/>
              </w:rPr>
            </w:pPr>
            <w:r w:rsidRPr="009E6AF1">
              <w:rPr>
                <w:color w:val="000000"/>
                <w:sz w:val="20"/>
                <w:szCs w:val="20"/>
                <w:lang w:val="fr-CA"/>
              </w:rPr>
              <w:t>Calendrier de réduction des substances du groupe I de l’annexe C du Protocole de Montréal (tonnes PAO)</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436857D7"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10,60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4FEB185"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10,60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09ECE9B3"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10,60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0CE3C36"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5,30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2E8C8B2"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5,30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7682FC8"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5,30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12FDBA57"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AE2554D" w14:textId="77777777" w:rsidR="009E6AF1" w:rsidRPr="001111BC" w:rsidRDefault="009E6AF1" w:rsidP="0056250F">
            <w:pPr>
              <w:keepNext/>
              <w:keepLines/>
              <w:tabs>
                <w:tab w:val="left" w:pos="720"/>
              </w:tabs>
              <w:overflowPunct w:val="0"/>
              <w:adjustRightInd w:val="0"/>
              <w:jc w:val="right"/>
              <w:rPr>
                <w:bCs/>
                <w:kern w:val="28"/>
                <w:sz w:val="20"/>
                <w:szCs w:val="20"/>
              </w:rPr>
            </w:pPr>
            <w:r w:rsidRPr="001111BC">
              <w:rPr>
                <w:bCs/>
                <w:kern w:val="28"/>
                <w:sz w:val="20"/>
                <w:szCs w:val="20"/>
              </w:rPr>
              <w:t>n/a</w:t>
            </w:r>
          </w:p>
        </w:tc>
      </w:tr>
      <w:tr w:rsidR="009E6AF1" w:rsidRPr="00C909B7" w14:paraId="10D5AC3E" w14:textId="77777777" w:rsidTr="006054A5">
        <w:trPr>
          <w:trHeight w:val="408"/>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667A4A" w14:textId="77777777" w:rsidR="009E6AF1" w:rsidRPr="001111BC" w:rsidRDefault="009E6AF1" w:rsidP="0056250F">
            <w:pPr>
              <w:keepNext/>
              <w:tabs>
                <w:tab w:val="left" w:pos="720"/>
              </w:tabs>
              <w:overflowPunct w:val="0"/>
              <w:adjustRightInd w:val="0"/>
              <w:rPr>
                <w:kern w:val="28"/>
                <w:sz w:val="20"/>
                <w:szCs w:val="20"/>
              </w:rPr>
            </w:pPr>
            <w:r w:rsidRPr="001111BC">
              <w:rPr>
                <w:kern w:val="28"/>
                <w:sz w:val="20"/>
                <w:szCs w:val="20"/>
              </w:rPr>
              <w:t>1.2</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66E2FD7" w14:textId="77777777" w:rsidR="009E6AF1" w:rsidRPr="009E6AF1" w:rsidRDefault="009E6AF1" w:rsidP="0056250F">
            <w:pPr>
              <w:jc w:val="left"/>
              <w:rPr>
                <w:color w:val="000000"/>
                <w:sz w:val="20"/>
                <w:szCs w:val="20"/>
                <w:lang w:val="fr-CA"/>
              </w:rPr>
            </w:pPr>
            <w:r w:rsidRPr="009E6AF1">
              <w:rPr>
                <w:color w:val="000000"/>
                <w:sz w:val="20"/>
                <w:szCs w:val="20"/>
                <w:lang w:val="fr-CA"/>
              </w:rPr>
              <w:t>Consommation totale maximum autorisée des substances du groupe I de l’annexe C (tonnes PAO)</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C2E2578" w14:textId="77777777" w:rsidR="009E6AF1" w:rsidRPr="001111BC" w:rsidRDefault="009E6AF1" w:rsidP="0056250F">
            <w:pPr>
              <w:keepNext/>
              <w:tabs>
                <w:tab w:val="left" w:pos="720"/>
              </w:tabs>
              <w:overflowPunct w:val="0"/>
              <w:adjustRightInd w:val="0"/>
              <w:jc w:val="right"/>
              <w:rPr>
                <w:bCs/>
                <w:kern w:val="28"/>
                <w:sz w:val="20"/>
                <w:szCs w:val="20"/>
              </w:rPr>
            </w:pPr>
            <w:r>
              <w:rPr>
                <w:bCs/>
                <w:kern w:val="28"/>
                <w:sz w:val="20"/>
                <w:szCs w:val="20"/>
              </w:rPr>
              <w:t>8,20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16048AE"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8,20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hideMark/>
          </w:tcPr>
          <w:p w14:paraId="75D11E1D"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8,20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27D35BE"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5,30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883B9ED"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5,30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0809557"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5,30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5FEDCEB8"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12057D0"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n/a</w:t>
            </w:r>
          </w:p>
        </w:tc>
      </w:tr>
      <w:tr w:rsidR="009E6AF1" w:rsidRPr="00C909B7" w14:paraId="69F6CD29" w14:textId="77777777" w:rsidTr="006054A5">
        <w:trPr>
          <w:trHeight w:val="116"/>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3D8CA7" w14:textId="77777777" w:rsidR="009E6AF1" w:rsidRPr="001111BC" w:rsidRDefault="009E6AF1" w:rsidP="0056250F">
            <w:pPr>
              <w:keepNext/>
              <w:tabs>
                <w:tab w:val="left" w:pos="720"/>
              </w:tabs>
              <w:overflowPunct w:val="0"/>
              <w:adjustRightInd w:val="0"/>
              <w:rPr>
                <w:kern w:val="28"/>
                <w:sz w:val="20"/>
                <w:szCs w:val="20"/>
              </w:rPr>
            </w:pPr>
            <w:r w:rsidRPr="001111BC">
              <w:rPr>
                <w:kern w:val="28"/>
                <w:sz w:val="20"/>
                <w:szCs w:val="20"/>
              </w:rPr>
              <w:t>2.1</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0449E379" w14:textId="77777777" w:rsidR="009E6AF1" w:rsidRPr="009E6AF1" w:rsidRDefault="009E6AF1" w:rsidP="0056250F">
            <w:pPr>
              <w:jc w:val="left"/>
              <w:rPr>
                <w:color w:val="000000"/>
                <w:sz w:val="20"/>
                <w:szCs w:val="20"/>
                <w:lang w:val="fr-CA"/>
              </w:rPr>
            </w:pPr>
            <w:r w:rsidRPr="009E6AF1">
              <w:rPr>
                <w:color w:val="000000"/>
                <w:sz w:val="20"/>
                <w:szCs w:val="20"/>
                <w:lang w:val="fr-CA"/>
              </w:rPr>
              <w:t>Financement convenu pour le PNUD, agence principale ($US)</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21A855BA"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117 000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51ED7FF5"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F52CD79"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276 000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6A14AE9"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4C3B013"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78 000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5246A42A"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B14C23C"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39 000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666C75F9"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510 000</w:t>
            </w:r>
          </w:p>
        </w:tc>
      </w:tr>
      <w:tr w:rsidR="009E6AF1" w:rsidRPr="00C909B7" w14:paraId="0E35CC8F" w14:textId="77777777" w:rsidTr="006054A5">
        <w:trPr>
          <w:trHeight w:val="56"/>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C2999D4"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2.2</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22FF1E21" w14:textId="77777777" w:rsidR="009E6AF1" w:rsidRPr="009E6AF1" w:rsidRDefault="009E6AF1" w:rsidP="0056250F">
            <w:pPr>
              <w:jc w:val="left"/>
              <w:rPr>
                <w:color w:val="000000"/>
                <w:sz w:val="20"/>
                <w:szCs w:val="20"/>
                <w:lang w:val="fr-CA"/>
              </w:rPr>
            </w:pPr>
            <w:r w:rsidRPr="009E6AF1">
              <w:rPr>
                <w:color w:val="000000"/>
                <w:sz w:val="20"/>
                <w:szCs w:val="20"/>
                <w:lang w:val="fr-CA"/>
              </w:rPr>
              <w:t>Coûts d’appui pour l’agence principale ($US)</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hideMark/>
          </w:tcPr>
          <w:p w14:paraId="30338FBC"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8 190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51DFE88"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ABA7C14"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19 320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F36C87B"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3B5FFE3"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5 460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78265BD6"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729E1FAB"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2 730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731D7EF"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35 700</w:t>
            </w:r>
          </w:p>
        </w:tc>
      </w:tr>
      <w:tr w:rsidR="009E6AF1" w:rsidRPr="00C909B7" w14:paraId="3A659C1C" w14:textId="77777777" w:rsidTr="006054A5">
        <w:trPr>
          <w:trHeight w:val="62"/>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0F55088"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3.1</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E1F4F4B" w14:textId="77777777" w:rsidR="009E6AF1" w:rsidRPr="009E6AF1" w:rsidRDefault="009E6AF1" w:rsidP="0056250F">
            <w:pPr>
              <w:jc w:val="left"/>
              <w:rPr>
                <w:color w:val="000000"/>
                <w:sz w:val="20"/>
                <w:szCs w:val="20"/>
                <w:lang w:val="fr-CA"/>
              </w:rPr>
            </w:pPr>
            <w:r w:rsidRPr="009E6AF1">
              <w:rPr>
                <w:color w:val="000000"/>
                <w:sz w:val="20"/>
                <w:szCs w:val="20"/>
                <w:lang w:val="fr-CA"/>
              </w:rPr>
              <w:t>Total du financement convenu ($US)</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3231BA93"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117 000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8CF7A6F"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0A98D6C9"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276 000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2474840F"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4FAFF47"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78 000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4C2019BD"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0688446D"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39 000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hideMark/>
          </w:tcPr>
          <w:p w14:paraId="34B5B821"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510 000</w:t>
            </w:r>
          </w:p>
        </w:tc>
      </w:tr>
      <w:tr w:rsidR="009E6AF1" w:rsidRPr="00C909B7" w14:paraId="28A5D584" w14:textId="77777777" w:rsidTr="006054A5">
        <w:trPr>
          <w:trHeight w:val="62"/>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22BB02"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3.2</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3A6D1797" w14:textId="77777777" w:rsidR="009E6AF1" w:rsidRPr="009E6AF1" w:rsidRDefault="009E6AF1" w:rsidP="0056250F">
            <w:pPr>
              <w:jc w:val="left"/>
              <w:rPr>
                <w:color w:val="000000"/>
                <w:sz w:val="20"/>
                <w:szCs w:val="20"/>
                <w:lang w:val="fr-CA"/>
              </w:rPr>
            </w:pPr>
            <w:r w:rsidRPr="009E6AF1">
              <w:rPr>
                <w:color w:val="000000"/>
                <w:sz w:val="20"/>
                <w:szCs w:val="20"/>
                <w:lang w:val="fr-CA"/>
              </w:rPr>
              <w:t>Total des coûts d’appui ($US)</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062EC9DC"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8 190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C02B3C5"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EB764E9"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19 320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CA6F809"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C8676B8"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5 460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3D8537A7"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AB4CE18"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2 730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4553530C"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35 700</w:t>
            </w:r>
          </w:p>
        </w:tc>
      </w:tr>
      <w:tr w:rsidR="009E6AF1" w:rsidRPr="00C909B7" w14:paraId="5CC759D8" w14:textId="77777777" w:rsidTr="006054A5">
        <w:trPr>
          <w:trHeight w:val="53"/>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FD00D7"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3.3</w:t>
            </w:r>
          </w:p>
        </w:tc>
        <w:tc>
          <w:tcPr>
            <w:tcW w:w="1599" w:type="pct"/>
            <w:tcBorders>
              <w:top w:val="single" w:sz="2" w:space="0" w:color="000000"/>
              <w:left w:val="single" w:sz="2" w:space="0" w:color="000000"/>
              <w:bottom w:val="single" w:sz="4" w:space="0" w:color="000000"/>
              <w:right w:val="single" w:sz="4" w:space="0" w:color="000000"/>
            </w:tcBorders>
            <w:tcMar>
              <w:top w:w="0" w:type="dxa"/>
              <w:left w:w="43" w:type="dxa"/>
              <w:bottom w:w="0" w:type="dxa"/>
              <w:right w:w="115" w:type="dxa"/>
            </w:tcMar>
            <w:hideMark/>
          </w:tcPr>
          <w:p w14:paraId="11163AC9" w14:textId="77777777" w:rsidR="009E6AF1" w:rsidRPr="009E6AF1" w:rsidRDefault="009E6AF1" w:rsidP="0056250F">
            <w:pPr>
              <w:jc w:val="left"/>
              <w:rPr>
                <w:color w:val="000000"/>
                <w:sz w:val="20"/>
                <w:szCs w:val="20"/>
                <w:lang w:val="fr-CA"/>
              </w:rPr>
            </w:pPr>
            <w:r w:rsidRPr="009E6AF1">
              <w:rPr>
                <w:color w:val="000000"/>
                <w:sz w:val="20"/>
                <w:szCs w:val="20"/>
                <w:lang w:val="fr-CA"/>
              </w:rPr>
              <w:t>Total des coûts convenus ($US)</w:t>
            </w:r>
          </w:p>
        </w:tc>
        <w:tc>
          <w:tcPr>
            <w:tcW w:w="510" w:type="pct"/>
            <w:tcBorders>
              <w:top w:val="single" w:sz="2" w:space="0" w:color="000000"/>
              <w:left w:val="single" w:sz="2" w:space="0" w:color="000000"/>
              <w:bottom w:val="single" w:sz="4" w:space="0" w:color="000000"/>
              <w:right w:val="single" w:sz="4" w:space="0" w:color="000000"/>
            </w:tcBorders>
            <w:shd w:val="clear" w:color="auto" w:fill="auto"/>
            <w:tcMar>
              <w:top w:w="0" w:type="dxa"/>
              <w:left w:w="29" w:type="dxa"/>
              <w:bottom w:w="0" w:type="dxa"/>
              <w:right w:w="43" w:type="dxa"/>
            </w:tcMar>
          </w:tcPr>
          <w:p w14:paraId="1CD9DC1B"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125 190</w:t>
            </w:r>
          </w:p>
        </w:tc>
        <w:tc>
          <w:tcPr>
            <w:tcW w:w="352"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6CDDBC4A"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2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118D63D6"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295 320</w:t>
            </w:r>
          </w:p>
        </w:tc>
        <w:tc>
          <w:tcPr>
            <w:tcW w:w="333"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783BD371"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437" w:type="pct"/>
            <w:tcBorders>
              <w:top w:val="single" w:sz="2" w:space="0" w:color="000000"/>
              <w:left w:val="single" w:sz="2" w:space="0" w:color="000000"/>
              <w:bottom w:val="single" w:sz="4" w:space="0" w:color="000000"/>
              <w:right w:val="single" w:sz="2" w:space="0" w:color="000000"/>
            </w:tcBorders>
            <w:tcMar>
              <w:left w:w="29" w:type="dxa"/>
              <w:right w:w="43" w:type="dxa"/>
            </w:tcMar>
          </w:tcPr>
          <w:p w14:paraId="2A2B99ED"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83 460</w:t>
            </w:r>
          </w:p>
        </w:tc>
        <w:tc>
          <w:tcPr>
            <w:tcW w:w="305" w:type="pct"/>
            <w:tcBorders>
              <w:top w:val="single" w:sz="2" w:space="0" w:color="000000"/>
              <w:left w:val="single" w:sz="2" w:space="0" w:color="000000"/>
              <w:bottom w:val="single" w:sz="4" w:space="0" w:color="000000"/>
              <w:right w:val="single" w:sz="2" w:space="0" w:color="000000"/>
            </w:tcBorders>
            <w:tcMar>
              <w:left w:w="29" w:type="dxa"/>
              <w:right w:w="43" w:type="dxa"/>
            </w:tcMar>
          </w:tcPr>
          <w:p w14:paraId="65BCE6F2"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w:t>
            </w:r>
          </w:p>
        </w:tc>
        <w:tc>
          <w:tcPr>
            <w:tcW w:w="349"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1AF4C78E"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41 730</w:t>
            </w:r>
          </w:p>
        </w:tc>
        <w:tc>
          <w:tcPr>
            <w:tcW w:w="386" w:type="pct"/>
            <w:tcBorders>
              <w:top w:val="single" w:sz="2" w:space="0" w:color="000000"/>
              <w:left w:val="single" w:sz="2" w:space="0" w:color="000000"/>
              <w:bottom w:val="single" w:sz="4" w:space="0" w:color="000000"/>
              <w:right w:val="single" w:sz="4" w:space="0" w:color="000000"/>
            </w:tcBorders>
            <w:tcMar>
              <w:top w:w="0" w:type="dxa"/>
              <w:left w:w="29" w:type="dxa"/>
              <w:bottom w:w="0" w:type="dxa"/>
              <w:right w:w="43" w:type="dxa"/>
            </w:tcMar>
          </w:tcPr>
          <w:p w14:paraId="3B984CCE" w14:textId="77777777" w:rsidR="009E6AF1" w:rsidRPr="009F2435" w:rsidRDefault="009E6AF1" w:rsidP="0056250F">
            <w:pPr>
              <w:keepNext/>
              <w:tabs>
                <w:tab w:val="left" w:pos="720"/>
              </w:tabs>
              <w:overflowPunct w:val="0"/>
              <w:adjustRightInd w:val="0"/>
              <w:jc w:val="right"/>
              <w:rPr>
                <w:b/>
                <w:kern w:val="28"/>
                <w:sz w:val="20"/>
                <w:szCs w:val="20"/>
              </w:rPr>
            </w:pPr>
            <w:r w:rsidRPr="009F2435">
              <w:rPr>
                <w:b/>
                <w:kern w:val="28"/>
                <w:sz w:val="20"/>
                <w:szCs w:val="20"/>
              </w:rPr>
              <w:t>545 700</w:t>
            </w:r>
          </w:p>
        </w:tc>
      </w:tr>
      <w:tr w:rsidR="009E6AF1" w:rsidRPr="00C909B7" w14:paraId="7F9C1765" w14:textId="77777777" w:rsidTr="006054A5">
        <w:trPr>
          <w:trHeight w:val="53"/>
          <w:jc w:val="center"/>
        </w:trPr>
        <w:tc>
          <w:tcPr>
            <w:tcW w:w="305" w:type="pc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CE9998"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4.1.1</w:t>
            </w:r>
          </w:p>
        </w:tc>
        <w:tc>
          <w:tcPr>
            <w:tcW w:w="4309" w:type="pct"/>
            <w:gridSpan w:val="8"/>
            <w:tcBorders>
              <w:top w:val="single" w:sz="4" w:space="0" w:color="000000"/>
              <w:left w:val="single" w:sz="2" w:space="0" w:color="000000"/>
              <w:bottom w:val="single" w:sz="4" w:space="0" w:color="000000"/>
              <w:right w:val="single" w:sz="4" w:space="0" w:color="000000"/>
            </w:tcBorders>
          </w:tcPr>
          <w:p w14:paraId="1EE74C2A" w14:textId="77777777" w:rsidR="009E6AF1" w:rsidRPr="009E6AF1" w:rsidRDefault="009E6AF1" w:rsidP="0056250F">
            <w:pPr>
              <w:jc w:val="left"/>
              <w:rPr>
                <w:color w:val="000000"/>
                <w:sz w:val="20"/>
                <w:szCs w:val="20"/>
                <w:lang w:val="fr-CA"/>
              </w:rPr>
            </w:pPr>
            <w:r w:rsidRPr="009E6AF1">
              <w:rPr>
                <w:color w:val="000000"/>
                <w:sz w:val="20"/>
                <w:szCs w:val="20"/>
                <w:lang w:val="fr-CA"/>
              </w:rPr>
              <w:t>Élimination totale de HCFC-22 convenue de réaliser en vertu du présent Accord (tonnes PAO)</w:t>
            </w:r>
          </w:p>
        </w:tc>
        <w:tc>
          <w:tcPr>
            <w:tcW w:w="386" w:type="pct"/>
            <w:tcBorders>
              <w:top w:val="single" w:sz="4" w:space="0" w:color="000000"/>
              <w:left w:val="single" w:sz="2" w:space="0" w:color="000000"/>
              <w:bottom w:val="single" w:sz="4" w:space="0" w:color="000000"/>
              <w:right w:val="single" w:sz="4" w:space="0" w:color="000000"/>
            </w:tcBorders>
            <w:tcMar>
              <w:left w:w="43" w:type="dxa"/>
              <w:right w:w="58" w:type="dxa"/>
            </w:tcMar>
          </w:tcPr>
          <w:p w14:paraId="2A61A8F9"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2,48</w:t>
            </w:r>
          </w:p>
        </w:tc>
      </w:tr>
      <w:tr w:rsidR="009E6AF1" w:rsidRPr="00C909B7" w14:paraId="594E572A" w14:textId="77777777" w:rsidTr="006054A5">
        <w:trPr>
          <w:trHeight w:val="116"/>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3A6DB6"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4.1.2</w:t>
            </w:r>
          </w:p>
        </w:tc>
        <w:tc>
          <w:tcPr>
            <w:tcW w:w="4309" w:type="pct"/>
            <w:gridSpan w:val="8"/>
            <w:tcBorders>
              <w:top w:val="single" w:sz="4" w:space="0" w:color="000000"/>
              <w:left w:val="single" w:sz="2" w:space="0" w:color="000000"/>
              <w:bottom w:val="single" w:sz="4" w:space="0" w:color="000000"/>
              <w:right w:val="single" w:sz="4" w:space="0" w:color="000000"/>
            </w:tcBorders>
          </w:tcPr>
          <w:p w14:paraId="368FA7E0" w14:textId="77777777" w:rsidR="009E6AF1" w:rsidRPr="009E6AF1" w:rsidRDefault="009E6AF1" w:rsidP="0056250F">
            <w:pPr>
              <w:jc w:val="left"/>
              <w:rPr>
                <w:color w:val="000000"/>
                <w:sz w:val="20"/>
                <w:szCs w:val="20"/>
                <w:lang w:val="fr-CA"/>
              </w:rPr>
            </w:pPr>
            <w:r w:rsidRPr="009E6AF1">
              <w:rPr>
                <w:color w:val="000000"/>
                <w:sz w:val="20"/>
                <w:szCs w:val="20"/>
                <w:lang w:val="fr-CA"/>
              </w:rPr>
              <w:t>Élimination du HCFC-22 réalisée lors de la phase précédente (tonnes PAO)</w:t>
            </w:r>
          </w:p>
        </w:tc>
        <w:tc>
          <w:tcPr>
            <w:tcW w:w="38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4027FE2A"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4,50</w:t>
            </w:r>
          </w:p>
        </w:tc>
      </w:tr>
      <w:tr w:rsidR="009E6AF1" w:rsidRPr="00C909B7" w14:paraId="7AF104F4" w14:textId="77777777" w:rsidTr="006054A5">
        <w:trPr>
          <w:trHeight w:val="98"/>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72D228" w14:textId="77777777" w:rsidR="009E6AF1" w:rsidRPr="001111BC" w:rsidRDefault="009E6AF1" w:rsidP="0056250F">
            <w:pPr>
              <w:widowControl w:val="0"/>
              <w:tabs>
                <w:tab w:val="left" w:pos="720"/>
              </w:tabs>
              <w:overflowPunct w:val="0"/>
              <w:adjustRightInd w:val="0"/>
              <w:rPr>
                <w:kern w:val="28"/>
                <w:sz w:val="20"/>
                <w:szCs w:val="20"/>
              </w:rPr>
            </w:pPr>
            <w:r w:rsidRPr="001111BC">
              <w:rPr>
                <w:kern w:val="28"/>
                <w:sz w:val="20"/>
                <w:szCs w:val="20"/>
              </w:rPr>
              <w:t>4.1.3</w:t>
            </w:r>
          </w:p>
        </w:tc>
        <w:tc>
          <w:tcPr>
            <w:tcW w:w="4309" w:type="pct"/>
            <w:gridSpan w:val="8"/>
            <w:tcBorders>
              <w:top w:val="single" w:sz="4" w:space="0" w:color="000000"/>
              <w:left w:val="single" w:sz="2" w:space="0" w:color="000000"/>
              <w:bottom w:val="single" w:sz="4" w:space="0" w:color="000000"/>
              <w:right w:val="single" w:sz="4" w:space="0" w:color="000000"/>
            </w:tcBorders>
          </w:tcPr>
          <w:p w14:paraId="28F51197" w14:textId="77777777" w:rsidR="009E6AF1" w:rsidRPr="009E6AF1" w:rsidRDefault="009E6AF1" w:rsidP="0056250F">
            <w:pPr>
              <w:jc w:val="left"/>
              <w:rPr>
                <w:color w:val="000000"/>
                <w:sz w:val="20"/>
                <w:szCs w:val="20"/>
                <w:lang w:val="fr-CA"/>
              </w:rPr>
            </w:pPr>
            <w:r w:rsidRPr="009E6AF1">
              <w:rPr>
                <w:color w:val="000000"/>
                <w:sz w:val="20"/>
                <w:szCs w:val="20"/>
                <w:lang w:val="fr-CA"/>
              </w:rPr>
              <w:t>Consommation restante admissible pour le HCFC-22 (tonnes PAO)</w:t>
            </w:r>
          </w:p>
        </w:tc>
        <w:tc>
          <w:tcPr>
            <w:tcW w:w="38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5CB08527"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0,00</w:t>
            </w:r>
          </w:p>
        </w:tc>
      </w:tr>
      <w:tr w:rsidR="009E6AF1" w:rsidRPr="00C909B7" w14:paraId="34E370ED" w14:textId="77777777" w:rsidTr="006054A5">
        <w:trPr>
          <w:trHeight w:val="98"/>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57F20A" w14:textId="77777777" w:rsidR="009E6AF1" w:rsidRPr="001111BC" w:rsidRDefault="009E6AF1" w:rsidP="0056250F">
            <w:pPr>
              <w:keepNext/>
              <w:widowControl w:val="0"/>
              <w:tabs>
                <w:tab w:val="left" w:pos="720"/>
              </w:tabs>
              <w:overflowPunct w:val="0"/>
              <w:adjustRightInd w:val="0"/>
              <w:rPr>
                <w:kern w:val="28"/>
                <w:sz w:val="20"/>
                <w:szCs w:val="20"/>
              </w:rPr>
            </w:pPr>
            <w:r w:rsidRPr="001111BC">
              <w:rPr>
                <w:kern w:val="28"/>
                <w:sz w:val="20"/>
                <w:szCs w:val="20"/>
              </w:rPr>
              <w:t>4.2.1</w:t>
            </w:r>
          </w:p>
        </w:tc>
        <w:tc>
          <w:tcPr>
            <w:tcW w:w="4309" w:type="pct"/>
            <w:gridSpan w:val="8"/>
            <w:tcBorders>
              <w:top w:val="single" w:sz="4" w:space="0" w:color="000000"/>
              <w:left w:val="single" w:sz="2" w:space="0" w:color="000000"/>
              <w:bottom w:val="single" w:sz="4" w:space="0" w:color="000000"/>
              <w:right w:val="single" w:sz="4" w:space="0" w:color="000000"/>
            </w:tcBorders>
          </w:tcPr>
          <w:p w14:paraId="47ED249A" w14:textId="77777777" w:rsidR="009E6AF1" w:rsidRPr="009E6AF1" w:rsidRDefault="009E6AF1" w:rsidP="0056250F">
            <w:pPr>
              <w:jc w:val="left"/>
              <w:rPr>
                <w:color w:val="000000"/>
                <w:sz w:val="20"/>
                <w:szCs w:val="20"/>
                <w:lang w:val="fr-CA"/>
              </w:rPr>
            </w:pPr>
            <w:r w:rsidRPr="009E6AF1">
              <w:rPr>
                <w:color w:val="000000"/>
                <w:sz w:val="20"/>
                <w:szCs w:val="20"/>
                <w:lang w:val="fr-CA"/>
              </w:rPr>
              <w:t>Élimination totale de HCFC-141b convenue de réaliser en vertu du présent Accord (tonnes PAO)</w:t>
            </w:r>
          </w:p>
        </w:tc>
        <w:tc>
          <w:tcPr>
            <w:tcW w:w="38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FA1FFE9"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0,00</w:t>
            </w:r>
          </w:p>
        </w:tc>
      </w:tr>
      <w:tr w:rsidR="009E6AF1" w:rsidRPr="00C909B7" w14:paraId="6094FFA0" w14:textId="77777777" w:rsidTr="006054A5">
        <w:trPr>
          <w:trHeight w:val="98"/>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700180" w14:textId="77777777" w:rsidR="009E6AF1" w:rsidRPr="001111BC" w:rsidRDefault="009E6AF1" w:rsidP="0056250F">
            <w:pPr>
              <w:keepNext/>
              <w:widowControl w:val="0"/>
              <w:tabs>
                <w:tab w:val="left" w:pos="720"/>
              </w:tabs>
              <w:overflowPunct w:val="0"/>
              <w:adjustRightInd w:val="0"/>
              <w:rPr>
                <w:kern w:val="28"/>
                <w:sz w:val="20"/>
                <w:szCs w:val="20"/>
              </w:rPr>
            </w:pPr>
            <w:r w:rsidRPr="001111BC">
              <w:rPr>
                <w:kern w:val="28"/>
                <w:sz w:val="20"/>
                <w:szCs w:val="20"/>
              </w:rPr>
              <w:t>4.2.2</w:t>
            </w:r>
          </w:p>
        </w:tc>
        <w:tc>
          <w:tcPr>
            <w:tcW w:w="4309" w:type="pct"/>
            <w:gridSpan w:val="8"/>
            <w:tcBorders>
              <w:top w:val="single" w:sz="4" w:space="0" w:color="000000"/>
              <w:left w:val="single" w:sz="2" w:space="0" w:color="000000"/>
              <w:bottom w:val="single" w:sz="4" w:space="0" w:color="000000"/>
              <w:right w:val="single" w:sz="4" w:space="0" w:color="000000"/>
            </w:tcBorders>
          </w:tcPr>
          <w:p w14:paraId="27F65754" w14:textId="77777777" w:rsidR="009E6AF1" w:rsidRPr="009E6AF1" w:rsidRDefault="009E6AF1" w:rsidP="0056250F">
            <w:pPr>
              <w:jc w:val="left"/>
              <w:rPr>
                <w:color w:val="000000"/>
                <w:sz w:val="20"/>
                <w:szCs w:val="20"/>
                <w:lang w:val="fr-CA"/>
              </w:rPr>
            </w:pPr>
            <w:r w:rsidRPr="009E6AF1">
              <w:rPr>
                <w:color w:val="000000"/>
                <w:sz w:val="20"/>
                <w:szCs w:val="20"/>
                <w:lang w:val="fr-CA"/>
              </w:rPr>
              <w:t>Élimination du HCFC-141b réalisée lors de la phase précédente (tonnes PAO)</w:t>
            </w:r>
          </w:p>
        </w:tc>
        <w:tc>
          <w:tcPr>
            <w:tcW w:w="38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30810476"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3,60</w:t>
            </w:r>
          </w:p>
        </w:tc>
      </w:tr>
      <w:tr w:rsidR="009E6AF1" w:rsidRPr="00C909B7" w14:paraId="574440DB" w14:textId="77777777" w:rsidTr="006054A5">
        <w:trPr>
          <w:trHeight w:val="98"/>
          <w:jc w:val="center"/>
        </w:trPr>
        <w:tc>
          <w:tcPr>
            <w:tcW w:w="305" w:type="pct"/>
            <w:tcBorders>
              <w:top w:val="single" w:sz="2"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F9862" w14:textId="77777777" w:rsidR="009E6AF1" w:rsidRPr="001111BC" w:rsidRDefault="009E6AF1" w:rsidP="0056250F">
            <w:pPr>
              <w:keepNext/>
              <w:widowControl w:val="0"/>
              <w:tabs>
                <w:tab w:val="left" w:pos="720"/>
              </w:tabs>
              <w:overflowPunct w:val="0"/>
              <w:adjustRightInd w:val="0"/>
              <w:rPr>
                <w:kern w:val="28"/>
                <w:sz w:val="20"/>
                <w:szCs w:val="20"/>
              </w:rPr>
            </w:pPr>
            <w:r w:rsidRPr="001111BC">
              <w:rPr>
                <w:kern w:val="28"/>
                <w:sz w:val="20"/>
                <w:szCs w:val="20"/>
              </w:rPr>
              <w:t>4.2.3</w:t>
            </w:r>
          </w:p>
        </w:tc>
        <w:tc>
          <w:tcPr>
            <w:tcW w:w="4309" w:type="pct"/>
            <w:gridSpan w:val="8"/>
            <w:tcBorders>
              <w:top w:val="single" w:sz="4" w:space="0" w:color="000000"/>
              <w:left w:val="single" w:sz="2" w:space="0" w:color="000000"/>
              <w:bottom w:val="single" w:sz="4" w:space="0" w:color="000000"/>
              <w:right w:val="single" w:sz="4" w:space="0" w:color="000000"/>
            </w:tcBorders>
          </w:tcPr>
          <w:p w14:paraId="0A25B9BA" w14:textId="77777777" w:rsidR="009E6AF1" w:rsidRPr="009E6AF1" w:rsidRDefault="009E6AF1" w:rsidP="0056250F">
            <w:pPr>
              <w:jc w:val="left"/>
              <w:rPr>
                <w:color w:val="000000"/>
                <w:sz w:val="20"/>
                <w:szCs w:val="20"/>
                <w:lang w:val="fr-CA"/>
              </w:rPr>
            </w:pPr>
            <w:r w:rsidRPr="009E6AF1">
              <w:rPr>
                <w:color w:val="000000"/>
                <w:sz w:val="20"/>
                <w:szCs w:val="20"/>
                <w:lang w:val="fr-CA"/>
              </w:rPr>
              <w:t>Consommation restante admissible de HCFC-141b (tonnes PAO)</w:t>
            </w:r>
          </w:p>
        </w:tc>
        <w:tc>
          <w:tcPr>
            <w:tcW w:w="386" w:type="pct"/>
            <w:tcBorders>
              <w:top w:val="single" w:sz="2" w:space="0" w:color="000000"/>
              <w:left w:val="single" w:sz="2" w:space="0" w:color="000000"/>
              <w:bottom w:val="single" w:sz="4" w:space="0" w:color="000000"/>
              <w:right w:val="single" w:sz="4" w:space="0" w:color="000000"/>
            </w:tcBorders>
            <w:tcMar>
              <w:left w:w="43" w:type="dxa"/>
              <w:right w:w="58" w:type="dxa"/>
            </w:tcMar>
          </w:tcPr>
          <w:p w14:paraId="6452CB0B" w14:textId="77777777" w:rsidR="009E6AF1" w:rsidRPr="001111BC" w:rsidRDefault="009E6AF1" w:rsidP="0056250F">
            <w:pPr>
              <w:keepNext/>
              <w:tabs>
                <w:tab w:val="left" w:pos="720"/>
              </w:tabs>
              <w:overflowPunct w:val="0"/>
              <w:adjustRightInd w:val="0"/>
              <w:jc w:val="right"/>
              <w:rPr>
                <w:bCs/>
                <w:kern w:val="28"/>
                <w:sz w:val="20"/>
                <w:szCs w:val="20"/>
              </w:rPr>
            </w:pPr>
            <w:r w:rsidRPr="001111BC">
              <w:rPr>
                <w:bCs/>
                <w:kern w:val="28"/>
                <w:sz w:val="20"/>
                <w:szCs w:val="20"/>
              </w:rPr>
              <w:t>0,00</w:t>
            </w:r>
          </w:p>
        </w:tc>
      </w:tr>
    </w:tbl>
    <w:p w14:paraId="707905EB" w14:textId="77777777" w:rsidR="009E6AF1" w:rsidRPr="009E6AF1" w:rsidRDefault="009E6AF1" w:rsidP="009E6AF1">
      <w:pPr>
        <w:pStyle w:val="0Heading0"/>
        <w:spacing w:after="240"/>
        <w:rPr>
          <w:b/>
          <w:bCs/>
          <w:sz w:val="16"/>
          <w:szCs w:val="16"/>
          <w:lang w:val="fr-CA"/>
        </w:rPr>
      </w:pPr>
      <w:r w:rsidRPr="008C5199">
        <w:rPr>
          <w:b/>
          <w:bCs/>
          <w:sz w:val="16"/>
          <w:szCs w:val="16"/>
          <w:lang w:val="fr-CA"/>
        </w:rPr>
        <w:t>*Date d'achèvement de la phase I conformément à la décision 88/29(b)(i) : 1</w:t>
      </w:r>
      <w:r w:rsidRPr="008C5199">
        <w:rPr>
          <w:b/>
          <w:bCs/>
          <w:sz w:val="16"/>
          <w:szCs w:val="16"/>
          <w:vertAlign w:val="superscript"/>
          <w:lang w:val="fr-CA"/>
        </w:rPr>
        <w:t>er</w:t>
      </w:r>
      <w:r w:rsidRPr="008C5199">
        <w:rPr>
          <w:b/>
          <w:bCs/>
          <w:sz w:val="16"/>
          <w:szCs w:val="16"/>
          <w:lang w:val="fr-CA"/>
        </w:rPr>
        <w:t xml:space="preserve"> juin 2022</w:t>
      </w:r>
      <w:r w:rsidRPr="009E6AF1">
        <w:rPr>
          <w:b/>
          <w:bCs/>
          <w:sz w:val="16"/>
          <w:szCs w:val="16"/>
          <w:lang w:val="fr-CA"/>
        </w:rPr>
        <w:t>.</w:t>
      </w:r>
    </w:p>
    <w:p w14:paraId="5DB5521B" w14:textId="03069DB2" w:rsidR="00E85409" w:rsidRDefault="00E85409" w:rsidP="009E6AF1">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D1EF4" w:rsidRPr="00277197" w14:paraId="2C7E239E" w14:textId="77777777" w:rsidTr="0056250F">
        <w:tc>
          <w:tcPr>
            <w:tcW w:w="1871" w:type="dxa"/>
          </w:tcPr>
          <w:p w14:paraId="563D9367" w14:textId="77777777" w:rsidR="00BD1EF4" w:rsidRPr="007D1BD9" w:rsidRDefault="00BD1EF4" w:rsidP="0056250F">
            <w:pPr>
              <w:rPr>
                <w:lang w:val="fr-CA"/>
              </w:rPr>
            </w:pPr>
          </w:p>
        </w:tc>
        <w:tc>
          <w:tcPr>
            <w:tcW w:w="1872" w:type="dxa"/>
          </w:tcPr>
          <w:p w14:paraId="134CB368" w14:textId="77777777" w:rsidR="00BD1EF4" w:rsidRPr="007D1BD9" w:rsidRDefault="00BD1EF4" w:rsidP="0056250F">
            <w:pPr>
              <w:rPr>
                <w:lang w:val="fr-CA"/>
              </w:rPr>
            </w:pPr>
          </w:p>
        </w:tc>
        <w:tc>
          <w:tcPr>
            <w:tcW w:w="1872" w:type="dxa"/>
            <w:tcBorders>
              <w:bottom w:val="single" w:sz="4" w:space="0" w:color="auto"/>
            </w:tcBorders>
          </w:tcPr>
          <w:p w14:paraId="008B6039" w14:textId="77777777" w:rsidR="00BD1EF4" w:rsidRPr="007D1BD9" w:rsidRDefault="00BD1EF4" w:rsidP="0056250F">
            <w:pPr>
              <w:rPr>
                <w:lang w:val="fr-CA"/>
              </w:rPr>
            </w:pPr>
          </w:p>
        </w:tc>
        <w:tc>
          <w:tcPr>
            <w:tcW w:w="1872" w:type="dxa"/>
          </w:tcPr>
          <w:p w14:paraId="7DF70A19" w14:textId="77777777" w:rsidR="00BD1EF4" w:rsidRPr="007D1BD9" w:rsidRDefault="00BD1EF4" w:rsidP="0056250F">
            <w:pPr>
              <w:rPr>
                <w:lang w:val="fr-CA"/>
              </w:rPr>
            </w:pPr>
          </w:p>
        </w:tc>
        <w:tc>
          <w:tcPr>
            <w:tcW w:w="1873" w:type="dxa"/>
          </w:tcPr>
          <w:p w14:paraId="094B6569" w14:textId="77777777" w:rsidR="00BD1EF4" w:rsidRPr="007D1BD9" w:rsidRDefault="00BD1EF4" w:rsidP="0056250F">
            <w:pPr>
              <w:rPr>
                <w:lang w:val="fr-CA"/>
              </w:rPr>
            </w:pPr>
          </w:p>
        </w:tc>
      </w:tr>
    </w:tbl>
    <w:p w14:paraId="7E294042" w14:textId="77777777" w:rsidR="00BD1EF4" w:rsidRPr="007D1BD9" w:rsidRDefault="00BD1EF4" w:rsidP="00BD1EF4">
      <w:pPr>
        <w:rPr>
          <w:lang w:val="fr-CA"/>
        </w:rPr>
      </w:pPr>
    </w:p>
    <w:p w14:paraId="3B2003C6" w14:textId="77777777" w:rsidR="00BD1EF4" w:rsidRPr="009E6AF1" w:rsidRDefault="00BD1EF4" w:rsidP="009E6AF1">
      <w:pPr>
        <w:jc w:val="center"/>
        <w:rPr>
          <w:lang w:val="fr-CA"/>
        </w:rPr>
      </w:pPr>
    </w:p>
    <w:sectPr w:rsidR="00BD1EF4" w:rsidRPr="009E6AF1" w:rsidSect="009E6AF1">
      <w:headerReference w:type="even" r:id="rId21"/>
      <w:headerReference w:type="default" r:id="rId22"/>
      <w:footerReference w:type="even" r:id="rId23"/>
      <w:footerReference w:type="defaul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98B9E3" w14:textId="77777777" w:rsidR="004A7F91" w:rsidRDefault="004A7F91" w:rsidP="004A504B">
      <w:r>
        <w:separator/>
      </w:r>
    </w:p>
  </w:endnote>
  <w:endnote w:type="continuationSeparator" w:id="0">
    <w:p w14:paraId="3C1B62CD" w14:textId="77777777" w:rsidR="004A7F91" w:rsidRDefault="004A7F91"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706169830"/>
      <w:docPartObj>
        <w:docPartGallery w:val="Page Numbers (Bottom of Page)"/>
        <w:docPartUnique/>
      </w:docPartObj>
    </w:sdtPr>
    <w:sdtEndPr>
      <w:rPr>
        <w:rStyle w:val="PageNumber"/>
      </w:rPr>
    </w:sdtEndPr>
    <w:sdtContent>
      <w:p w14:paraId="0F7E7D2C" w14:textId="1708E50C" w:rsidR="0053175F" w:rsidRDefault="0053175F" w:rsidP="006361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48D6126D" w14:textId="48F8B8DF" w:rsidR="00DC6A10" w:rsidRPr="0033525D" w:rsidRDefault="00DC6A10">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575246411"/>
      <w:docPartObj>
        <w:docPartGallery w:val="Page Numbers (Bottom of Page)"/>
        <w:docPartUnique/>
      </w:docPartObj>
    </w:sdtPr>
    <w:sdtEndPr>
      <w:rPr>
        <w:rStyle w:val="PageNumber"/>
      </w:rPr>
    </w:sdtEndPr>
    <w:sdtContent>
      <w:p w14:paraId="4B47AB84" w14:textId="09EDE22E" w:rsidR="0053175F" w:rsidRDefault="0053175F" w:rsidP="0063616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0B42A84" w14:textId="08D92698" w:rsidR="00DC6A10" w:rsidRPr="008A4946" w:rsidRDefault="00DC6A10" w:rsidP="0053175F">
    <w:pPr>
      <w:pStyle w:val="Foo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7A4AF9" w14:textId="3DF921E6" w:rsidR="007D1BD9" w:rsidRPr="00151B7E" w:rsidRDefault="007D1BD9" w:rsidP="007D1BD9">
    <w:pPr>
      <w:framePr w:wrap="none" w:vAnchor="text" w:hAnchor="margin" w:xAlign="center" w:y="1"/>
      <w:pBdr>
        <w:top w:val="single" w:sz="4" w:space="1" w:color="auto"/>
        <w:left w:val="single" w:sz="4" w:space="4" w:color="auto"/>
        <w:bottom w:val="single" w:sz="4" w:space="1" w:color="auto"/>
        <w:right w:val="single" w:sz="4" w:space="4" w:color="auto"/>
      </w:pBdr>
      <w:jc w:val="center"/>
      <w:rPr>
        <w:rFonts w:cs="MS Serif"/>
        <w:sz w:val="18"/>
        <w:szCs w:val="18"/>
        <w:lang w:val="fr-FR"/>
      </w:rPr>
    </w:pPr>
    <w:r w:rsidRPr="00151B7E">
      <w:rPr>
        <w:rFonts w:cs="MS Serif"/>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608EF11C" w14:textId="24FDF6FE" w:rsidR="004E7F9C" w:rsidRPr="00103AB1" w:rsidRDefault="004E7F9C" w:rsidP="007D1BD9">
    <w:pPr>
      <w:pStyle w:val="Footer"/>
      <w:framePr w:wrap="none" w:vAnchor="text" w:hAnchor="margin" w:xAlign="center" w:y="1"/>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1A622" w14:textId="77777777" w:rsidR="00BD1EF4" w:rsidRDefault="00277197" w:rsidP="002A6747">
    <w:pPr>
      <w:pStyle w:val="Footer"/>
      <w:jc w:val="center"/>
    </w:pPr>
    <w:sdt>
      <w:sdtPr>
        <w:id w:val="650258440"/>
        <w:docPartObj>
          <w:docPartGallery w:val="Page Numbers (Bottom of Page)"/>
          <w:docPartUnique/>
        </w:docPartObj>
      </w:sdtPr>
      <w:sdtEndPr>
        <w:rPr>
          <w:noProof/>
        </w:rPr>
      </w:sdtEndPr>
      <w:sdtContent>
        <w:r w:rsidR="00BD1EF4">
          <w:fldChar w:fldCharType="begin"/>
        </w:r>
        <w:r w:rsidR="00BD1EF4">
          <w:instrText xml:space="preserve"> PAGE   \* MERGEFORMAT </w:instrText>
        </w:r>
        <w:r w:rsidR="00BD1EF4">
          <w:fldChar w:fldCharType="separate"/>
        </w:r>
        <w:r w:rsidR="00BD1EF4">
          <w:rPr>
            <w:noProof/>
          </w:rPr>
          <w:t>8</w:t>
        </w:r>
        <w:r w:rsidR="00BD1EF4">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9261C" w14:textId="77777777" w:rsidR="00BD1EF4" w:rsidRDefault="00277197" w:rsidP="002A6747">
    <w:pPr>
      <w:pStyle w:val="Footer"/>
      <w:jc w:val="center"/>
    </w:pPr>
    <w:sdt>
      <w:sdtPr>
        <w:id w:val="1431783089"/>
        <w:docPartObj>
          <w:docPartGallery w:val="Page Numbers (Bottom of Page)"/>
          <w:docPartUnique/>
        </w:docPartObj>
      </w:sdtPr>
      <w:sdtEndPr>
        <w:rPr>
          <w:noProof/>
        </w:rPr>
      </w:sdtEndPr>
      <w:sdtContent>
        <w:r w:rsidR="00BD1EF4">
          <w:fldChar w:fldCharType="begin"/>
        </w:r>
        <w:r w:rsidR="00BD1EF4">
          <w:instrText xml:space="preserve"> PAGE   \* MERGEFORMAT </w:instrText>
        </w:r>
        <w:r w:rsidR="00BD1EF4">
          <w:fldChar w:fldCharType="separate"/>
        </w:r>
        <w:r w:rsidR="00BD1EF4">
          <w:rPr>
            <w:noProof/>
          </w:rPr>
          <w:t>1</w:t>
        </w:r>
        <w:r w:rsidR="00BD1EF4">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8B6A3" w14:textId="77777777" w:rsidR="004A7F91" w:rsidRDefault="004A7F91" w:rsidP="004A504B">
      <w:r>
        <w:separator/>
      </w:r>
    </w:p>
  </w:footnote>
  <w:footnote w:type="continuationSeparator" w:id="0">
    <w:p w14:paraId="1A77372D" w14:textId="77777777" w:rsidR="004A7F91" w:rsidRDefault="004A7F91" w:rsidP="004A504B">
      <w:r>
        <w:continuationSeparator/>
      </w:r>
    </w:p>
  </w:footnote>
  <w:footnote w:id="1">
    <w:p w14:paraId="1DACCBB5" w14:textId="77777777" w:rsidR="00103AB1" w:rsidRDefault="00103AB1" w:rsidP="00103AB1">
      <w:pPr>
        <w:pStyle w:val="FootnoteText"/>
        <w:rPr>
          <w:lang w:val="fr-CH"/>
        </w:rPr>
      </w:pPr>
      <w:r w:rsidRPr="001A24C6">
        <w:rPr>
          <w:rStyle w:val="FootnoteReference"/>
        </w:rPr>
        <w:footnoteRef/>
      </w:r>
      <w:r w:rsidRPr="00564224">
        <w:rPr>
          <w:lang w:val="fr-CH"/>
        </w:rPr>
        <w:t xml:space="preserve"> UNEP/</w:t>
      </w:r>
      <w:proofErr w:type="spellStart"/>
      <w:r w:rsidRPr="00564224">
        <w:rPr>
          <w:lang w:val="fr-CH"/>
        </w:rPr>
        <w:t>OzL.Pro</w:t>
      </w:r>
      <w:proofErr w:type="spellEnd"/>
      <w:r w:rsidRPr="00564224">
        <w:rPr>
          <w:lang w:val="fr-CH"/>
        </w:rPr>
        <w:t>/</w:t>
      </w:r>
      <w:proofErr w:type="spellStart"/>
      <w:r w:rsidRPr="00564224">
        <w:rPr>
          <w:lang w:val="fr-CH"/>
        </w:rPr>
        <w:t>ExCom</w:t>
      </w:r>
      <w:proofErr w:type="spellEnd"/>
      <w:r w:rsidRPr="00564224">
        <w:rPr>
          <w:lang w:val="fr-CH"/>
        </w:rPr>
        <w:t>/9</w:t>
      </w:r>
      <w:r>
        <w:rPr>
          <w:lang w:val="fr-CH"/>
        </w:rPr>
        <w:t>5</w:t>
      </w:r>
      <w:r w:rsidRPr="00564224">
        <w:rPr>
          <w:lang w:val="fr-CH"/>
        </w:rPr>
        <w:t>/1</w:t>
      </w:r>
    </w:p>
    <w:p w14:paraId="090F9E26" w14:textId="77777777" w:rsidR="00103AB1" w:rsidRPr="00564224" w:rsidRDefault="00103AB1" w:rsidP="00103AB1">
      <w:pPr>
        <w:pStyle w:val="FootnoteText"/>
        <w:rPr>
          <w:lang w:val="fr-CH"/>
        </w:rPr>
      </w:pPr>
    </w:p>
  </w:footnote>
  <w:footnote w:id="2">
    <w:p w14:paraId="7B5F3365" w14:textId="77777777" w:rsidR="00EF64BA" w:rsidRPr="00EF64BA" w:rsidRDefault="00EF64BA" w:rsidP="00EF64BA">
      <w:pPr>
        <w:pStyle w:val="FootnoteText"/>
        <w:rPr>
          <w:lang w:val="fr-FR"/>
        </w:rPr>
      </w:pPr>
      <w:r>
        <w:rPr>
          <w:rStyle w:val="FootnoteReference"/>
          <w:lang w:val="fr"/>
        </w:rPr>
        <w:footnoteRef/>
      </w:r>
      <w:r>
        <w:rPr>
          <w:lang w:val="fr"/>
        </w:rPr>
        <w:t xml:space="preserve"> Selon la lettre du 24 août 2024 adressée au PNUD par l’Agence nationale de l’environnement et de la planification (NEPA) de la Jamaïque.</w:t>
      </w:r>
    </w:p>
  </w:footnote>
  <w:footnote w:id="3">
    <w:p w14:paraId="0E43B3DD" w14:textId="4C6C382A" w:rsidR="00EF64BA" w:rsidRPr="00EF64BA" w:rsidRDefault="00EF64BA" w:rsidP="00EF64BA">
      <w:pPr>
        <w:pStyle w:val="FootnoteText"/>
        <w:rPr>
          <w:lang w:val="fr-FR"/>
        </w:rPr>
      </w:pPr>
      <w:r>
        <w:rPr>
          <w:rStyle w:val="FootnoteReference"/>
          <w:lang w:val="fr"/>
        </w:rPr>
        <w:footnoteRef/>
      </w:r>
      <w:r>
        <w:rPr>
          <w:lang w:val="fr"/>
        </w:rPr>
        <w:t xml:space="preserve"> Conformément à la décision 89/6, les pays à faible consommation de SAO peuvent intégrer dans leur PGEH des activités supplémentaires pour l’introduction de substances de remplacement des HCFC avec un potentiel de réchauffement de la planète faible ou nul et pour le maintien du rendement énergétique dans le secteur de l’entretien de l’équipement de réfrigération</w:t>
      </w:r>
      <w:r w:rsidR="0029634A">
        <w:rPr>
          <w:lang w:val="fr"/>
        </w:rPr>
        <w:t>.</w:t>
      </w:r>
    </w:p>
  </w:footnote>
  <w:footnote w:id="4">
    <w:p w14:paraId="5657D6A9" w14:textId="77777777" w:rsidR="00EF64BA" w:rsidRPr="00EF64BA" w:rsidRDefault="00EF64BA" w:rsidP="00EF64BA">
      <w:pPr>
        <w:pStyle w:val="FootnoteText"/>
        <w:rPr>
          <w:lang w:val="fr-FR"/>
        </w:rPr>
      </w:pPr>
      <w:r>
        <w:rPr>
          <w:rStyle w:val="FootnoteReference"/>
          <w:lang w:val="fr"/>
        </w:rPr>
        <w:footnoteRef/>
      </w:r>
      <w:r>
        <w:rPr>
          <w:lang w:val="fr"/>
        </w:rPr>
        <w:t xml:space="preserve"> Lors de sa 90</w:t>
      </w:r>
      <w:r w:rsidRPr="00EE7779">
        <w:rPr>
          <w:vertAlign w:val="superscript"/>
          <w:lang w:val="fr"/>
        </w:rPr>
        <w:t>e</w:t>
      </w:r>
      <w:r>
        <w:rPr>
          <w:lang w:val="fr"/>
        </w:rPr>
        <w:t xml:space="preserve"> réunion, le Comité exécutif a demandé au gouvernement jamaïcain et au PNUD de présenter une mise à jour de l’état d’avancement de l’approbation de l’Ordonnance sur le commerce (2014) au moment de soumettre sa demande pour la deuxième tranche de la phase II du PGEH (décision 90/13(b)).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700470" w14:textId="3A898D27" w:rsidR="00DC6A10" w:rsidRPr="0033525D" w:rsidRDefault="00D11735">
    <w:r>
      <w:fldChar w:fldCharType="begin"/>
    </w:r>
    <w:r>
      <w:instrText xml:space="preserve"> DOCPROPERTY "Document number"  \* MERGEFORMAT </w:instrText>
    </w:r>
    <w:r>
      <w:fldChar w:fldCharType="separate"/>
    </w:r>
    <w:r w:rsidR="00A40C94">
      <w:t>UNEP/</w:t>
    </w:r>
    <w:proofErr w:type="spellStart"/>
    <w:r w:rsidR="00A40C94">
      <w:t>OzL.Pro</w:t>
    </w:r>
    <w:proofErr w:type="spellEnd"/>
    <w:r w:rsidR="00A40C94">
      <w:t>/ExCom/95/60</w:t>
    </w:r>
    <w:r>
      <w:fldChar w:fldCharType="end"/>
    </w:r>
  </w:p>
  <w:p w14:paraId="69670CB5" w14:textId="77777777" w:rsidR="00DC6A10" w:rsidRPr="0033525D" w:rsidRDefault="00DC6A10"/>
  <w:p w14:paraId="315F7BA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4B73E" w14:textId="6BA1D150" w:rsidR="00DC6A10" w:rsidRDefault="00D11735" w:rsidP="0056591A">
    <w:pPr>
      <w:jc w:val="right"/>
    </w:pPr>
    <w:r>
      <w:fldChar w:fldCharType="begin"/>
    </w:r>
    <w:r>
      <w:instrText xml:space="preserve"> DOCPROPERTY "Document number"  \* MERGEFORMAT </w:instrText>
    </w:r>
    <w:r>
      <w:fldChar w:fldCharType="separate"/>
    </w:r>
    <w:r w:rsidR="00A40C94">
      <w:t>UNEP/</w:t>
    </w:r>
    <w:proofErr w:type="spellStart"/>
    <w:r w:rsidR="00A40C94">
      <w:t>OzL.Pro</w:t>
    </w:r>
    <w:proofErr w:type="spellEnd"/>
    <w:r w:rsidR="00A40C94">
      <w:t>/ExCom/95/60</w:t>
    </w:r>
    <w:r>
      <w:fldChar w:fldCharType="end"/>
    </w:r>
  </w:p>
  <w:p w14:paraId="325E4364" w14:textId="77777777" w:rsidR="0056591A" w:rsidRPr="0033525D" w:rsidRDefault="0056591A" w:rsidP="0056591A">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A4C60D" w14:textId="77777777" w:rsidR="004B411C" w:rsidRPr="00625F17" w:rsidRDefault="004B411C" w:rsidP="004B411C">
    <w:pPr>
      <w:pStyle w:val="Header"/>
      <w:jc w:val="right"/>
      <w:rPr>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E50BF1" w14:textId="77777777" w:rsidR="00BD1EF4" w:rsidRPr="00436081" w:rsidRDefault="00BD1EF4" w:rsidP="00504B52">
    <w:pPr>
      <w:jc w:val="left"/>
      <w:rPr>
        <w:lang w:val="en-GB"/>
      </w:rPr>
    </w:pPr>
    <w:r>
      <w:fldChar w:fldCharType="begin"/>
    </w:r>
    <w:r w:rsidRPr="00436081">
      <w:rPr>
        <w:lang w:val="en-GB"/>
      </w:rPr>
      <w:instrText xml:space="preserve"> DOCPROPERTY "Document number"  \* MERGEFORMAT </w:instrText>
    </w:r>
    <w:r>
      <w:fldChar w:fldCharType="separate"/>
    </w:r>
    <w:r>
      <w:rPr>
        <w:lang w:val="en-GB"/>
      </w:rPr>
      <w:t>UNEP/</w:t>
    </w:r>
    <w:proofErr w:type="spellStart"/>
    <w:r>
      <w:rPr>
        <w:lang w:val="en-GB"/>
      </w:rPr>
      <w:t>OzL.Pro</w:t>
    </w:r>
    <w:proofErr w:type="spellEnd"/>
    <w:r>
      <w:rPr>
        <w:lang w:val="en-GB"/>
      </w:rPr>
      <w:t>/ExCom/86/100</w:t>
    </w:r>
    <w:r>
      <w:fldChar w:fldCharType="end"/>
    </w:r>
  </w:p>
  <w:p w14:paraId="07081B42" w14:textId="77777777" w:rsidR="00BD1EF4" w:rsidRPr="00436081" w:rsidRDefault="00BD1EF4" w:rsidP="002A6747">
    <w:pPr>
      <w:jc w:val="left"/>
      <w:rPr>
        <w:lang w:val="en-GB"/>
      </w:rPr>
    </w:pPr>
    <w:r w:rsidRPr="00436081">
      <w:rPr>
        <w:lang w:val="en-GB"/>
      </w:rPr>
      <w:t xml:space="preserve">Annexe </w:t>
    </w:r>
    <w:r>
      <w:rPr>
        <w:lang w:val="en-GB"/>
      </w:rPr>
      <w:t>XXIX</w:t>
    </w:r>
  </w:p>
  <w:p w14:paraId="5D0A6C72" w14:textId="77777777" w:rsidR="00BD1EF4" w:rsidRPr="00504B52" w:rsidRDefault="00BD1EF4">
    <w:pPr>
      <w:pStyle w:val="Header"/>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2FB935" w14:textId="77777777" w:rsidR="00BD1EF4" w:rsidRPr="00436081" w:rsidRDefault="00BD1EF4">
    <w:pPr>
      <w:jc w:val="right"/>
      <w:rPr>
        <w:lang w:val="en-GB"/>
      </w:rPr>
    </w:pPr>
    <w:r>
      <w:fldChar w:fldCharType="begin"/>
    </w:r>
    <w:r w:rsidRPr="00436081">
      <w:rPr>
        <w:lang w:val="en-GB"/>
      </w:rPr>
      <w:instrText xml:space="preserve"> DOCPROPERTY "Document number"  \* MERGEFORMAT </w:instrText>
    </w:r>
    <w:r>
      <w:fldChar w:fldCharType="separate"/>
    </w:r>
    <w:r>
      <w:rPr>
        <w:lang w:val="en-GB"/>
      </w:rPr>
      <w:t>UNEP/</w:t>
    </w:r>
    <w:proofErr w:type="spellStart"/>
    <w:r>
      <w:rPr>
        <w:lang w:val="en-GB"/>
      </w:rPr>
      <w:t>OzL.Pro</w:t>
    </w:r>
    <w:proofErr w:type="spellEnd"/>
    <w:r>
      <w:rPr>
        <w:lang w:val="en-GB"/>
      </w:rPr>
      <w:t>/ExCom/95/60</w:t>
    </w:r>
    <w:r>
      <w:fldChar w:fldCharType="end"/>
    </w:r>
  </w:p>
  <w:p w14:paraId="30E0EC2A" w14:textId="77777777" w:rsidR="00BD1EF4" w:rsidRDefault="00BD1EF4" w:rsidP="0088772F">
    <w:pPr>
      <w:jc w:val="right"/>
      <w:rPr>
        <w:lang w:val="en-GB"/>
      </w:rPr>
    </w:pPr>
    <w:r>
      <w:rPr>
        <w:lang w:val="en-GB"/>
      </w:rPr>
      <w:t>Annexe I</w:t>
    </w:r>
  </w:p>
  <w:p w14:paraId="3FD0CCCB" w14:textId="77777777" w:rsidR="00BD1EF4" w:rsidRPr="00436081" w:rsidRDefault="00BD1EF4">
    <w:pPr>
      <w:pStyle w:val="Header"/>
      <w:rPr>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F9D864B4"/>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3"/>
  </w:num>
  <w:num w:numId="18" w16cid:durableId="559828470">
    <w:abstractNumId w:val="14"/>
  </w:num>
  <w:num w:numId="19" w16cid:durableId="1488010068">
    <w:abstractNumId w:val="16"/>
  </w:num>
  <w:num w:numId="20" w16cid:durableId="444007775">
    <w:abstractNumId w:val="12"/>
  </w:num>
  <w:num w:numId="21" w16cid:durableId="105173589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F64BA"/>
    <w:rsid w:val="00000FED"/>
    <w:rsid w:val="0000434E"/>
    <w:rsid w:val="000113AD"/>
    <w:rsid w:val="00013709"/>
    <w:rsid w:val="000211A9"/>
    <w:rsid w:val="00021238"/>
    <w:rsid w:val="00022071"/>
    <w:rsid w:val="00024F01"/>
    <w:rsid w:val="000303A8"/>
    <w:rsid w:val="00031260"/>
    <w:rsid w:val="0003681A"/>
    <w:rsid w:val="000372B7"/>
    <w:rsid w:val="000373B9"/>
    <w:rsid w:val="00050F6E"/>
    <w:rsid w:val="00061EC2"/>
    <w:rsid w:val="00063458"/>
    <w:rsid w:val="00066CE8"/>
    <w:rsid w:val="00067FF7"/>
    <w:rsid w:val="00080ED0"/>
    <w:rsid w:val="00085B8F"/>
    <w:rsid w:val="00090481"/>
    <w:rsid w:val="000A3826"/>
    <w:rsid w:val="000A4BFB"/>
    <w:rsid w:val="000A5F8D"/>
    <w:rsid w:val="000A6C26"/>
    <w:rsid w:val="000A797D"/>
    <w:rsid w:val="000B36C8"/>
    <w:rsid w:val="000B4C14"/>
    <w:rsid w:val="000B728D"/>
    <w:rsid w:val="000D52A4"/>
    <w:rsid w:val="000E07BC"/>
    <w:rsid w:val="000E2E21"/>
    <w:rsid w:val="000F1CD4"/>
    <w:rsid w:val="000F220C"/>
    <w:rsid w:val="000F4103"/>
    <w:rsid w:val="000F70A7"/>
    <w:rsid w:val="00103AB1"/>
    <w:rsid w:val="00113CCA"/>
    <w:rsid w:val="00114A9F"/>
    <w:rsid w:val="001214D7"/>
    <w:rsid w:val="00122F25"/>
    <w:rsid w:val="00135980"/>
    <w:rsid w:val="0013786F"/>
    <w:rsid w:val="00151B7E"/>
    <w:rsid w:val="00162675"/>
    <w:rsid w:val="00164719"/>
    <w:rsid w:val="00164D07"/>
    <w:rsid w:val="00165D8F"/>
    <w:rsid w:val="00166FC4"/>
    <w:rsid w:val="001677AC"/>
    <w:rsid w:val="0017027E"/>
    <w:rsid w:val="00172375"/>
    <w:rsid w:val="001804EA"/>
    <w:rsid w:val="00190A61"/>
    <w:rsid w:val="00197179"/>
    <w:rsid w:val="001A0D3F"/>
    <w:rsid w:val="001A2215"/>
    <w:rsid w:val="001A3342"/>
    <w:rsid w:val="001A3E3D"/>
    <w:rsid w:val="001A7049"/>
    <w:rsid w:val="001B1E40"/>
    <w:rsid w:val="001B2F74"/>
    <w:rsid w:val="001C236C"/>
    <w:rsid w:val="001C764E"/>
    <w:rsid w:val="001E1052"/>
    <w:rsid w:val="001E21B1"/>
    <w:rsid w:val="001E2F93"/>
    <w:rsid w:val="001E4554"/>
    <w:rsid w:val="001E61E5"/>
    <w:rsid w:val="001F2159"/>
    <w:rsid w:val="001F53FD"/>
    <w:rsid w:val="001F5B4A"/>
    <w:rsid w:val="00210B8B"/>
    <w:rsid w:val="00211222"/>
    <w:rsid w:val="00214863"/>
    <w:rsid w:val="002156B4"/>
    <w:rsid w:val="00220FF5"/>
    <w:rsid w:val="00224FCD"/>
    <w:rsid w:val="00245D3B"/>
    <w:rsid w:val="002464F0"/>
    <w:rsid w:val="002466A2"/>
    <w:rsid w:val="00253222"/>
    <w:rsid w:val="00261C13"/>
    <w:rsid w:val="00262847"/>
    <w:rsid w:val="0027150E"/>
    <w:rsid w:val="002725CF"/>
    <w:rsid w:val="00277197"/>
    <w:rsid w:val="0028061C"/>
    <w:rsid w:val="00281BB2"/>
    <w:rsid w:val="0029634A"/>
    <w:rsid w:val="002A03C3"/>
    <w:rsid w:val="002B0A05"/>
    <w:rsid w:val="002B254E"/>
    <w:rsid w:val="002B4CE8"/>
    <w:rsid w:val="002B72E9"/>
    <w:rsid w:val="002C7998"/>
    <w:rsid w:val="002F1E53"/>
    <w:rsid w:val="002F2CAA"/>
    <w:rsid w:val="0030052C"/>
    <w:rsid w:val="00302F66"/>
    <w:rsid w:val="00307E63"/>
    <w:rsid w:val="00325678"/>
    <w:rsid w:val="003306E1"/>
    <w:rsid w:val="003320E4"/>
    <w:rsid w:val="00333628"/>
    <w:rsid w:val="0033525D"/>
    <w:rsid w:val="003414F3"/>
    <w:rsid w:val="003424CF"/>
    <w:rsid w:val="00355B45"/>
    <w:rsid w:val="0035613E"/>
    <w:rsid w:val="00363EE9"/>
    <w:rsid w:val="00370B65"/>
    <w:rsid w:val="00372866"/>
    <w:rsid w:val="00376128"/>
    <w:rsid w:val="0037742E"/>
    <w:rsid w:val="00377D56"/>
    <w:rsid w:val="003816FC"/>
    <w:rsid w:val="0038245A"/>
    <w:rsid w:val="003840E6"/>
    <w:rsid w:val="00385CFC"/>
    <w:rsid w:val="00387025"/>
    <w:rsid w:val="0039337A"/>
    <w:rsid w:val="00396751"/>
    <w:rsid w:val="003A0CD2"/>
    <w:rsid w:val="003A3189"/>
    <w:rsid w:val="003A3CA7"/>
    <w:rsid w:val="003B33BD"/>
    <w:rsid w:val="003B569D"/>
    <w:rsid w:val="003C3C0E"/>
    <w:rsid w:val="003D42A6"/>
    <w:rsid w:val="003D4F21"/>
    <w:rsid w:val="003D4FAC"/>
    <w:rsid w:val="003D7F84"/>
    <w:rsid w:val="003E1885"/>
    <w:rsid w:val="003E7906"/>
    <w:rsid w:val="003F000F"/>
    <w:rsid w:val="003F3C50"/>
    <w:rsid w:val="003F3E3D"/>
    <w:rsid w:val="00406202"/>
    <w:rsid w:val="00406A6A"/>
    <w:rsid w:val="00406B22"/>
    <w:rsid w:val="00407147"/>
    <w:rsid w:val="004078FA"/>
    <w:rsid w:val="00431E08"/>
    <w:rsid w:val="004328A7"/>
    <w:rsid w:val="00434C74"/>
    <w:rsid w:val="00440ABD"/>
    <w:rsid w:val="00456EB4"/>
    <w:rsid w:val="00457827"/>
    <w:rsid w:val="004718F3"/>
    <w:rsid w:val="004725B7"/>
    <w:rsid w:val="00472BC9"/>
    <w:rsid w:val="00473854"/>
    <w:rsid w:val="00475040"/>
    <w:rsid w:val="00490C06"/>
    <w:rsid w:val="00493D40"/>
    <w:rsid w:val="00493EE3"/>
    <w:rsid w:val="004967B6"/>
    <w:rsid w:val="004A504B"/>
    <w:rsid w:val="004A6911"/>
    <w:rsid w:val="004A7F91"/>
    <w:rsid w:val="004B3652"/>
    <w:rsid w:val="004B411C"/>
    <w:rsid w:val="004B54E0"/>
    <w:rsid w:val="004B7384"/>
    <w:rsid w:val="004C4269"/>
    <w:rsid w:val="004D6236"/>
    <w:rsid w:val="004D7F90"/>
    <w:rsid w:val="004E0678"/>
    <w:rsid w:val="004E31AB"/>
    <w:rsid w:val="004E4DBB"/>
    <w:rsid w:val="004E4E41"/>
    <w:rsid w:val="004E73DB"/>
    <w:rsid w:val="004E7F9C"/>
    <w:rsid w:val="004F3493"/>
    <w:rsid w:val="004F5143"/>
    <w:rsid w:val="00512B09"/>
    <w:rsid w:val="00514024"/>
    <w:rsid w:val="00514BBF"/>
    <w:rsid w:val="005220ED"/>
    <w:rsid w:val="0053175F"/>
    <w:rsid w:val="00533796"/>
    <w:rsid w:val="00537343"/>
    <w:rsid w:val="00541CF3"/>
    <w:rsid w:val="005516F3"/>
    <w:rsid w:val="00555D75"/>
    <w:rsid w:val="00560DF0"/>
    <w:rsid w:val="0056591A"/>
    <w:rsid w:val="0056759C"/>
    <w:rsid w:val="00567785"/>
    <w:rsid w:val="005732D2"/>
    <w:rsid w:val="00587B10"/>
    <w:rsid w:val="0059513E"/>
    <w:rsid w:val="00596349"/>
    <w:rsid w:val="005A4977"/>
    <w:rsid w:val="005A6AA4"/>
    <w:rsid w:val="005A6D9F"/>
    <w:rsid w:val="005B48FF"/>
    <w:rsid w:val="005C1E32"/>
    <w:rsid w:val="005C636B"/>
    <w:rsid w:val="005C670D"/>
    <w:rsid w:val="005D363F"/>
    <w:rsid w:val="005D64CB"/>
    <w:rsid w:val="005E1FB7"/>
    <w:rsid w:val="00603C36"/>
    <w:rsid w:val="00604C15"/>
    <w:rsid w:val="006054A5"/>
    <w:rsid w:val="006158D5"/>
    <w:rsid w:val="00625D83"/>
    <w:rsid w:val="00625F17"/>
    <w:rsid w:val="00651984"/>
    <w:rsid w:val="006574A8"/>
    <w:rsid w:val="006623E7"/>
    <w:rsid w:val="00662B80"/>
    <w:rsid w:val="0066768F"/>
    <w:rsid w:val="00670F6C"/>
    <w:rsid w:val="00671EDF"/>
    <w:rsid w:val="0067440B"/>
    <w:rsid w:val="00676E58"/>
    <w:rsid w:val="006852C7"/>
    <w:rsid w:val="006852CE"/>
    <w:rsid w:val="00692D14"/>
    <w:rsid w:val="00693ECA"/>
    <w:rsid w:val="006966D1"/>
    <w:rsid w:val="0069692B"/>
    <w:rsid w:val="006A7A3B"/>
    <w:rsid w:val="006B3CD2"/>
    <w:rsid w:val="006B65C7"/>
    <w:rsid w:val="006C0673"/>
    <w:rsid w:val="006C1727"/>
    <w:rsid w:val="006C32FD"/>
    <w:rsid w:val="006C39CE"/>
    <w:rsid w:val="006D0FCC"/>
    <w:rsid w:val="006D21F5"/>
    <w:rsid w:val="006D3089"/>
    <w:rsid w:val="006D35BC"/>
    <w:rsid w:val="006D4A06"/>
    <w:rsid w:val="006E126D"/>
    <w:rsid w:val="006E1FC3"/>
    <w:rsid w:val="006E24DC"/>
    <w:rsid w:val="006E3F8A"/>
    <w:rsid w:val="00704CE9"/>
    <w:rsid w:val="0070616B"/>
    <w:rsid w:val="00706295"/>
    <w:rsid w:val="00706FDA"/>
    <w:rsid w:val="00711F9A"/>
    <w:rsid w:val="00713810"/>
    <w:rsid w:val="00714FAF"/>
    <w:rsid w:val="0072186A"/>
    <w:rsid w:val="00722A8D"/>
    <w:rsid w:val="007260B5"/>
    <w:rsid w:val="00727A52"/>
    <w:rsid w:val="007303A5"/>
    <w:rsid w:val="00730B3E"/>
    <w:rsid w:val="007312C8"/>
    <w:rsid w:val="0073420B"/>
    <w:rsid w:val="00736367"/>
    <w:rsid w:val="0074760E"/>
    <w:rsid w:val="00751D97"/>
    <w:rsid w:val="007548C4"/>
    <w:rsid w:val="00754ABA"/>
    <w:rsid w:val="00761236"/>
    <w:rsid w:val="00763460"/>
    <w:rsid w:val="00771E34"/>
    <w:rsid w:val="00782B0D"/>
    <w:rsid w:val="007848AB"/>
    <w:rsid w:val="0079781A"/>
    <w:rsid w:val="00797E67"/>
    <w:rsid w:val="007A1546"/>
    <w:rsid w:val="007A228C"/>
    <w:rsid w:val="007A368E"/>
    <w:rsid w:val="007A5315"/>
    <w:rsid w:val="007A5868"/>
    <w:rsid w:val="007B04CE"/>
    <w:rsid w:val="007B6871"/>
    <w:rsid w:val="007B7A2F"/>
    <w:rsid w:val="007C32EE"/>
    <w:rsid w:val="007C3D33"/>
    <w:rsid w:val="007C4160"/>
    <w:rsid w:val="007D1BD9"/>
    <w:rsid w:val="007D294A"/>
    <w:rsid w:val="007D47D2"/>
    <w:rsid w:val="007D6EC0"/>
    <w:rsid w:val="007D7E1D"/>
    <w:rsid w:val="007E435E"/>
    <w:rsid w:val="007E503C"/>
    <w:rsid w:val="007F1015"/>
    <w:rsid w:val="007F39CD"/>
    <w:rsid w:val="0080345C"/>
    <w:rsid w:val="0080475C"/>
    <w:rsid w:val="0082522F"/>
    <w:rsid w:val="00831979"/>
    <w:rsid w:val="00851352"/>
    <w:rsid w:val="00853D5D"/>
    <w:rsid w:val="00857077"/>
    <w:rsid w:val="008621ED"/>
    <w:rsid w:val="00863230"/>
    <w:rsid w:val="00865BD0"/>
    <w:rsid w:val="008717D8"/>
    <w:rsid w:val="0087215C"/>
    <w:rsid w:val="0087351C"/>
    <w:rsid w:val="00875D25"/>
    <w:rsid w:val="0087663B"/>
    <w:rsid w:val="00880E35"/>
    <w:rsid w:val="00883A61"/>
    <w:rsid w:val="008875FE"/>
    <w:rsid w:val="00887F8E"/>
    <w:rsid w:val="00893678"/>
    <w:rsid w:val="00896234"/>
    <w:rsid w:val="0089700B"/>
    <w:rsid w:val="00897E43"/>
    <w:rsid w:val="008A265E"/>
    <w:rsid w:val="008A278C"/>
    <w:rsid w:val="008A4946"/>
    <w:rsid w:val="008B7ABB"/>
    <w:rsid w:val="008C222B"/>
    <w:rsid w:val="008C5738"/>
    <w:rsid w:val="008C7747"/>
    <w:rsid w:val="008C7EAD"/>
    <w:rsid w:val="008D0CFE"/>
    <w:rsid w:val="008D6152"/>
    <w:rsid w:val="008E7BA9"/>
    <w:rsid w:val="008F0F81"/>
    <w:rsid w:val="008F27BF"/>
    <w:rsid w:val="008F2E64"/>
    <w:rsid w:val="008F52BB"/>
    <w:rsid w:val="009142EC"/>
    <w:rsid w:val="009145E4"/>
    <w:rsid w:val="009154C3"/>
    <w:rsid w:val="00915EDB"/>
    <w:rsid w:val="00923540"/>
    <w:rsid w:val="00926767"/>
    <w:rsid w:val="009361D5"/>
    <w:rsid w:val="009428A4"/>
    <w:rsid w:val="0094648A"/>
    <w:rsid w:val="009659F4"/>
    <w:rsid w:val="00966B8B"/>
    <w:rsid w:val="00970D60"/>
    <w:rsid w:val="00985DBB"/>
    <w:rsid w:val="009874D0"/>
    <w:rsid w:val="0099390E"/>
    <w:rsid w:val="009951B5"/>
    <w:rsid w:val="009960E5"/>
    <w:rsid w:val="009A7ADC"/>
    <w:rsid w:val="009B0D30"/>
    <w:rsid w:val="009C19B7"/>
    <w:rsid w:val="009C5ABB"/>
    <w:rsid w:val="009D3F11"/>
    <w:rsid w:val="009D55FF"/>
    <w:rsid w:val="009D7C51"/>
    <w:rsid w:val="009E196C"/>
    <w:rsid w:val="009E3BBE"/>
    <w:rsid w:val="009E6A0A"/>
    <w:rsid w:val="009E6AF1"/>
    <w:rsid w:val="009F0090"/>
    <w:rsid w:val="009F36BF"/>
    <w:rsid w:val="009F5F47"/>
    <w:rsid w:val="009F7A3F"/>
    <w:rsid w:val="00A07816"/>
    <w:rsid w:val="00A101A2"/>
    <w:rsid w:val="00A111B6"/>
    <w:rsid w:val="00A129D0"/>
    <w:rsid w:val="00A16452"/>
    <w:rsid w:val="00A263A5"/>
    <w:rsid w:val="00A26D27"/>
    <w:rsid w:val="00A376EE"/>
    <w:rsid w:val="00A40C94"/>
    <w:rsid w:val="00A42A99"/>
    <w:rsid w:val="00A45A3D"/>
    <w:rsid w:val="00A4647E"/>
    <w:rsid w:val="00A5151A"/>
    <w:rsid w:val="00A56EC7"/>
    <w:rsid w:val="00A57E0A"/>
    <w:rsid w:val="00A77919"/>
    <w:rsid w:val="00A81EE0"/>
    <w:rsid w:val="00A823F6"/>
    <w:rsid w:val="00A8475C"/>
    <w:rsid w:val="00A8719E"/>
    <w:rsid w:val="00A94178"/>
    <w:rsid w:val="00A9430F"/>
    <w:rsid w:val="00A95A86"/>
    <w:rsid w:val="00AA0A89"/>
    <w:rsid w:val="00AA295F"/>
    <w:rsid w:val="00AA5368"/>
    <w:rsid w:val="00AA6429"/>
    <w:rsid w:val="00AA6E5D"/>
    <w:rsid w:val="00AB0FDD"/>
    <w:rsid w:val="00AB10AC"/>
    <w:rsid w:val="00AC01AA"/>
    <w:rsid w:val="00AC3215"/>
    <w:rsid w:val="00AC3EE9"/>
    <w:rsid w:val="00AC3EF2"/>
    <w:rsid w:val="00AC4F72"/>
    <w:rsid w:val="00AC5041"/>
    <w:rsid w:val="00AD5265"/>
    <w:rsid w:val="00AD6771"/>
    <w:rsid w:val="00AD769C"/>
    <w:rsid w:val="00AE482E"/>
    <w:rsid w:val="00AF1B39"/>
    <w:rsid w:val="00AF2669"/>
    <w:rsid w:val="00AF741A"/>
    <w:rsid w:val="00B01ADB"/>
    <w:rsid w:val="00B04161"/>
    <w:rsid w:val="00B056F9"/>
    <w:rsid w:val="00B11377"/>
    <w:rsid w:val="00B11E3D"/>
    <w:rsid w:val="00B12C04"/>
    <w:rsid w:val="00B14D2C"/>
    <w:rsid w:val="00B17E82"/>
    <w:rsid w:val="00B31D69"/>
    <w:rsid w:val="00B45646"/>
    <w:rsid w:val="00B4575A"/>
    <w:rsid w:val="00B575BA"/>
    <w:rsid w:val="00B71144"/>
    <w:rsid w:val="00B71608"/>
    <w:rsid w:val="00B76429"/>
    <w:rsid w:val="00B86471"/>
    <w:rsid w:val="00B93DD2"/>
    <w:rsid w:val="00B956D4"/>
    <w:rsid w:val="00B97446"/>
    <w:rsid w:val="00BA7432"/>
    <w:rsid w:val="00BB2764"/>
    <w:rsid w:val="00BB6999"/>
    <w:rsid w:val="00BC1AA0"/>
    <w:rsid w:val="00BC2495"/>
    <w:rsid w:val="00BC314A"/>
    <w:rsid w:val="00BC41BE"/>
    <w:rsid w:val="00BC7EB9"/>
    <w:rsid w:val="00BD1EF4"/>
    <w:rsid w:val="00BD2643"/>
    <w:rsid w:val="00BD36D2"/>
    <w:rsid w:val="00BD56B1"/>
    <w:rsid w:val="00BD6558"/>
    <w:rsid w:val="00BF1A57"/>
    <w:rsid w:val="00BF2AD7"/>
    <w:rsid w:val="00BF2F76"/>
    <w:rsid w:val="00BF3022"/>
    <w:rsid w:val="00BF3214"/>
    <w:rsid w:val="00BF512D"/>
    <w:rsid w:val="00BF5573"/>
    <w:rsid w:val="00BF734F"/>
    <w:rsid w:val="00C049B1"/>
    <w:rsid w:val="00C15867"/>
    <w:rsid w:val="00C15E80"/>
    <w:rsid w:val="00C17ED3"/>
    <w:rsid w:val="00C216BC"/>
    <w:rsid w:val="00C21D19"/>
    <w:rsid w:val="00C22398"/>
    <w:rsid w:val="00C2296D"/>
    <w:rsid w:val="00C23155"/>
    <w:rsid w:val="00C34E0A"/>
    <w:rsid w:val="00C40C41"/>
    <w:rsid w:val="00C45885"/>
    <w:rsid w:val="00C50F22"/>
    <w:rsid w:val="00C57971"/>
    <w:rsid w:val="00C6178E"/>
    <w:rsid w:val="00C65BD7"/>
    <w:rsid w:val="00C6773D"/>
    <w:rsid w:val="00C76BA4"/>
    <w:rsid w:val="00C83A48"/>
    <w:rsid w:val="00C83E93"/>
    <w:rsid w:val="00C85865"/>
    <w:rsid w:val="00C85E85"/>
    <w:rsid w:val="00C9194B"/>
    <w:rsid w:val="00C9226D"/>
    <w:rsid w:val="00C926C8"/>
    <w:rsid w:val="00C92FC3"/>
    <w:rsid w:val="00C9449F"/>
    <w:rsid w:val="00CA2EAE"/>
    <w:rsid w:val="00CA4AC1"/>
    <w:rsid w:val="00CA59FB"/>
    <w:rsid w:val="00CB0316"/>
    <w:rsid w:val="00CB0B11"/>
    <w:rsid w:val="00CB1DBA"/>
    <w:rsid w:val="00CB2772"/>
    <w:rsid w:val="00CB426A"/>
    <w:rsid w:val="00CB5354"/>
    <w:rsid w:val="00CC1E40"/>
    <w:rsid w:val="00CC3C9E"/>
    <w:rsid w:val="00CC69E9"/>
    <w:rsid w:val="00CC6A14"/>
    <w:rsid w:val="00CC70A3"/>
    <w:rsid w:val="00CD4442"/>
    <w:rsid w:val="00CD53C3"/>
    <w:rsid w:val="00CD574E"/>
    <w:rsid w:val="00CE4C22"/>
    <w:rsid w:val="00CE76E5"/>
    <w:rsid w:val="00CF41EC"/>
    <w:rsid w:val="00CF5D04"/>
    <w:rsid w:val="00CF730A"/>
    <w:rsid w:val="00CF76C9"/>
    <w:rsid w:val="00D04DE4"/>
    <w:rsid w:val="00D063F1"/>
    <w:rsid w:val="00D11735"/>
    <w:rsid w:val="00D11D57"/>
    <w:rsid w:val="00D14F22"/>
    <w:rsid w:val="00D344EE"/>
    <w:rsid w:val="00D369CE"/>
    <w:rsid w:val="00D43170"/>
    <w:rsid w:val="00D4741C"/>
    <w:rsid w:val="00D56039"/>
    <w:rsid w:val="00D57918"/>
    <w:rsid w:val="00D73DC6"/>
    <w:rsid w:val="00D7475D"/>
    <w:rsid w:val="00D74C1A"/>
    <w:rsid w:val="00D754C1"/>
    <w:rsid w:val="00D77393"/>
    <w:rsid w:val="00D77A35"/>
    <w:rsid w:val="00D81B3E"/>
    <w:rsid w:val="00D90C70"/>
    <w:rsid w:val="00D90E49"/>
    <w:rsid w:val="00D96ADE"/>
    <w:rsid w:val="00DA0CE2"/>
    <w:rsid w:val="00DA2387"/>
    <w:rsid w:val="00DA2C58"/>
    <w:rsid w:val="00DB28A6"/>
    <w:rsid w:val="00DB5E2D"/>
    <w:rsid w:val="00DC0036"/>
    <w:rsid w:val="00DC6A10"/>
    <w:rsid w:val="00DD1A48"/>
    <w:rsid w:val="00DD3B37"/>
    <w:rsid w:val="00DD6E0C"/>
    <w:rsid w:val="00DE5814"/>
    <w:rsid w:val="00DE657E"/>
    <w:rsid w:val="00DF1274"/>
    <w:rsid w:val="00DF4704"/>
    <w:rsid w:val="00E024AA"/>
    <w:rsid w:val="00E0353D"/>
    <w:rsid w:val="00E15C77"/>
    <w:rsid w:val="00E1693E"/>
    <w:rsid w:val="00E20C67"/>
    <w:rsid w:val="00E24520"/>
    <w:rsid w:val="00E250F1"/>
    <w:rsid w:val="00E3550D"/>
    <w:rsid w:val="00E40B0C"/>
    <w:rsid w:val="00E43D85"/>
    <w:rsid w:val="00E52838"/>
    <w:rsid w:val="00E53C7B"/>
    <w:rsid w:val="00E614E0"/>
    <w:rsid w:val="00E63EE4"/>
    <w:rsid w:val="00E73F7F"/>
    <w:rsid w:val="00E753E8"/>
    <w:rsid w:val="00E7677B"/>
    <w:rsid w:val="00E85409"/>
    <w:rsid w:val="00E9339B"/>
    <w:rsid w:val="00EA429F"/>
    <w:rsid w:val="00EA461A"/>
    <w:rsid w:val="00EA4F9E"/>
    <w:rsid w:val="00EA63CA"/>
    <w:rsid w:val="00EA6D3B"/>
    <w:rsid w:val="00EB00AD"/>
    <w:rsid w:val="00EB136C"/>
    <w:rsid w:val="00EB480E"/>
    <w:rsid w:val="00EB5EC6"/>
    <w:rsid w:val="00EB7FC9"/>
    <w:rsid w:val="00ED27E8"/>
    <w:rsid w:val="00ED7137"/>
    <w:rsid w:val="00ED7CEF"/>
    <w:rsid w:val="00EE0803"/>
    <w:rsid w:val="00EE2FA2"/>
    <w:rsid w:val="00EE7779"/>
    <w:rsid w:val="00EF06EA"/>
    <w:rsid w:val="00EF1F04"/>
    <w:rsid w:val="00EF64BA"/>
    <w:rsid w:val="00F01D65"/>
    <w:rsid w:val="00F07604"/>
    <w:rsid w:val="00F12B47"/>
    <w:rsid w:val="00F160B4"/>
    <w:rsid w:val="00F16F5A"/>
    <w:rsid w:val="00F21088"/>
    <w:rsid w:val="00F244F7"/>
    <w:rsid w:val="00F326BF"/>
    <w:rsid w:val="00F327E7"/>
    <w:rsid w:val="00F35746"/>
    <w:rsid w:val="00F424EE"/>
    <w:rsid w:val="00F42EC0"/>
    <w:rsid w:val="00F42FD5"/>
    <w:rsid w:val="00F447C7"/>
    <w:rsid w:val="00F459B4"/>
    <w:rsid w:val="00F5211B"/>
    <w:rsid w:val="00F554A9"/>
    <w:rsid w:val="00F60C96"/>
    <w:rsid w:val="00F66CCF"/>
    <w:rsid w:val="00F716FD"/>
    <w:rsid w:val="00F76645"/>
    <w:rsid w:val="00F80355"/>
    <w:rsid w:val="00F87C43"/>
    <w:rsid w:val="00F900DD"/>
    <w:rsid w:val="00F97E54"/>
    <w:rsid w:val="00FA245C"/>
    <w:rsid w:val="00FA5722"/>
    <w:rsid w:val="00FB0C81"/>
    <w:rsid w:val="00FC2200"/>
    <w:rsid w:val="00FC2331"/>
    <w:rsid w:val="00FC2540"/>
    <w:rsid w:val="00FD04E8"/>
    <w:rsid w:val="00FE1FA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BFFEFF"/>
  <w15:docId w15:val="{51675FA1-4A7E-4AE7-89FA-A11B78D88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9"/>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uiPriority w:val="9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f"/>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03AB1"/>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8A4946"/>
    <w:rPr>
      <w:sz w:val="22"/>
      <w:szCs w:val="22"/>
      <w:lang w:val="en-CA"/>
    </w:rPr>
  </w:style>
  <w:style w:type="paragraph" w:styleId="ListParagraph">
    <w:name w:val="List Paragraph"/>
    <w:basedOn w:val="Normal"/>
    <w:uiPriority w:val="34"/>
    <w:qFormat/>
    <w:rsid w:val="00EF64BA"/>
    <w:pPr>
      <w:ind w:left="720"/>
      <w:contextualSpacing/>
    </w:pPr>
    <w:rPr>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EF64BA"/>
    <w:rPr>
      <w:sz w:val="22"/>
      <w:szCs w:val="22"/>
      <w:lang w:val="en-CA"/>
    </w:rPr>
  </w:style>
  <w:style w:type="paragraph" w:styleId="NormalWeb">
    <w:name w:val="Normal (Web)"/>
    <w:basedOn w:val="Normal"/>
    <w:uiPriority w:val="99"/>
    <w:unhideWhenUsed/>
    <w:rsid w:val="00EF64BA"/>
    <w:pPr>
      <w:spacing w:before="100" w:beforeAutospacing="1" w:after="100" w:afterAutospacing="1"/>
      <w:jc w:val="left"/>
    </w:pPr>
    <w:rPr>
      <w:sz w:val="24"/>
      <w:szCs w:val="24"/>
      <w:lang w:eastAsia="en-CA"/>
    </w:rPr>
  </w:style>
  <w:style w:type="character" w:styleId="PageNumber">
    <w:name w:val="page number"/>
    <w:basedOn w:val="DefaultParagraphFont"/>
    <w:uiPriority w:val="99"/>
    <w:semiHidden/>
    <w:unhideWhenUsed/>
    <w:rsid w:val="000A5F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F:\OneDrive%20-%20EURL%20FAE%20TRADUCTION\FAE_TRADUCTION\CLIENTS\UNMFS_0045\202411_session\F95-Gener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www.w3.org/XML/1998/namespac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eb6c2e4c-3f1c-4103-a37b-37c984dbe58f"/>
    <ds:schemaRef ds:uri="b93c647f-d63b-431a-95c8-8e00048cff23"/>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F95-General template</Template>
  <TotalTime>185</TotalTime>
  <Pages>11</Pages>
  <Words>4616</Words>
  <Characters>24839</Characters>
  <Application>Microsoft Office Word</Application>
  <DocSecurity>0</DocSecurity>
  <Lines>206</Lines>
  <Paragraphs>58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Proposition de projet : Jamaïque (La)</vt:lpstr>
      <vt:lpstr>Proposition de projet : Jamaïque (La)</vt:lpstr>
    </vt:vector>
  </TitlesOfParts>
  <Manager/>
  <Company>UNMFS</Company>
  <LinksUpToDate>false</LinksUpToDate>
  <CharactersWithSpaces>29397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Jamaïque (La)</dc:title>
  <dc:subject/>
  <dc:creator>Maïlys Lejosne | FAE Traduction</dc:creator>
  <cp:keywords/>
  <dc:description/>
  <cp:lastModifiedBy>Angela Xue He Yan</cp:lastModifiedBy>
  <cp:revision>211</cp:revision>
  <cp:lastPrinted>2024-10-23T13:30:00Z</cp:lastPrinted>
  <dcterms:created xsi:type="dcterms:W3CDTF">2024-10-22T15:54:00Z</dcterms:created>
  <dcterms:modified xsi:type="dcterms:W3CDTF">2024-10-23T14:08:00Z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UNEP/OzL.Pro/ExCom/95/60</vt:lpwstr>
  </property>
  <property fmtid="{D5CDD505-2E9C-101B-9397-08002B2CF9AE}" pid="3" name="Revision date">
    <vt:lpwstr>10/18/2024</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