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17172" w14:textId="77777777" w:rsidR="00CE1085" w:rsidRPr="0045481A" w:rsidRDefault="00CE1085" w:rsidP="00704CE9">
      <w:pPr>
        <w:jc w:val="left"/>
        <w:rPr>
          <w:lang w:val="en-US"/>
        </w:rPr>
      </w:pPr>
    </w:p>
    <w:tbl>
      <w:tblPr>
        <w:tblW w:w="0" w:type="auto"/>
        <w:tblInd w:w="18" w:type="dxa"/>
        <w:tblLayout w:type="fixed"/>
        <w:tblLook w:val="0000" w:firstRow="0" w:lastRow="0" w:firstColumn="0" w:lastColumn="0" w:noHBand="0" w:noVBand="0"/>
      </w:tblPr>
      <w:tblGrid>
        <w:gridCol w:w="4059"/>
        <w:gridCol w:w="351"/>
        <w:gridCol w:w="3051"/>
        <w:gridCol w:w="2079"/>
      </w:tblGrid>
      <w:tr w:rsidR="00CE1085" w14:paraId="01C6DB3F" w14:textId="77777777" w:rsidTr="00485009">
        <w:trPr>
          <w:trHeight w:val="720"/>
        </w:trPr>
        <w:tc>
          <w:tcPr>
            <w:tcW w:w="4410" w:type="dxa"/>
            <w:gridSpan w:val="2"/>
            <w:tcBorders>
              <w:bottom w:val="single" w:sz="18" w:space="0" w:color="auto"/>
            </w:tcBorders>
          </w:tcPr>
          <w:p w14:paraId="6BB5F757" w14:textId="77777777" w:rsidR="00CE1085" w:rsidRDefault="00CE1085" w:rsidP="00485009">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EDEBB5E" w14:textId="77777777" w:rsidR="00CE1085" w:rsidRDefault="00CE1085" w:rsidP="00485009">
            <w:pPr>
              <w:pStyle w:val="Heading3"/>
              <w:numPr>
                <w:ilvl w:val="0"/>
                <w:numId w:val="0"/>
              </w:numPr>
              <w:bidi/>
              <w:ind w:left="270" w:right="1384"/>
              <w:rPr>
                <w:b/>
                <w:bCs/>
                <w:sz w:val="48"/>
                <w:szCs w:val="48"/>
                <w:rtl/>
                <w:lang w:bidi="ar-AE"/>
              </w:rPr>
            </w:pPr>
            <w:r>
              <w:rPr>
                <w:b/>
                <w:bCs/>
                <w:sz w:val="48"/>
                <w:szCs w:val="48"/>
                <w:rtl/>
              </w:rPr>
              <w:t>الأمم المتحدة</w:t>
            </w:r>
          </w:p>
        </w:tc>
      </w:tr>
      <w:tr w:rsidR="00CE1085" w14:paraId="297CB4ED" w14:textId="77777777" w:rsidTr="00485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4D5A80C" w14:textId="77777777" w:rsidR="00CE1085" w:rsidRDefault="00CE1085" w:rsidP="00485009">
            <w:pPr>
              <w:spacing w:before="120"/>
              <w:jc w:val="left"/>
              <w:rPr>
                <w:lang w:val="en-US"/>
              </w:rPr>
            </w:pPr>
            <w:r>
              <w:rPr>
                <w:noProof/>
                <w:lang w:val="en-US"/>
              </w:rPr>
              <w:drawing>
                <wp:anchor distT="0" distB="0" distL="114300" distR="114300" simplePos="0" relativeHeight="251665408" behindDoc="0" locked="0" layoutInCell="0" allowOverlap="1" wp14:anchorId="3035C127" wp14:editId="193FB738">
                  <wp:simplePos x="0" y="0"/>
                  <wp:positionH relativeFrom="column">
                    <wp:posOffset>5010785</wp:posOffset>
                  </wp:positionH>
                  <wp:positionV relativeFrom="paragraph">
                    <wp:posOffset>643890</wp:posOffset>
                  </wp:positionV>
                  <wp:extent cx="658495" cy="555625"/>
                  <wp:effectExtent l="0" t="0" r="8255" b="0"/>
                  <wp:wrapNone/>
                  <wp:docPr id="7" name="Picture 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4384" behindDoc="1" locked="0" layoutInCell="0" allowOverlap="1" wp14:anchorId="3C64AA76" wp14:editId="7CEC3B28">
                  <wp:simplePos x="0" y="0"/>
                  <wp:positionH relativeFrom="column">
                    <wp:posOffset>5029200</wp:posOffset>
                  </wp:positionH>
                  <wp:positionV relativeFrom="paragraph">
                    <wp:posOffset>93345</wp:posOffset>
                  </wp:positionV>
                  <wp:extent cx="579755" cy="51562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39CBBFD" w14:textId="77777777" w:rsidR="00CE1085" w:rsidRDefault="00CE1085" w:rsidP="00485009">
            <w:pPr>
              <w:spacing w:before="120"/>
              <w:jc w:val="left"/>
              <w:rPr>
                <w:lang w:val="en-US"/>
              </w:rPr>
            </w:pPr>
            <w:r>
              <w:rPr>
                <w:lang w:val="en-US"/>
              </w:rPr>
              <w:t>GENERAL</w:t>
            </w:r>
          </w:p>
          <w:p w14:paraId="3EE4AB68" w14:textId="77777777" w:rsidR="00CE1085" w:rsidRDefault="00CE1085" w:rsidP="00485009">
            <w:pPr>
              <w:spacing w:before="120"/>
              <w:jc w:val="left"/>
              <w:rPr>
                <w:lang w:val="en-US"/>
              </w:rPr>
            </w:pPr>
          </w:p>
          <w:p w14:paraId="65908E18" w14:textId="77777777" w:rsidR="00CE1085" w:rsidRPr="009B0D30" w:rsidRDefault="00CD074D" w:rsidP="00485009">
            <w:fldSimple w:instr=" DOCPROPERTY &quot;Document number&quot;  \* MERGEFORMAT ">
              <w:r w:rsidR="00CE1085">
                <w:t>UNEP/OzL.Pro/ExCom/87/46</w:t>
              </w:r>
            </w:fldSimple>
          </w:p>
          <w:p w14:paraId="75A81C56" w14:textId="77777777" w:rsidR="00CE1085" w:rsidRPr="009B0D30" w:rsidRDefault="00CE1085" w:rsidP="00485009">
            <w:r w:rsidRPr="009B0D30">
              <w:fldChar w:fldCharType="begin"/>
            </w:r>
            <w:r w:rsidRPr="009B0D30">
              <w:instrText xml:space="preserve"> DOCPROPERTY "Revision date" \@ "d MMMM YYYY"  \* MERGEFORMAT </w:instrText>
            </w:r>
            <w:r w:rsidRPr="009B0D30">
              <w:fldChar w:fldCharType="separate"/>
            </w:r>
            <w:r>
              <w:t>2 June 2021</w:t>
            </w:r>
            <w:r w:rsidRPr="009B0D30">
              <w:fldChar w:fldCharType="end"/>
            </w:r>
          </w:p>
          <w:p w14:paraId="4D54057B" w14:textId="77777777" w:rsidR="00CE1085" w:rsidRPr="003F4352" w:rsidRDefault="00CE1085" w:rsidP="00485009">
            <w:pPr>
              <w:spacing w:before="120"/>
              <w:jc w:val="left"/>
              <w:rPr>
                <w:rtl/>
                <w:lang w:val="en-GB" w:bidi="ar-AE"/>
              </w:rPr>
            </w:pPr>
          </w:p>
          <w:p w14:paraId="2B630B70" w14:textId="77777777" w:rsidR="00CE1085" w:rsidRDefault="00CE1085" w:rsidP="00485009">
            <w:pPr>
              <w:spacing w:before="120"/>
              <w:jc w:val="left"/>
              <w:rPr>
                <w:lang w:val="en-US"/>
              </w:rPr>
            </w:pPr>
            <w:r>
              <w:rPr>
                <w:lang w:val="en-US"/>
              </w:rPr>
              <w:t>ARABIC</w:t>
            </w:r>
          </w:p>
          <w:p w14:paraId="11BA93AB" w14:textId="77777777" w:rsidR="00CE1085" w:rsidRDefault="00CE1085" w:rsidP="00485009">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DBFC1A4" w14:textId="77777777" w:rsidR="00CE1085" w:rsidRDefault="00CE1085" w:rsidP="0048500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074851A" w14:textId="77777777" w:rsidR="00CE1085" w:rsidRDefault="00CE1085" w:rsidP="0048500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122E5BA" w14:textId="77777777" w:rsidR="00CE1085" w:rsidRDefault="00CE1085" w:rsidP="0048500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2D3DBA7" w14:textId="77777777" w:rsidR="00CE1085" w:rsidRDefault="00CE1085" w:rsidP="00485009">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49E54CC" w14:textId="77777777" w:rsidR="00CE1085" w:rsidRDefault="00CE1085" w:rsidP="00485009">
            <w:pPr>
              <w:rPr>
                <w:caps/>
                <w:lang w:val="en-US"/>
              </w:rPr>
            </w:pPr>
          </w:p>
          <w:p w14:paraId="1927DE02" w14:textId="77777777" w:rsidR="00CE1085" w:rsidRDefault="00CE1085" w:rsidP="00485009">
            <w:pPr>
              <w:rPr>
                <w:lang w:val="en-US"/>
              </w:rPr>
            </w:pPr>
          </w:p>
        </w:tc>
      </w:tr>
    </w:tbl>
    <w:p w14:paraId="3D4696A1" w14:textId="77777777" w:rsidR="00CE1085" w:rsidRPr="00436693" w:rsidRDefault="00CE1085" w:rsidP="00436693">
      <w:pPr>
        <w:bidi/>
        <w:jc w:val="left"/>
        <w:rPr>
          <w:sz w:val="26"/>
          <w:szCs w:val="26"/>
          <w:lang w:val="en-US"/>
        </w:rPr>
      </w:pPr>
    </w:p>
    <w:p w14:paraId="1A0B8C63" w14:textId="77777777" w:rsidR="00A85F63" w:rsidRPr="00436693" w:rsidRDefault="00A85F63" w:rsidP="00436693">
      <w:pPr>
        <w:pStyle w:val="Caption"/>
        <w:ind w:left="0" w:right="180"/>
        <w:jc w:val="both"/>
        <w:rPr>
          <w:rFonts w:cs="Times New Roman"/>
          <w:b/>
          <w:bCs/>
          <w:sz w:val="26"/>
          <w:szCs w:val="26"/>
          <w:rtl/>
        </w:rPr>
      </w:pPr>
      <w:r w:rsidRPr="00436693">
        <w:rPr>
          <w:rFonts w:cs="Times New Roman"/>
          <w:b/>
          <w:bCs/>
          <w:sz w:val="26"/>
          <w:szCs w:val="26"/>
          <w:rtl/>
        </w:rPr>
        <w:t>اللجنــة التنفيـذيــــة للصنــدوق المــتعــدد الأطـــراف</w:t>
      </w:r>
    </w:p>
    <w:p w14:paraId="48157F4A" w14:textId="77777777" w:rsidR="00A85F63" w:rsidRPr="00436693" w:rsidRDefault="00A85F63" w:rsidP="00436693">
      <w:pPr>
        <w:bidi/>
        <w:ind w:left="180" w:hanging="180"/>
        <w:jc w:val="lowKashida"/>
        <w:rPr>
          <w:b/>
          <w:bCs/>
          <w:sz w:val="26"/>
          <w:szCs w:val="26"/>
          <w:rtl/>
          <w:lang w:val="en-US" w:eastAsia="en-CA"/>
        </w:rPr>
      </w:pPr>
      <w:r w:rsidRPr="00436693">
        <w:rPr>
          <w:b/>
          <w:bCs/>
          <w:sz w:val="26"/>
          <w:szCs w:val="26"/>
          <w:rtl/>
          <w:lang w:val="en-US" w:eastAsia="en-CA"/>
        </w:rPr>
        <w:t xml:space="preserve">لتنفيـــذ بروتوكـول مونتريــال </w:t>
      </w:r>
    </w:p>
    <w:p w14:paraId="7BC1251A" w14:textId="77777777" w:rsidR="00A85F63" w:rsidRPr="00436693" w:rsidRDefault="00A85F63" w:rsidP="00436693">
      <w:pPr>
        <w:bidi/>
        <w:ind w:left="4"/>
        <w:jc w:val="lowKashida"/>
        <w:rPr>
          <w:sz w:val="26"/>
          <w:szCs w:val="26"/>
          <w:rtl/>
          <w:lang w:val="en-US" w:eastAsia="en-CA"/>
        </w:rPr>
      </w:pPr>
      <w:r w:rsidRPr="00436693">
        <w:rPr>
          <w:sz w:val="26"/>
          <w:szCs w:val="26"/>
          <w:rtl/>
          <w:lang w:val="en-US" w:eastAsia="en-CA"/>
        </w:rPr>
        <w:t>الاجتمــــــاع السابع والثمانون</w:t>
      </w:r>
    </w:p>
    <w:p w14:paraId="37132818" w14:textId="27519560" w:rsidR="00066CE8" w:rsidRPr="00436693" w:rsidRDefault="00A85F63" w:rsidP="00436693">
      <w:pPr>
        <w:bidi/>
        <w:jc w:val="left"/>
        <w:rPr>
          <w:sz w:val="26"/>
          <w:szCs w:val="26"/>
        </w:rPr>
      </w:pPr>
      <w:r w:rsidRPr="00436693">
        <w:rPr>
          <w:sz w:val="26"/>
          <w:szCs w:val="26"/>
          <w:rtl/>
        </w:rPr>
        <w:t>مونتريال، من 28 يونيه/حزيران إلى 2 يوليه/تموز</w:t>
      </w:r>
      <w:r w:rsidR="00CE1085" w:rsidRPr="00436693">
        <w:rPr>
          <w:rStyle w:val="FootnoteReference"/>
          <w:sz w:val="26"/>
          <w:szCs w:val="26"/>
          <w:rtl/>
        </w:rPr>
        <w:footnoteReference w:id="1"/>
      </w:r>
    </w:p>
    <w:p w14:paraId="3D52FF4F" w14:textId="422AEAC0" w:rsidR="0000056C" w:rsidRDefault="0000056C" w:rsidP="00436693">
      <w:pPr>
        <w:bidi/>
        <w:jc w:val="left"/>
        <w:rPr>
          <w:sz w:val="26"/>
          <w:szCs w:val="26"/>
          <w:rtl/>
        </w:rPr>
      </w:pPr>
    </w:p>
    <w:p w14:paraId="51162A7B" w14:textId="77777777" w:rsidR="00436693" w:rsidRPr="00436693" w:rsidRDefault="00436693" w:rsidP="00436693">
      <w:pPr>
        <w:bidi/>
        <w:jc w:val="left"/>
        <w:rPr>
          <w:sz w:val="26"/>
          <w:szCs w:val="26"/>
        </w:rPr>
      </w:pPr>
    </w:p>
    <w:p w14:paraId="2A14928F" w14:textId="77777777" w:rsidR="002C7358" w:rsidRDefault="00797B56" w:rsidP="00436693">
      <w:pPr>
        <w:bidi/>
        <w:jc w:val="center"/>
        <w:rPr>
          <w:b/>
          <w:bCs/>
          <w:sz w:val="32"/>
          <w:szCs w:val="32"/>
        </w:rPr>
      </w:pPr>
      <w:r w:rsidRPr="002C7358">
        <w:rPr>
          <w:b/>
          <w:bCs/>
          <w:sz w:val="32"/>
          <w:szCs w:val="32"/>
          <w:rtl/>
        </w:rPr>
        <w:t xml:space="preserve">مشروع مبادئ توجيهية لإعداد خطط </w:t>
      </w:r>
      <w:r w:rsidRPr="002C7358">
        <w:rPr>
          <w:rFonts w:hint="cs"/>
          <w:b/>
          <w:bCs/>
          <w:sz w:val="32"/>
          <w:szCs w:val="32"/>
          <w:rtl/>
        </w:rPr>
        <w:t xml:space="preserve">التخفيض </w:t>
      </w:r>
      <w:r w:rsidRPr="002C7358">
        <w:rPr>
          <w:b/>
          <w:bCs/>
          <w:sz w:val="32"/>
          <w:szCs w:val="32"/>
          <w:rtl/>
        </w:rPr>
        <w:t xml:space="preserve">التدريجي </w:t>
      </w:r>
      <w:r w:rsidRPr="002C7358">
        <w:rPr>
          <w:rFonts w:hint="cs"/>
          <w:b/>
          <w:bCs/>
          <w:sz w:val="32"/>
          <w:szCs w:val="32"/>
          <w:rtl/>
        </w:rPr>
        <w:t>للمواد الهيدروفلوروكربونية</w:t>
      </w:r>
    </w:p>
    <w:p w14:paraId="54D77EAE" w14:textId="2C39378B" w:rsidR="00797B56" w:rsidRPr="002C7358" w:rsidRDefault="00797B56" w:rsidP="002C7358">
      <w:pPr>
        <w:bidi/>
        <w:jc w:val="center"/>
        <w:rPr>
          <w:b/>
          <w:bCs/>
          <w:sz w:val="32"/>
          <w:szCs w:val="32"/>
        </w:rPr>
      </w:pPr>
      <w:r w:rsidRPr="002C7358">
        <w:rPr>
          <w:b/>
          <w:bCs/>
          <w:sz w:val="32"/>
          <w:szCs w:val="32"/>
          <w:rtl/>
        </w:rPr>
        <w:t xml:space="preserve"> لبلدان المادة</w:t>
      </w:r>
      <w:r w:rsidRPr="002C7358">
        <w:rPr>
          <w:rFonts w:hint="cs"/>
          <w:b/>
          <w:bCs/>
          <w:sz w:val="32"/>
          <w:szCs w:val="32"/>
          <w:rtl/>
        </w:rPr>
        <w:t> </w:t>
      </w:r>
      <w:r w:rsidRPr="002C7358">
        <w:rPr>
          <w:b/>
          <w:bCs/>
          <w:sz w:val="32"/>
          <w:szCs w:val="32"/>
          <w:rtl/>
        </w:rPr>
        <w:t xml:space="preserve">5 </w:t>
      </w:r>
    </w:p>
    <w:p w14:paraId="7FC1E3A6" w14:textId="536495E6" w:rsidR="0045481A" w:rsidRPr="002C7358" w:rsidRDefault="00797B56" w:rsidP="00797B56">
      <w:pPr>
        <w:bidi/>
        <w:jc w:val="center"/>
        <w:rPr>
          <w:b/>
          <w:bCs/>
          <w:sz w:val="32"/>
          <w:szCs w:val="32"/>
        </w:rPr>
      </w:pPr>
      <w:r w:rsidRPr="002C7358">
        <w:rPr>
          <w:b/>
          <w:bCs/>
          <w:sz w:val="32"/>
          <w:szCs w:val="32"/>
          <w:rtl/>
        </w:rPr>
        <w:t>(المقرر 86/93)</w:t>
      </w:r>
    </w:p>
    <w:p w14:paraId="276C241B" w14:textId="77777777" w:rsidR="00797B56" w:rsidRPr="00436693" w:rsidRDefault="00797B56" w:rsidP="00797B56">
      <w:pPr>
        <w:bidi/>
        <w:jc w:val="center"/>
        <w:rPr>
          <w:b/>
          <w:sz w:val="26"/>
          <w:szCs w:val="26"/>
        </w:rPr>
      </w:pPr>
    </w:p>
    <w:p w14:paraId="4C4745C0" w14:textId="77777777" w:rsidR="0045481A" w:rsidRPr="00436693" w:rsidRDefault="0045481A" w:rsidP="00436693">
      <w:pPr>
        <w:bidi/>
        <w:jc w:val="center"/>
        <w:rPr>
          <w:bCs/>
          <w:sz w:val="26"/>
          <w:szCs w:val="26"/>
        </w:rPr>
      </w:pPr>
      <w:r w:rsidRPr="002C7358">
        <w:rPr>
          <w:bCs/>
          <w:sz w:val="28"/>
          <w:szCs w:val="28"/>
          <w:rtl/>
        </w:rPr>
        <w:t>مذكرة من الأمانة</w:t>
      </w:r>
    </w:p>
    <w:p w14:paraId="654BA6B2" w14:textId="77777777" w:rsidR="0045481A" w:rsidRPr="00436693" w:rsidRDefault="0045481A" w:rsidP="00436693">
      <w:pPr>
        <w:bidi/>
        <w:jc w:val="left"/>
        <w:rPr>
          <w:sz w:val="26"/>
          <w:szCs w:val="26"/>
        </w:rPr>
      </w:pPr>
    </w:p>
    <w:p w14:paraId="2246F39A" w14:textId="77777777" w:rsidR="0045481A" w:rsidRPr="00436693" w:rsidRDefault="0045481A" w:rsidP="00436693">
      <w:pPr>
        <w:bidi/>
        <w:jc w:val="left"/>
        <w:rPr>
          <w:b/>
          <w:sz w:val="26"/>
          <w:szCs w:val="26"/>
        </w:rPr>
      </w:pPr>
      <w:r w:rsidRPr="00436693">
        <w:rPr>
          <w:b/>
          <w:sz w:val="26"/>
          <w:szCs w:val="26"/>
          <w:rtl/>
        </w:rPr>
        <w:t>خلفية</w:t>
      </w:r>
    </w:p>
    <w:p w14:paraId="16FC14DE" w14:textId="77777777" w:rsidR="0045481A" w:rsidRPr="00436693" w:rsidRDefault="0045481A" w:rsidP="00436693">
      <w:pPr>
        <w:bidi/>
        <w:jc w:val="left"/>
        <w:rPr>
          <w:sz w:val="26"/>
          <w:szCs w:val="26"/>
          <w:lang w:bidi="ar-AE"/>
        </w:rPr>
      </w:pPr>
    </w:p>
    <w:p w14:paraId="5FB94BC8" w14:textId="55302B0A" w:rsidR="0045481A" w:rsidRPr="00436693" w:rsidRDefault="0045481A" w:rsidP="00806858">
      <w:pPr>
        <w:pStyle w:val="Heading1"/>
        <w:numPr>
          <w:ilvl w:val="0"/>
          <w:numId w:val="10"/>
        </w:numPr>
        <w:bidi/>
        <w:spacing w:line="288" w:lineRule="auto"/>
        <w:rPr>
          <w:sz w:val="26"/>
          <w:szCs w:val="26"/>
        </w:rPr>
      </w:pPr>
      <w:r w:rsidRPr="00436693">
        <w:rPr>
          <w:sz w:val="26"/>
          <w:szCs w:val="26"/>
          <w:rtl/>
        </w:rPr>
        <w:t xml:space="preserve"> تم تعديل خطة الطوارئ الخاصة بعقد الاجتماعين الخامس والثمانين والسادس والثمانين</w:t>
      </w:r>
      <w:r w:rsidRPr="00436693">
        <w:rPr>
          <w:rStyle w:val="FootnoteReference"/>
          <w:sz w:val="26"/>
          <w:szCs w:val="26"/>
          <w:rtl/>
        </w:rPr>
        <w:footnoteReference w:id="2"/>
      </w:r>
      <w:r w:rsidRPr="00436693">
        <w:rPr>
          <w:sz w:val="26"/>
          <w:szCs w:val="26"/>
          <w:rtl/>
        </w:rPr>
        <w:t xml:space="preserve"> وموائمتها في عدة مناسبات وفق ما اقتضاه تطور جائحة كوفيد-19؛ قدم التعديل الأخير المعتمد في مارس 2021</w:t>
      </w:r>
      <w:r w:rsidRPr="00436693">
        <w:rPr>
          <w:rStyle w:val="FootnoteReference"/>
          <w:sz w:val="26"/>
          <w:szCs w:val="26"/>
          <w:rtl/>
        </w:rPr>
        <w:footnoteReference w:id="3"/>
      </w:r>
      <w:r w:rsidRPr="00436693">
        <w:rPr>
          <w:sz w:val="26"/>
          <w:szCs w:val="26"/>
          <w:rtl/>
        </w:rPr>
        <w:t xml:space="preserve"> الإجراءات المتفق عليها بما في ذلك عقد الاجتماع السادس والثمانين المرجئ من خلال اجتماعات رسمية عبر الإنترنت</w:t>
      </w:r>
      <w:r w:rsidRPr="00436693">
        <w:rPr>
          <w:rStyle w:val="FootnoteReference"/>
          <w:sz w:val="26"/>
          <w:szCs w:val="26"/>
          <w:rtl/>
        </w:rPr>
        <w:footnoteReference w:id="4"/>
      </w:r>
      <w:r w:rsidRPr="00436693">
        <w:rPr>
          <w:sz w:val="26"/>
          <w:szCs w:val="26"/>
          <w:rtl/>
        </w:rPr>
        <w:t>، من بين أمور أخرى، للنظر في العديد من بنود جدول الأعمال، بما فيها البند 13(ج) بشأن مشروع المبادئ التوجيهية لإعداد خطط إزالة المواد الهيدروفلوروكربونية للبلدان المدرجة في المادة 5 (المقرر 84/54(أ)).</w:t>
      </w:r>
    </w:p>
    <w:p w14:paraId="629D2E44" w14:textId="77777777" w:rsidR="0045481A" w:rsidRPr="00806858" w:rsidRDefault="0045481A" w:rsidP="00806858">
      <w:pPr>
        <w:pStyle w:val="Heading1"/>
        <w:numPr>
          <w:ilvl w:val="0"/>
          <w:numId w:val="10"/>
        </w:numPr>
        <w:bidi/>
        <w:spacing w:line="288" w:lineRule="auto"/>
        <w:rPr>
          <w:sz w:val="26"/>
          <w:szCs w:val="26"/>
        </w:rPr>
      </w:pPr>
      <w:r w:rsidRPr="00806858">
        <w:rPr>
          <w:sz w:val="26"/>
          <w:szCs w:val="26"/>
          <w:rtl/>
        </w:rPr>
        <w:t xml:space="preserve"> جرت المناقشات بشأن البند 13(ج) من جدول الأعمال أولاً في الاجتماع الرسمي عبر الإنترنت، ومن ثم عبر تنظيمِ فريق الاتصال استناداً إلى الوثيقة </w:t>
      </w:r>
      <w:r w:rsidRPr="00806858">
        <w:rPr>
          <w:sz w:val="26"/>
          <w:szCs w:val="26"/>
        </w:rPr>
        <w:t>UNEP/OzL.Pro/ExCom/86/88</w:t>
      </w:r>
      <w:r w:rsidRPr="00806858">
        <w:rPr>
          <w:sz w:val="26"/>
          <w:szCs w:val="26"/>
          <w:rtl/>
        </w:rPr>
        <w:t xml:space="preserve">. </w:t>
      </w:r>
    </w:p>
    <w:p w14:paraId="6037ED2C" w14:textId="77777777" w:rsidR="00797B56" w:rsidRDefault="00797B56">
      <w:pPr>
        <w:jc w:val="left"/>
        <w:rPr>
          <w:bCs/>
          <w:sz w:val="26"/>
          <w:szCs w:val="26"/>
          <w:rtl/>
        </w:rPr>
      </w:pPr>
      <w:r>
        <w:rPr>
          <w:bCs/>
          <w:sz w:val="26"/>
          <w:szCs w:val="26"/>
          <w:rtl/>
        </w:rPr>
        <w:br w:type="page"/>
      </w:r>
    </w:p>
    <w:p w14:paraId="4304D526" w14:textId="7D1E6AEE" w:rsidR="0045481A" w:rsidRDefault="0045481A" w:rsidP="00806858">
      <w:pPr>
        <w:bidi/>
        <w:rPr>
          <w:bCs/>
          <w:sz w:val="26"/>
          <w:szCs w:val="26"/>
        </w:rPr>
      </w:pPr>
      <w:r w:rsidRPr="00436693">
        <w:rPr>
          <w:bCs/>
          <w:sz w:val="26"/>
          <w:szCs w:val="26"/>
          <w:rtl/>
        </w:rPr>
        <w:lastRenderedPageBreak/>
        <w:t>ملخص النقاش في الاجتماع السادس والثمانين</w:t>
      </w:r>
    </w:p>
    <w:p w14:paraId="12F9185C" w14:textId="77777777" w:rsidR="00797B56" w:rsidRPr="00436693" w:rsidRDefault="00797B56" w:rsidP="00797B56">
      <w:pPr>
        <w:bidi/>
        <w:rPr>
          <w:bCs/>
          <w:sz w:val="26"/>
          <w:szCs w:val="26"/>
        </w:rPr>
      </w:pPr>
    </w:p>
    <w:p w14:paraId="4B0F18F1" w14:textId="77777777" w:rsidR="0045481A" w:rsidRPr="00806858" w:rsidRDefault="0045481A" w:rsidP="00806858">
      <w:pPr>
        <w:pStyle w:val="Heading1"/>
        <w:numPr>
          <w:ilvl w:val="0"/>
          <w:numId w:val="10"/>
        </w:numPr>
        <w:bidi/>
        <w:spacing w:line="288" w:lineRule="auto"/>
        <w:rPr>
          <w:sz w:val="26"/>
          <w:szCs w:val="26"/>
        </w:rPr>
      </w:pPr>
      <w:r w:rsidRPr="00806858">
        <w:rPr>
          <w:sz w:val="26"/>
          <w:szCs w:val="26"/>
          <w:rtl/>
        </w:rPr>
        <w:t xml:space="preserve">عرض ممثل الأمانة الوثيقة </w:t>
      </w:r>
      <w:r w:rsidRPr="00806858">
        <w:rPr>
          <w:sz w:val="26"/>
          <w:szCs w:val="26"/>
        </w:rPr>
        <w:t>UNEP/OzL.Pro/ExCom/86/88</w:t>
      </w:r>
      <w:r w:rsidRPr="00806858">
        <w:rPr>
          <w:sz w:val="26"/>
          <w:szCs w:val="26"/>
          <w:rtl/>
        </w:rPr>
        <w:t xml:space="preserve">. أثناء الاجتماع الرسمي عبر الإنترنت. حيث شكر العديد من الأعضاء الأمانة على الوثيقة، وصرحوا بأنها تمثل أساس جيد للنقاش. وشدد البعض على أهمية الموافقة على المبادئ التوجيهية في أقرب فرصةٍ ممكنة لتمكين البلدان المدرجة في المادة 5 من اتخاذ الإجراءات لإعداد إزالة المواد الهيدروفلوروكربونية. وفي معرض الرد على التعليقات حول الوثيقتين </w:t>
      </w:r>
      <w:r w:rsidRPr="00806858">
        <w:rPr>
          <w:sz w:val="26"/>
          <w:szCs w:val="26"/>
        </w:rPr>
        <w:t>UNEP/OzL.Pro/ExCom/86/88</w:t>
      </w:r>
      <w:r w:rsidRPr="00806858">
        <w:rPr>
          <w:sz w:val="26"/>
          <w:szCs w:val="26"/>
          <w:rtl/>
        </w:rPr>
        <w:t>، و</w:t>
      </w:r>
      <w:r w:rsidRPr="00436693">
        <w:rPr>
          <w:sz w:val="26"/>
          <w:szCs w:val="26"/>
        </w:rPr>
        <w:t xml:space="preserve"> </w:t>
      </w:r>
      <w:r w:rsidRPr="00806858">
        <w:rPr>
          <w:sz w:val="26"/>
          <w:szCs w:val="26"/>
        </w:rPr>
        <w:t>UNEP/OzL.Pro/ExCom/86/87</w:t>
      </w:r>
      <w:r w:rsidRPr="00806858">
        <w:rPr>
          <w:sz w:val="26"/>
          <w:szCs w:val="26"/>
          <w:rtl/>
        </w:rPr>
        <w:t xml:space="preserve"> (بشأن الاستراتيجيات المحتملة، وتدابير السياسات والالتزامات، فضلاً عن المشاريع والأنشطة التي يمكن دمجها في المرحلة الأولى من خطط إزالة المواد الهيدروفلوروكربونية للبدان المدرجة في المادة 5) من منطلقِ أن النظر فيهما معاً هو الخيار الأمثل، فقد أوضح ممثل الأمانة أن قرار عدم تكرار عناصر وثيقة في وثيقة أخرى تمت مناقشتها مسبقاً كان قراراً حكيماً. منحت الوثيقة </w:t>
      </w:r>
      <w:r w:rsidRPr="00806858">
        <w:rPr>
          <w:sz w:val="26"/>
          <w:szCs w:val="26"/>
        </w:rPr>
        <w:t>UNEP/OzL.Pro/ExCom/86/88</w:t>
      </w:r>
      <w:r w:rsidRPr="00806858">
        <w:rPr>
          <w:sz w:val="26"/>
          <w:szCs w:val="26"/>
          <w:rtl/>
        </w:rPr>
        <w:t xml:space="preserve"> الأولوية للنظر في مستويات التمويل لتمكين البلدان من بدء عملها بشأن إزالة المواد الهيدروفلوروكربونية.</w:t>
      </w:r>
    </w:p>
    <w:p w14:paraId="1D3CBE14" w14:textId="4C1A9A74" w:rsidR="0045481A" w:rsidRPr="00806858" w:rsidRDefault="0045481A" w:rsidP="00806858">
      <w:pPr>
        <w:pStyle w:val="Heading1"/>
        <w:numPr>
          <w:ilvl w:val="0"/>
          <w:numId w:val="10"/>
        </w:numPr>
        <w:bidi/>
        <w:spacing w:line="288" w:lineRule="auto"/>
        <w:rPr>
          <w:sz w:val="26"/>
          <w:szCs w:val="26"/>
        </w:rPr>
      </w:pPr>
      <w:r w:rsidRPr="00806858">
        <w:rPr>
          <w:sz w:val="26"/>
          <w:szCs w:val="26"/>
          <w:rtl/>
        </w:rPr>
        <w:t xml:space="preserve"> شدد العديد من الأعضاء على ضرورة تبني نهج متكامل لإزالة المواد الهيدروكلوروفلوروكربونية والتخلص التدريجي من المواد الهيدروفلوروكربونية بغية تجنب التداخل أو الازدواجية وتحقيق أقصى قدر من التآزر وضمان الاستخدام الأكثر كفاءة لموارد الصندوق المتعدد الأطراف. كما نوه أحد الأعضاء إلى عدم وجود أي إشارة في مشروع المقرر لاستراتيجية شاملة لتحقيق أهداف بروتوكول مونتريال للامتثال للمواد الهيدروكلوروفلوروكربونية والمواد الهيدروفلوروكربونية؛ في حين أشار عضو آخر إلى إمكانية "خصم" الأنشطة المتعلقة بالمواد الهيدروفلوروكربونية التي تم تمويلها مسبقاً، على غرار الدراسات الاستقصائية والأنشطة التمكينية.</w:t>
      </w:r>
      <w:r w:rsidRPr="00436693">
        <w:rPr>
          <w:sz w:val="26"/>
          <w:szCs w:val="26"/>
          <w:rtl/>
        </w:rPr>
        <w:t xml:space="preserve"> و</w:t>
      </w:r>
      <w:r w:rsidRPr="00806858">
        <w:rPr>
          <w:sz w:val="26"/>
          <w:szCs w:val="26"/>
          <w:rtl/>
        </w:rPr>
        <w:t>اقترح أحد الأعضاء أن تقوم الأمانة بإعداد وثيقة تقارن إجراءات الإعداد لخطط إدارة إزالة المواد الهيدروكلوروفلوروكربونية مع الإجراءات المقترحة لإعداد خطط إزالة المواد الهيدروفلوروكربونية.</w:t>
      </w:r>
    </w:p>
    <w:p w14:paraId="3E54C7A7" w14:textId="029FF881" w:rsidR="0045481A" w:rsidRPr="00436693" w:rsidRDefault="0045481A" w:rsidP="00806858">
      <w:pPr>
        <w:pStyle w:val="Heading1"/>
        <w:numPr>
          <w:ilvl w:val="0"/>
          <w:numId w:val="10"/>
        </w:numPr>
        <w:bidi/>
        <w:spacing w:line="288" w:lineRule="auto"/>
        <w:rPr>
          <w:sz w:val="26"/>
          <w:szCs w:val="26"/>
        </w:rPr>
      </w:pPr>
      <w:r w:rsidRPr="00436693">
        <w:rPr>
          <w:sz w:val="26"/>
          <w:szCs w:val="26"/>
          <w:rtl/>
        </w:rPr>
        <w:t xml:space="preserve">شدد العديد من الأعضاء على أهمية تحديد القطاعات، والقطاعات الفرعية المتعددة التي تستخدم المواد الهيدروفلوروكربونية في بلد ما وتضمينها في خطط الإزالة، رغم هيمنة قطاع خدمة التبريد على الوثيقة. وقد شدد أحد الأعضاء على ضرورة الفهم الشامل لكل قطاع، من خلال العمل مع خبراء في الجمارك، وخبراء في المواد السامة، والقابلية للاشتعال، والسلامة. واقترح أحد الأعضاء إضافة نص حول فرص تعزيز كفاءة الطاقة وإدراج وصف للجهات الفاعلة المؤسساتية فيما يتعلق بتعزيز كفاءة الطاقة في قطاع التبريد وتكييف الهواء. في حين أشار عضو آخر في المقابل إلى أن كفاءة الطاقة لا تعد إحدى قضايا الامتثال، وإذا تم تقديم طلبات من البلدان المدرجة في المادة 5، فينبغي إخضاع البلدان غير المدرجة في المادة 5 لنفس المعايير؛ كما نوه إلى وجوبِ تطابق البيانات التي تجمعها البلدان المدرجة في المادة 5 والبلدان غير المدرجة في المادة 5. وصرح عضو آخر أنه </w:t>
      </w:r>
      <w:r w:rsidR="00C062E7" w:rsidRPr="00436693">
        <w:rPr>
          <w:rFonts w:hint="cs"/>
          <w:sz w:val="26"/>
          <w:szCs w:val="26"/>
          <w:rtl/>
        </w:rPr>
        <w:t>ينبغي</w:t>
      </w:r>
      <w:r w:rsidRPr="00436693">
        <w:rPr>
          <w:sz w:val="26"/>
          <w:szCs w:val="26"/>
          <w:rtl/>
        </w:rPr>
        <w:t xml:space="preserve"> على جمع البيانات البناء على أساس الدروس المستفادة من إزالة المواد الهيدروكلوروفلوروكربونية، وفي الحالات التي تمت فيها الموافقة على مشاريع المواد الهيدروفلوروكربونية في ظل غياب نقطة انطلاق للتخفيضات الإجمالية في استهلاك المواد الهيدروفلوروكربونية، فيمكن اتباع نهج مماثل للنهج المستخدم في إطار خطط إدارة إزالة المواد الهيدروكلوروفلوروكربونية. في حين أيد أعضاء آخرون فكرة المضي قدماً في بعض المشروعات الاستثمارية الفردية الخاصة بالمواد الهيدروفلوروكربونية قبل الانتهاء من خطة إزالة المواد الهيدروفلوروكربونية، على غرار ما حدث فيما يتعلق بالمواد الهيدروكلوروفلوروكربونية.</w:t>
      </w:r>
    </w:p>
    <w:p w14:paraId="557C28F5" w14:textId="0164C208" w:rsidR="0045481A" w:rsidRPr="00806858" w:rsidRDefault="0045481A" w:rsidP="00806858">
      <w:pPr>
        <w:pStyle w:val="Heading1"/>
        <w:numPr>
          <w:ilvl w:val="0"/>
          <w:numId w:val="10"/>
        </w:numPr>
        <w:bidi/>
        <w:spacing w:line="288" w:lineRule="auto"/>
        <w:rPr>
          <w:sz w:val="26"/>
          <w:szCs w:val="26"/>
        </w:rPr>
      </w:pPr>
      <w:r w:rsidRPr="00806858">
        <w:rPr>
          <w:sz w:val="26"/>
          <w:szCs w:val="26"/>
          <w:rtl/>
        </w:rPr>
        <w:t xml:space="preserve"> اقترح أحد الأعضاء التنويه بصورة ملموسة أكثر في مشروع المقرر إلى التزام الحكومات بضمان فرض قيود على نمو استهلاك المواد الهيدروفلوروكربونية واستدامة إزالة المواد الهيدروفلوروكربونية المنجزة مع مرور </w:t>
      </w:r>
      <w:r w:rsidRPr="00806858">
        <w:rPr>
          <w:sz w:val="26"/>
          <w:szCs w:val="26"/>
          <w:rtl/>
        </w:rPr>
        <w:lastRenderedPageBreak/>
        <w:t>الوقت. وفيما يتعلق بهذه المسألة، قال أحد الأعضاء أنه يجب الاعتراف بأن من شأن الإجراء الذي يتخذه كل بلد الاستناد على الظروف السائدة في ذلك البلد، والتقدم المحرز، وإمكانية الوصول إلى البدائل واستخدامها؛ في حين أكد عضو آخر الحاجة إلى التحلي بالمرونة في تفسير إثبات الالتزام. وطلب أحد الأعضاء معلومات إضافية، بما في ذلك معلومات عن البدائل والتكنولوجيات المغايرة، فضلاً عن اقتراحه بأن تأخذ المبادئ التوجيهية في الحسبان ليس فقط توافر البدائل فحسب، وإنما إمكانية الوصول إليها كذلك.</w:t>
      </w:r>
    </w:p>
    <w:p w14:paraId="173C304C" w14:textId="77777777" w:rsidR="0045481A" w:rsidRPr="00806858" w:rsidRDefault="0045481A" w:rsidP="00806858">
      <w:pPr>
        <w:pStyle w:val="Heading1"/>
        <w:numPr>
          <w:ilvl w:val="0"/>
          <w:numId w:val="10"/>
        </w:numPr>
        <w:bidi/>
        <w:spacing w:line="288" w:lineRule="auto"/>
        <w:rPr>
          <w:sz w:val="26"/>
          <w:szCs w:val="26"/>
        </w:rPr>
      </w:pPr>
      <w:r w:rsidRPr="00806858">
        <w:rPr>
          <w:sz w:val="26"/>
          <w:szCs w:val="26"/>
          <w:rtl/>
        </w:rPr>
        <w:t>شدد بعضٌ من الأعضاء على ضرورة ضمان أن يكون اسم خطط إزالة المواد الهيدروفلوروكربونية واختصارها مقتضباً ومختلفاً بصورة كافية عن "خطة إدارة إزالة المواد الهيدروكلوروفلوروكربونية" و"</w:t>
      </w:r>
      <w:r w:rsidRPr="00806858">
        <w:rPr>
          <w:sz w:val="26"/>
          <w:szCs w:val="26"/>
        </w:rPr>
        <w:t>HPMP</w:t>
      </w:r>
      <w:r w:rsidRPr="00806858">
        <w:rPr>
          <w:sz w:val="26"/>
          <w:szCs w:val="26"/>
          <w:rtl/>
        </w:rPr>
        <w:t>". واقترح أحد الأعضاء تسميتها "خطط تنفيذ كيغالي" (</w:t>
      </w:r>
      <w:r w:rsidRPr="00806858">
        <w:rPr>
          <w:sz w:val="26"/>
          <w:szCs w:val="26"/>
        </w:rPr>
        <w:t>KIPs</w:t>
      </w:r>
      <w:r w:rsidRPr="00806858">
        <w:rPr>
          <w:sz w:val="26"/>
          <w:szCs w:val="26"/>
          <w:rtl/>
        </w:rPr>
        <w:t>)، بينما ذكر أعضاء آخرون أن المواد الهيدروفلوروكربونية يجب أن تكون جزءاً من الاسم، واقترحوا بدائل مثل "خطة إدارة كيغالي للمواد الهيدروفلوروكربونية (</w:t>
      </w:r>
      <w:r w:rsidRPr="00806858">
        <w:rPr>
          <w:sz w:val="26"/>
          <w:szCs w:val="26"/>
        </w:rPr>
        <w:t>KHMP</w:t>
      </w:r>
      <w:r w:rsidRPr="00806858">
        <w:rPr>
          <w:sz w:val="26"/>
          <w:szCs w:val="26"/>
          <w:rtl/>
        </w:rPr>
        <w:t>)" أو "خطة تنفيذ المواد الهيدروفلوروكربونية (</w:t>
      </w:r>
      <w:r w:rsidRPr="00806858">
        <w:rPr>
          <w:sz w:val="26"/>
          <w:szCs w:val="26"/>
        </w:rPr>
        <w:t>HIP</w:t>
      </w:r>
      <w:r w:rsidRPr="00806858">
        <w:rPr>
          <w:sz w:val="26"/>
          <w:szCs w:val="26"/>
          <w:rtl/>
        </w:rPr>
        <w:t>)".</w:t>
      </w:r>
    </w:p>
    <w:p w14:paraId="7B159FA9" w14:textId="77777777" w:rsidR="0045481A" w:rsidRPr="00806858" w:rsidRDefault="0045481A" w:rsidP="00806858">
      <w:pPr>
        <w:pStyle w:val="Heading1"/>
        <w:numPr>
          <w:ilvl w:val="0"/>
          <w:numId w:val="10"/>
        </w:numPr>
        <w:bidi/>
        <w:spacing w:line="288" w:lineRule="auto"/>
        <w:rPr>
          <w:sz w:val="26"/>
          <w:szCs w:val="26"/>
        </w:rPr>
      </w:pPr>
      <w:r w:rsidRPr="00806858">
        <w:rPr>
          <w:sz w:val="26"/>
          <w:szCs w:val="26"/>
          <w:rtl/>
        </w:rPr>
        <w:t>أوضح ممثل الأمانة أن تضمين المساعدة بهدف تطوير التشريعات، والسياسات، واللوائح الرامية لتمويل إعداد استراتيجية شاملة كان نهجاً مشابهاً للنهج المتبع في خطط إدارة إزالة المواد الهيدروكلوروفلوروكربونية.</w:t>
      </w:r>
    </w:p>
    <w:p w14:paraId="079AFE40" w14:textId="6B367D67" w:rsidR="0045481A" w:rsidRPr="00806858" w:rsidRDefault="0045481A" w:rsidP="00806858">
      <w:pPr>
        <w:pStyle w:val="Heading1"/>
        <w:numPr>
          <w:ilvl w:val="0"/>
          <w:numId w:val="10"/>
        </w:numPr>
        <w:bidi/>
        <w:spacing w:line="288" w:lineRule="auto"/>
        <w:rPr>
          <w:sz w:val="26"/>
          <w:szCs w:val="26"/>
        </w:rPr>
      </w:pPr>
      <w:r w:rsidRPr="00806858">
        <w:rPr>
          <w:sz w:val="26"/>
          <w:szCs w:val="26"/>
          <w:rtl/>
        </w:rPr>
        <w:t xml:space="preserve">بالنظر إلى أنه لم يكن من الممكن اختتام المناقشة أثناء الاجتماع الرسمي عبر الإنترنت، وافقت اللجنة على إنشاء فريق اتصال للاستطراد في النظر في هذه المسألة. وفي معرض تقديم تقريره إلى اللجنة التنفيذية، قال منظم فريق الاتصال أن الفريق لم يتمكن من التوصل إلى إجماعٍ بشأن مشروع المبادئ التوجيهية. وأعرب عن رأيه الشخصي بأنه يمكن </w:t>
      </w:r>
      <w:r w:rsidR="00C062E7" w:rsidRPr="00806858">
        <w:rPr>
          <w:rFonts w:hint="cs"/>
          <w:sz w:val="26"/>
          <w:szCs w:val="26"/>
          <w:rtl/>
        </w:rPr>
        <w:t>للجنة</w:t>
      </w:r>
      <w:r w:rsidRPr="00806858">
        <w:rPr>
          <w:sz w:val="26"/>
          <w:szCs w:val="26"/>
          <w:rtl/>
        </w:rPr>
        <w:t xml:space="preserve"> أن تعتمد، على أساس مؤقت، مشروع المبادئ التوجيهية بصورته المقترحة أصولاً من قبل الأمانة لتمكين اللجنة من المضي قدماً بطريقة منتظمة مع طلبات التمويل لإعداد مشاريع إزالة المواد الهيدروفلوروكربونية المقدمة مسبقاً، على أساس الفهم أنه سيتم تعديل مستوى التمويل المعتمد إذا لزم الأمر في اجتماع لاحق.</w:t>
      </w:r>
    </w:p>
    <w:p w14:paraId="6018876F" w14:textId="77777777" w:rsidR="0045481A" w:rsidRPr="00806858" w:rsidRDefault="0045481A" w:rsidP="00806858">
      <w:pPr>
        <w:pStyle w:val="Heading1"/>
        <w:numPr>
          <w:ilvl w:val="0"/>
          <w:numId w:val="10"/>
        </w:numPr>
        <w:bidi/>
        <w:spacing w:line="288" w:lineRule="auto"/>
        <w:rPr>
          <w:sz w:val="26"/>
          <w:szCs w:val="26"/>
        </w:rPr>
      </w:pPr>
      <w:r w:rsidRPr="00806858">
        <w:rPr>
          <w:sz w:val="26"/>
          <w:szCs w:val="26"/>
          <w:rtl/>
        </w:rPr>
        <w:t>بالتالي، قدمت حكومتا أستراليا والولايات المتحدة الأمريكية مشروع قرار يقترح إجراء مزيد من المناقشة لمشروع المبادئ التوجيهية في الاجتماع السابع والثمانين، فضلاً عن توفير تمويل مسبق قدره 50,000 دولار أمريكي في الوقت الراهن على أساس استثنائي للبلدان التي قدمت طلبات للتمويل لإعداد خطط إزالة المواد الهيدروفلوروكربونية في ظل عدم وجود مبادئ توجيهية معتمدة.</w:t>
      </w:r>
    </w:p>
    <w:p w14:paraId="28109148" w14:textId="77777777" w:rsidR="0045481A" w:rsidRPr="00436693" w:rsidRDefault="0045481A" w:rsidP="00806858">
      <w:pPr>
        <w:pStyle w:val="Heading1"/>
        <w:numPr>
          <w:ilvl w:val="0"/>
          <w:numId w:val="10"/>
        </w:numPr>
        <w:bidi/>
        <w:spacing w:line="288" w:lineRule="auto"/>
        <w:rPr>
          <w:sz w:val="26"/>
          <w:szCs w:val="26"/>
        </w:rPr>
      </w:pPr>
      <w:r w:rsidRPr="00436693">
        <w:rPr>
          <w:sz w:val="26"/>
          <w:szCs w:val="26"/>
          <w:rtl/>
        </w:rPr>
        <w:t>أعرب العديد من الأعضاء عن تفضيلهم للاقتراح الذي قدمه مُنظم اجتماع فريق الاتصال بشأن الاستخدام المؤقت للمبادئ التوجيهية التي اقترحتها الأمانة. وقال أحدهم أن الاقتراح المقدم من قبل أستراليا والولايات المتحدة الأمريكية جاء متأخراً للغاية، بحيث لم يتسنى لوفدهما الوقت الكافي للتشاور. فيما علق عضو آخر بالقول بأن المبلغ الموحد البالغ 50,000 دولار أمريكي يشكل نسبة متغيرة للغاية من التمويل الإجمالي الذي يطلبه كل بلد، وبالتالي فإن هذا النهج غير عادل. وأيد أحد الأعضاء اقتراح تقديم تمويل مسبق كوسيلة من شأنها الحفاظ على الزخم قبل الاجتماع السابع والثمانين.</w:t>
      </w:r>
    </w:p>
    <w:p w14:paraId="1EA23679" w14:textId="77777777" w:rsidR="0045481A" w:rsidRPr="00436693" w:rsidRDefault="0045481A" w:rsidP="00806858">
      <w:pPr>
        <w:pStyle w:val="Heading1"/>
        <w:numPr>
          <w:ilvl w:val="0"/>
          <w:numId w:val="10"/>
        </w:numPr>
        <w:bidi/>
        <w:spacing w:line="288" w:lineRule="auto"/>
        <w:rPr>
          <w:sz w:val="26"/>
          <w:szCs w:val="26"/>
        </w:rPr>
      </w:pPr>
      <w:r w:rsidRPr="00436693">
        <w:rPr>
          <w:sz w:val="26"/>
          <w:szCs w:val="26"/>
          <w:rtl/>
        </w:rPr>
        <w:t xml:space="preserve">شدد العديد من الأعضاء على ضرورة اعتماد مبادئ توجيهية في الاجتماع السابع والثمانين. وقد أكد أحد الأعضاء على أهمية تخصيص وقت كافٍ للمناقشات في ذلك الاجتماع بغية إتاحة المجال لتحقيق ذلك. واقترح عضو آخر أن تستند المناقشات إلى العمل المتعلق بالمبادئ التوجيهية الذي اضطلع به مسبقاً فريق الاتصال. وقررت اللجنة التنفيذية مواصلة النظر في مشروع المبادئ التوجيهية لإعداد خطط إزالة المواد الهيدروفلوروكربونية للبلدان المدرجة </w:t>
      </w:r>
      <w:r w:rsidRPr="00436693">
        <w:rPr>
          <w:sz w:val="26"/>
          <w:szCs w:val="26"/>
          <w:rtl/>
        </w:rPr>
        <w:lastRenderedPageBreak/>
        <w:t>في المادة 5 في اجتماعها السابع والثمانين، على أساس وثيقة العمل التي أعدها فريق الاتصال الذي تم تشكيله في الاجتماع السادس والثمانين، على النحو الوارد في المرفق السابع والأربعين لتقرير الاجتماع (المقرر 86/93).</w:t>
      </w:r>
    </w:p>
    <w:p w14:paraId="24F4FACC" w14:textId="2B27C940" w:rsidR="0045481A" w:rsidRDefault="0045481A" w:rsidP="009E0CC2">
      <w:pPr>
        <w:keepNext/>
        <w:bidi/>
        <w:rPr>
          <w:rFonts w:hint="cs"/>
          <w:bCs/>
          <w:sz w:val="26"/>
          <w:szCs w:val="26"/>
          <w:rtl/>
        </w:rPr>
      </w:pPr>
      <w:r w:rsidRPr="00436693">
        <w:rPr>
          <w:bCs/>
          <w:sz w:val="26"/>
          <w:szCs w:val="26"/>
          <w:rtl/>
        </w:rPr>
        <w:t xml:space="preserve">المناقشات في الاجتماع </w:t>
      </w:r>
      <w:r w:rsidR="009E0CC2">
        <w:rPr>
          <w:rFonts w:hint="cs"/>
          <w:bCs/>
          <w:sz w:val="26"/>
          <w:szCs w:val="26"/>
          <w:rtl/>
        </w:rPr>
        <w:t xml:space="preserve">السابع و الثمانين </w:t>
      </w:r>
    </w:p>
    <w:p w14:paraId="30605D84" w14:textId="77777777" w:rsidR="009E0CC2" w:rsidRPr="00436693" w:rsidRDefault="009E0CC2" w:rsidP="009E0CC2">
      <w:pPr>
        <w:keepNext/>
        <w:bidi/>
        <w:rPr>
          <w:sz w:val="26"/>
          <w:szCs w:val="26"/>
        </w:rPr>
      </w:pPr>
    </w:p>
    <w:p w14:paraId="654620CD" w14:textId="765FC6A7" w:rsidR="0045481A" w:rsidRPr="00436693" w:rsidRDefault="0045481A" w:rsidP="00806858">
      <w:pPr>
        <w:pStyle w:val="Heading1"/>
        <w:numPr>
          <w:ilvl w:val="0"/>
          <w:numId w:val="10"/>
        </w:numPr>
        <w:bidi/>
        <w:spacing w:line="288" w:lineRule="auto"/>
        <w:rPr>
          <w:sz w:val="26"/>
          <w:szCs w:val="26"/>
          <w:rtl/>
        </w:rPr>
      </w:pPr>
      <w:r w:rsidRPr="00436693">
        <w:rPr>
          <w:sz w:val="26"/>
          <w:szCs w:val="26"/>
          <w:rtl/>
        </w:rPr>
        <w:t xml:space="preserve">بهدف تسهيل المناقشة وبموجب المقرر 86/93، أعدت الأمانة هذه المذكرة التي تحتوي على: </w:t>
      </w:r>
    </w:p>
    <w:p w14:paraId="4E653742" w14:textId="77777777" w:rsidR="0045481A" w:rsidRPr="00436693" w:rsidRDefault="0045481A" w:rsidP="00806858">
      <w:pPr>
        <w:pStyle w:val="ListParagraph"/>
        <w:numPr>
          <w:ilvl w:val="0"/>
          <w:numId w:val="11"/>
        </w:numPr>
        <w:bidi/>
        <w:spacing w:after="240" w:line="288" w:lineRule="auto"/>
        <w:ind w:left="1440" w:hanging="720"/>
        <w:contextualSpacing w:val="0"/>
        <w:rPr>
          <w:sz w:val="26"/>
          <w:szCs w:val="26"/>
        </w:rPr>
      </w:pPr>
      <w:r w:rsidRPr="00436693">
        <w:rPr>
          <w:sz w:val="26"/>
          <w:szCs w:val="26"/>
          <w:rtl/>
        </w:rPr>
        <w:t>وثيقة العمل التي أعدها فريق الاتصال بشأن مشروع المبادئ التوجيهية لإعداد خطط إزالة المواد الهيدروفلوروكربونية التي تم وضعها في الاجتماع السادس والثمانين، وتم استنساخها أدناه.</w:t>
      </w:r>
    </w:p>
    <w:p w14:paraId="1C05B034" w14:textId="7284E95F" w:rsidR="0045481A" w:rsidRPr="00436693" w:rsidRDefault="0045481A" w:rsidP="00806858">
      <w:pPr>
        <w:pStyle w:val="ListParagraph"/>
        <w:numPr>
          <w:ilvl w:val="0"/>
          <w:numId w:val="11"/>
        </w:numPr>
        <w:bidi/>
        <w:spacing w:after="240" w:line="288" w:lineRule="auto"/>
        <w:ind w:left="1440" w:hanging="720"/>
        <w:contextualSpacing w:val="0"/>
        <w:rPr>
          <w:sz w:val="26"/>
          <w:szCs w:val="26"/>
        </w:rPr>
      </w:pPr>
      <w:r w:rsidRPr="00436693">
        <w:rPr>
          <w:sz w:val="26"/>
          <w:szCs w:val="26"/>
          <w:rtl/>
        </w:rPr>
        <w:t xml:space="preserve"> السرد التفصيلي للنقاش حول هذه المسألة خلال الاجتماع السادس والثمانين (مستمد من النسخة المسبقة لتقرير الاجتماع السادس والثمانين للجنة التنفيذية</w:t>
      </w:r>
      <w:r w:rsidR="0009584D">
        <w:rPr>
          <w:rStyle w:val="FootnoteReference"/>
          <w:sz w:val="26"/>
          <w:szCs w:val="26"/>
          <w:rtl/>
        </w:rPr>
        <w:footnoteReference w:id="5"/>
      </w:r>
      <w:r w:rsidRPr="00436693">
        <w:rPr>
          <w:sz w:val="26"/>
          <w:szCs w:val="26"/>
          <w:rtl/>
        </w:rPr>
        <w:t>)، الذي تم نسخه في المرفق الأول لهذه الوثيقة؛ و</w:t>
      </w:r>
    </w:p>
    <w:p w14:paraId="21456A79" w14:textId="77777777" w:rsidR="0045481A" w:rsidRPr="00436693" w:rsidRDefault="0045481A" w:rsidP="00806858">
      <w:pPr>
        <w:pStyle w:val="ListParagraph"/>
        <w:numPr>
          <w:ilvl w:val="0"/>
          <w:numId w:val="11"/>
        </w:numPr>
        <w:bidi/>
        <w:spacing w:after="240" w:line="288" w:lineRule="auto"/>
        <w:ind w:left="1440" w:hanging="720"/>
        <w:contextualSpacing w:val="0"/>
        <w:rPr>
          <w:sz w:val="26"/>
          <w:szCs w:val="26"/>
        </w:rPr>
      </w:pPr>
      <w:r w:rsidRPr="00436693">
        <w:rPr>
          <w:sz w:val="26"/>
          <w:szCs w:val="26"/>
          <w:rtl/>
        </w:rPr>
        <w:t xml:space="preserve"> الوثيقة المتعلقة بمسألة (</w:t>
      </w:r>
      <w:r w:rsidRPr="00436693">
        <w:rPr>
          <w:sz w:val="26"/>
          <w:szCs w:val="26"/>
        </w:rPr>
        <w:t>UNEP/OzL.Pro/ExCom/86/88</w:t>
      </w:r>
      <w:r w:rsidRPr="00436693">
        <w:rPr>
          <w:sz w:val="26"/>
          <w:szCs w:val="26"/>
          <w:rtl/>
        </w:rPr>
        <w:t>) المقدمة في الاجتماع السادس والثمانين، والمرفقة بهذه الوثيقة.</w:t>
      </w:r>
    </w:p>
    <w:p w14:paraId="7F12648B" w14:textId="77777777" w:rsidR="0045481A" w:rsidRPr="00436693" w:rsidRDefault="0045481A" w:rsidP="00436693">
      <w:pPr>
        <w:keepNext/>
        <w:keepLines/>
        <w:widowControl w:val="0"/>
        <w:bidi/>
        <w:rPr>
          <w:bCs/>
          <w:sz w:val="26"/>
          <w:szCs w:val="26"/>
        </w:rPr>
      </w:pPr>
      <w:r w:rsidRPr="00436693">
        <w:rPr>
          <w:bCs/>
          <w:sz w:val="26"/>
          <w:szCs w:val="26"/>
          <w:rtl/>
        </w:rPr>
        <w:t>وثيقة العمل</w:t>
      </w:r>
    </w:p>
    <w:p w14:paraId="7FA8185C" w14:textId="77777777" w:rsidR="0045481A" w:rsidRPr="00436693" w:rsidRDefault="0045481A" w:rsidP="00436693">
      <w:pPr>
        <w:keepNext/>
        <w:keepLines/>
        <w:bidi/>
        <w:jc w:val="center"/>
        <w:textAlignment w:val="top"/>
        <w:rPr>
          <w:b/>
          <w:color w:val="272A31"/>
          <w:sz w:val="26"/>
          <w:szCs w:val="26"/>
          <w:lang w:val="en-US"/>
        </w:rPr>
      </w:pPr>
    </w:p>
    <w:p w14:paraId="6EBB88F7" w14:textId="77777777" w:rsidR="0045481A" w:rsidRPr="00806858" w:rsidRDefault="0045481A" w:rsidP="00806858">
      <w:pPr>
        <w:pStyle w:val="Heading1"/>
        <w:numPr>
          <w:ilvl w:val="0"/>
          <w:numId w:val="10"/>
        </w:numPr>
        <w:bidi/>
        <w:spacing w:line="288" w:lineRule="auto"/>
        <w:rPr>
          <w:sz w:val="26"/>
          <w:szCs w:val="26"/>
        </w:rPr>
      </w:pPr>
      <w:r w:rsidRPr="00806858">
        <w:rPr>
          <w:sz w:val="26"/>
          <w:szCs w:val="26"/>
          <w:rtl/>
        </w:rPr>
        <w:t>يرد أدناه وثيقة العمل التي أعدها فريق الاتصال بشأن مشروع المبادئ التوجيهية لإعداد خطط إزالة المواد الهيدروفلوروكربونية:</w:t>
      </w:r>
    </w:p>
    <w:p w14:paraId="2B825C33" w14:textId="77777777" w:rsidR="0045481A" w:rsidRPr="00436693" w:rsidRDefault="0045481A" w:rsidP="00436693">
      <w:pPr>
        <w:bidi/>
        <w:textAlignment w:val="top"/>
        <w:rPr>
          <w:sz w:val="26"/>
          <w:szCs w:val="26"/>
          <w:lang w:val="en-US"/>
        </w:rPr>
      </w:pPr>
      <w:r w:rsidRPr="00436693">
        <w:rPr>
          <w:sz w:val="26"/>
          <w:szCs w:val="26"/>
          <w:rtl/>
          <w:lang w:val="en-US"/>
        </w:rPr>
        <w:t>"قد ترغب اللجنة التنفيذية في:</w:t>
      </w:r>
    </w:p>
    <w:p w14:paraId="4317DCBB" w14:textId="77777777" w:rsidR="0045481A" w:rsidRPr="00436693" w:rsidRDefault="0045481A" w:rsidP="00436693">
      <w:pPr>
        <w:bidi/>
        <w:textAlignment w:val="top"/>
        <w:rPr>
          <w:color w:val="272A31"/>
          <w:sz w:val="26"/>
          <w:szCs w:val="26"/>
          <w:lang w:val="en-US"/>
        </w:rPr>
      </w:pPr>
    </w:p>
    <w:p w14:paraId="057BC15D" w14:textId="77777777" w:rsidR="0045481A" w:rsidRPr="00436693" w:rsidRDefault="0045481A" w:rsidP="00806858">
      <w:pPr>
        <w:pStyle w:val="ListParagraph"/>
        <w:numPr>
          <w:ilvl w:val="0"/>
          <w:numId w:val="12"/>
        </w:numPr>
        <w:bidi/>
        <w:spacing w:after="240" w:line="288" w:lineRule="auto"/>
        <w:ind w:left="1440" w:hanging="720"/>
        <w:contextualSpacing w:val="0"/>
        <w:rPr>
          <w:sz w:val="26"/>
          <w:szCs w:val="26"/>
        </w:rPr>
      </w:pPr>
      <w:r w:rsidRPr="00436693">
        <w:rPr>
          <w:sz w:val="26"/>
          <w:szCs w:val="26"/>
          <w:rtl/>
        </w:rPr>
        <w:t xml:space="preserve"> أن تشير إلى الوثيقة </w:t>
      </w:r>
      <w:r w:rsidRPr="00436693">
        <w:rPr>
          <w:sz w:val="26"/>
          <w:szCs w:val="26"/>
        </w:rPr>
        <w:t>UNEP/OzL.Pro/ExCom/86/88</w:t>
      </w:r>
      <w:r w:rsidRPr="00436693">
        <w:rPr>
          <w:sz w:val="26"/>
          <w:szCs w:val="26"/>
          <w:rtl/>
        </w:rPr>
        <w:t xml:space="preserve"> بشأن مشروع المبادئ التوجيهية لإعداد خطط إزالة المواد الهيدروفلوروكربونية [خطة تنفيذ كيغالي للمواد الهيدروفلوروكربونية/ خطة إدارة كيغالي للمواد الهيدروفلوروكربونية] للبدان المدرجة في المادة 5؛</w:t>
      </w:r>
    </w:p>
    <w:p w14:paraId="77B5AE93" w14:textId="3A4EAE01" w:rsidR="0045481A" w:rsidRPr="00436693" w:rsidRDefault="0045481A" w:rsidP="00806858">
      <w:pPr>
        <w:pStyle w:val="ListParagraph"/>
        <w:numPr>
          <w:ilvl w:val="0"/>
          <w:numId w:val="12"/>
        </w:numPr>
        <w:bidi/>
        <w:spacing w:after="240" w:line="288" w:lineRule="auto"/>
        <w:ind w:left="1440" w:hanging="720"/>
        <w:contextualSpacing w:val="0"/>
        <w:rPr>
          <w:sz w:val="26"/>
          <w:szCs w:val="26"/>
        </w:rPr>
      </w:pPr>
      <w:r w:rsidRPr="00436693">
        <w:rPr>
          <w:sz w:val="26"/>
          <w:szCs w:val="26"/>
          <w:rtl/>
        </w:rPr>
        <w:t>أن تتضمن، في إطار التمويل المخصص لإعداد استراتيجية شاملة للمرحلة الأولى من إزالة المواد الهيدروفلوروكربونية [بالاستناد إلى خطط إدارة إزالة المواد الهيدروكلوروفلوروكربونية]، المساعدة من أجل:</w:t>
      </w:r>
    </w:p>
    <w:p w14:paraId="0FF73A89" w14:textId="77764107" w:rsidR="0045481A" w:rsidRPr="00436693" w:rsidRDefault="0045481A" w:rsidP="00806858">
      <w:pPr>
        <w:pStyle w:val="Heading3"/>
        <w:numPr>
          <w:ilvl w:val="0"/>
          <w:numId w:val="13"/>
        </w:numPr>
        <w:bidi/>
        <w:spacing w:line="288" w:lineRule="auto"/>
        <w:ind w:left="2160" w:hanging="720"/>
        <w:rPr>
          <w:sz w:val="26"/>
          <w:szCs w:val="26"/>
        </w:rPr>
      </w:pPr>
      <w:r w:rsidRPr="00436693">
        <w:rPr>
          <w:sz w:val="26"/>
          <w:szCs w:val="26"/>
          <w:rtl/>
        </w:rPr>
        <w:t>[نظرة عامة على] [تحديث] [تمديد] [تطوير] التشريعات والسياسات واللوائح [للاستيراد/التصدير] على النحو المطلوب بهدف توسيع تراخيص الاستيراد/التصدير التشغيلية الحالية ونظم الحصص لتشمل المواد الخاضعة للرقابة بموجب المرفق واو (المواد الهيدروفلوروكربونية) لبروتوكول مونتريال، و[لضمان فرض حدود [لمنع النمو] بما في ذلك اتخاذ تدابير خفض استهلاك المواد الهيدروفلوروكربونية المستدام مع مرور الوقت] على النمو أو التخفيضات في استهلاك المواد الهيدروفلوروكربونية التي استمرت بوتيرة مطردة مع مرور الوقت؛</w:t>
      </w:r>
    </w:p>
    <w:p w14:paraId="1A8D5A6F" w14:textId="0EA997D7" w:rsidR="0045481A" w:rsidRPr="00436693" w:rsidRDefault="0045481A" w:rsidP="00806858">
      <w:pPr>
        <w:pStyle w:val="Heading3"/>
        <w:numPr>
          <w:ilvl w:val="0"/>
          <w:numId w:val="13"/>
        </w:numPr>
        <w:bidi/>
        <w:spacing w:line="288" w:lineRule="auto"/>
        <w:ind w:left="2160" w:hanging="720"/>
        <w:rPr>
          <w:sz w:val="26"/>
          <w:szCs w:val="26"/>
        </w:rPr>
      </w:pPr>
      <w:r w:rsidRPr="00436693">
        <w:rPr>
          <w:sz w:val="26"/>
          <w:szCs w:val="26"/>
          <w:rtl/>
        </w:rPr>
        <w:lastRenderedPageBreak/>
        <w:t>إجراء دراسة استقصائية لاستهلاك المواد الهيدروفلوروكربونية [وإنتاجها عند اقتضاء الحاجة] وتوزيعها القطاعي [مع مراعاة الدراسات الاستقصائية السابقة التي أجريت]، والمسوحات [الشاملة]، [والمخزون الوطني] للمؤسسات في قطاعي التصنيع والخدمة، مع تحليل البيانات لتقدير خطوط أساس الامتثال للمواد الهيدروفلوروكربونية؛</w:t>
      </w:r>
    </w:p>
    <w:p w14:paraId="3BD324CC" w14:textId="77777777" w:rsidR="0045481A" w:rsidRPr="00436693" w:rsidRDefault="0045481A" w:rsidP="00806858">
      <w:pPr>
        <w:pStyle w:val="Heading3"/>
        <w:numPr>
          <w:ilvl w:val="0"/>
          <w:numId w:val="13"/>
        </w:numPr>
        <w:bidi/>
        <w:spacing w:line="288" w:lineRule="auto"/>
        <w:ind w:left="2160" w:hanging="720"/>
        <w:rPr>
          <w:sz w:val="26"/>
          <w:szCs w:val="26"/>
        </w:rPr>
      </w:pPr>
      <w:r w:rsidRPr="00436693">
        <w:rPr>
          <w:sz w:val="26"/>
          <w:szCs w:val="26"/>
          <w:rtl/>
        </w:rPr>
        <w:t>تطوير والانتهاء من وضع الاستراتيجية الشاملة للمرحلة الأولى من خطة إزالة المواد الهيدروفلوروكربونية لمعالجة التجميد وتخفيض استهلاك المواد الهيدروفلوروكربونية بنسبة 10 في المائة [مع أخذ الكفاءة المحتملة للتنفيذ المتكامل والمتوازي مع خطط إدارة إزالة المواد الهيدروكلوروفلوروكربونية في عين الاعتبار]؛</w:t>
      </w:r>
    </w:p>
    <w:p w14:paraId="2E378319" w14:textId="4E8FBF4A" w:rsidR="0045481A" w:rsidRPr="00436693" w:rsidRDefault="0045481A" w:rsidP="00806858">
      <w:pPr>
        <w:pStyle w:val="Heading3"/>
        <w:numPr>
          <w:ilvl w:val="0"/>
          <w:numId w:val="13"/>
        </w:numPr>
        <w:bidi/>
        <w:spacing w:line="288" w:lineRule="auto"/>
        <w:ind w:left="2160" w:hanging="720"/>
        <w:rPr>
          <w:sz w:val="26"/>
          <w:szCs w:val="26"/>
        </w:rPr>
      </w:pPr>
      <w:r w:rsidRPr="00436693">
        <w:rPr>
          <w:sz w:val="26"/>
          <w:szCs w:val="26"/>
          <w:rtl/>
        </w:rPr>
        <w:t>تطوير استراتيجية وخطة عمل تتعلق بقطاع خدمة التبريد [مع أخذ الكفاءة المحتملة وفرص التآزر للتنفيذ المتكامل والمتوازي مع خطط إدارة إزالة المواد الهيدروكلوروفلوروكربونية في عين الاعتبار] ولا</w:t>
      </w:r>
      <w:r w:rsidR="00716050">
        <w:rPr>
          <w:rFonts w:hint="cs"/>
          <w:sz w:val="26"/>
          <w:szCs w:val="26"/>
          <w:rtl/>
        </w:rPr>
        <w:t xml:space="preserve"> </w:t>
      </w:r>
      <w:r w:rsidRPr="00436693">
        <w:rPr>
          <w:sz w:val="26"/>
          <w:szCs w:val="26"/>
          <w:rtl/>
        </w:rPr>
        <w:t>سيما بالنسبة للبلدان المدرجة في المادة 5 حيث يتركز معظم استهلاك المواد الهيدروفلوروكربونية في هذا القطاع؛</w:t>
      </w:r>
    </w:p>
    <w:p w14:paraId="22AD1985" w14:textId="77777777" w:rsidR="0045481A" w:rsidRPr="00436693" w:rsidRDefault="0045481A" w:rsidP="00806858">
      <w:pPr>
        <w:pStyle w:val="Heading3"/>
        <w:numPr>
          <w:ilvl w:val="0"/>
          <w:numId w:val="13"/>
        </w:numPr>
        <w:bidi/>
        <w:spacing w:line="288" w:lineRule="auto"/>
        <w:ind w:left="2160" w:hanging="720"/>
        <w:rPr>
          <w:sz w:val="26"/>
          <w:szCs w:val="26"/>
        </w:rPr>
      </w:pPr>
      <w:r w:rsidRPr="00436693">
        <w:rPr>
          <w:sz w:val="26"/>
          <w:szCs w:val="26"/>
          <w:rtl/>
        </w:rPr>
        <w:t xml:space="preserve"> [استراتيجية الامتثال المتكاملة (</w:t>
      </w:r>
      <w:r w:rsidRPr="00436693">
        <w:rPr>
          <w:sz w:val="26"/>
          <w:szCs w:val="26"/>
        </w:rPr>
        <w:t>UNEP/OzL.Pro/ExCom/86/87</w:t>
      </w:r>
      <w:r w:rsidRPr="00436693">
        <w:rPr>
          <w:sz w:val="26"/>
          <w:szCs w:val="26"/>
          <w:rtl/>
        </w:rPr>
        <w:t>)؛]</w:t>
      </w:r>
    </w:p>
    <w:p w14:paraId="65B8C913" w14:textId="77777777" w:rsidR="0045481A" w:rsidRPr="00436693" w:rsidRDefault="0045481A" w:rsidP="00806858">
      <w:pPr>
        <w:pStyle w:val="Heading3"/>
        <w:numPr>
          <w:ilvl w:val="0"/>
          <w:numId w:val="13"/>
        </w:numPr>
        <w:bidi/>
        <w:spacing w:line="288" w:lineRule="auto"/>
        <w:ind w:left="2160" w:hanging="720"/>
        <w:rPr>
          <w:sz w:val="26"/>
          <w:szCs w:val="26"/>
        </w:rPr>
      </w:pPr>
      <w:r w:rsidRPr="00436693">
        <w:rPr>
          <w:sz w:val="26"/>
          <w:szCs w:val="26"/>
          <w:rtl/>
        </w:rPr>
        <w:t>[وصف المبادرات الوطنية، والإطار، والجهات الفاعلة، والقدرة المؤسسية لتعزيز كفاءة الطاقة في قطاع التبريد وتكييف الهواء؛]</w:t>
      </w:r>
    </w:p>
    <w:p w14:paraId="7D06BBDC" w14:textId="77777777" w:rsidR="0045481A" w:rsidRPr="00436693" w:rsidRDefault="0045481A" w:rsidP="00806858">
      <w:pPr>
        <w:pStyle w:val="ListParagraph"/>
        <w:numPr>
          <w:ilvl w:val="0"/>
          <w:numId w:val="12"/>
        </w:numPr>
        <w:bidi/>
        <w:spacing w:after="240" w:line="288" w:lineRule="auto"/>
        <w:ind w:left="1440" w:hanging="720"/>
        <w:contextualSpacing w:val="0"/>
        <w:rPr>
          <w:sz w:val="26"/>
          <w:szCs w:val="26"/>
        </w:rPr>
      </w:pPr>
      <w:r w:rsidRPr="00436693">
        <w:rPr>
          <w:sz w:val="26"/>
          <w:szCs w:val="26"/>
          <w:rtl/>
        </w:rPr>
        <w:t>أن توفر التمويل [للبلدان المدرجة في المادة 5 التي صادقت على تعديل كيغالي] للعناصر الموصوفة في الفقرة الفرعية (ب)(1) إلى (4) أعلاه على النحو المحدد في الجدول أدناه، بناءً على خط أساس استهلاك المواد الهيدروفلوروكربونية لكل بلد:</w:t>
      </w:r>
    </w:p>
    <w:tbl>
      <w:tblPr>
        <w:bidiVisual/>
        <w:tblW w:w="7860" w:type="dxa"/>
        <w:tblInd w:w="1495" w:type="dxa"/>
        <w:tblLayout w:type="fixed"/>
        <w:tblLook w:val="04A0" w:firstRow="1" w:lastRow="0" w:firstColumn="1" w:lastColumn="0" w:noHBand="0" w:noVBand="1"/>
      </w:tblPr>
      <w:tblGrid>
        <w:gridCol w:w="3810"/>
        <w:gridCol w:w="4050"/>
      </w:tblGrid>
      <w:tr w:rsidR="00832379" w:rsidRPr="00436693" w14:paraId="31228BD3" w14:textId="77777777" w:rsidTr="00B4030F">
        <w:tc>
          <w:tcPr>
            <w:tcW w:w="3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CB535" w14:textId="6D6EC630" w:rsidR="00832379" w:rsidRPr="00436693" w:rsidRDefault="00B4030F" w:rsidP="00832379">
            <w:pPr>
              <w:keepNext/>
              <w:bidi/>
              <w:jc w:val="center"/>
              <w:rPr>
                <w:rFonts w:asciiTheme="majorBidi" w:hAnsiTheme="majorBidi" w:cstheme="majorBidi"/>
                <w:color w:val="000000"/>
                <w:rtl/>
                <w:lang w:val="en-US" w:bidi="ar-AE"/>
              </w:rPr>
            </w:pPr>
            <w:r w:rsidRPr="00436693">
              <w:rPr>
                <w:rFonts w:asciiTheme="majorBidi" w:hAnsiTheme="majorBidi" w:cstheme="majorBidi"/>
                <w:color w:val="000000"/>
                <w:rtl/>
                <w:lang w:val="en-US" w:bidi="ar-AE"/>
              </w:rPr>
              <w:t>خط الأساس للمواد الهيدروكلوروفلوروكربونية (طن من قدرات استنفاد الأوزون)</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4ED088F2" w14:textId="5DA8302A" w:rsidR="00832379" w:rsidRPr="00436693" w:rsidRDefault="00B4030F" w:rsidP="00832379">
            <w:pPr>
              <w:widowControl w:val="0"/>
              <w:bidi/>
              <w:jc w:val="center"/>
              <w:rPr>
                <w:rFonts w:asciiTheme="majorBidi" w:hAnsiTheme="majorBidi" w:cstheme="majorBidi"/>
                <w:color w:val="000000"/>
                <w:lang w:val="en-US"/>
              </w:rPr>
            </w:pPr>
            <w:r w:rsidRPr="00436693">
              <w:rPr>
                <w:rFonts w:asciiTheme="majorBidi" w:hAnsiTheme="majorBidi" w:cstheme="majorBidi"/>
                <w:color w:val="000000"/>
                <w:rtl/>
                <w:lang w:val="en-US"/>
              </w:rPr>
              <w:t>التمويل من أجل إعداد المرحلة الأولى من خطة إزالة المواد الهيدروفلوروكربونية (دولار أمريكي)</w:t>
            </w:r>
          </w:p>
        </w:tc>
      </w:tr>
      <w:tr w:rsidR="00832379" w:rsidRPr="00436693" w14:paraId="199100CC" w14:textId="77777777" w:rsidTr="00832379">
        <w:tc>
          <w:tcPr>
            <w:tcW w:w="3810" w:type="dxa"/>
            <w:tcBorders>
              <w:top w:val="single" w:sz="4" w:space="0" w:color="auto"/>
              <w:left w:val="single" w:sz="4" w:space="0" w:color="auto"/>
              <w:bottom w:val="single" w:sz="4" w:space="0" w:color="auto"/>
              <w:right w:val="single" w:sz="4" w:space="0" w:color="auto"/>
            </w:tcBorders>
            <w:shd w:val="clear" w:color="auto" w:fill="auto"/>
            <w:hideMark/>
          </w:tcPr>
          <w:p w14:paraId="155AE450" w14:textId="1FDA68DE" w:rsidR="00832379" w:rsidRPr="00436693" w:rsidRDefault="0074273C" w:rsidP="00832379">
            <w:pPr>
              <w:keepNext/>
              <w:bidi/>
              <w:rPr>
                <w:rFonts w:asciiTheme="majorBidi" w:hAnsiTheme="majorBidi" w:cstheme="majorBidi"/>
                <w:color w:val="000000"/>
                <w:rtl/>
                <w:lang w:val="en-US" w:bidi="ar-AE"/>
              </w:rPr>
            </w:pPr>
            <w:r w:rsidRPr="00436693">
              <w:rPr>
                <w:rFonts w:asciiTheme="majorBidi" w:hAnsiTheme="majorBidi" w:cstheme="majorBidi"/>
                <w:rtl/>
                <w:lang w:bidi="ar-AE"/>
              </w:rPr>
              <w:t>أقل من 1</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5AF58F8D" w14:textId="784AABE5" w:rsidR="00832379" w:rsidRPr="00436693" w:rsidRDefault="0087323E" w:rsidP="00832379">
            <w:pPr>
              <w:widowControl w:val="0"/>
              <w:bidi/>
              <w:ind w:right="1242"/>
              <w:jc w:val="right"/>
              <w:rPr>
                <w:rFonts w:asciiTheme="majorBidi" w:hAnsiTheme="majorBidi" w:cstheme="majorBidi"/>
                <w:color w:val="000000"/>
                <w:lang w:val="en-US"/>
              </w:rPr>
            </w:pPr>
            <w:r w:rsidRPr="00436693">
              <w:rPr>
                <w:rFonts w:asciiTheme="majorBidi" w:hAnsiTheme="majorBidi" w:cstheme="majorBidi"/>
                <w:rtl/>
              </w:rPr>
              <w:t>100,000</w:t>
            </w:r>
          </w:p>
        </w:tc>
      </w:tr>
      <w:tr w:rsidR="00832379" w:rsidRPr="00436693" w14:paraId="3FB4B4AE" w14:textId="77777777" w:rsidTr="0087323E">
        <w:tc>
          <w:tcPr>
            <w:tcW w:w="3810" w:type="dxa"/>
            <w:tcBorders>
              <w:top w:val="nil"/>
              <w:left w:val="single" w:sz="4" w:space="0" w:color="auto"/>
              <w:bottom w:val="single" w:sz="4" w:space="0" w:color="auto"/>
              <w:right w:val="single" w:sz="4" w:space="0" w:color="auto"/>
            </w:tcBorders>
            <w:shd w:val="clear" w:color="auto" w:fill="auto"/>
            <w:hideMark/>
          </w:tcPr>
          <w:p w14:paraId="6AD84D27" w14:textId="4DBA1A81" w:rsidR="00832379" w:rsidRPr="00436693" w:rsidRDefault="0074273C" w:rsidP="00832379">
            <w:pPr>
              <w:keepNext/>
              <w:bidi/>
              <w:rPr>
                <w:rFonts w:asciiTheme="majorBidi" w:hAnsiTheme="majorBidi" w:cstheme="majorBidi"/>
                <w:color w:val="000000"/>
                <w:rtl/>
                <w:lang w:val="en-US" w:bidi="ar-AE"/>
              </w:rPr>
            </w:pPr>
            <w:r w:rsidRPr="00436693">
              <w:rPr>
                <w:rFonts w:asciiTheme="majorBidi" w:hAnsiTheme="majorBidi" w:cstheme="majorBidi"/>
                <w:rtl/>
                <w:lang w:bidi="ar-AE"/>
              </w:rPr>
              <w:t>من 1 وحتى 6</w:t>
            </w:r>
          </w:p>
        </w:tc>
        <w:tc>
          <w:tcPr>
            <w:tcW w:w="4050" w:type="dxa"/>
            <w:tcBorders>
              <w:top w:val="nil"/>
              <w:left w:val="nil"/>
              <w:bottom w:val="single" w:sz="4" w:space="0" w:color="auto"/>
              <w:right w:val="single" w:sz="4" w:space="0" w:color="auto"/>
            </w:tcBorders>
            <w:shd w:val="clear" w:color="auto" w:fill="auto"/>
            <w:tcMar>
              <w:left w:w="115" w:type="dxa"/>
              <w:right w:w="288" w:type="dxa"/>
            </w:tcMar>
          </w:tcPr>
          <w:p w14:paraId="0714B01B" w14:textId="74694212" w:rsidR="00832379" w:rsidRPr="00436693" w:rsidRDefault="0087323E" w:rsidP="00832379">
            <w:pPr>
              <w:widowControl w:val="0"/>
              <w:bidi/>
              <w:ind w:right="1242"/>
              <w:jc w:val="right"/>
              <w:rPr>
                <w:rFonts w:asciiTheme="majorBidi" w:hAnsiTheme="majorBidi" w:cstheme="majorBidi"/>
                <w:color w:val="000000"/>
                <w:lang w:val="en-US" w:bidi="ar-AE"/>
              </w:rPr>
            </w:pPr>
            <w:r w:rsidRPr="00436693">
              <w:rPr>
                <w:rFonts w:asciiTheme="majorBidi" w:hAnsiTheme="majorBidi" w:cstheme="majorBidi"/>
                <w:color w:val="000000"/>
                <w:rtl/>
                <w:lang w:val="en-US" w:bidi="ar-AE"/>
              </w:rPr>
              <w:t>130,000</w:t>
            </w:r>
          </w:p>
        </w:tc>
      </w:tr>
      <w:tr w:rsidR="00832379" w:rsidRPr="00436693" w14:paraId="10473EA1" w14:textId="77777777" w:rsidTr="0087323E">
        <w:tc>
          <w:tcPr>
            <w:tcW w:w="3810" w:type="dxa"/>
            <w:tcBorders>
              <w:top w:val="nil"/>
              <w:left w:val="single" w:sz="4" w:space="0" w:color="auto"/>
              <w:bottom w:val="single" w:sz="4" w:space="0" w:color="auto"/>
              <w:right w:val="single" w:sz="4" w:space="0" w:color="auto"/>
            </w:tcBorders>
            <w:shd w:val="clear" w:color="auto" w:fill="auto"/>
          </w:tcPr>
          <w:p w14:paraId="12844BE2" w14:textId="3EB340C9" w:rsidR="00832379" w:rsidRPr="00436693" w:rsidRDefault="0074273C" w:rsidP="00832379">
            <w:pPr>
              <w:widowControl w:val="0"/>
              <w:bidi/>
              <w:rPr>
                <w:rFonts w:asciiTheme="majorBidi" w:hAnsiTheme="majorBidi" w:cstheme="majorBidi"/>
                <w:color w:val="000000"/>
                <w:lang w:val="en-US" w:bidi="ar-AE"/>
              </w:rPr>
            </w:pPr>
            <w:r w:rsidRPr="00436693">
              <w:rPr>
                <w:rFonts w:asciiTheme="majorBidi" w:hAnsiTheme="majorBidi" w:cstheme="majorBidi"/>
                <w:color w:val="000000"/>
                <w:rtl/>
                <w:lang w:val="en-US" w:bidi="ar-AE"/>
              </w:rPr>
              <w:t>أكثر من 6 وحتى 20</w:t>
            </w:r>
          </w:p>
        </w:tc>
        <w:tc>
          <w:tcPr>
            <w:tcW w:w="4050" w:type="dxa"/>
            <w:tcBorders>
              <w:top w:val="nil"/>
              <w:left w:val="nil"/>
              <w:bottom w:val="single" w:sz="4" w:space="0" w:color="auto"/>
              <w:right w:val="single" w:sz="4" w:space="0" w:color="auto"/>
            </w:tcBorders>
            <w:shd w:val="clear" w:color="auto" w:fill="auto"/>
            <w:tcMar>
              <w:left w:w="115" w:type="dxa"/>
              <w:right w:w="288" w:type="dxa"/>
            </w:tcMar>
          </w:tcPr>
          <w:p w14:paraId="785FDA51" w14:textId="3EDB0FFC" w:rsidR="00832379" w:rsidRPr="00436693" w:rsidRDefault="0087323E" w:rsidP="00832379">
            <w:pPr>
              <w:widowControl w:val="0"/>
              <w:bidi/>
              <w:ind w:right="1242"/>
              <w:jc w:val="right"/>
              <w:rPr>
                <w:rFonts w:asciiTheme="majorBidi" w:hAnsiTheme="majorBidi" w:cstheme="majorBidi"/>
                <w:color w:val="000000"/>
                <w:lang w:val="en-US" w:bidi="ar-AE"/>
              </w:rPr>
            </w:pPr>
            <w:r w:rsidRPr="00436693">
              <w:rPr>
                <w:rFonts w:asciiTheme="majorBidi" w:hAnsiTheme="majorBidi" w:cstheme="majorBidi"/>
                <w:color w:val="000000"/>
                <w:rtl/>
                <w:lang w:val="en-US" w:bidi="ar-AE"/>
              </w:rPr>
              <w:t>170,000</w:t>
            </w:r>
          </w:p>
        </w:tc>
      </w:tr>
      <w:tr w:rsidR="00832379" w:rsidRPr="00436693" w14:paraId="0DA68180" w14:textId="77777777" w:rsidTr="0087323E">
        <w:tc>
          <w:tcPr>
            <w:tcW w:w="3810" w:type="dxa"/>
            <w:tcBorders>
              <w:top w:val="nil"/>
              <w:left w:val="single" w:sz="4" w:space="0" w:color="auto"/>
              <w:bottom w:val="single" w:sz="4" w:space="0" w:color="auto"/>
              <w:right w:val="single" w:sz="4" w:space="0" w:color="auto"/>
            </w:tcBorders>
            <w:shd w:val="clear" w:color="auto" w:fill="auto"/>
          </w:tcPr>
          <w:p w14:paraId="183A5ADE" w14:textId="36283978" w:rsidR="00832379" w:rsidRPr="00436693" w:rsidRDefault="0074273C" w:rsidP="00832379">
            <w:pPr>
              <w:widowControl w:val="0"/>
              <w:bidi/>
              <w:rPr>
                <w:rFonts w:asciiTheme="majorBidi" w:hAnsiTheme="majorBidi" w:cstheme="majorBidi"/>
                <w:color w:val="000000"/>
                <w:lang w:val="en-US" w:bidi="ar-AE"/>
              </w:rPr>
            </w:pPr>
            <w:r w:rsidRPr="00436693">
              <w:rPr>
                <w:rFonts w:asciiTheme="majorBidi" w:hAnsiTheme="majorBidi" w:cstheme="majorBidi"/>
                <w:color w:val="000000"/>
                <w:rtl/>
                <w:lang w:val="en-US" w:bidi="ar-AE"/>
              </w:rPr>
              <w:t>أكثر من 20 وحتى 100</w:t>
            </w:r>
          </w:p>
        </w:tc>
        <w:tc>
          <w:tcPr>
            <w:tcW w:w="4050" w:type="dxa"/>
            <w:tcBorders>
              <w:top w:val="nil"/>
              <w:left w:val="nil"/>
              <w:bottom w:val="single" w:sz="4" w:space="0" w:color="auto"/>
              <w:right w:val="single" w:sz="4" w:space="0" w:color="auto"/>
            </w:tcBorders>
            <w:shd w:val="clear" w:color="auto" w:fill="auto"/>
            <w:tcMar>
              <w:left w:w="115" w:type="dxa"/>
              <w:right w:w="288" w:type="dxa"/>
            </w:tcMar>
          </w:tcPr>
          <w:p w14:paraId="11BCA8DB" w14:textId="648D677F" w:rsidR="00832379" w:rsidRPr="00436693" w:rsidRDefault="0087323E" w:rsidP="00832379">
            <w:pPr>
              <w:widowControl w:val="0"/>
              <w:bidi/>
              <w:ind w:right="1242"/>
              <w:jc w:val="right"/>
              <w:rPr>
                <w:rFonts w:asciiTheme="majorBidi" w:hAnsiTheme="majorBidi" w:cstheme="majorBidi"/>
                <w:color w:val="000000"/>
                <w:lang w:val="en-US" w:bidi="ar-AE"/>
              </w:rPr>
            </w:pPr>
            <w:r w:rsidRPr="00436693">
              <w:rPr>
                <w:rFonts w:asciiTheme="majorBidi" w:hAnsiTheme="majorBidi" w:cstheme="majorBidi"/>
                <w:color w:val="000000"/>
                <w:rtl/>
                <w:lang w:val="en-US" w:bidi="ar-AE"/>
              </w:rPr>
              <w:t>190,000</w:t>
            </w:r>
          </w:p>
        </w:tc>
      </w:tr>
      <w:tr w:rsidR="00832379" w:rsidRPr="00436693" w14:paraId="671FC58C" w14:textId="77777777" w:rsidTr="0087323E">
        <w:tc>
          <w:tcPr>
            <w:tcW w:w="3810" w:type="dxa"/>
            <w:tcBorders>
              <w:top w:val="nil"/>
              <w:left w:val="single" w:sz="4" w:space="0" w:color="auto"/>
              <w:bottom w:val="single" w:sz="4" w:space="0" w:color="auto"/>
              <w:right w:val="single" w:sz="4" w:space="0" w:color="auto"/>
            </w:tcBorders>
            <w:shd w:val="clear" w:color="auto" w:fill="auto"/>
          </w:tcPr>
          <w:p w14:paraId="47C2B7DB" w14:textId="7D6FEFD8" w:rsidR="00832379" w:rsidRPr="00436693" w:rsidRDefault="0074273C" w:rsidP="00832379">
            <w:pPr>
              <w:widowControl w:val="0"/>
              <w:bidi/>
              <w:rPr>
                <w:rFonts w:asciiTheme="majorBidi" w:hAnsiTheme="majorBidi" w:cstheme="majorBidi"/>
                <w:color w:val="000000"/>
                <w:lang w:val="en-US" w:bidi="ar-AE"/>
              </w:rPr>
            </w:pPr>
            <w:r w:rsidRPr="00436693">
              <w:rPr>
                <w:rFonts w:asciiTheme="majorBidi" w:hAnsiTheme="majorBidi" w:cstheme="majorBidi"/>
                <w:color w:val="000000"/>
                <w:rtl/>
                <w:lang w:val="en-US" w:bidi="ar-AE"/>
              </w:rPr>
              <w:t>أكثر من 100 وحتى 1,000</w:t>
            </w:r>
          </w:p>
        </w:tc>
        <w:tc>
          <w:tcPr>
            <w:tcW w:w="4050" w:type="dxa"/>
            <w:tcBorders>
              <w:top w:val="nil"/>
              <w:left w:val="nil"/>
              <w:bottom w:val="single" w:sz="4" w:space="0" w:color="auto"/>
              <w:right w:val="single" w:sz="4" w:space="0" w:color="auto"/>
            </w:tcBorders>
            <w:shd w:val="clear" w:color="auto" w:fill="auto"/>
            <w:tcMar>
              <w:left w:w="115" w:type="dxa"/>
              <w:right w:w="288" w:type="dxa"/>
            </w:tcMar>
          </w:tcPr>
          <w:p w14:paraId="14143AC8" w14:textId="4673CD27" w:rsidR="00832379" w:rsidRPr="00436693" w:rsidRDefault="0087323E" w:rsidP="00832379">
            <w:pPr>
              <w:widowControl w:val="0"/>
              <w:bidi/>
              <w:ind w:right="1242"/>
              <w:jc w:val="right"/>
              <w:rPr>
                <w:rFonts w:asciiTheme="majorBidi" w:hAnsiTheme="majorBidi" w:cstheme="majorBidi"/>
                <w:color w:val="000000"/>
                <w:lang w:val="en-US" w:bidi="ar-AE"/>
              </w:rPr>
            </w:pPr>
            <w:r w:rsidRPr="00436693">
              <w:rPr>
                <w:rFonts w:asciiTheme="majorBidi" w:hAnsiTheme="majorBidi" w:cstheme="majorBidi"/>
                <w:color w:val="000000"/>
                <w:rtl/>
                <w:lang w:val="en-US" w:bidi="ar-AE"/>
              </w:rPr>
              <w:t>220,000</w:t>
            </w:r>
          </w:p>
        </w:tc>
      </w:tr>
      <w:tr w:rsidR="00832379" w:rsidRPr="00436693" w14:paraId="3ADF8657" w14:textId="77777777" w:rsidTr="0087323E">
        <w:tc>
          <w:tcPr>
            <w:tcW w:w="3810" w:type="dxa"/>
            <w:tcBorders>
              <w:top w:val="nil"/>
              <w:left w:val="single" w:sz="4" w:space="0" w:color="auto"/>
              <w:bottom w:val="single" w:sz="4" w:space="0" w:color="auto"/>
              <w:right w:val="single" w:sz="4" w:space="0" w:color="auto"/>
            </w:tcBorders>
            <w:shd w:val="clear" w:color="auto" w:fill="auto"/>
          </w:tcPr>
          <w:p w14:paraId="48EA8338" w14:textId="0CBF2392" w:rsidR="00832379" w:rsidRPr="00436693" w:rsidRDefault="0074273C" w:rsidP="00832379">
            <w:pPr>
              <w:widowControl w:val="0"/>
              <w:bidi/>
              <w:rPr>
                <w:rFonts w:asciiTheme="majorBidi" w:hAnsiTheme="majorBidi" w:cstheme="majorBidi"/>
                <w:color w:val="000000"/>
                <w:lang w:val="en-US" w:bidi="ar-AE"/>
              </w:rPr>
            </w:pPr>
            <w:r w:rsidRPr="00436693">
              <w:rPr>
                <w:rFonts w:asciiTheme="majorBidi" w:hAnsiTheme="majorBidi" w:cstheme="majorBidi"/>
                <w:color w:val="000000"/>
                <w:rtl/>
                <w:lang w:val="en-US" w:bidi="ar-AE"/>
              </w:rPr>
              <w:t>أكثر من 1,000 وحتى 2,000</w:t>
            </w:r>
          </w:p>
        </w:tc>
        <w:tc>
          <w:tcPr>
            <w:tcW w:w="4050" w:type="dxa"/>
            <w:tcBorders>
              <w:top w:val="nil"/>
              <w:left w:val="nil"/>
              <w:bottom w:val="single" w:sz="4" w:space="0" w:color="auto"/>
              <w:right w:val="single" w:sz="4" w:space="0" w:color="auto"/>
            </w:tcBorders>
            <w:shd w:val="clear" w:color="auto" w:fill="auto"/>
            <w:tcMar>
              <w:left w:w="115" w:type="dxa"/>
              <w:right w:w="288" w:type="dxa"/>
            </w:tcMar>
          </w:tcPr>
          <w:p w14:paraId="67B8E2BE" w14:textId="32554FA3" w:rsidR="00832379" w:rsidRPr="00436693" w:rsidRDefault="0087323E" w:rsidP="00832379">
            <w:pPr>
              <w:widowControl w:val="0"/>
              <w:bidi/>
              <w:ind w:right="1242"/>
              <w:jc w:val="right"/>
              <w:rPr>
                <w:rFonts w:asciiTheme="majorBidi" w:hAnsiTheme="majorBidi" w:cstheme="majorBidi"/>
                <w:color w:val="000000"/>
                <w:rtl/>
                <w:lang w:val="en-US" w:bidi="ar-AE"/>
              </w:rPr>
            </w:pPr>
            <w:r w:rsidRPr="00436693">
              <w:rPr>
                <w:rFonts w:asciiTheme="majorBidi" w:hAnsiTheme="majorBidi" w:cstheme="majorBidi"/>
                <w:color w:val="000000"/>
                <w:rtl/>
                <w:lang w:val="en-US" w:bidi="ar-AE"/>
              </w:rPr>
              <w:t>230,000</w:t>
            </w:r>
          </w:p>
        </w:tc>
      </w:tr>
      <w:tr w:rsidR="00832379" w:rsidRPr="00436693" w14:paraId="011888DC" w14:textId="77777777" w:rsidTr="00832379">
        <w:tc>
          <w:tcPr>
            <w:tcW w:w="3810" w:type="dxa"/>
            <w:tcBorders>
              <w:top w:val="nil"/>
              <w:left w:val="single" w:sz="4" w:space="0" w:color="auto"/>
              <w:bottom w:val="single" w:sz="4" w:space="0" w:color="auto"/>
              <w:right w:val="single" w:sz="4" w:space="0" w:color="auto"/>
            </w:tcBorders>
            <w:shd w:val="clear" w:color="auto" w:fill="auto"/>
          </w:tcPr>
          <w:p w14:paraId="2C317FFD" w14:textId="09C335DF" w:rsidR="00832379" w:rsidRPr="00436693" w:rsidRDefault="0074273C" w:rsidP="00832379">
            <w:pPr>
              <w:widowControl w:val="0"/>
              <w:bidi/>
              <w:rPr>
                <w:rFonts w:asciiTheme="majorBidi" w:hAnsiTheme="majorBidi" w:cstheme="majorBidi"/>
                <w:color w:val="000000"/>
                <w:lang w:val="en-US" w:bidi="ar-AE"/>
              </w:rPr>
            </w:pPr>
            <w:r w:rsidRPr="00436693">
              <w:rPr>
                <w:rFonts w:asciiTheme="majorBidi" w:hAnsiTheme="majorBidi" w:cstheme="majorBidi"/>
                <w:color w:val="000000"/>
                <w:rtl/>
                <w:lang w:val="en-US" w:bidi="ar-AE"/>
              </w:rPr>
              <w:t>أكثر من 2,000</w:t>
            </w:r>
          </w:p>
        </w:tc>
        <w:tc>
          <w:tcPr>
            <w:tcW w:w="4050" w:type="dxa"/>
            <w:tcBorders>
              <w:top w:val="nil"/>
              <w:left w:val="nil"/>
              <w:bottom w:val="single" w:sz="4" w:space="0" w:color="auto"/>
              <w:right w:val="single" w:sz="4" w:space="0" w:color="auto"/>
            </w:tcBorders>
            <w:shd w:val="clear" w:color="auto" w:fill="auto"/>
            <w:tcMar>
              <w:left w:w="115" w:type="dxa"/>
              <w:right w:w="288" w:type="dxa"/>
            </w:tcMar>
            <w:vAlign w:val="center"/>
          </w:tcPr>
          <w:p w14:paraId="0207D239" w14:textId="4F92D99F" w:rsidR="00832379" w:rsidRPr="00436693" w:rsidRDefault="0087323E" w:rsidP="00832379">
            <w:pPr>
              <w:widowControl w:val="0"/>
              <w:bidi/>
              <w:ind w:right="1242"/>
              <w:jc w:val="right"/>
              <w:rPr>
                <w:rFonts w:asciiTheme="majorBidi" w:hAnsiTheme="majorBidi" w:cstheme="majorBidi"/>
                <w:color w:val="000000"/>
                <w:lang w:val="en-US"/>
              </w:rPr>
            </w:pPr>
            <w:r w:rsidRPr="00436693">
              <w:rPr>
                <w:rFonts w:asciiTheme="majorBidi" w:hAnsiTheme="majorBidi" w:cstheme="majorBidi"/>
                <w:color w:val="000000"/>
                <w:rtl/>
                <w:lang w:val="en-US"/>
              </w:rPr>
              <w:t>كل حالة على حدى</w:t>
            </w:r>
          </w:p>
        </w:tc>
      </w:tr>
    </w:tbl>
    <w:p w14:paraId="69847A1F" w14:textId="77777777" w:rsidR="00832379" w:rsidRPr="00436693" w:rsidRDefault="00832379" w:rsidP="00832379">
      <w:pPr>
        <w:bidi/>
        <w:rPr>
          <w:rFonts w:asciiTheme="majorBidi" w:hAnsiTheme="majorBidi" w:cstheme="majorBidi"/>
          <w:highlight w:val="yellow"/>
          <w:rtl/>
          <w:lang w:val="en-US" w:bidi="ar-AE"/>
        </w:rPr>
      </w:pPr>
    </w:p>
    <w:p w14:paraId="2522F539" w14:textId="77777777" w:rsidR="0045481A" w:rsidRPr="00436693" w:rsidRDefault="0045481A" w:rsidP="00806858">
      <w:pPr>
        <w:bidi/>
        <w:spacing w:line="288" w:lineRule="auto"/>
        <w:rPr>
          <w:sz w:val="26"/>
          <w:szCs w:val="26"/>
        </w:rPr>
      </w:pPr>
      <w:r w:rsidRPr="00436693">
        <w:rPr>
          <w:sz w:val="26"/>
          <w:szCs w:val="26"/>
          <w:rtl/>
        </w:rPr>
        <w:t>[خصم على الاستطلاعات السابقة التي أجريت]</w:t>
      </w:r>
    </w:p>
    <w:p w14:paraId="49265A62" w14:textId="77777777" w:rsidR="0045481A" w:rsidRPr="00436693" w:rsidRDefault="0045481A" w:rsidP="00436693">
      <w:pPr>
        <w:bidi/>
        <w:rPr>
          <w:sz w:val="26"/>
          <w:szCs w:val="26"/>
        </w:rPr>
      </w:pPr>
    </w:p>
    <w:p w14:paraId="5F6630CD" w14:textId="77777777" w:rsidR="0045481A" w:rsidRPr="00436693" w:rsidRDefault="0045481A" w:rsidP="00806858">
      <w:pPr>
        <w:bidi/>
        <w:spacing w:line="288" w:lineRule="auto"/>
        <w:rPr>
          <w:sz w:val="26"/>
          <w:szCs w:val="26"/>
        </w:rPr>
      </w:pPr>
      <w:r w:rsidRPr="00436693">
        <w:rPr>
          <w:sz w:val="26"/>
          <w:szCs w:val="26"/>
          <w:rtl/>
        </w:rPr>
        <w:t>[بالنسبة للبلدان التي لم تصادق على تعديل كيغالي لكنها تضمنت التزاماً بالمصادقة والموافقة من حيث المبدأ ووقف التمويل إلى حين المصادقة]</w:t>
      </w:r>
    </w:p>
    <w:p w14:paraId="6E6B0216" w14:textId="77777777" w:rsidR="0045481A" w:rsidRPr="00436693" w:rsidRDefault="0045481A" w:rsidP="00436693">
      <w:pPr>
        <w:bidi/>
        <w:rPr>
          <w:sz w:val="26"/>
          <w:szCs w:val="26"/>
        </w:rPr>
      </w:pPr>
    </w:p>
    <w:p w14:paraId="1A3BE920" w14:textId="1B32D4F8" w:rsidR="0045481A" w:rsidRPr="00436693" w:rsidRDefault="0045481A" w:rsidP="006E5F99">
      <w:pPr>
        <w:pStyle w:val="ListParagraph"/>
        <w:numPr>
          <w:ilvl w:val="0"/>
          <w:numId w:val="12"/>
        </w:numPr>
        <w:bidi/>
        <w:spacing w:after="240" w:line="288" w:lineRule="auto"/>
        <w:ind w:left="1440" w:hanging="720"/>
        <w:contextualSpacing w:val="0"/>
        <w:rPr>
          <w:sz w:val="26"/>
          <w:szCs w:val="26"/>
        </w:rPr>
      </w:pPr>
      <w:r w:rsidRPr="00436693">
        <w:rPr>
          <w:sz w:val="26"/>
          <w:szCs w:val="26"/>
          <w:rtl/>
        </w:rPr>
        <w:t>أن تحدد وتوفر التمويل لإعداد المرحلة الأولى من أي خطط إقليمية لإزالة المواد الهيدروفلوروكربونية وللبلدان التي يزيد استهلاكها الأساسي من المواد الهيدروكلوروفلوروكربونية عن 2,000 طن من قدرات استنفاد الأوزون على أساس كل حالة على حدة؛</w:t>
      </w:r>
    </w:p>
    <w:p w14:paraId="076B3018" w14:textId="77777777" w:rsidR="0045481A" w:rsidRPr="00436693" w:rsidRDefault="0045481A" w:rsidP="006E5F99">
      <w:pPr>
        <w:pStyle w:val="ListParagraph"/>
        <w:numPr>
          <w:ilvl w:val="0"/>
          <w:numId w:val="12"/>
        </w:numPr>
        <w:bidi/>
        <w:spacing w:after="240" w:line="288" w:lineRule="auto"/>
        <w:ind w:left="1440" w:hanging="720"/>
        <w:contextualSpacing w:val="0"/>
        <w:rPr>
          <w:sz w:val="26"/>
          <w:szCs w:val="26"/>
        </w:rPr>
      </w:pPr>
      <w:r w:rsidRPr="00436693">
        <w:rPr>
          <w:sz w:val="26"/>
          <w:szCs w:val="26"/>
          <w:rtl/>
        </w:rPr>
        <w:lastRenderedPageBreak/>
        <w:t xml:space="preserve"> [بالنسبة للبلدان التي تختار تنفيذ المشاريع الاستثمارية الفردية الخاصة بالمواد الهيدروفلوروكربونية قبل تقديم المرحلة الأولى من خطط إزالة المواد الهيدروفلوروكربونية، ينبغي أن تؤدي الموافقة على كل مشروع إلى إزالة المواد الهيدروفلوروكربونية لحساب الاستهلاك المؤهل المحدد في خطة إزالة المواد الهيدروفلوروكربونية، كما ينبغي أن تشير إلى كيفية ارتباط المشروع الاستثماري بتلبية الاستراتيجية الشاملة للبلد، وموعد تقديم خطة إزالة المواد الهيدروفلوروكربونية؛]</w:t>
      </w:r>
    </w:p>
    <w:p w14:paraId="3620B66D" w14:textId="77777777" w:rsidR="0045481A" w:rsidRPr="00436693" w:rsidRDefault="0045481A" w:rsidP="006E5F99">
      <w:pPr>
        <w:pStyle w:val="ListParagraph"/>
        <w:numPr>
          <w:ilvl w:val="0"/>
          <w:numId w:val="12"/>
        </w:numPr>
        <w:bidi/>
        <w:spacing w:after="240" w:line="288" w:lineRule="auto"/>
        <w:ind w:left="1440" w:hanging="720"/>
        <w:contextualSpacing w:val="0"/>
        <w:rPr>
          <w:sz w:val="26"/>
          <w:szCs w:val="26"/>
        </w:rPr>
      </w:pPr>
      <w:r w:rsidRPr="00436693">
        <w:rPr>
          <w:sz w:val="26"/>
          <w:szCs w:val="26"/>
          <w:rtl/>
        </w:rPr>
        <w:t>لتوفير التمويل لأيٍ من البلدان المدرجة في المادة 5 التي تتمتع بقطاع تصنيع يستخدم المواد الهيدروفلوروكربونية وفقاً لعدد مؤسسات التصنيع التي يتعين تحويلها تماشياً مع المقرر 56/16(د) و(و)، على النحو التالي:</w:t>
      </w:r>
    </w:p>
    <w:p w14:paraId="200345CC" w14:textId="77777777" w:rsidR="0045481A" w:rsidRPr="00436693" w:rsidRDefault="0045481A" w:rsidP="004C29A8">
      <w:pPr>
        <w:pStyle w:val="Heading3"/>
        <w:numPr>
          <w:ilvl w:val="0"/>
          <w:numId w:val="15"/>
        </w:numPr>
        <w:bidi/>
        <w:ind w:left="2160" w:hanging="720"/>
        <w:rPr>
          <w:sz w:val="26"/>
          <w:szCs w:val="26"/>
        </w:rPr>
      </w:pPr>
      <w:r w:rsidRPr="00436693">
        <w:rPr>
          <w:sz w:val="26"/>
          <w:szCs w:val="26"/>
          <w:rtl/>
        </w:rPr>
        <w:t>شركة واحدة سيتم تحويلها في قطاع التصنيع: 30,000 دولار أمريكي؛</w:t>
      </w:r>
    </w:p>
    <w:p w14:paraId="3899608D" w14:textId="77777777" w:rsidR="0045481A" w:rsidRPr="00436693" w:rsidRDefault="0045481A" w:rsidP="004C29A8">
      <w:pPr>
        <w:pStyle w:val="Heading3"/>
        <w:numPr>
          <w:ilvl w:val="0"/>
          <w:numId w:val="15"/>
        </w:numPr>
        <w:bidi/>
        <w:ind w:left="2160" w:hanging="720"/>
        <w:rPr>
          <w:sz w:val="26"/>
          <w:szCs w:val="26"/>
        </w:rPr>
      </w:pPr>
      <w:r w:rsidRPr="00436693">
        <w:rPr>
          <w:sz w:val="26"/>
          <w:szCs w:val="26"/>
          <w:rtl/>
        </w:rPr>
        <w:t>شركتان سيتم تحويلهما في قطاع التصنيع: 60,000 دولار أمريكي؛</w:t>
      </w:r>
    </w:p>
    <w:p w14:paraId="6F19D8F6" w14:textId="77777777" w:rsidR="0045481A" w:rsidRPr="00436693" w:rsidRDefault="0045481A" w:rsidP="004C29A8">
      <w:pPr>
        <w:pStyle w:val="Heading3"/>
        <w:numPr>
          <w:ilvl w:val="0"/>
          <w:numId w:val="15"/>
        </w:numPr>
        <w:bidi/>
        <w:ind w:left="2160" w:hanging="720"/>
        <w:rPr>
          <w:sz w:val="26"/>
          <w:szCs w:val="26"/>
        </w:rPr>
      </w:pPr>
      <w:r w:rsidRPr="00436693">
        <w:rPr>
          <w:sz w:val="26"/>
          <w:szCs w:val="26"/>
          <w:rtl/>
        </w:rPr>
        <w:t>من ثلاث إلى 14 شركة سيتم تحويلها في قطاع التصنيع: 80,000 ألف دولار أمريكي؛</w:t>
      </w:r>
    </w:p>
    <w:p w14:paraId="4DA54A1B" w14:textId="77777777" w:rsidR="0045481A" w:rsidRPr="00436693" w:rsidRDefault="0045481A" w:rsidP="004C29A8">
      <w:pPr>
        <w:pStyle w:val="Heading3"/>
        <w:numPr>
          <w:ilvl w:val="0"/>
          <w:numId w:val="15"/>
        </w:numPr>
        <w:bidi/>
        <w:ind w:left="2160" w:hanging="720"/>
        <w:rPr>
          <w:sz w:val="26"/>
          <w:szCs w:val="26"/>
        </w:rPr>
      </w:pPr>
      <w:r w:rsidRPr="00436693">
        <w:rPr>
          <w:sz w:val="26"/>
          <w:szCs w:val="26"/>
          <w:rtl/>
        </w:rPr>
        <w:t>خمسة عشر شركة أو أكثر سيتم تحويلها في قطاع التصنيع: 150,000 دولار أمريكي؛ و</w:t>
      </w:r>
    </w:p>
    <w:p w14:paraId="5918C7A5" w14:textId="77777777" w:rsidR="0045481A" w:rsidRPr="00436693" w:rsidRDefault="0045481A" w:rsidP="004C29A8">
      <w:pPr>
        <w:pStyle w:val="Heading3"/>
        <w:numPr>
          <w:ilvl w:val="0"/>
          <w:numId w:val="15"/>
        </w:numPr>
        <w:bidi/>
        <w:ind w:left="2160" w:hanging="720"/>
        <w:rPr>
          <w:sz w:val="26"/>
          <w:szCs w:val="26"/>
        </w:rPr>
      </w:pPr>
      <w:r w:rsidRPr="00436693">
        <w:rPr>
          <w:sz w:val="26"/>
          <w:szCs w:val="26"/>
          <w:rtl/>
        </w:rPr>
        <w:t>حصر الحد الأقصى للتمويل المقدم لإعداد المكون الاستثماري لأي دولة حسب الجدول أدناه:</w:t>
      </w:r>
    </w:p>
    <w:p w14:paraId="4530C260" w14:textId="77777777" w:rsidR="00830A34" w:rsidRPr="00436693" w:rsidRDefault="00830A34" w:rsidP="00436693">
      <w:pPr>
        <w:widowControl w:val="0"/>
        <w:bidi/>
        <w:spacing w:after="240"/>
        <w:ind w:left="2160"/>
        <w:outlineLvl w:val="2"/>
        <w:rPr>
          <w:sz w:val="26"/>
          <w:szCs w:val="26"/>
        </w:rPr>
      </w:pPr>
    </w:p>
    <w:tbl>
      <w:tblPr>
        <w:tblStyle w:val="TableGrid"/>
        <w:bidiVisual/>
        <w:tblW w:w="7200" w:type="dxa"/>
        <w:tblInd w:w="2155" w:type="dxa"/>
        <w:tblLook w:val="01E0" w:firstRow="1" w:lastRow="1" w:firstColumn="1" w:lastColumn="1" w:noHBand="0" w:noVBand="0"/>
      </w:tblPr>
      <w:tblGrid>
        <w:gridCol w:w="3983"/>
        <w:gridCol w:w="3217"/>
      </w:tblGrid>
      <w:tr w:rsidR="00CF51CF" w:rsidRPr="00F24280" w14:paraId="50F90A45" w14:textId="77777777" w:rsidTr="00CF51CF">
        <w:tc>
          <w:tcPr>
            <w:tcW w:w="3983" w:type="dxa"/>
          </w:tcPr>
          <w:p w14:paraId="0E51FD57" w14:textId="41E4603F" w:rsidR="00CF51CF" w:rsidRPr="00F24280" w:rsidRDefault="00F24280" w:rsidP="00F24280">
            <w:pPr>
              <w:keepNext/>
              <w:bidi/>
              <w:rPr>
                <w:b/>
                <w:bCs/>
                <w:lang w:bidi="ar-AE"/>
              </w:rPr>
            </w:pPr>
            <w:r w:rsidRPr="00F24280">
              <w:rPr>
                <w:rFonts w:hint="cs"/>
                <w:b/>
                <w:bCs/>
                <w:color w:val="000000"/>
                <w:rtl/>
                <w:lang w:val="en-US" w:bidi="ar-AE"/>
              </w:rPr>
              <w:t>خط الأساس للمواد الهيدروكلوروفلوروكربونية (طن من قدرات استنفاد الأوزون)</w:t>
            </w:r>
          </w:p>
        </w:tc>
        <w:tc>
          <w:tcPr>
            <w:tcW w:w="3217" w:type="dxa"/>
          </w:tcPr>
          <w:p w14:paraId="7A70B5BD" w14:textId="4EBDFF8E" w:rsidR="00CF51CF" w:rsidRPr="00F24280" w:rsidRDefault="00F24280" w:rsidP="00F24280">
            <w:pPr>
              <w:keepNext/>
              <w:bidi/>
              <w:jc w:val="center"/>
              <w:rPr>
                <w:b/>
                <w:bCs/>
                <w:rtl/>
                <w:lang w:val="en-US" w:bidi="ar-AE"/>
              </w:rPr>
            </w:pPr>
            <w:r w:rsidRPr="00F24280">
              <w:rPr>
                <w:rFonts w:hint="cs"/>
                <w:b/>
                <w:bCs/>
                <w:rtl/>
                <w:lang w:val="en-US" w:bidi="ar-AE"/>
              </w:rPr>
              <w:t>حد التمويل (دولار أمريكي)</w:t>
            </w:r>
          </w:p>
        </w:tc>
      </w:tr>
      <w:tr w:rsidR="00CF51CF" w:rsidRPr="00F24280" w14:paraId="05D49702" w14:textId="77777777" w:rsidTr="00CF51CF">
        <w:tc>
          <w:tcPr>
            <w:tcW w:w="3983" w:type="dxa"/>
          </w:tcPr>
          <w:p w14:paraId="7D0BE795" w14:textId="16B0EF33" w:rsidR="00CF51CF" w:rsidRPr="00F24280" w:rsidRDefault="00F24280" w:rsidP="00F24280">
            <w:pPr>
              <w:bidi/>
            </w:pPr>
            <w:r>
              <w:rPr>
                <w:rFonts w:hint="cs"/>
                <w:rtl/>
              </w:rPr>
              <w:t>أكثر من 100</w:t>
            </w:r>
          </w:p>
        </w:tc>
        <w:tc>
          <w:tcPr>
            <w:tcW w:w="3217" w:type="dxa"/>
          </w:tcPr>
          <w:p w14:paraId="4CC03C42" w14:textId="4D26997A" w:rsidR="00CF51CF" w:rsidRPr="00F24280" w:rsidRDefault="00F24280" w:rsidP="00F24280">
            <w:pPr>
              <w:bidi/>
              <w:ind w:right="976"/>
              <w:jc w:val="right"/>
              <w:rPr>
                <w:lang w:bidi="ar-AE"/>
              </w:rPr>
            </w:pPr>
            <w:r>
              <w:rPr>
                <w:rFonts w:hint="cs"/>
                <w:rtl/>
                <w:lang w:bidi="ar-AE"/>
              </w:rPr>
              <w:t>100,000</w:t>
            </w:r>
          </w:p>
        </w:tc>
      </w:tr>
      <w:tr w:rsidR="00CF51CF" w:rsidRPr="00F24280" w14:paraId="26B9585F" w14:textId="77777777" w:rsidTr="00CF51CF">
        <w:tc>
          <w:tcPr>
            <w:tcW w:w="3983" w:type="dxa"/>
          </w:tcPr>
          <w:p w14:paraId="47B1D1D6" w14:textId="63DECF78" w:rsidR="00CF51CF" w:rsidRPr="00F24280" w:rsidRDefault="00F24280" w:rsidP="00F24280">
            <w:pPr>
              <w:bidi/>
              <w:rPr>
                <w:rtl/>
                <w:lang w:bidi="ar-AE"/>
              </w:rPr>
            </w:pPr>
            <w:r>
              <w:rPr>
                <w:rFonts w:hint="cs"/>
                <w:rtl/>
                <w:lang w:bidi="ar-AE"/>
              </w:rPr>
              <w:t>101-300</w:t>
            </w:r>
          </w:p>
        </w:tc>
        <w:tc>
          <w:tcPr>
            <w:tcW w:w="3217" w:type="dxa"/>
          </w:tcPr>
          <w:p w14:paraId="0BCBDBBB" w14:textId="738BC342" w:rsidR="00CF51CF" w:rsidRPr="00F24280" w:rsidRDefault="00F26E32" w:rsidP="00F24280">
            <w:pPr>
              <w:bidi/>
              <w:ind w:right="976"/>
              <w:jc w:val="right"/>
              <w:rPr>
                <w:lang w:bidi="ar-AE"/>
              </w:rPr>
            </w:pPr>
            <w:r>
              <w:rPr>
                <w:rFonts w:hint="cs"/>
                <w:rtl/>
                <w:lang w:bidi="ar-AE"/>
              </w:rPr>
              <w:t>200,000</w:t>
            </w:r>
          </w:p>
        </w:tc>
      </w:tr>
      <w:tr w:rsidR="00CF51CF" w:rsidRPr="00F24280" w14:paraId="316768D7" w14:textId="77777777" w:rsidTr="00CF51CF">
        <w:trPr>
          <w:trHeight w:val="179"/>
        </w:trPr>
        <w:tc>
          <w:tcPr>
            <w:tcW w:w="3983" w:type="dxa"/>
          </w:tcPr>
          <w:p w14:paraId="2F7FFA45" w14:textId="2D422F58" w:rsidR="00CF51CF" w:rsidRPr="00F24280" w:rsidRDefault="00F24280" w:rsidP="00F24280">
            <w:pPr>
              <w:bidi/>
            </w:pPr>
            <w:r>
              <w:rPr>
                <w:rFonts w:hint="cs"/>
                <w:rtl/>
              </w:rPr>
              <w:t>301-500</w:t>
            </w:r>
          </w:p>
        </w:tc>
        <w:tc>
          <w:tcPr>
            <w:tcW w:w="3217" w:type="dxa"/>
          </w:tcPr>
          <w:p w14:paraId="5BB10706" w14:textId="2009839C" w:rsidR="00CF51CF" w:rsidRPr="00F24280" w:rsidRDefault="00F26E32" w:rsidP="00F24280">
            <w:pPr>
              <w:bidi/>
              <w:ind w:right="976"/>
              <w:jc w:val="right"/>
              <w:rPr>
                <w:lang w:bidi="ar-AE"/>
              </w:rPr>
            </w:pPr>
            <w:r>
              <w:rPr>
                <w:rFonts w:hint="cs"/>
                <w:rtl/>
                <w:lang w:bidi="ar-AE"/>
              </w:rPr>
              <w:t>250,000</w:t>
            </w:r>
          </w:p>
        </w:tc>
      </w:tr>
      <w:tr w:rsidR="00CF51CF" w:rsidRPr="00F24280" w14:paraId="31914B66" w14:textId="77777777" w:rsidTr="00CF51CF">
        <w:tc>
          <w:tcPr>
            <w:tcW w:w="3983" w:type="dxa"/>
            <w:tcBorders>
              <w:bottom w:val="single" w:sz="2" w:space="0" w:color="auto"/>
            </w:tcBorders>
          </w:tcPr>
          <w:p w14:paraId="672DDD04" w14:textId="3D1FF5B8" w:rsidR="00CF51CF" w:rsidRPr="00F24280" w:rsidRDefault="00F24280" w:rsidP="00F24280">
            <w:pPr>
              <w:bidi/>
            </w:pPr>
            <w:r>
              <w:rPr>
                <w:rFonts w:hint="cs"/>
                <w:rtl/>
              </w:rPr>
              <w:t>501-1,000</w:t>
            </w:r>
          </w:p>
        </w:tc>
        <w:tc>
          <w:tcPr>
            <w:tcW w:w="3217" w:type="dxa"/>
            <w:tcBorders>
              <w:bottom w:val="single" w:sz="2" w:space="0" w:color="auto"/>
            </w:tcBorders>
          </w:tcPr>
          <w:p w14:paraId="6584C548" w14:textId="5277FF12" w:rsidR="00CF51CF" w:rsidRPr="00F24280" w:rsidRDefault="00F26E32" w:rsidP="00F24280">
            <w:pPr>
              <w:bidi/>
              <w:ind w:right="976"/>
              <w:jc w:val="right"/>
              <w:rPr>
                <w:lang w:bidi="ar-AE"/>
              </w:rPr>
            </w:pPr>
            <w:r>
              <w:rPr>
                <w:rFonts w:hint="cs"/>
                <w:rtl/>
                <w:lang w:bidi="ar-AE"/>
              </w:rPr>
              <w:t>300,000</w:t>
            </w:r>
          </w:p>
        </w:tc>
      </w:tr>
      <w:tr w:rsidR="00CF51CF" w:rsidRPr="00F24280" w14:paraId="3BB92935" w14:textId="77777777" w:rsidTr="00CF51CF">
        <w:tc>
          <w:tcPr>
            <w:tcW w:w="3983" w:type="dxa"/>
            <w:tcBorders>
              <w:top w:val="single" w:sz="2" w:space="0" w:color="auto"/>
              <w:left w:val="single" w:sz="2" w:space="0" w:color="auto"/>
              <w:bottom w:val="single" w:sz="2" w:space="0" w:color="auto"/>
              <w:right w:val="single" w:sz="2" w:space="0" w:color="auto"/>
            </w:tcBorders>
          </w:tcPr>
          <w:p w14:paraId="2E0665A4" w14:textId="5D7F9D03" w:rsidR="00CF51CF" w:rsidRPr="00F24280" w:rsidRDefault="00F24280" w:rsidP="00F24280">
            <w:pPr>
              <w:bidi/>
              <w:rPr>
                <w:rtl/>
                <w:lang w:bidi="ar-AE"/>
              </w:rPr>
            </w:pPr>
            <w:r>
              <w:rPr>
                <w:rFonts w:hint="cs"/>
                <w:rtl/>
                <w:lang w:bidi="ar-AE"/>
              </w:rPr>
              <w:t>1,001 وما فوق</w:t>
            </w:r>
          </w:p>
        </w:tc>
        <w:tc>
          <w:tcPr>
            <w:tcW w:w="3217" w:type="dxa"/>
            <w:tcBorders>
              <w:top w:val="single" w:sz="2" w:space="0" w:color="auto"/>
              <w:left w:val="single" w:sz="2" w:space="0" w:color="auto"/>
              <w:bottom w:val="single" w:sz="2" w:space="0" w:color="auto"/>
              <w:right w:val="single" w:sz="2" w:space="0" w:color="auto"/>
            </w:tcBorders>
          </w:tcPr>
          <w:p w14:paraId="46761966" w14:textId="7CAA549C" w:rsidR="00CF51CF" w:rsidRPr="00F26E32" w:rsidRDefault="00F26E32" w:rsidP="00F24280">
            <w:pPr>
              <w:bidi/>
              <w:ind w:right="976"/>
              <w:jc w:val="right"/>
              <w:rPr>
                <w:rtl/>
                <w:lang w:val="en-US" w:bidi="ar-AE"/>
              </w:rPr>
            </w:pPr>
            <w:r>
              <w:rPr>
                <w:rFonts w:hint="cs"/>
                <w:rtl/>
                <w:lang w:val="en-US" w:bidi="ar-AE"/>
              </w:rPr>
              <w:t>400,000</w:t>
            </w:r>
          </w:p>
        </w:tc>
      </w:tr>
    </w:tbl>
    <w:p w14:paraId="561A7BF1" w14:textId="77777777" w:rsidR="0045481A" w:rsidRPr="00436693" w:rsidRDefault="0045481A" w:rsidP="00A6134F">
      <w:pPr>
        <w:keepNext/>
        <w:keepLines/>
        <w:bidi/>
        <w:rPr>
          <w:sz w:val="26"/>
          <w:szCs w:val="26"/>
          <w:lang w:bidi="ar-AE"/>
        </w:rPr>
      </w:pPr>
    </w:p>
    <w:p w14:paraId="5111ABA2" w14:textId="77777777" w:rsidR="0045481A" w:rsidRPr="00436693" w:rsidRDefault="0045481A" w:rsidP="006E5F99">
      <w:pPr>
        <w:pStyle w:val="ListParagraph"/>
        <w:numPr>
          <w:ilvl w:val="0"/>
          <w:numId w:val="12"/>
        </w:numPr>
        <w:bidi/>
        <w:spacing w:after="240" w:line="288" w:lineRule="auto"/>
        <w:ind w:left="1440" w:hanging="720"/>
        <w:contextualSpacing w:val="0"/>
        <w:rPr>
          <w:sz w:val="26"/>
          <w:szCs w:val="26"/>
        </w:rPr>
      </w:pPr>
      <w:r w:rsidRPr="00436693">
        <w:rPr>
          <w:sz w:val="26"/>
          <w:szCs w:val="26"/>
          <w:rtl/>
        </w:rPr>
        <w:t>أن تطلب من الوكالات الثنائية والمنفذة، عند تقديم المرحلة الأولى من خطط إزالة المواد الهيدروفلوروكربونية بالنيابة عن البلدان المدرجة في المادة 5، تضمين:</w:t>
      </w:r>
    </w:p>
    <w:p w14:paraId="2DF252F3" w14:textId="0820FAF9" w:rsidR="0045481A" w:rsidRPr="00436693" w:rsidRDefault="0045481A" w:rsidP="00806858">
      <w:pPr>
        <w:pStyle w:val="Heading3"/>
        <w:numPr>
          <w:ilvl w:val="0"/>
          <w:numId w:val="16"/>
        </w:numPr>
        <w:bidi/>
        <w:spacing w:line="288" w:lineRule="auto"/>
        <w:ind w:left="2160" w:hanging="720"/>
        <w:rPr>
          <w:sz w:val="26"/>
          <w:szCs w:val="26"/>
        </w:rPr>
      </w:pPr>
      <w:r w:rsidRPr="00436693">
        <w:rPr>
          <w:sz w:val="26"/>
          <w:szCs w:val="26"/>
          <w:rtl/>
        </w:rPr>
        <w:t>التأكيد على تمتع البلد بنظام ترخيص وحصص وطني راسخ وقابل للتنفيذ لرصد واردات/صادرات المواد الهيدروفلوروكربونية، بما يتفق مع المقرر 63/17؛</w:t>
      </w:r>
    </w:p>
    <w:p w14:paraId="4464F9BC" w14:textId="7448E3DE" w:rsidR="0045481A" w:rsidRPr="00436693" w:rsidRDefault="0045481A" w:rsidP="00806858">
      <w:pPr>
        <w:pStyle w:val="Heading3"/>
        <w:numPr>
          <w:ilvl w:val="0"/>
          <w:numId w:val="16"/>
        </w:numPr>
        <w:bidi/>
        <w:spacing w:line="288" w:lineRule="auto"/>
        <w:ind w:left="2160" w:hanging="720"/>
        <w:rPr>
          <w:sz w:val="26"/>
          <w:szCs w:val="26"/>
        </w:rPr>
      </w:pPr>
      <w:r w:rsidRPr="00436693">
        <w:rPr>
          <w:sz w:val="26"/>
          <w:szCs w:val="26"/>
          <w:rtl/>
        </w:rPr>
        <w:t>[التزام الحكومة [عبر إدراج إجراءات محددة في الخطة] بهدف ضمان فرض حدودٍ على النمو في استهلاك المواد الهيدروفلوروكربونية واستدامة إزالة المواد الهيدروفلوروكربونية مع مرور الوقت؛]</w:t>
      </w:r>
    </w:p>
    <w:p w14:paraId="70CD89BF" w14:textId="2B5AAB71" w:rsidR="0045481A" w:rsidRPr="00436693" w:rsidRDefault="0045481A" w:rsidP="00806858">
      <w:pPr>
        <w:pStyle w:val="Heading3"/>
        <w:numPr>
          <w:ilvl w:val="0"/>
          <w:numId w:val="16"/>
        </w:numPr>
        <w:bidi/>
        <w:spacing w:line="288" w:lineRule="auto"/>
        <w:ind w:left="2160" w:hanging="720"/>
        <w:rPr>
          <w:sz w:val="26"/>
          <w:szCs w:val="26"/>
        </w:rPr>
      </w:pPr>
      <w:r w:rsidRPr="00436693">
        <w:rPr>
          <w:sz w:val="26"/>
          <w:szCs w:val="26"/>
          <w:rtl/>
        </w:rPr>
        <w:t>[العمل المدمج للمواد الهيدروكلوروفلوروكربونية والمواد الهيدروفلوروكربونية في قطاع الخدمة؛]</w:t>
      </w:r>
    </w:p>
    <w:p w14:paraId="182A462C" w14:textId="77777777" w:rsidR="0045481A" w:rsidRPr="00436693" w:rsidRDefault="0045481A" w:rsidP="00806858">
      <w:pPr>
        <w:pStyle w:val="Heading3"/>
        <w:numPr>
          <w:ilvl w:val="0"/>
          <w:numId w:val="16"/>
        </w:numPr>
        <w:bidi/>
        <w:spacing w:line="288" w:lineRule="auto"/>
        <w:ind w:left="2160" w:hanging="720"/>
        <w:rPr>
          <w:sz w:val="26"/>
          <w:szCs w:val="26"/>
        </w:rPr>
      </w:pPr>
      <w:r w:rsidRPr="00436693">
        <w:rPr>
          <w:sz w:val="26"/>
          <w:szCs w:val="26"/>
          <w:rtl/>
        </w:rPr>
        <w:t xml:space="preserve"> [نظرة عامة على الأنشطة الممولة مسبقاً؛]</w:t>
      </w:r>
    </w:p>
    <w:p w14:paraId="28D2BB1C" w14:textId="77777777" w:rsidR="0045481A" w:rsidRPr="00436693" w:rsidRDefault="0045481A" w:rsidP="00806858">
      <w:pPr>
        <w:pStyle w:val="Heading3"/>
        <w:numPr>
          <w:ilvl w:val="0"/>
          <w:numId w:val="16"/>
        </w:numPr>
        <w:bidi/>
        <w:spacing w:line="288" w:lineRule="auto"/>
        <w:ind w:left="2160" w:hanging="720"/>
        <w:rPr>
          <w:sz w:val="26"/>
          <w:szCs w:val="26"/>
        </w:rPr>
      </w:pPr>
      <w:r w:rsidRPr="00436693">
        <w:rPr>
          <w:sz w:val="26"/>
          <w:szCs w:val="26"/>
          <w:rtl/>
        </w:rPr>
        <w:lastRenderedPageBreak/>
        <w:t>(2) [القدرة المؤسسية؛ و]</w:t>
      </w:r>
    </w:p>
    <w:p w14:paraId="3760F2B2" w14:textId="2475CFEE" w:rsidR="0045481A" w:rsidRPr="00436693" w:rsidRDefault="0045481A" w:rsidP="006E5F99">
      <w:pPr>
        <w:pStyle w:val="ListParagraph"/>
        <w:numPr>
          <w:ilvl w:val="0"/>
          <w:numId w:val="12"/>
        </w:numPr>
        <w:bidi/>
        <w:spacing w:after="240" w:line="288" w:lineRule="auto"/>
        <w:ind w:left="1440" w:hanging="720"/>
        <w:contextualSpacing w:val="0"/>
        <w:rPr>
          <w:sz w:val="26"/>
          <w:szCs w:val="26"/>
        </w:rPr>
      </w:pPr>
      <w:r w:rsidRPr="00436693">
        <w:rPr>
          <w:sz w:val="26"/>
          <w:szCs w:val="26"/>
          <w:rtl/>
        </w:rPr>
        <w:t>أن تطلب إلى الأمانة، بمساعدة الوكالات الثنائية والمنفذة، بتحضير دليل لإعداد المرحلة الأولى من خطط إزالة المواد الهيدروفلوروكربونية التي يمكن أن تستخدمها البلدان المدرجة في المادة 5".</w:t>
      </w:r>
    </w:p>
    <w:p w14:paraId="1D4B621F" w14:textId="77777777" w:rsidR="0045481A" w:rsidRPr="00436693" w:rsidRDefault="0045481A" w:rsidP="00A6134F">
      <w:pPr>
        <w:keepNext/>
        <w:keepLines/>
        <w:bidi/>
        <w:rPr>
          <w:bCs/>
          <w:sz w:val="26"/>
          <w:szCs w:val="26"/>
        </w:rPr>
      </w:pPr>
      <w:r w:rsidRPr="00436693">
        <w:rPr>
          <w:bCs/>
          <w:sz w:val="26"/>
          <w:szCs w:val="26"/>
          <w:rtl/>
        </w:rPr>
        <w:t>التوصية</w:t>
      </w:r>
    </w:p>
    <w:p w14:paraId="6FFFEF5D" w14:textId="77777777" w:rsidR="0045481A" w:rsidRPr="00436693" w:rsidRDefault="0045481A" w:rsidP="00A6134F">
      <w:pPr>
        <w:keepNext/>
        <w:keepLines/>
        <w:bidi/>
        <w:rPr>
          <w:sz w:val="26"/>
          <w:szCs w:val="26"/>
        </w:rPr>
      </w:pPr>
    </w:p>
    <w:p w14:paraId="488EB427" w14:textId="77777777" w:rsidR="0045481A" w:rsidRPr="00436693" w:rsidRDefault="0045481A" w:rsidP="00806858">
      <w:pPr>
        <w:pStyle w:val="Heading1"/>
        <w:numPr>
          <w:ilvl w:val="0"/>
          <w:numId w:val="10"/>
        </w:numPr>
        <w:bidi/>
        <w:spacing w:line="288" w:lineRule="auto"/>
        <w:rPr>
          <w:sz w:val="26"/>
          <w:szCs w:val="26"/>
        </w:rPr>
      </w:pPr>
      <w:r w:rsidRPr="00436693">
        <w:rPr>
          <w:sz w:val="26"/>
          <w:szCs w:val="26"/>
          <w:rtl/>
        </w:rPr>
        <w:t>قد ترغب اللجنة التنفيذية في:</w:t>
      </w:r>
    </w:p>
    <w:p w14:paraId="25A20F44" w14:textId="506FE830" w:rsidR="0045481A" w:rsidRPr="00436693" w:rsidRDefault="0045481A" w:rsidP="00806858">
      <w:pPr>
        <w:pStyle w:val="ListParagraph"/>
        <w:numPr>
          <w:ilvl w:val="0"/>
          <w:numId w:val="17"/>
        </w:numPr>
        <w:bidi/>
        <w:spacing w:after="240" w:line="288" w:lineRule="auto"/>
        <w:ind w:left="1440" w:hanging="720"/>
        <w:contextualSpacing w:val="0"/>
        <w:rPr>
          <w:sz w:val="26"/>
          <w:szCs w:val="26"/>
        </w:rPr>
      </w:pPr>
      <w:r w:rsidRPr="00436693">
        <w:rPr>
          <w:sz w:val="26"/>
          <w:szCs w:val="26"/>
          <w:rtl/>
        </w:rPr>
        <w:t xml:space="preserve">أن تحيط علماً بمشروع المبادئ التوجيهية لإعداد خطط إزالة المواد الهيدروفلوروكربونية للبلدان المدرجة في المادة 5 (المقرر 86/93)، الوارد في الوثيقة </w:t>
      </w:r>
      <w:r w:rsidRPr="00436693">
        <w:rPr>
          <w:sz w:val="26"/>
          <w:szCs w:val="26"/>
        </w:rPr>
        <w:t>UNEP/OzL.Pro/ExCom/87/46</w:t>
      </w:r>
      <w:r w:rsidRPr="00436693">
        <w:rPr>
          <w:sz w:val="26"/>
          <w:szCs w:val="26"/>
          <w:rtl/>
        </w:rPr>
        <w:t>؛</w:t>
      </w:r>
    </w:p>
    <w:p w14:paraId="55306809" w14:textId="77777777" w:rsidR="0045481A" w:rsidRPr="00436693" w:rsidRDefault="0045481A" w:rsidP="00806858">
      <w:pPr>
        <w:pStyle w:val="ListParagraph"/>
        <w:numPr>
          <w:ilvl w:val="0"/>
          <w:numId w:val="17"/>
        </w:numPr>
        <w:bidi/>
        <w:spacing w:after="240" w:line="288" w:lineRule="auto"/>
        <w:ind w:left="1440" w:hanging="720"/>
        <w:contextualSpacing w:val="0"/>
        <w:rPr>
          <w:sz w:val="26"/>
          <w:szCs w:val="26"/>
        </w:rPr>
      </w:pPr>
      <w:r w:rsidRPr="00436693">
        <w:rPr>
          <w:sz w:val="26"/>
          <w:szCs w:val="26"/>
          <w:rtl/>
        </w:rPr>
        <w:t>[يستكمل بناءً على نتائج مناقشة المسألة المشار إليها في الفقرة الفرعية (أ) أعلاه في الاجتماع السابع والثمانين].</w:t>
      </w:r>
    </w:p>
    <w:p w14:paraId="2BE4AFC5" w14:textId="77777777" w:rsidR="004E7F9C" w:rsidRPr="00436693" w:rsidRDefault="004E7F9C" w:rsidP="004E7F9C">
      <w:pPr>
        <w:pStyle w:val="Title1"/>
        <w:rPr>
          <w:sz w:val="26"/>
          <w:szCs w:val="26"/>
          <w:lang w:val="en-CA"/>
        </w:rPr>
      </w:pPr>
    </w:p>
    <w:p w14:paraId="7F37F03B" w14:textId="77777777" w:rsidR="008C5738" w:rsidRDefault="008C5738" w:rsidP="00BB2764">
      <w:pPr>
        <w:pStyle w:val="StyleHeader4Para4Left0Firstline0"/>
        <w:numPr>
          <w:ilvl w:val="0"/>
          <w:numId w:val="0"/>
        </w:numPr>
        <w:jc w:val="left"/>
        <w:rPr>
          <w:sz w:val="22"/>
        </w:rPr>
      </w:pPr>
    </w:p>
    <w:p w14:paraId="2007F535" w14:textId="77777777" w:rsidR="000F1514" w:rsidRDefault="000F1514" w:rsidP="00BB2764">
      <w:pPr>
        <w:pStyle w:val="StyleHeader4Para4Left0Firstline0"/>
        <w:numPr>
          <w:ilvl w:val="0"/>
          <w:numId w:val="0"/>
        </w:numPr>
        <w:jc w:val="left"/>
        <w:rPr>
          <w:sz w:val="22"/>
        </w:rPr>
        <w:sectPr w:rsidR="000F151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C56A9C6" w14:textId="4049DCD7" w:rsidR="000F1514" w:rsidRPr="008F5953" w:rsidRDefault="008F5953" w:rsidP="000F1514">
      <w:pPr>
        <w:pStyle w:val="StyleHeader4Para4Left0Firstline0"/>
        <w:numPr>
          <w:ilvl w:val="0"/>
          <w:numId w:val="0"/>
        </w:numPr>
        <w:jc w:val="center"/>
        <w:rPr>
          <w:bCs/>
          <w:sz w:val="22"/>
        </w:rPr>
      </w:pPr>
      <w:r w:rsidRPr="008F5953">
        <w:rPr>
          <w:rFonts w:hint="cs"/>
          <w:bCs/>
          <w:sz w:val="22"/>
          <w:rtl/>
        </w:rPr>
        <w:lastRenderedPageBreak/>
        <w:t>المرفق الأول</w:t>
      </w:r>
    </w:p>
    <w:p w14:paraId="5912A236" w14:textId="77777777" w:rsidR="000F3E89" w:rsidRPr="0008086B" w:rsidRDefault="000F3E89" w:rsidP="00A01322">
      <w:pPr>
        <w:bidi/>
        <w:spacing w:after="240"/>
        <w:jc w:val="center"/>
        <w:rPr>
          <w:b/>
          <w:bCs/>
          <w:sz w:val="28"/>
          <w:szCs w:val="28"/>
          <w:lang w:val="en-US"/>
        </w:rPr>
      </w:pPr>
      <w:r>
        <w:rPr>
          <w:rFonts w:hint="cs"/>
          <w:b/>
          <w:bCs/>
          <w:sz w:val="28"/>
          <w:szCs w:val="28"/>
          <w:rtl/>
          <w:lang w:val="en-US"/>
        </w:rPr>
        <w:t xml:space="preserve">مستخلص من الوثيقة </w:t>
      </w:r>
      <w:r w:rsidRPr="0059569B">
        <w:rPr>
          <w:b/>
          <w:bCs/>
          <w:sz w:val="28"/>
          <w:szCs w:val="28"/>
          <w:lang w:val="en-US"/>
        </w:rPr>
        <w:t>UNEP/OzL.Pro/ExCom/86/100</w:t>
      </w:r>
    </w:p>
    <w:p w14:paraId="3AE5D400" w14:textId="77777777" w:rsidR="000F3E89" w:rsidRPr="0059569B" w:rsidRDefault="000F3E89" w:rsidP="000F3E89">
      <w:pPr>
        <w:pStyle w:val="ListParagraph"/>
        <w:numPr>
          <w:ilvl w:val="0"/>
          <w:numId w:val="39"/>
        </w:numPr>
        <w:bidi/>
        <w:spacing w:after="240" w:line="288" w:lineRule="auto"/>
        <w:ind w:hanging="720"/>
        <w:contextualSpacing w:val="0"/>
        <w:rPr>
          <w:b/>
          <w:bCs/>
          <w:szCs w:val="26"/>
          <w:lang w:val="en-US"/>
        </w:rPr>
      </w:pPr>
      <w:r w:rsidRPr="0059569B">
        <w:rPr>
          <w:b/>
          <w:bCs/>
          <w:szCs w:val="26"/>
          <w:rtl/>
          <w:lang w:val="en-US"/>
        </w:rPr>
        <w:t xml:space="preserve">مشروع المبادئ التوجيهية لإعداد خطط </w:t>
      </w:r>
      <w:r w:rsidRPr="0059569B">
        <w:rPr>
          <w:rFonts w:hint="cs"/>
          <w:b/>
          <w:bCs/>
          <w:szCs w:val="26"/>
          <w:rtl/>
          <w:lang w:val="en-US"/>
        </w:rPr>
        <w:t>التخفيض</w:t>
      </w:r>
      <w:r w:rsidRPr="0059569B">
        <w:rPr>
          <w:b/>
          <w:bCs/>
          <w:szCs w:val="26"/>
          <w:rtl/>
          <w:lang w:val="en-US"/>
        </w:rPr>
        <w:t xml:space="preserve"> التدريجي </w:t>
      </w:r>
      <w:r w:rsidRPr="0059569B">
        <w:rPr>
          <w:rFonts w:hint="cs"/>
          <w:b/>
          <w:bCs/>
          <w:szCs w:val="26"/>
          <w:rtl/>
          <w:lang w:val="en-US"/>
        </w:rPr>
        <w:t>للمواد الهيدروفلوروكربونية</w:t>
      </w:r>
      <w:r w:rsidRPr="0059569B">
        <w:rPr>
          <w:b/>
          <w:bCs/>
          <w:szCs w:val="26"/>
          <w:rtl/>
          <w:lang w:val="en-US"/>
        </w:rPr>
        <w:t xml:space="preserve"> لبلدان المادة 5 (المقرر 84/4 (أ))</w:t>
      </w:r>
    </w:p>
    <w:p w14:paraId="1E02CA6F" w14:textId="3BFFCCC2" w:rsidR="000F3E89" w:rsidRPr="00114DA6" w:rsidRDefault="008F5953" w:rsidP="008F5953">
      <w:pPr>
        <w:pStyle w:val="ListParagraph"/>
        <w:numPr>
          <w:ilvl w:val="0"/>
          <w:numId w:val="40"/>
        </w:numPr>
        <w:bidi/>
        <w:spacing w:after="240" w:line="288" w:lineRule="auto"/>
        <w:ind w:left="720" w:hanging="720"/>
        <w:contextualSpacing w:val="0"/>
        <w:rPr>
          <w:szCs w:val="26"/>
          <w:lang w:val="en-US"/>
        </w:rPr>
      </w:pPr>
      <w:r>
        <w:rPr>
          <w:rFonts w:hint="cs"/>
          <w:szCs w:val="26"/>
          <w:rtl/>
          <w:lang w:val="en-US"/>
        </w:rPr>
        <w:t>في الاجتماع الرسمي السادس و الثمانين</w:t>
      </w:r>
      <w:bookmarkStart w:id="0" w:name="_GoBack"/>
      <w:bookmarkEnd w:id="0"/>
      <w:r w:rsidR="000F3E89" w:rsidRPr="00114DA6">
        <w:rPr>
          <w:rFonts w:hint="cs"/>
          <w:szCs w:val="26"/>
          <w:rtl/>
          <w:lang w:val="en-US"/>
        </w:rPr>
        <w:t xml:space="preserve"> الذي عُقد عبر شبكة الانترنت، </w:t>
      </w:r>
      <w:r w:rsidR="000F3E89" w:rsidRPr="00114DA6">
        <w:rPr>
          <w:szCs w:val="26"/>
          <w:rtl/>
          <w:lang w:val="en-US"/>
        </w:rPr>
        <w:t>قدم</w:t>
      </w:r>
      <w:r w:rsidR="000F3E89" w:rsidRPr="00114DA6">
        <w:rPr>
          <w:rFonts w:hint="cs"/>
          <w:szCs w:val="26"/>
          <w:rtl/>
          <w:lang w:val="en-US"/>
        </w:rPr>
        <w:t>ت</w:t>
      </w:r>
      <w:r w:rsidR="000F3E89" w:rsidRPr="00114DA6">
        <w:rPr>
          <w:szCs w:val="26"/>
          <w:rtl/>
          <w:lang w:val="en-US"/>
        </w:rPr>
        <w:t xml:space="preserve"> ممثل</w:t>
      </w:r>
      <w:r w:rsidR="000F3E89" w:rsidRPr="00114DA6">
        <w:rPr>
          <w:rFonts w:hint="cs"/>
          <w:szCs w:val="26"/>
          <w:rtl/>
          <w:lang w:val="en-US"/>
        </w:rPr>
        <w:t>ة</w:t>
      </w:r>
      <w:r w:rsidR="000F3E89" w:rsidRPr="00114DA6">
        <w:rPr>
          <w:szCs w:val="26"/>
          <w:rtl/>
          <w:lang w:val="en-US"/>
        </w:rPr>
        <w:t xml:space="preserve"> الأمانة الوثيقة </w:t>
      </w:r>
      <w:r w:rsidR="000F3E89" w:rsidRPr="00114DA6">
        <w:rPr>
          <w:szCs w:val="26"/>
          <w:lang w:val="en-US"/>
        </w:rPr>
        <w:t>UNEP/OzL.Pro/ExCom/86/88</w:t>
      </w:r>
      <w:r w:rsidR="000F3E89" w:rsidRPr="00114DA6">
        <w:rPr>
          <w:szCs w:val="26"/>
          <w:rtl/>
          <w:lang w:val="en-US"/>
        </w:rPr>
        <w:t xml:space="preserve">، التي تم إعدادها عملاً بالفقرة (أ) من المقرر 84/54. </w:t>
      </w:r>
      <w:r w:rsidR="000F3E89" w:rsidRPr="00114DA6">
        <w:rPr>
          <w:rFonts w:hint="cs"/>
          <w:szCs w:val="26"/>
          <w:rtl/>
          <w:lang w:val="en-US"/>
        </w:rPr>
        <w:t>وذكرت أنه تم إعداد</w:t>
      </w:r>
      <w:r w:rsidR="000F3E89" w:rsidRPr="00114DA6">
        <w:rPr>
          <w:szCs w:val="26"/>
          <w:rtl/>
          <w:lang w:val="en-US"/>
        </w:rPr>
        <w:t xml:space="preserve"> الوثيقة </w:t>
      </w:r>
      <w:r w:rsidR="000F3E89" w:rsidRPr="00114DA6">
        <w:rPr>
          <w:szCs w:val="26"/>
          <w:lang w:val="en-US"/>
        </w:rPr>
        <w:t>UNEP/OzL.Pro/ExCom/86/87</w:t>
      </w:r>
      <w:r w:rsidR="000F3E89" w:rsidRPr="00114DA6">
        <w:rPr>
          <w:szCs w:val="26"/>
          <w:rtl/>
          <w:lang w:val="en-US"/>
        </w:rPr>
        <w:t xml:space="preserve"> </w:t>
      </w:r>
      <w:r w:rsidR="000F3E89" w:rsidRPr="00114DA6">
        <w:rPr>
          <w:rFonts w:hint="cs"/>
          <w:szCs w:val="26"/>
          <w:rtl/>
          <w:lang w:val="en-US"/>
        </w:rPr>
        <w:t>المعنية</w:t>
      </w:r>
      <w:r w:rsidR="000F3E89" w:rsidRPr="00114DA6">
        <w:rPr>
          <w:szCs w:val="26"/>
          <w:rtl/>
          <w:lang w:val="en-US"/>
        </w:rPr>
        <w:t xml:space="preserve"> </w:t>
      </w:r>
      <w:r w:rsidR="000F3E89" w:rsidRPr="00114DA6">
        <w:rPr>
          <w:rFonts w:hint="cs"/>
          <w:szCs w:val="26"/>
          <w:rtl/>
          <w:lang w:val="en-US"/>
        </w:rPr>
        <w:t>ب</w:t>
      </w:r>
      <w:r w:rsidR="000F3E89" w:rsidRPr="00114DA6">
        <w:rPr>
          <w:szCs w:val="26"/>
          <w:rtl/>
          <w:lang w:val="en-US"/>
        </w:rPr>
        <w:t xml:space="preserve">الاستراتيجيات المحتملة وتدابير السياسات والالتزامات، </w:t>
      </w:r>
      <w:r w:rsidR="000F3E89" w:rsidRPr="00114DA6">
        <w:rPr>
          <w:rFonts w:hint="cs"/>
          <w:szCs w:val="26"/>
          <w:rtl/>
          <w:lang w:val="en-US"/>
        </w:rPr>
        <w:t>وكذلك</w:t>
      </w:r>
      <w:r w:rsidR="000F3E89" w:rsidRPr="00114DA6">
        <w:rPr>
          <w:szCs w:val="26"/>
          <w:rtl/>
          <w:lang w:val="en-US"/>
        </w:rPr>
        <w:t xml:space="preserve"> المشر</w:t>
      </w:r>
      <w:r w:rsidR="000F3E89" w:rsidRPr="00114DA6">
        <w:rPr>
          <w:rFonts w:hint="cs"/>
          <w:szCs w:val="26"/>
          <w:rtl/>
          <w:lang w:val="en-US"/>
        </w:rPr>
        <w:t>و</w:t>
      </w:r>
      <w:r w:rsidR="000F3E89" w:rsidRPr="00114DA6">
        <w:rPr>
          <w:szCs w:val="26"/>
          <w:rtl/>
          <w:lang w:val="en-US"/>
        </w:rPr>
        <w:t>ع</w:t>
      </w:r>
      <w:r w:rsidR="000F3E89" w:rsidRPr="00114DA6">
        <w:rPr>
          <w:rFonts w:hint="cs"/>
          <w:szCs w:val="26"/>
          <w:rtl/>
          <w:lang w:val="en-US"/>
        </w:rPr>
        <w:t>ات</w:t>
      </w:r>
      <w:r w:rsidR="000F3E89" w:rsidRPr="00114DA6">
        <w:rPr>
          <w:szCs w:val="26"/>
          <w:rtl/>
          <w:lang w:val="en-US"/>
        </w:rPr>
        <w:t xml:space="preserve"> والأنشطة التي يمكن دمجها في المرحلة الأولى من خطط </w:t>
      </w:r>
      <w:r w:rsidR="000F3E89" w:rsidRPr="00114DA6">
        <w:rPr>
          <w:rFonts w:hint="cs"/>
          <w:szCs w:val="26"/>
          <w:rtl/>
          <w:lang w:val="en-US"/>
        </w:rPr>
        <w:t>التخفيض</w:t>
      </w:r>
      <w:r w:rsidR="000F3E89" w:rsidRPr="00114DA6">
        <w:rPr>
          <w:szCs w:val="26"/>
          <w:rtl/>
          <w:lang w:val="en-US"/>
        </w:rPr>
        <w:t xml:space="preserve"> التدريجي </w:t>
      </w:r>
      <w:r w:rsidR="000F3E89" w:rsidRPr="00114DA6">
        <w:rPr>
          <w:rFonts w:hint="cs"/>
          <w:szCs w:val="26"/>
          <w:rtl/>
          <w:lang w:val="en-US"/>
        </w:rPr>
        <w:t>للمواد الهيدروفلوروكربونية</w:t>
      </w:r>
      <w:r w:rsidR="000F3E89" w:rsidRPr="00114DA6">
        <w:rPr>
          <w:szCs w:val="26"/>
          <w:rtl/>
          <w:lang w:val="en-US"/>
        </w:rPr>
        <w:t xml:space="preserve"> لبلدان المادة 5، والنظر في </w:t>
      </w:r>
      <w:r w:rsidR="000F3E89" w:rsidRPr="00114DA6">
        <w:rPr>
          <w:rFonts w:hint="cs"/>
          <w:szCs w:val="26"/>
          <w:rtl/>
          <w:lang w:val="en-US"/>
        </w:rPr>
        <w:t>تلك</w:t>
      </w:r>
      <w:r w:rsidR="000F3E89" w:rsidRPr="00114DA6">
        <w:rPr>
          <w:szCs w:val="26"/>
          <w:rtl/>
          <w:lang w:val="en-US"/>
        </w:rPr>
        <w:t xml:space="preserve"> </w:t>
      </w:r>
      <w:r w:rsidR="000F3E89" w:rsidRPr="00114DA6">
        <w:rPr>
          <w:rFonts w:hint="cs"/>
          <w:szCs w:val="26"/>
          <w:rtl/>
          <w:lang w:val="en-US"/>
        </w:rPr>
        <w:t>المؤجلة</w:t>
      </w:r>
      <w:r w:rsidR="000F3E89" w:rsidRPr="00114DA6">
        <w:rPr>
          <w:szCs w:val="26"/>
          <w:rtl/>
          <w:lang w:val="en-US"/>
        </w:rPr>
        <w:t xml:space="preserve"> إلى الاجتماع السابع والثمانين، عملاً بالفقرة (ب) من نفس المقرر.</w:t>
      </w:r>
    </w:p>
    <w:p w14:paraId="6C1CD445"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sidRPr="005B5D18">
        <w:rPr>
          <w:szCs w:val="26"/>
          <w:rtl/>
          <w:lang w:val="en-US"/>
        </w:rPr>
        <w:t>شكر العديد</w:t>
      </w:r>
      <w:r>
        <w:rPr>
          <w:szCs w:val="26"/>
          <w:rtl/>
          <w:lang w:val="en-US"/>
        </w:rPr>
        <w:t xml:space="preserve"> من الأعضاء الأمانة على الوثيقة</w:t>
      </w:r>
      <w:r w:rsidRPr="005B5D18">
        <w:rPr>
          <w:szCs w:val="26"/>
          <w:rtl/>
          <w:lang w:val="en-US"/>
        </w:rPr>
        <w:t xml:space="preserve">، قائلين إنها كانت أساسًا جيدًا للمناقشة. وشدد البعض على أهمية الموافقة على المبادئ التوجيهية في أقرب وقت ممكن لتمكين بلدان المادة 5 من اتخاذ إجراءات للتحضير </w:t>
      </w:r>
      <w:r>
        <w:rPr>
          <w:rFonts w:hint="cs"/>
          <w:szCs w:val="26"/>
          <w:rtl/>
          <w:lang w:val="en-US"/>
        </w:rPr>
        <w:t>ل</w:t>
      </w:r>
      <w:r w:rsidRPr="008D51A9">
        <w:rPr>
          <w:rFonts w:hint="cs"/>
          <w:szCs w:val="26"/>
          <w:rtl/>
          <w:lang w:val="en-US"/>
        </w:rPr>
        <w:t>لتخفيض</w:t>
      </w:r>
      <w:r w:rsidRPr="008D51A9">
        <w:rPr>
          <w:szCs w:val="26"/>
          <w:rtl/>
          <w:lang w:val="en-US"/>
        </w:rPr>
        <w:t xml:space="preserve"> التدريجي </w:t>
      </w:r>
      <w:r w:rsidRPr="008D51A9">
        <w:rPr>
          <w:rFonts w:hint="cs"/>
          <w:szCs w:val="26"/>
          <w:rtl/>
          <w:lang w:val="en-US"/>
        </w:rPr>
        <w:t>للمواد الهيدروفلوروكربونية</w:t>
      </w:r>
      <w:r w:rsidRPr="005B5D18">
        <w:rPr>
          <w:szCs w:val="26"/>
          <w:rtl/>
          <w:lang w:val="en-US"/>
        </w:rPr>
        <w:t xml:space="preserve">. </w:t>
      </w:r>
      <w:r>
        <w:rPr>
          <w:rFonts w:hint="cs"/>
          <w:szCs w:val="26"/>
          <w:rtl/>
          <w:lang w:val="en-US"/>
        </w:rPr>
        <w:t>و</w:t>
      </w:r>
      <w:r w:rsidRPr="005B5D18">
        <w:rPr>
          <w:szCs w:val="26"/>
          <w:rtl/>
          <w:lang w:val="en-US"/>
        </w:rPr>
        <w:t xml:space="preserve">رداً على التعليقات حول الوثيقتين </w:t>
      </w:r>
      <w:r w:rsidRPr="005B5D18">
        <w:rPr>
          <w:szCs w:val="26"/>
          <w:lang w:val="en-US"/>
        </w:rPr>
        <w:t xml:space="preserve"> </w:t>
      </w:r>
      <w:r>
        <w:rPr>
          <w:lang w:val="en-US"/>
        </w:rPr>
        <w:t xml:space="preserve"> UNEP/OzL.Pro/ExCom/86/88 </w:t>
      </w:r>
      <w:r>
        <w:rPr>
          <w:rFonts w:hint="cs"/>
          <w:rtl/>
          <w:lang w:val="en-US"/>
        </w:rPr>
        <w:t xml:space="preserve"> و </w:t>
      </w:r>
      <w:r>
        <w:rPr>
          <w:lang w:val="en-US"/>
        </w:rPr>
        <w:t xml:space="preserve"> UNEP/OzL.Pro/ExCom/86/87</w:t>
      </w:r>
      <w:r w:rsidRPr="005B5D18">
        <w:rPr>
          <w:szCs w:val="26"/>
          <w:rtl/>
          <w:lang w:val="en-US"/>
        </w:rPr>
        <w:t xml:space="preserve"> ال</w:t>
      </w:r>
      <w:r>
        <w:rPr>
          <w:rFonts w:hint="cs"/>
          <w:szCs w:val="26"/>
          <w:rtl/>
          <w:lang w:val="en-US"/>
        </w:rPr>
        <w:t>ل</w:t>
      </w:r>
      <w:r w:rsidRPr="005B5D18">
        <w:rPr>
          <w:szCs w:val="26"/>
          <w:rtl/>
          <w:lang w:val="en-US"/>
        </w:rPr>
        <w:t>ت</w:t>
      </w:r>
      <w:r>
        <w:rPr>
          <w:szCs w:val="26"/>
          <w:rtl/>
          <w:lang w:val="en-US"/>
        </w:rPr>
        <w:t>ي</w:t>
      </w:r>
      <w:r>
        <w:rPr>
          <w:rFonts w:hint="cs"/>
          <w:szCs w:val="26"/>
          <w:rtl/>
          <w:lang w:val="en-US"/>
        </w:rPr>
        <w:t>ن</w:t>
      </w:r>
      <w:r>
        <w:rPr>
          <w:szCs w:val="26"/>
          <w:rtl/>
          <w:lang w:val="en-US"/>
        </w:rPr>
        <w:t xml:space="preserve"> يتم النظر فيه</w:t>
      </w:r>
      <w:r>
        <w:rPr>
          <w:rFonts w:hint="cs"/>
          <w:szCs w:val="26"/>
          <w:rtl/>
          <w:lang w:val="en-US"/>
        </w:rPr>
        <w:t>م</w:t>
      </w:r>
      <w:r>
        <w:rPr>
          <w:szCs w:val="26"/>
          <w:rtl/>
          <w:lang w:val="en-US"/>
        </w:rPr>
        <w:t>ا معًا بشكل أفضل</w:t>
      </w:r>
      <w:r w:rsidRPr="005B5D18">
        <w:rPr>
          <w:szCs w:val="26"/>
          <w:rtl/>
          <w:lang w:val="en-US"/>
        </w:rPr>
        <w:t xml:space="preserve">، أوضح </w:t>
      </w:r>
      <w:r>
        <w:rPr>
          <w:szCs w:val="26"/>
          <w:rtl/>
          <w:lang w:val="en-US"/>
        </w:rPr>
        <w:t>ممثل الأمانة أنه كان قرارا واع</w:t>
      </w:r>
      <w:r>
        <w:rPr>
          <w:rFonts w:hint="cs"/>
          <w:szCs w:val="26"/>
          <w:rtl/>
          <w:lang w:val="en-US"/>
        </w:rPr>
        <w:t>ي</w:t>
      </w:r>
      <w:r w:rsidRPr="005B5D18">
        <w:rPr>
          <w:szCs w:val="26"/>
          <w:rtl/>
          <w:lang w:val="en-US"/>
        </w:rPr>
        <w:t xml:space="preserve">ا بعدم تكرار </w:t>
      </w:r>
      <w:r>
        <w:rPr>
          <w:rFonts w:hint="cs"/>
          <w:szCs w:val="26"/>
          <w:rtl/>
          <w:lang w:val="en-US"/>
        </w:rPr>
        <w:t xml:space="preserve">في إحدى الوثيقتن </w:t>
      </w:r>
      <w:r w:rsidRPr="005B5D18">
        <w:rPr>
          <w:szCs w:val="26"/>
          <w:rtl/>
          <w:lang w:val="en-US"/>
        </w:rPr>
        <w:t xml:space="preserve">العناصر التي تمت مناقشتها في </w:t>
      </w:r>
      <w:r>
        <w:rPr>
          <w:rFonts w:hint="cs"/>
          <w:szCs w:val="26"/>
          <w:rtl/>
          <w:lang w:val="en-US"/>
        </w:rPr>
        <w:t>الوثيقة</w:t>
      </w:r>
      <w:r>
        <w:rPr>
          <w:szCs w:val="26"/>
          <w:rtl/>
          <w:lang w:val="en-US"/>
        </w:rPr>
        <w:t xml:space="preserve"> ال</w:t>
      </w:r>
      <w:r>
        <w:rPr>
          <w:rFonts w:hint="cs"/>
          <w:szCs w:val="26"/>
          <w:rtl/>
          <w:lang w:val="en-US"/>
        </w:rPr>
        <w:t>أ</w:t>
      </w:r>
      <w:r w:rsidRPr="005B5D18">
        <w:rPr>
          <w:szCs w:val="26"/>
          <w:rtl/>
          <w:lang w:val="en-US"/>
        </w:rPr>
        <w:t>خر</w:t>
      </w:r>
      <w:r>
        <w:rPr>
          <w:rFonts w:hint="cs"/>
          <w:szCs w:val="26"/>
          <w:rtl/>
          <w:lang w:val="en-US"/>
        </w:rPr>
        <w:t>ى</w:t>
      </w:r>
      <w:r w:rsidRPr="005B5D18">
        <w:rPr>
          <w:szCs w:val="26"/>
          <w:rtl/>
          <w:lang w:val="en-US"/>
        </w:rPr>
        <w:t xml:space="preserve">. لذلك أعطت الوثيقة </w:t>
      </w:r>
      <w:r>
        <w:rPr>
          <w:szCs w:val="26"/>
          <w:lang w:val="en-US"/>
        </w:rPr>
        <w:t>UNEP/OzL.Pro/ExCom/</w:t>
      </w:r>
      <w:r w:rsidRPr="005B5D18">
        <w:rPr>
          <w:szCs w:val="26"/>
          <w:lang w:val="en-US"/>
        </w:rPr>
        <w:t>86/88</w:t>
      </w:r>
      <w:r w:rsidRPr="005B5D18">
        <w:rPr>
          <w:szCs w:val="26"/>
          <w:rtl/>
          <w:lang w:val="en-US"/>
        </w:rPr>
        <w:t xml:space="preserve"> الأ</w:t>
      </w:r>
      <w:r>
        <w:rPr>
          <w:szCs w:val="26"/>
          <w:rtl/>
          <w:lang w:val="en-US"/>
        </w:rPr>
        <w:t xml:space="preserve">ولوية للنظر في مستويات التمويل </w:t>
      </w:r>
      <w:r>
        <w:rPr>
          <w:rFonts w:hint="cs"/>
          <w:szCs w:val="26"/>
          <w:rtl/>
          <w:lang w:val="en-US"/>
        </w:rPr>
        <w:t xml:space="preserve">من أجل </w:t>
      </w:r>
      <w:r w:rsidRPr="005B5D18">
        <w:rPr>
          <w:szCs w:val="26"/>
          <w:rtl/>
          <w:lang w:val="en-US"/>
        </w:rPr>
        <w:t xml:space="preserve">تمكين البلدان من الشروع في عملها بشأن </w:t>
      </w:r>
      <w:r>
        <w:rPr>
          <w:rFonts w:hint="cs"/>
          <w:szCs w:val="26"/>
          <w:rtl/>
          <w:lang w:val="en-US"/>
        </w:rPr>
        <w:t>ا</w:t>
      </w:r>
      <w:r w:rsidRPr="008D51A9">
        <w:rPr>
          <w:rFonts w:hint="cs"/>
          <w:szCs w:val="26"/>
          <w:rtl/>
          <w:lang w:val="en-US"/>
        </w:rPr>
        <w:t>لتخفيض</w:t>
      </w:r>
      <w:r w:rsidRPr="008D51A9">
        <w:rPr>
          <w:szCs w:val="26"/>
          <w:rtl/>
          <w:lang w:val="en-US"/>
        </w:rPr>
        <w:t xml:space="preserve"> التدريجي </w:t>
      </w:r>
      <w:r w:rsidRPr="008D51A9">
        <w:rPr>
          <w:rFonts w:hint="cs"/>
          <w:szCs w:val="26"/>
          <w:rtl/>
          <w:lang w:val="en-US"/>
        </w:rPr>
        <w:t>للمواد الهيدروفلوروكربونية</w:t>
      </w:r>
      <w:r w:rsidRPr="005B5D18">
        <w:rPr>
          <w:szCs w:val="26"/>
          <w:rtl/>
          <w:lang w:val="en-US"/>
        </w:rPr>
        <w:t xml:space="preserve">، </w:t>
      </w:r>
      <w:r>
        <w:rPr>
          <w:rFonts w:hint="cs"/>
          <w:szCs w:val="26"/>
          <w:rtl/>
          <w:lang w:val="en-US"/>
        </w:rPr>
        <w:t>نظرا</w:t>
      </w:r>
      <w:r w:rsidRPr="005B5D18">
        <w:rPr>
          <w:szCs w:val="26"/>
          <w:rtl/>
          <w:lang w:val="en-US"/>
        </w:rPr>
        <w:t xml:space="preserve"> </w:t>
      </w:r>
      <w:r>
        <w:rPr>
          <w:rFonts w:hint="cs"/>
          <w:szCs w:val="26"/>
          <w:rtl/>
          <w:lang w:val="en-US"/>
        </w:rPr>
        <w:t>لتقديم</w:t>
      </w:r>
      <w:r>
        <w:rPr>
          <w:szCs w:val="26"/>
          <w:rtl/>
          <w:lang w:val="en-US"/>
        </w:rPr>
        <w:t xml:space="preserve"> عدد</w:t>
      </w:r>
      <w:r w:rsidRPr="005B5D18">
        <w:rPr>
          <w:szCs w:val="26"/>
          <w:rtl/>
          <w:lang w:val="en-US"/>
        </w:rPr>
        <w:t xml:space="preserve"> من مقترحات إعداد المشروع</w:t>
      </w:r>
      <w:r>
        <w:rPr>
          <w:rFonts w:hint="cs"/>
          <w:szCs w:val="26"/>
          <w:rtl/>
          <w:lang w:val="en-US"/>
        </w:rPr>
        <w:t>ات</w:t>
      </w:r>
      <w:r w:rsidRPr="005B5D18">
        <w:rPr>
          <w:szCs w:val="26"/>
          <w:rtl/>
          <w:lang w:val="en-US"/>
        </w:rPr>
        <w:t xml:space="preserve"> بالفعل وتنتظر الموافقة.</w:t>
      </w:r>
    </w:p>
    <w:p w14:paraId="29085401" w14:textId="77777777" w:rsidR="000F3E89" w:rsidRDefault="000F3E89" w:rsidP="000F3E89">
      <w:pPr>
        <w:pStyle w:val="ListParagraph"/>
        <w:numPr>
          <w:ilvl w:val="0"/>
          <w:numId w:val="40"/>
        </w:numPr>
        <w:bidi/>
        <w:spacing w:after="240" w:line="288" w:lineRule="auto"/>
        <w:ind w:left="720" w:hanging="720"/>
        <w:contextualSpacing w:val="0"/>
        <w:rPr>
          <w:szCs w:val="26"/>
          <w:rtl/>
          <w:lang w:val="en-US"/>
        </w:rPr>
      </w:pPr>
      <w:r w:rsidRPr="005B5D18">
        <w:rPr>
          <w:szCs w:val="26"/>
          <w:rtl/>
          <w:lang w:val="en-US"/>
        </w:rPr>
        <w:t xml:space="preserve">وأكد العديد من الأعضاء على الحاجة إلى نهج متكامل </w:t>
      </w:r>
      <w:r>
        <w:rPr>
          <w:rFonts w:hint="cs"/>
          <w:szCs w:val="26"/>
          <w:rtl/>
          <w:lang w:val="en-US"/>
        </w:rPr>
        <w:t>لإزالة ا</w:t>
      </w:r>
      <w:r w:rsidRPr="008D51A9">
        <w:rPr>
          <w:rFonts w:hint="cs"/>
          <w:szCs w:val="26"/>
          <w:rtl/>
          <w:lang w:val="en-US"/>
        </w:rPr>
        <w:t>لمواد الهيدرو</w:t>
      </w:r>
      <w:r>
        <w:rPr>
          <w:rFonts w:hint="cs"/>
          <w:szCs w:val="26"/>
          <w:rtl/>
          <w:lang w:val="en-US"/>
        </w:rPr>
        <w:t>كلورو</w:t>
      </w:r>
      <w:r w:rsidRPr="008D51A9">
        <w:rPr>
          <w:rFonts w:hint="cs"/>
          <w:szCs w:val="26"/>
          <w:rtl/>
          <w:lang w:val="en-US"/>
        </w:rPr>
        <w:t>فلوروكربونية</w:t>
      </w:r>
      <w:r>
        <w:rPr>
          <w:rFonts w:hint="cs"/>
          <w:szCs w:val="26"/>
          <w:rtl/>
          <w:lang w:val="en-US"/>
        </w:rPr>
        <w:t xml:space="preserve"> وا</w:t>
      </w:r>
      <w:r w:rsidRPr="008D51A9">
        <w:rPr>
          <w:rFonts w:hint="cs"/>
          <w:szCs w:val="26"/>
          <w:rtl/>
          <w:lang w:val="en-US"/>
        </w:rPr>
        <w:t>لتخفيض</w:t>
      </w:r>
      <w:r w:rsidRPr="008D51A9">
        <w:rPr>
          <w:szCs w:val="26"/>
          <w:rtl/>
          <w:lang w:val="en-US"/>
        </w:rPr>
        <w:t xml:space="preserve"> التدريجي </w:t>
      </w:r>
      <w:r>
        <w:rPr>
          <w:rFonts w:hint="cs"/>
          <w:szCs w:val="26"/>
          <w:rtl/>
          <w:lang w:val="en-US"/>
        </w:rPr>
        <w:t>المواد الهيدرو</w:t>
      </w:r>
      <w:r w:rsidRPr="008D51A9">
        <w:rPr>
          <w:rFonts w:hint="cs"/>
          <w:szCs w:val="26"/>
          <w:rtl/>
          <w:lang w:val="en-US"/>
        </w:rPr>
        <w:t>فلوروكربونية</w:t>
      </w:r>
      <w:r>
        <w:rPr>
          <w:rFonts w:hint="cs"/>
          <w:szCs w:val="26"/>
          <w:rtl/>
          <w:lang w:val="en-US"/>
        </w:rPr>
        <w:t xml:space="preserve"> </w:t>
      </w:r>
      <w:r w:rsidRPr="005B5D18">
        <w:rPr>
          <w:szCs w:val="26"/>
          <w:rtl/>
          <w:lang w:val="en-US"/>
        </w:rPr>
        <w:t>من</w:t>
      </w:r>
      <w:r>
        <w:rPr>
          <w:szCs w:val="26"/>
          <w:rtl/>
          <w:lang w:val="en-US"/>
        </w:rPr>
        <w:t xml:space="preserve"> أجل تجنب التداخل أو الازدواجية </w:t>
      </w:r>
      <w:r>
        <w:rPr>
          <w:rFonts w:hint="cs"/>
          <w:szCs w:val="26"/>
          <w:rtl/>
          <w:lang w:val="en-US"/>
        </w:rPr>
        <w:t>وزيادة أوجه</w:t>
      </w:r>
      <w:r>
        <w:rPr>
          <w:szCs w:val="26"/>
          <w:rtl/>
          <w:lang w:val="en-US"/>
        </w:rPr>
        <w:t xml:space="preserve"> التآزر</w:t>
      </w:r>
      <w:r>
        <w:rPr>
          <w:rFonts w:hint="cs"/>
          <w:szCs w:val="26"/>
          <w:rtl/>
          <w:lang w:val="en-US"/>
        </w:rPr>
        <w:t xml:space="preserve"> إلى أقصى حد ممكن</w:t>
      </w:r>
      <w:r w:rsidRPr="005B5D18">
        <w:rPr>
          <w:szCs w:val="26"/>
          <w:rtl/>
          <w:lang w:val="en-US"/>
        </w:rPr>
        <w:t xml:space="preserve"> و</w:t>
      </w:r>
      <w:r>
        <w:rPr>
          <w:rFonts w:hint="cs"/>
          <w:szCs w:val="26"/>
          <w:rtl/>
          <w:lang w:val="en-US"/>
        </w:rPr>
        <w:t>ل</w:t>
      </w:r>
      <w:r w:rsidRPr="005B5D18">
        <w:rPr>
          <w:szCs w:val="26"/>
          <w:rtl/>
          <w:lang w:val="en-US"/>
        </w:rPr>
        <w:t xml:space="preserve">ضمان الاستخدام الأكثر كفاءة لموارد الصندوق </w:t>
      </w:r>
      <w:r>
        <w:rPr>
          <w:rFonts w:hint="cs"/>
          <w:szCs w:val="26"/>
          <w:rtl/>
          <w:lang w:val="en-US"/>
        </w:rPr>
        <w:t>ال</w:t>
      </w:r>
      <w:r w:rsidRPr="005B5D18">
        <w:rPr>
          <w:szCs w:val="26"/>
          <w:rtl/>
          <w:lang w:val="en-US"/>
        </w:rPr>
        <w:t xml:space="preserve">متعدد الأطراف. </w:t>
      </w:r>
      <w:r>
        <w:rPr>
          <w:rFonts w:hint="cs"/>
          <w:szCs w:val="26"/>
          <w:rtl/>
          <w:lang w:val="en-US"/>
        </w:rPr>
        <w:t>و</w:t>
      </w:r>
      <w:r w:rsidRPr="005B5D18">
        <w:rPr>
          <w:szCs w:val="26"/>
          <w:rtl/>
          <w:lang w:val="en-US"/>
        </w:rPr>
        <w:t xml:space="preserve">لاحظ أحد الأعضاء عدم وجود أي إشارة </w:t>
      </w:r>
      <w:r>
        <w:rPr>
          <w:rFonts w:hint="cs"/>
          <w:szCs w:val="26"/>
          <w:rtl/>
          <w:lang w:val="en-US"/>
        </w:rPr>
        <w:t>ل</w:t>
      </w:r>
      <w:r w:rsidRPr="005B5D18">
        <w:rPr>
          <w:szCs w:val="26"/>
          <w:rtl/>
          <w:lang w:val="en-US"/>
        </w:rPr>
        <w:t xml:space="preserve">استراتيجية شاملة </w:t>
      </w:r>
      <w:r>
        <w:rPr>
          <w:rFonts w:hint="cs"/>
          <w:szCs w:val="26"/>
          <w:rtl/>
          <w:lang w:val="en-US"/>
        </w:rPr>
        <w:t>لتحقيق</w:t>
      </w:r>
      <w:r>
        <w:rPr>
          <w:szCs w:val="26"/>
          <w:rtl/>
          <w:lang w:val="en-US"/>
        </w:rPr>
        <w:t xml:space="preserve"> </w:t>
      </w:r>
      <w:r w:rsidRPr="005B5D18">
        <w:rPr>
          <w:szCs w:val="26"/>
          <w:rtl/>
          <w:lang w:val="en-US"/>
        </w:rPr>
        <w:t xml:space="preserve">أهداف الامتثال لبروتوكول مونتريال </w:t>
      </w:r>
      <w:r>
        <w:rPr>
          <w:rFonts w:hint="cs"/>
          <w:szCs w:val="26"/>
          <w:rtl/>
          <w:lang w:val="en-US"/>
        </w:rPr>
        <w:t>ل</w:t>
      </w:r>
      <w:r w:rsidRPr="008D51A9">
        <w:rPr>
          <w:rFonts w:hint="cs"/>
          <w:szCs w:val="26"/>
          <w:rtl/>
          <w:lang w:val="en-US"/>
        </w:rPr>
        <w:t>لمواد الهيدرو</w:t>
      </w:r>
      <w:r>
        <w:rPr>
          <w:rFonts w:hint="cs"/>
          <w:szCs w:val="26"/>
          <w:rtl/>
          <w:lang w:val="en-US"/>
        </w:rPr>
        <w:t>كلورو</w:t>
      </w:r>
      <w:r w:rsidRPr="008D51A9">
        <w:rPr>
          <w:rFonts w:hint="cs"/>
          <w:szCs w:val="26"/>
          <w:rtl/>
          <w:lang w:val="en-US"/>
        </w:rPr>
        <w:t>فلوروكربونية</w:t>
      </w:r>
      <w:r w:rsidRPr="005B5D18">
        <w:rPr>
          <w:szCs w:val="26"/>
          <w:rtl/>
          <w:lang w:val="en-US"/>
        </w:rPr>
        <w:t xml:space="preserve"> </w:t>
      </w:r>
      <w:r>
        <w:rPr>
          <w:rFonts w:hint="cs"/>
          <w:szCs w:val="26"/>
          <w:rtl/>
          <w:lang w:val="en-US"/>
        </w:rPr>
        <w:t>وا</w:t>
      </w:r>
      <w:r w:rsidRPr="008D51A9">
        <w:rPr>
          <w:rFonts w:hint="cs"/>
          <w:szCs w:val="26"/>
          <w:rtl/>
          <w:lang w:val="en-US"/>
        </w:rPr>
        <w:t>لمواد الهيدروفلوروكربونية</w:t>
      </w:r>
      <w:r w:rsidRPr="005B5D18">
        <w:rPr>
          <w:szCs w:val="26"/>
          <w:rtl/>
          <w:lang w:val="en-US"/>
        </w:rPr>
        <w:t xml:space="preserve">، على الرغم من الإشارات العديدة إليها في </w:t>
      </w:r>
      <w:r>
        <w:rPr>
          <w:rFonts w:hint="cs"/>
          <w:szCs w:val="26"/>
          <w:rtl/>
          <w:lang w:val="en-US"/>
        </w:rPr>
        <w:t xml:space="preserve">كلتا </w:t>
      </w:r>
      <w:r>
        <w:rPr>
          <w:szCs w:val="26"/>
          <w:rtl/>
          <w:lang w:val="en-US"/>
        </w:rPr>
        <w:t>الوثيق</w:t>
      </w:r>
      <w:r>
        <w:rPr>
          <w:rFonts w:hint="cs"/>
          <w:szCs w:val="26"/>
          <w:rtl/>
          <w:lang w:val="en-US"/>
        </w:rPr>
        <w:t>تين</w:t>
      </w:r>
      <w:r w:rsidRPr="005B5D18">
        <w:rPr>
          <w:szCs w:val="26"/>
          <w:rtl/>
          <w:lang w:val="en-US"/>
        </w:rPr>
        <w:t xml:space="preserve"> </w:t>
      </w:r>
      <w:r>
        <w:rPr>
          <w:lang w:val="en-US"/>
        </w:rPr>
        <w:t>UNEP/OzL.Pro/ExCom/86/88</w:t>
      </w:r>
      <w:r>
        <w:rPr>
          <w:rFonts w:hint="cs"/>
          <w:rtl/>
          <w:lang w:val="en-US"/>
        </w:rPr>
        <w:t xml:space="preserve"> و </w:t>
      </w:r>
      <w:r>
        <w:rPr>
          <w:lang w:val="en-US"/>
        </w:rPr>
        <w:t>UNEP/OzL.Pro/ExCom/86/87</w:t>
      </w:r>
      <w:r w:rsidRPr="005B5D18">
        <w:rPr>
          <w:szCs w:val="26"/>
          <w:rtl/>
          <w:lang w:val="en-US"/>
        </w:rPr>
        <w:t>. وأشار عضو آخر إلى أن إمكانية "</w:t>
      </w:r>
      <w:r>
        <w:rPr>
          <w:rFonts w:hint="cs"/>
          <w:szCs w:val="26"/>
          <w:rtl/>
          <w:lang w:val="en-US"/>
        </w:rPr>
        <w:t>تخفيض</w:t>
      </w:r>
      <w:r w:rsidRPr="005B5D18">
        <w:rPr>
          <w:szCs w:val="26"/>
          <w:rtl/>
          <w:lang w:val="en-US"/>
        </w:rPr>
        <w:t xml:space="preserve">" </w:t>
      </w:r>
      <w:r>
        <w:rPr>
          <w:rFonts w:hint="cs"/>
          <w:szCs w:val="26"/>
          <w:rtl/>
          <w:lang w:val="en-US"/>
        </w:rPr>
        <w:t xml:space="preserve">تلك </w:t>
      </w:r>
      <w:r w:rsidRPr="005B5D18">
        <w:rPr>
          <w:szCs w:val="26"/>
          <w:rtl/>
          <w:lang w:val="en-US"/>
        </w:rPr>
        <w:t xml:space="preserve">الأنشطة المتعلقة </w:t>
      </w:r>
      <w:r>
        <w:rPr>
          <w:rFonts w:hint="cs"/>
          <w:szCs w:val="26"/>
          <w:rtl/>
          <w:lang w:val="en-US"/>
        </w:rPr>
        <w:t>با</w:t>
      </w:r>
      <w:r w:rsidRPr="008D51A9">
        <w:rPr>
          <w:rFonts w:hint="cs"/>
          <w:szCs w:val="26"/>
          <w:rtl/>
          <w:lang w:val="en-US"/>
        </w:rPr>
        <w:t>لمواد الهيدروفلوروكربونية</w:t>
      </w:r>
      <w:r>
        <w:rPr>
          <w:szCs w:val="26"/>
          <w:rtl/>
          <w:lang w:val="en-US"/>
        </w:rPr>
        <w:t xml:space="preserve"> التي تم تمويلها من قبل</w:t>
      </w:r>
      <w:r w:rsidRPr="005B5D18">
        <w:rPr>
          <w:szCs w:val="26"/>
          <w:rtl/>
          <w:lang w:val="en-US"/>
        </w:rPr>
        <w:t>، مثل الدراسات</w:t>
      </w:r>
      <w:r>
        <w:rPr>
          <w:szCs w:val="26"/>
          <w:rtl/>
          <w:lang w:val="en-US"/>
        </w:rPr>
        <w:t xml:space="preserve"> الاستقصائية والأنشطة التمكينية</w:t>
      </w:r>
      <w:r w:rsidRPr="005B5D18">
        <w:rPr>
          <w:szCs w:val="26"/>
          <w:rtl/>
          <w:lang w:val="en-US"/>
        </w:rPr>
        <w:t xml:space="preserve">، بطريقة مماثلة لتلك </w:t>
      </w:r>
      <w:r>
        <w:rPr>
          <w:rFonts w:hint="cs"/>
          <w:szCs w:val="26"/>
          <w:rtl/>
          <w:lang w:val="en-US"/>
        </w:rPr>
        <w:t>المتصورة</w:t>
      </w:r>
      <w:r w:rsidRPr="005B5D18">
        <w:rPr>
          <w:szCs w:val="26"/>
          <w:rtl/>
          <w:lang w:val="en-US"/>
        </w:rPr>
        <w:t xml:space="preserve"> في المقرر 55/13 </w:t>
      </w:r>
      <w:r>
        <w:rPr>
          <w:rFonts w:hint="cs"/>
          <w:szCs w:val="26"/>
          <w:rtl/>
          <w:lang w:val="en-US"/>
        </w:rPr>
        <w:t>ل</w:t>
      </w:r>
      <w:r w:rsidRPr="005B5D18">
        <w:rPr>
          <w:szCs w:val="26"/>
          <w:rtl/>
          <w:lang w:val="en-US"/>
        </w:rPr>
        <w:t xml:space="preserve">خطط إدارة إزالة </w:t>
      </w:r>
      <w:r>
        <w:rPr>
          <w:szCs w:val="26"/>
          <w:rtl/>
          <w:lang w:val="en-US"/>
        </w:rPr>
        <w:t>المواد الهيدروكلوروفلوروكربونية، لم تظهر في مسودة</w:t>
      </w:r>
      <w:r w:rsidRPr="005B5D18">
        <w:rPr>
          <w:szCs w:val="26"/>
          <w:rtl/>
          <w:lang w:val="en-US"/>
        </w:rPr>
        <w:t xml:space="preserve"> المبادئ التوجيهية لإعداد خطط </w:t>
      </w:r>
      <w:r>
        <w:rPr>
          <w:rFonts w:hint="cs"/>
          <w:szCs w:val="26"/>
          <w:rtl/>
          <w:lang w:val="en-US"/>
        </w:rPr>
        <w:t>ا</w:t>
      </w:r>
      <w:r w:rsidRPr="008D51A9">
        <w:rPr>
          <w:rFonts w:hint="cs"/>
          <w:szCs w:val="26"/>
          <w:rtl/>
          <w:lang w:val="en-US"/>
        </w:rPr>
        <w:t>لتخفيض</w:t>
      </w:r>
      <w:r w:rsidRPr="008D51A9">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w:t>
      </w:r>
      <w:r>
        <w:rPr>
          <w:rFonts w:hint="cs"/>
          <w:szCs w:val="26"/>
          <w:rtl/>
          <w:lang w:val="en-US"/>
        </w:rPr>
        <w:t>و</w:t>
      </w:r>
      <w:r w:rsidRPr="005B5D18">
        <w:rPr>
          <w:szCs w:val="26"/>
          <w:rtl/>
          <w:lang w:val="en-US"/>
        </w:rPr>
        <w:t xml:space="preserve">اقترح أحد الأعضاء أن </w:t>
      </w:r>
      <w:r>
        <w:rPr>
          <w:rFonts w:hint="cs"/>
          <w:szCs w:val="26"/>
          <w:rtl/>
          <w:lang w:val="en-US"/>
        </w:rPr>
        <w:t>تعد</w:t>
      </w:r>
      <w:r w:rsidRPr="005B5D18">
        <w:rPr>
          <w:szCs w:val="26"/>
          <w:rtl/>
          <w:lang w:val="en-US"/>
        </w:rPr>
        <w:t xml:space="preserve"> الأمانة وثيقة تقارن عملية </w:t>
      </w:r>
      <w:r>
        <w:rPr>
          <w:rFonts w:hint="cs"/>
          <w:szCs w:val="26"/>
          <w:rtl/>
          <w:lang w:val="en-US"/>
        </w:rPr>
        <w:t>إعداد</w:t>
      </w:r>
      <w:r>
        <w:rPr>
          <w:szCs w:val="26"/>
          <w:rtl/>
          <w:lang w:val="en-US"/>
        </w:rPr>
        <w:t xml:space="preserve"> </w:t>
      </w:r>
      <w:r w:rsidRPr="005B5D18">
        <w:rPr>
          <w:szCs w:val="26"/>
          <w:rtl/>
          <w:lang w:val="en-US"/>
        </w:rPr>
        <w:t xml:space="preserve">خطط إدارة إزالة المواد الهيدروكلوروفلوروكربونية بالعملية المقترحة لإعداد خطط </w:t>
      </w:r>
      <w:r>
        <w:rPr>
          <w:rFonts w:hint="cs"/>
          <w:szCs w:val="26"/>
          <w:rtl/>
          <w:lang w:val="en-US"/>
        </w:rPr>
        <w:t>ا</w:t>
      </w:r>
      <w:r w:rsidRPr="008D51A9">
        <w:rPr>
          <w:rFonts w:hint="cs"/>
          <w:szCs w:val="26"/>
          <w:rtl/>
          <w:lang w:val="en-US"/>
        </w:rPr>
        <w:t>لتخفيض</w:t>
      </w:r>
      <w:r w:rsidRPr="008D51A9">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w:t>
      </w:r>
    </w:p>
    <w:p w14:paraId="3F8B646F"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sidRPr="005B5D18">
        <w:rPr>
          <w:szCs w:val="26"/>
          <w:rtl/>
          <w:lang w:val="en-US"/>
        </w:rPr>
        <w:t xml:space="preserve">شدد العديد من الأعضاء على أهمية تحديد وإدراج القطاعات والقطاعات الفرعية المتعددة التي تستخدم </w:t>
      </w:r>
      <w:r>
        <w:rPr>
          <w:rFonts w:hint="cs"/>
          <w:szCs w:val="26"/>
          <w:rtl/>
          <w:lang w:val="en-US"/>
        </w:rPr>
        <w:t>ا</w:t>
      </w:r>
      <w:r w:rsidRPr="008D51A9">
        <w:rPr>
          <w:rFonts w:hint="cs"/>
          <w:szCs w:val="26"/>
          <w:rtl/>
          <w:lang w:val="en-US"/>
        </w:rPr>
        <w:t>لمواد الهيدروفلوروكربونية</w:t>
      </w:r>
      <w:r w:rsidRPr="005B5D18">
        <w:rPr>
          <w:szCs w:val="26"/>
          <w:rtl/>
          <w:lang w:val="en-US"/>
        </w:rPr>
        <w:t xml:space="preserve"> في بلد ما في خطط </w:t>
      </w:r>
      <w:r>
        <w:rPr>
          <w:rFonts w:hint="cs"/>
          <w:szCs w:val="26"/>
          <w:rtl/>
          <w:lang w:val="en-US"/>
        </w:rPr>
        <w:t>التخفيض</w:t>
      </w:r>
      <w:r>
        <w:rPr>
          <w:szCs w:val="26"/>
          <w:rtl/>
          <w:lang w:val="en-US"/>
        </w:rPr>
        <w:t xml:space="preserve"> التدريجي</w:t>
      </w:r>
      <w:r w:rsidRPr="005B5D18">
        <w:rPr>
          <w:szCs w:val="26"/>
          <w:rtl/>
          <w:lang w:val="en-US"/>
        </w:rPr>
        <w:t>، على الرغم من السيادة في وثيقة قطاع خدمة التبريد. وشدد</w:t>
      </w:r>
      <w:r>
        <w:rPr>
          <w:rFonts w:hint="cs"/>
          <w:szCs w:val="26"/>
          <w:rtl/>
          <w:lang w:val="en-US"/>
        </w:rPr>
        <w:t>ت</w:t>
      </w:r>
      <w:r w:rsidRPr="005B5D18">
        <w:rPr>
          <w:szCs w:val="26"/>
          <w:rtl/>
          <w:lang w:val="en-US"/>
        </w:rPr>
        <w:t xml:space="preserve"> </w:t>
      </w:r>
      <w:r>
        <w:rPr>
          <w:rFonts w:hint="cs"/>
          <w:szCs w:val="26"/>
          <w:rtl/>
          <w:lang w:val="en-US"/>
        </w:rPr>
        <w:t>إحدى</w:t>
      </w:r>
      <w:r w:rsidRPr="005B5D18">
        <w:rPr>
          <w:szCs w:val="26"/>
          <w:rtl/>
          <w:lang w:val="en-US"/>
        </w:rPr>
        <w:t xml:space="preserve"> الأعضاء ع</w:t>
      </w:r>
      <w:r>
        <w:rPr>
          <w:szCs w:val="26"/>
          <w:rtl/>
          <w:lang w:val="en-US"/>
        </w:rPr>
        <w:t>لى الحاجة إلى فهم شامل لكل قطاع</w:t>
      </w:r>
      <w:r w:rsidRPr="005B5D18">
        <w:rPr>
          <w:szCs w:val="26"/>
          <w:rtl/>
          <w:lang w:val="en-US"/>
        </w:rPr>
        <w:t>، من خلال ال</w:t>
      </w:r>
      <w:r>
        <w:rPr>
          <w:szCs w:val="26"/>
          <w:rtl/>
          <w:lang w:val="en-US"/>
        </w:rPr>
        <w:t xml:space="preserve">عمل مع مجموعة متنوعة </w:t>
      </w:r>
      <w:r>
        <w:rPr>
          <w:szCs w:val="26"/>
          <w:rtl/>
          <w:lang w:val="en-US"/>
        </w:rPr>
        <w:lastRenderedPageBreak/>
        <w:t>من الخبراء</w:t>
      </w:r>
      <w:r w:rsidRPr="005B5D18">
        <w:rPr>
          <w:szCs w:val="26"/>
          <w:rtl/>
          <w:lang w:val="en-US"/>
        </w:rPr>
        <w:t xml:space="preserve">، في الجمارك والسمية والقابلية للاشتعال والسلامة. وقالت أيضاً إن التنفيذ الناجح لأنشطة </w:t>
      </w:r>
      <w:r>
        <w:rPr>
          <w:rFonts w:hint="cs"/>
          <w:szCs w:val="26"/>
          <w:rtl/>
          <w:lang w:val="en-US"/>
        </w:rPr>
        <w:t>ا</w:t>
      </w:r>
      <w:r w:rsidRPr="008D51A9">
        <w:rPr>
          <w:rFonts w:hint="cs"/>
          <w:szCs w:val="26"/>
          <w:rtl/>
          <w:lang w:val="en-US"/>
        </w:rPr>
        <w:t>لتخفيض</w:t>
      </w:r>
      <w:r w:rsidRPr="008D51A9">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يجب أن يراعي ليس </w:t>
      </w:r>
      <w:r>
        <w:rPr>
          <w:rFonts w:hint="cs"/>
          <w:szCs w:val="26"/>
          <w:rtl/>
          <w:lang w:val="en-US"/>
        </w:rPr>
        <w:t>فقط المسائل</w:t>
      </w:r>
      <w:r>
        <w:rPr>
          <w:szCs w:val="26"/>
          <w:rtl/>
          <w:lang w:val="en-US"/>
        </w:rPr>
        <w:t xml:space="preserve"> التقنية</w:t>
      </w:r>
      <w:r w:rsidRPr="005B5D18">
        <w:rPr>
          <w:szCs w:val="26"/>
          <w:rtl/>
          <w:lang w:val="en-US"/>
        </w:rPr>
        <w:t xml:space="preserve">، بل </w:t>
      </w:r>
      <w:r>
        <w:rPr>
          <w:rFonts w:hint="cs"/>
          <w:szCs w:val="26"/>
          <w:rtl/>
          <w:lang w:val="en-US"/>
        </w:rPr>
        <w:t>المسائل</w:t>
      </w:r>
      <w:r w:rsidRPr="005B5D18">
        <w:rPr>
          <w:szCs w:val="26"/>
          <w:rtl/>
          <w:lang w:val="en-US"/>
        </w:rPr>
        <w:t xml:space="preserve"> الاجتماعية أيضاً.</w:t>
      </w:r>
    </w:p>
    <w:p w14:paraId="6198C765"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Pr>
          <w:rFonts w:hint="cs"/>
          <w:szCs w:val="26"/>
          <w:rtl/>
          <w:lang w:val="en-US"/>
        </w:rPr>
        <w:t>و</w:t>
      </w:r>
      <w:r w:rsidRPr="005B5D18">
        <w:rPr>
          <w:szCs w:val="26"/>
          <w:rtl/>
          <w:lang w:val="en-US"/>
        </w:rPr>
        <w:t xml:space="preserve">اقترح أحد الأعضاء إضافة نص بشأن فرص تعزيز كفاءة </w:t>
      </w:r>
      <w:r>
        <w:rPr>
          <w:rFonts w:hint="cs"/>
          <w:szCs w:val="26"/>
          <w:rtl/>
          <w:lang w:val="en-US"/>
        </w:rPr>
        <w:t xml:space="preserve">استخدام </w:t>
      </w:r>
      <w:r w:rsidRPr="005B5D18">
        <w:rPr>
          <w:szCs w:val="26"/>
          <w:rtl/>
          <w:lang w:val="en-US"/>
        </w:rPr>
        <w:t xml:space="preserve">الطاقة </w:t>
      </w:r>
      <w:r w:rsidRPr="000C6155">
        <w:rPr>
          <w:szCs w:val="26"/>
          <w:rtl/>
          <w:lang w:val="en-US"/>
        </w:rPr>
        <w:t xml:space="preserve">في خطة التخفيض التدريجي للمواد الهيدروفلوروكربونية </w:t>
      </w:r>
      <w:r>
        <w:rPr>
          <w:rFonts w:hint="cs"/>
          <w:szCs w:val="26"/>
          <w:rtl/>
          <w:lang w:val="en-US"/>
        </w:rPr>
        <w:t>و</w:t>
      </w:r>
      <w:r w:rsidRPr="005B5D18">
        <w:rPr>
          <w:szCs w:val="26"/>
          <w:rtl/>
          <w:lang w:val="en-US"/>
        </w:rPr>
        <w:t>إدراج وصف للجهات الفاعلة المؤسسية فيما يتعلق بتعزيز كفاءة</w:t>
      </w:r>
      <w:r>
        <w:rPr>
          <w:rFonts w:hint="cs"/>
          <w:szCs w:val="26"/>
          <w:rtl/>
          <w:lang w:val="en-US"/>
        </w:rPr>
        <w:t xml:space="preserve"> استخدام</w:t>
      </w:r>
      <w:r w:rsidRPr="005B5D18">
        <w:rPr>
          <w:szCs w:val="26"/>
          <w:rtl/>
          <w:lang w:val="en-US"/>
        </w:rPr>
        <w:t xml:space="preserve"> الطاقة في قطاع التبريد وتكييف الهواء في خطة </w:t>
      </w:r>
      <w:r>
        <w:rPr>
          <w:rFonts w:hint="cs"/>
          <w:szCs w:val="26"/>
          <w:rtl/>
          <w:lang w:val="en-US"/>
        </w:rPr>
        <w:t>ا</w:t>
      </w:r>
      <w:r w:rsidRPr="008D51A9">
        <w:rPr>
          <w:rFonts w:hint="cs"/>
          <w:szCs w:val="26"/>
          <w:rtl/>
          <w:lang w:val="en-US"/>
        </w:rPr>
        <w:t>لتخفيض</w:t>
      </w:r>
      <w:r w:rsidRPr="008D51A9">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Pr>
          <w:szCs w:val="26"/>
          <w:rtl/>
          <w:lang w:val="en-US"/>
        </w:rPr>
        <w:t>. ومع ذلك</w:t>
      </w:r>
      <w:r w:rsidRPr="005B5D18">
        <w:rPr>
          <w:szCs w:val="26"/>
          <w:rtl/>
          <w:lang w:val="en-US"/>
        </w:rPr>
        <w:t xml:space="preserve">، أشار عضو آخر إلى أن كفاءة </w:t>
      </w:r>
      <w:r>
        <w:rPr>
          <w:rFonts w:hint="cs"/>
          <w:szCs w:val="26"/>
          <w:rtl/>
          <w:lang w:val="en-US"/>
        </w:rPr>
        <w:t xml:space="preserve">استخدام </w:t>
      </w:r>
      <w:r>
        <w:rPr>
          <w:szCs w:val="26"/>
          <w:rtl/>
          <w:lang w:val="en-US"/>
        </w:rPr>
        <w:t xml:space="preserve">الطاقة ليست </w:t>
      </w:r>
      <w:r>
        <w:rPr>
          <w:rFonts w:hint="cs"/>
          <w:szCs w:val="26"/>
          <w:rtl/>
          <w:lang w:val="en-US"/>
        </w:rPr>
        <w:t>مسألة</w:t>
      </w:r>
      <w:r>
        <w:rPr>
          <w:szCs w:val="26"/>
          <w:rtl/>
          <w:lang w:val="en-US"/>
        </w:rPr>
        <w:t xml:space="preserve"> امتثال</w:t>
      </w:r>
      <w:r w:rsidRPr="005B5D18">
        <w:rPr>
          <w:szCs w:val="26"/>
          <w:rtl/>
          <w:lang w:val="en-US"/>
        </w:rPr>
        <w:t>، وقال</w:t>
      </w:r>
      <w:r>
        <w:rPr>
          <w:rFonts w:hint="cs"/>
          <w:szCs w:val="26"/>
          <w:rtl/>
          <w:lang w:val="en-US"/>
        </w:rPr>
        <w:t xml:space="preserve"> أيضاً</w:t>
      </w:r>
      <w:r w:rsidRPr="005B5D18">
        <w:rPr>
          <w:szCs w:val="26"/>
          <w:rtl/>
          <w:lang w:val="en-US"/>
        </w:rPr>
        <w:t xml:space="preserve"> إنه إذا تم تقديم مطالب على بلدان المادة 5 فيما يتعلق بكفاءة</w:t>
      </w:r>
      <w:r>
        <w:rPr>
          <w:rFonts w:hint="cs"/>
          <w:szCs w:val="26"/>
          <w:rtl/>
          <w:lang w:val="en-US"/>
        </w:rPr>
        <w:t xml:space="preserve"> استخدام</w:t>
      </w:r>
      <w:r>
        <w:rPr>
          <w:szCs w:val="26"/>
          <w:rtl/>
          <w:lang w:val="en-US"/>
        </w:rPr>
        <w:t xml:space="preserve"> الطاقة</w:t>
      </w:r>
      <w:r w:rsidRPr="005B5D18">
        <w:rPr>
          <w:szCs w:val="26"/>
          <w:rtl/>
          <w:lang w:val="en-US"/>
        </w:rPr>
        <w:t xml:space="preserve">، فينبغي أن تلتزم البلدان غير العاملة بالمادة 5 بنفس المعايير. </w:t>
      </w:r>
      <w:r>
        <w:rPr>
          <w:rFonts w:hint="cs"/>
          <w:szCs w:val="26"/>
          <w:rtl/>
          <w:lang w:val="en-US"/>
        </w:rPr>
        <w:t>وذكر</w:t>
      </w:r>
      <w:r w:rsidRPr="005B5D18">
        <w:rPr>
          <w:szCs w:val="26"/>
          <w:rtl/>
          <w:lang w:val="en-US"/>
        </w:rPr>
        <w:t xml:space="preserve"> </w:t>
      </w:r>
      <w:r>
        <w:rPr>
          <w:rFonts w:hint="cs"/>
          <w:szCs w:val="26"/>
          <w:rtl/>
          <w:lang w:val="en-US"/>
        </w:rPr>
        <w:t>نفس</w:t>
      </w:r>
      <w:r w:rsidRPr="005B5D18">
        <w:rPr>
          <w:szCs w:val="26"/>
          <w:rtl/>
          <w:lang w:val="en-US"/>
        </w:rPr>
        <w:t xml:space="preserve"> </w:t>
      </w:r>
      <w:r>
        <w:rPr>
          <w:rFonts w:hint="cs"/>
          <w:szCs w:val="26"/>
          <w:rtl/>
          <w:lang w:val="en-US"/>
        </w:rPr>
        <w:t>ال</w:t>
      </w:r>
      <w:r w:rsidRPr="005B5D18">
        <w:rPr>
          <w:szCs w:val="26"/>
          <w:rtl/>
          <w:lang w:val="en-US"/>
        </w:rPr>
        <w:t xml:space="preserve">نقطة </w:t>
      </w:r>
      <w:r>
        <w:rPr>
          <w:szCs w:val="26"/>
          <w:rtl/>
          <w:lang w:val="en-US"/>
        </w:rPr>
        <w:t>بشأن جمع البيانات</w:t>
      </w:r>
      <w:r w:rsidRPr="005B5D18">
        <w:rPr>
          <w:szCs w:val="26"/>
          <w:rtl/>
          <w:lang w:val="en-US"/>
        </w:rPr>
        <w:t>، مشيراً إلى أن البيانات التي جمع</w:t>
      </w:r>
      <w:r>
        <w:rPr>
          <w:rFonts w:hint="cs"/>
          <w:szCs w:val="26"/>
          <w:rtl/>
          <w:lang w:val="en-US"/>
        </w:rPr>
        <w:t>ت</w:t>
      </w:r>
      <w:r w:rsidRPr="005B5D18">
        <w:rPr>
          <w:szCs w:val="26"/>
          <w:rtl/>
          <w:lang w:val="en-US"/>
        </w:rPr>
        <w:t>ها بلدان المادة 5 والبلدان غير العامل</w:t>
      </w:r>
      <w:r>
        <w:rPr>
          <w:szCs w:val="26"/>
          <w:rtl/>
          <w:lang w:val="en-US"/>
        </w:rPr>
        <w:t>ة بالمادة 5 يجب أن تكون متوافقة، مثل السماح، على سبيل المثال</w:t>
      </w:r>
      <w:r w:rsidRPr="005B5D18">
        <w:rPr>
          <w:szCs w:val="26"/>
          <w:rtl/>
          <w:lang w:val="en-US"/>
        </w:rPr>
        <w:t xml:space="preserve">، بمقارنة </w:t>
      </w:r>
      <w:r>
        <w:rPr>
          <w:rFonts w:hint="cs"/>
          <w:szCs w:val="26"/>
          <w:rtl/>
          <w:lang w:val="en-US"/>
        </w:rPr>
        <w:t>ال</w:t>
      </w:r>
      <w:r w:rsidRPr="005B5D18">
        <w:rPr>
          <w:szCs w:val="26"/>
          <w:rtl/>
          <w:lang w:val="en-US"/>
        </w:rPr>
        <w:t xml:space="preserve">تصدير </w:t>
      </w:r>
      <w:r>
        <w:rPr>
          <w:rFonts w:hint="cs"/>
          <w:szCs w:val="26"/>
          <w:rtl/>
          <w:lang w:val="en-US"/>
        </w:rPr>
        <w:t>إلى</w:t>
      </w:r>
      <w:r w:rsidRPr="005B5D18">
        <w:rPr>
          <w:szCs w:val="26"/>
          <w:rtl/>
          <w:lang w:val="en-US"/>
        </w:rPr>
        <w:t xml:space="preserve"> بلد ما مع استيراده </w:t>
      </w:r>
      <w:r>
        <w:rPr>
          <w:rFonts w:hint="cs"/>
          <w:szCs w:val="26"/>
          <w:rtl/>
          <w:lang w:val="en-US"/>
        </w:rPr>
        <w:t>من</w:t>
      </w:r>
      <w:r w:rsidRPr="005B5D18">
        <w:rPr>
          <w:szCs w:val="26"/>
          <w:rtl/>
          <w:lang w:val="en-US"/>
        </w:rPr>
        <w:t xml:space="preserve"> بلد آخر. وقال عضو آخر إن جمع البيانات ينبغي أن يستند إلى الدروس المستفادة من </w:t>
      </w:r>
      <w:r>
        <w:rPr>
          <w:rFonts w:hint="cs"/>
          <w:szCs w:val="26"/>
          <w:rtl/>
          <w:lang w:val="en-US"/>
        </w:rPr>
        <w:t>إزالة</w:t>
      </w:r>
      <w:r w:rsidRPr="005B5D18">
        <w:rPr>
          <w:szCs w:val="26"/>
          <w:rtl/>
          <w:lang w:val="en-US"/>
        </w:rPr>
        <w:t xml:space="preserve"> </w:t>
      </w:r>
      <w:r>
        <w:rPr>
          <w:rFonts w:hint="cs"/>
          <w:szCs w:val="26"/>
          <w:rtl/>
          <w:lang w:val="en-US"/>
        </w:rPr>
        <w:t>ا</w:t>
      </w:r>
      <w:r w:rsidRPr="008D51A9">
        <w:rPr>
          <w:rFonts w:hint="cs"/>
          <w:szCs w:val="26"/>
          <w:rtl/>
          <w:lang w:val="en-US"/>
        </w:rPr>
        <w:t>لمواد الهيدرو</w:t>
      </w:r>
      <w:r>
        <w:rPr>
          <w:rFonts w:hint="cs"/>
          <w:szCs w:val="26"/>
          <w:rtl/>
          <w:lang w:val="en-US"/>
        </w:rPr>
        <w:t>كلورو</w:t>
      </w:r>
      <w:r w:rsidRPr="008D51A9">
        <w:rPr>
          <w:rFonts w:hint="cs"/>
          <w:szCs w:val="26"/>
          <w:rtl/>
          <w:lang w:val="en-US"/>
        </w:rPr>
        <w:t>فلوروكربونية</w:t>
      </w:r>
      <w:r>
        <w:rPr>
          <w:szCs w:val="26"/>
          <w:rtl/>
          <w:lang w:val="en-US"/>
        </w:rPr>
        <w:t xml:space="preserve"> وأعرب عن دعمه</w:t>
      </w:r>
      <w:r w:rsidRPr="005B5D18">
        <w:rPr>
          <w:szCs w:val="26"/>
          <w:rtl/>
          <w:lang w:val="en-US"/>
        </w:rPr>
        <w:t>، في الحالا</w:t>
      </w:r>
      <w:r>
        <w:rPr>
          <w:szCs w:val="26"/>
          <w:rtl/>
          <w:lang w:val="en-US"/>
        </w:rPr>
        <w:t>ت التي تمت فيها الموافقة على مشر</w:t>
      </w:r>
      <w:r>
        <w:rPr>
          <w:rFonts w:hint="cs"/>
          <w:szCs w:val="26"/>
          <w:rtl/>
          <w:lang w:val="en-US"/>
        </w:rPr>
        <w:t>و</w:t>
      </w:r>
      <w:r w:rsidRPr="005B5D18">
        <w:rPr>
          <w:szCs w:val="26"/>
          <w:rtl/>
          <w:lang w:val="en-US"/>
        </w:rPr>
        <w:t>ع</w:t>
      </w:r>
      <w:r>
        <w:rPr>
          <w:rFonts w:hint="cs"/>
          <w:szCs w:val="26"/>
          <w:rtl/>
          <w:lang w:val="en-US"/>
        </w:rPr>
        <w:t>ات</w:t>
      </w:r>
      <w:r w:rsidRPr="005B5D18">
        <w:rPr>
          <w:szCs w:val="26"/>
          <w:rtl/>
          <w:lang w:val="en-US"/>
        </w:rPr>
        <w:t xml:space="preserve"> </w:t>
      </w:r>
      <w:r>
        <w:rPr>
          <w:rFonts w:hint="cs"/>
          <w:szCs w:val="26"/>
          <w:rtl/>
          <w:lang w:val="en-US"/>
        </w:rPr>
        <w:t>ا</w:t>
      </w:r>
      <w:r w:rsidRPr="008D51A9">
        <w:rPr>
          <w:rFonts w:hint="cs"/>
          <w:szCs w:val="26"/>
          <w:rtl/>
          <w:lang w:val="en-US"/>
        </w:rPr>
        <w:t>لمواد الهيدروفلوروكربونية</w:t>
      </w:r>
      <w:r w:rsidRPr="005B5D18">
        <w:rPr>
          <w:szCs w:val="26"/>
          <w:rtl/>
          <w:lang w:val="en-US"/>
        </w:rPr>
        <w:t xml:space="preserve"> في غياب نقطة </w:t>
      </w:r>
      <w:r>
        <w:rPr>
          <w:rFonts w:hint="cs"/>
          <w:szCs w:val="26"/>
          <w:rtl/>
          <w:lang w:val="en-US"/>
        </w:rPr>
        <w:t>البداية</w:t>
      </w:r>
      <w:r w:rsidRPr="005B5D18">
        <w:rPr>
          <w:szCs w:val="26"/>
          <w:rtl/>
          <w:lang w:val="en-US"/>
        </w:rPr>
        <w:t xml:space="preserve"> للتخفيضات الإجمالية في استهلاك </w:t>
      </w:r>
      <w:r>
        <w:rPr>
          <w:rFonts w:hint="cs"/>
          <w:szCs w:val="26"/>
          <w:rtl/>
          <w:lang w:val="en-US"/>
        </w:rPr>
        <w:t>ا</w:t>
      </w:r>
      <w:r w:rsidRPr="008D51A9">
        <w:rPr>
          <w:rFonts w:hint="cs"/>
          <w:szCs w:val="26"/>
          <w:rtl/>
          <w:lang w:val="en-US"/>
        </w:rPr>
        <w:t>لمواد الهيدروفلوروكربونية</w:t>
      </w:r>
      <w:r w:rsidRPr="005B5D18">
        <w:rPr>
          <w:szCs w:val="26"/>
          <w:rtl/>
          <w:lang w:val="en-US"/>
        </w:rPr>
        <w:t>، لنهج مماثل للنهج المستخدم في إطار</w:t>
      </w:r>
      <w:r>
        <w:rPr>
          <w:szCs w:val="26"/>
          <w:lang w:val="en-US"/>
        </w:rPr>
        <w:t xml:space="preserve"> </w:t>
      </w:r>
      <w:r>
        <w:rPr>
          <w:rFonts w:hint="cs"/>
          <w:szCs w:val="26"/>
          <w:rtl/>
          <w:lang w:val="en-US"/>
        </w:rPr>
        <w:t xml:space="preserve"> خطط إدارة إزالة ا</w:t>
      </w:r>
      <w:r w:rsidRPr="008D51A9">
        <w:rPr>
          <w:rFonts w:hint="cs"/>
          <w:szCs w:val="26"/>
          <w:rtl/>
          <w:lang w:val="en-US"/>
        </w:rPr>
        <w:t>لمواد الهيدرو</w:t>
      </w:r>
      <w:r>
        <w:rPr>
          <w:rFonts w:hint="cs"/>
          <w:szCs w:val="26"/>
          <w:rtl/>
          <w:lang w:val="en-US"/>
        </w:rPr>
        <w:t>كلورو</w:t>
      </w:r>
      <w:r w:rsidRPr="008D51A9">
        <w:rPr>
          <w:rFonts w:hint="cs"/>
          <w:szCs w:val="26"/>
          <w:rtl/>
          <w:lang w:val="en-US"/>
        </w:rPr>
        <w:t>فلوروكربونية</w:t>
      </w:r>
      <w:r w:rsidRPr="005B5D18">
        <w:rPr>
          <w:szCs w:val="26"/>
          <w:rtl/>
          <w:lang w:val="en-US"/>
        </w:rPr>
        <w:t xml:space="preserve">. وأيد أعضاء آخرون فكرة المضي قدمًا في بعض المشروعات الاستثمارية الفردية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قبل الانتهاء من خطة </w:t>
      </w:r>
      <w:r>
        <w:rPr>
          <w:rFonts w:hint="cs"/>
          <w:szCs w:val="26"/>
          <w:rtl/>
          <w:lang w:val="en-US"/>
        </w:rPr>
        <w:t>التخفيض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w:t>
      </w:r>
      <w:r>
        <w:rPr>
          <w:szCs w:val="26"/>
          <w:rtl/>
          <w:lang w:val="en-US"/>
        </w:rPr>
        <w:t>للبلد المعني</w:t>
      </w:r>
      <w:r w:rsidRPr="005B5D18">
        <w:rPr>
          <w:szCs w:val="26"/>
          <w:rtl/>
          <w:lang w:val="en-US"/>
        </w:rPr>
        <w:t xml:space="preserve">، كما حدث فيما يتعلق </w:t>
      </w:r>
      <w:r>
        <w:rPr>
          <w:rFonts w:hint="cs"/>
          <w:szCs w:val="26"/>
          <w:rtl/>
          <w:lang w:val="en-US"/>
        </w:rPr>
        <w:t>با</w:t>
      </w:r>
      <w:r w:rsidRPr="008D51A9">
        <w:rPr>
          <w:rFonts w:hint="cs"/>
          <w:szCs w:val="26"/>
          <w:rtl/>
          <w:lang w:val="en-US"/>
        </w:rPr>
        <w:t>لمواد الهيدرو</w:t>
      </w:r>
      <w:r>
        <w:rPr>
          <w:rFonts w:hint="cs"/>
          <w:szCs w:val="26"/>
          <w:rtl/>
          <w:lang w:val="en-US"/>
        </w:rPr>
        <w:t>كلورو</w:t>
      </w:r>
      <w:r w:rsidRPr="008D51A9">
        <w:rPr>
          <w:rFonts w:hint="cs"/>
          <w:szCs w:val="26"/>
          <w:rtl/>
          <w:lang w:val="en-US"/>
        </w:rPr>
        <w:t>فلوروكربونية</w:t>
      </w:r>
      <w:r w:rsidRPr="005B5D18">
        <w:rPr>
          <w:szCs w:val="26"/>
          <w:rtl/>
          <w:lang w:val="en-US"/>
        </w:rPr>
        <w:t>.</w:t>
      </w:r>
    </w:p>
    <w:p w14:paraId="3D265C10"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Pr>
          <w:rFonts w:hint="cs"/>
          <w:szCs w:val="26"/>
          <w:rtl/>
          <w:lang w:val="en-US"/>
        </w:rPr>
        <w:t>و</w:t>
      </w:r>
      <w:r w:rsidRPr="005B5D18">
        <w:rPr>
          <w:szCs w:val="26"/>
          <w:rtl/>
          <w:lang w:val="en-US"/>
        </w:rPr>
        <w:t>اقترح</w:t>
      </w:r>
      <w:r>
        <w:rPr>
          <w:rFonts w:hint="cs"/>
          <w:szCs w:val="26"/>
          <w:rtl/>
          <w:lang w:val="en-US"/>
        </w:rPr>
        <w:t>ت</w:t>
      </w:r>
      <w:r w:rsidRPr="005B5D18">
        <w:rPr>
          <w:szCs w:val="26"/>
          <w:rtl/>
          <w:lang w:val="en-US"/>
        </w:rPr>
        <w:t xml:space="preserve"> </w:t>
      </w:r>
      <w:r>
        <w:rPr>
          <w:rFonts w:hint="cs"/>
          <w:szCs w:val="26"/>
          <w:rtl/>
          <w:lang w:val="en-US"/>
        </w:rPr>
        <w:t>إحدى</w:t>
      </w:r>
      <w:r w:rsidRPr="005B5D18">
        <w:rPr>
          <w:szCs w:val="26"/>
          <w:rtl/>
          <w:lang w:val="en-US"/>
        </w:rPr>
        <w:t xml:space="preserve"> الأعضاء وضع إشارة أكثر موضوعية في مشروع المقرر إلى التزام الحكومات </w:t>
      </w:r>
      <w:r>
        <w:rPr>
          <w:rFonts w:hint="cs"/>
          <w:szCs w:val="26"/>
          <w:rtl/>
          <w:lang w:val="en-US"/>
        </w:rPr>
        <w:t>بوضع</w:t>
      </w:r>
      <w:r w:rsidRPr="005B5D18">
        <w:rPr>
          <w:szCs w:val="26"/>
          <w:rtl/>
          <w:lang w:val="en-US"/>
        </w:rPr>
        <w:t xml:space="preserve"> قيود على النمو في استهلاك </w:t>
      </w:r>
      <w:r>
        <w:rPr>
          <w:rFonts w:hint="cs"/>
          <w:szCs w:val="26"/>
          <w:rtl/>
          <w:lang w:val="en-US"/>
        </w:rPr>
        <w:t>ا</w:t>
      </w:r>
      <w:r w:rsidRPr="008D51A9">
        <w:rPr>
          <w:rFonts w:hint="cs"/>
          <w:szCs w:val="26"/>
          <w:rtl/>
          <w:lang w:val="en-US"/>
        </w:rPr>
        <w:t>لمواد الهيدروفلوروكربونية</w:t>
      </w:r>
      <w:r w:rsidRPr="005B5D18">
        <w:rPr>
          <w:szCs w:val="26"/>
          <w:rtl/>
          <w:lang w:val="en-US"/>
        </w:rPr>
        <w:t xml:space="preserve"> والحفاظ على </w:t>
      </w:r>
      <w:r>
        <w:rPr>
          <w:rFonts w:hint="cs"/>
          <w:szCs w:val="26"/>
          <w:rtl/>
          <w:lang w:val="en-US"/>
        </w:rPr>
        <w:t>التخفيض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واقترحت </w:t>
      </w:r>
      <w:r>
        <w:rPr>
          <w:rFonts w:hint="cs"/>
          <w:szCs w:val="26"/>
          <w:rtl/>
          <w:lang w:val="en-US"/>
        </w:rPr>
        <w:t>وجود</w:t>
      </w:r>
      <w:r w:rsidRPr="005B5D18">
        <w:rPr>
          <w:szCs w:val="26"/>
          <w:rtl/>
          <w:lang w:val="en-US"/>
        </w:rPr>
        <w:t xml:space="preserve"> مزيد من التفاصيل بشأن الإجراءات والأ</w:t>
      </w:r>
      <w:r>
        <w:rPr>
          <w:szCs w:val="26"/>
          <w:rtl/>
          <w:lang w:val="en-US"/>
        </w:rPr>
        <w:t xml:space="preserve">نشطة التي يتعين الاضطلاع بها </w:t>
      </w:r>
      <w:r>
        <w:rPr>
          <w:rFonts w:hint="cs"/>
          <w:szCs w:val="26"/>
          <w:rtl/>
          <w:lang w:val="en-US"/>
        </w:rPr>
        <w:t xml:space="preserve">كجزء من </w:t>
      </w:r>
      <w:r w:rsidRPr="005B5D18">
        <w:rPr>
          <w:szCs w:val="26"/>
          <w:rtl/>
          <w:lang w:val="en-US"/>
        </w:rPr>
        <w:t xml:space="preserve">خطة </w:t>
      </w:r>
      <w:r>
        <w:rPr>
          <w:rFonts w:hint="cs"/>
          <w:szCs w:val="26"/>
          <w:rtl/>
          <w:lang w:val="en-US"/>
        </w:rPr>
        <w:t>ا</w:t>
      </w:r>
      <w:r w:rsidRPr="005B5D18">
        <w:rPr>
          <w:szCs w:val="26"/>
          <w:rtl/>
          <w:lang w:val="en-US"/>
        </w:rPr>
        <w:t>لحكومة</w:t>
      </w:r>
      <w:r>
        <w:rPr>
          <w:rFonts w:hint="cs"/>
          <w:szCs w:val="26"/>
          <w:rtl/>
          <w:lang w:val="en-US"/>
        </w:rPr>
        <w:t xml:space="preserve"> العامة</w:t>
      </w:r>
      <w:r w:rsidRPr="005B5D18">
        <w:rPr>
          <w:szCs w:val="26"/>
          <w:rtl/>
          <w:lang w:val="en-US"/>
        </w:rPr>
        <w:t xml:space="preserve">. </w:t>
      </w:r>
      <w:r>
        <w:rPr>
          <w:rFonts w:hint="cs"/>
          <w:szCs w:val="26"/>
          <w:rtl/>
          <w:lang w:val="en-US"/>
        </w:rPr>
        <w:t>و</w:t>
      </w:r>
      <w:r>
        <w:rPr>
          <w:szCs w:val="26"/>
          <w:rtl/>
          <w:lang w:val="en-US"/>
        </w:rPr>
        <w:t>رد عضوان</w:t>
      </w:r>
      <w:r>
        <w:rPr>
          <w:rFonts w:hint="cs"/>
          <w:szCs w:val="26"/>
          <w:rtl/>
          <w:lang w:val="en-US"/>
        </w:rPr>
        <w:t>.</w:t>
      </w:r>
      <w:r w:rsidRPr="005B5D18">
        <w:rPr>
          <w:szCs w:val="26"/>
          <w:rtl/>
          <w:lang w:val="en-US"/>
        </w:rPr>
        <w:t xml:space="preserve"> قال الأول إنه يجب الاعتراف بأن الإجراءات التي يتخذها كل بلد ستعتمد </w:t>
      </w:r>
      <w:r>
        <w:rPr>
          <w:szCs w:val="26"/>
          <w:rtl/>
          <w:lang w:val="en-US"/>
        </w:rPr>
        <w:t xml:space="preserve">على الظروف السائدة في ذلك البلد </w:t>
      </w:r>
      <w:r w:rsidRPr="005B5D18">
        <w:rPr>
          <w:szCs w:val="26"/>
          <w:rtl/>
          <w:lang w:val="en-US"/>
        </w:rPr>
        <w:t>وإمكانية ال</w:t>
      </w:r>
      <w:r>
        <w:rPr>
          <w:rFonts w:hint="cs"/>
          <w:szCs w:val="26"/>
          <w:rtl/>
          <w:lang w:val="en-US"/>
        </w:rPr>
        <w:t>ح</w:t>
      </w:r>
      <w:r>
        <w:rPr>
          <w:szCs w:val="26"/>
          <w:rtl/>
          <w:lang w:val="en-US"/>
        </w:rPr>
        <w:t xml:space="preserve">صول </w:t>
      </w:r>
      <w:r>
        <w:rPr>
          <w:rFonts w:hint="cs"/>
          <w:szCs w:val="26"/>
          <w:rtl/>
          <w:lang w:val="en-US"/>
        </w:rPr>
        <w:t>ع</w:t>
      </w:r>
      <w:r>
        <w:rPr>
          <w:szCs w:val="26"/>
          <w:rtl/>
          <w:lang w:val="en-US"/>
        </w:rPr>
        <w:t>لى البدائل واستخدامها</w:t>
      </w:r>
      <w:r w:rsidRPr="005B5D18">
        <w:rPr>
          <w:szCs w:val="26"/>
          <w:rtl/>
          <w:lang w:val="en-US"/>
        </w:rPr>
        <w:t>؛ وأكد الثاني على الحاجة إلى المرونة في تفسير إثبات الالتزام.</w:t>
      </w:r>
    </w:p>
    <w:p w14:paraId="03A69AA6"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Pr>
          <w:szCs w:val="26"/>
          <w:rtl/>
          <w:lang w:val="en-US"/>
        </w:rPr>
        <w:t>طلب أحد الأعضاء معلومات إضافية</w:t>
      </w:r>
      <w:r w:rsidRPr="005B5D18">
        <w:rPr>
          <w:szCs w:val="26"/>
          <w:rtl/>
          <w:lang w:val="en-US"/>
        </w:rPr>
        <w:t>، بما في ذلك معلومات عن ال</w:t>
      </w:r>
      <w:r>
        <w:rPr>
          <w:szCs w:val="26"/>
          <w:rtl/>
          <w:lang w:val="en-US"/>
        </w:rPr>
        <w:t>بدائل والتكنولوجيات غير العينية</w:t>
      </w:r>
      <w:r w:rsidRPr="005B5D18">
        <w:rPr>
          <w:szCs w:val="26"/>
          <w:rtl/>
          <w:lang w:val="en-US"/>
        </w:rPr>
        <w:t>، واقترح أن تأخذ المبادئ التوجيهية ف</w:t>
      </w:r>
      <w:r>
        <w:rPr>
          <w:szCs w:val="26"/>
          <w:rtl/>
          <w:lang w:val="en-US"/>
        </w:rPr>
        <w:t>ي الحسبان ليس فقط توافر البدائل</w:t>
      </w:r>
      <w:r w:rsidRPr="005B5D18">
        <w:rPr>
          <w:szCs w:val="26"/>
          <w:rtl/>
          <w:lang w:val="en-US"/>
        </w:rPr>
        <w:t xml:space="preserve">، </w:t>
      </w:r>
      <w:r>
        <w:rPr>
          <w:rFonts w:hint="cs"/>
          <w:szCs w:val="26"/>
          <w:rtl/>
          <w:lang w:val="en-US"/>
        </w:rPr>
        <w:t>بل</w:t>
      </w:r>
      <w:r>
        <w:rPr>
          <w:szCs w:val="26"/>
          <w:rtl/>
          <w:lang w:val="en-US"/>
        </w:rPr>
        <w:t xml:space="preserve"> إمكانية ال</w:t>
      </w:r>
      <w:r>
        <w:rPr>
          <w:rFonts w:hint="cs"/>
          <w:szCs w:val="26"/>
          <w:rtl/>
          <w:lang w:val="en-US"/>
        </w:rPr>
        <w:t>ح</w:t>
      </w:r>
      <w:r>
        <w:rPr>
          <w:szCs w:val="26"/>
          <w:rtl/>
          <w:lang w:val="en-US"/>
        </w:rPr>
        <w:t xml:space="preserve">صول </w:t>
      </w:r>
      <w:r>
        <w:rPr>
          <w:rFonts w:hint="cs"/>
          <w:szCs w:val="26"/>
          <w:rtl/>
          <w:lang w:val="en-US"/>
        </w:rPr>
        <w:t>ع</w:t>
      </w:r>
      <w:r w:rsidRPr="005B5D18">
        <w:rPr>
          <w:szCs w:val="26"/>
          <w:rtl/>
          <w:lang w:val="en-US"/>
        </w:rPr>
        <w:t xml:space="preserve">ليها </w:t>
      </w:r>
      <w:r>
        <w:rPr>
          <w:rFonts w:hint="cs"/>
          <w:szCs w:val="26"/>
          <w:rtl/>
          <w:lang w:val="en-US"/>
        </w:rPr>
        <w:t>أيضا</w:t>
      </w:r>
      <w:r w:rsidRPr="005B5D18">
        <w:rPr>
          <w:szCs w:val="26"/>
          <w:rtl/>
          <w:lang w:val="en-US"/>
        </w:rPr>
        <w:t xml:space="preserve">، مع ملاحظة التعريفات ذات الصلة التي </w:t>
      </w:r>
      <w:r>
        <w:rPr>
          <w:rFonts w:hint="cs"/>
          <w:szCs w:val="26"/>
          <w:rtl/>
          <w:lang w:val="en-US"/>
        </w:rPr>
        <w:t>قدمتها فرقة العمل التابعة لفريق التكنولوجيا والتقييم الاقتصادي</w:t>
      </w:r>
      <w:r w:rsidRPr="005B5D18">
        <w:rPr>
          <w:szCs w:val="26"/>
          <w:rtl/>
          <w:lang w:val="en-US"/>
        </w:rPr>
        <w:t xml:space="preserve"> </w:t>
      </w:r>
      <w:r>
        <w:rPr>
          <w:rFonts w:hint="cs"/>
          <w:szCs w:val="26"/>
          <w:rtl/>
          <w:lang w:val="en-US"/>
        </w:rPr>
        <w:t xml:space="preserve">في المقرر </w:t>
      </w:r>
      <w:r w:rsidRPr="005B5D18">
        <w:rPr>
          <w:szCs w:val="26"/>
          <w:rtl/>
          <w:lang w:val="en-US"/>
        </w:rPr>
        <w:t xml:space="preserve">31/7 (كفاءة </w:t>
      </w:r>
      <w:r>
        <w:rPr>
          <w:rFonts w:hint="cs"/>
          <w:szCs w:val="26"/>
          <w:rtl/>
          <w:lang w:val="en-US"/>
        </w:rPr>
        <w:t xml:space="preserve">استخدام </w:t>
      </w:r>
      <w:r w:rsidRPr="005B5D18">
        <w:rPr>
          <w:szCs w:val="26"/>
          <w:rtl/>
          <w:lang w:val="en-US"/>
        </w:rPr>
        <w:t>الطاقة).</w:t>
      </w:r>
    </w:p>
    <w:p w14:paraId="298774B3"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sidRPr="005B5D18">
        <w:rPr>
          <w:szCs w:val="26"/>
          <w:rtl/>
          <w:lang w:val="en-US"/>
        </w:rPr>
        <w:t xml:space="preserve">شدد عدد قليل من الأعضاء على الحاجة إلى ضمان أن يكون اسم خطط </w:t>
      </w:r>
      <w:r>
        <w:rPr>
          <w:rFonts w:hint="cs"/>
          <w:szCs w:val="26"/>
          <w:rtl/>
          <w:lang w:val="en-US"/>
        </w:rPr>
        <w:t>التخفيض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واختصاره</w:t>
      </w:r>
      <w:r>
        <w:rPr>
          <w:rFonts w:hint="cs"/>
          <w:szCs w:val="26"/>
          <w:rtl/>
          <w:lang w:val="en-US"/>
        </w:rPr>
        <w:t>ا</w:t>
      </w:r>
      <w:r w:rsidRPr="005B5D18">
        <w:rPr>
          <w:szCs w:val="26"/>
          <w:rtl/>
          <w:lang w:val="en-US"/>
        </w:rPr>
        <w:t xml:space="preserve"> موجزا ومختلفاً بدرجة كافية عن "خطة إدارة </w:t>
      </w:r>
      <w:r>
        <w:rPr>
          <w:rFonts w:hint="cs"/>
          <w:szCs w:val="26"/>
          <w:rtl/>
          <w:lang w:val="en-US"/>
        </w:rPr>
        <w:t>إزالة المواد الهيدروكلوروفلوروكربونية</w:t>
      </w:r>
      <w:r w:rsidRPr="005B5D18">
        <w:rPr>
          <w:szCs w:val="26"/>
          <w:rtl/>
          <w:lang w:val="en-US"/>
        </w:rPr>
        <w:t xml:space="preserve">". </w:t>
      </w:r>
      <w:r>
        <w:rPr>
          <w:rFonts w:hint="cs"/>
          <w:szCs w:val="26"/>
          <w:rtl/>
          <w:lang w:val="en-US"/>
        </w:rPr>
        <w:t>و</w:t>
      </w:r>
      <w:r w:rsidRPr="005B5D18">
        <w:rPr>
          <w:szCs w:val="26"/>
          <w:rtl/>
          <w:lang w:val="en-US"/>
        </w:rPr>
        <w:t>اقترح أحد الأ</w:t>
      </w:r>
      <w:r>
        <w:rPr>
          <w:szCs w:val="26"/>
          <w:rtl/>
          <w:lang w:val="en-US"/>
        </w:rPr>
        <w:t>عضاء تسميتها "</w:t>
      </w:r>
      <w:r>
        <w:rPr>
          <w:rFonts w:hint="cs"/>
          <w:szCs w:val="26"/>
          <w:rtl/>
          <w:lang w:val="en-US"/>
        </w:rPr>
        <w:t>خطط</w:t>
      </w:r>
      <w:r>
        <w:rPr>
          <w:szCs w:val="26"/>
          <w:rtl/>
          <w:lang w:val="en-US"/>
        </w:rPr>
        <w:t xml:space="preserve"> تنفيذ كيغالي</w:t>
      </w:r>
      <w:r>
        <w:rPr>
          <w:rFonts w:hint="cs"/>
          <w:szCs w:val="26"/>
          <w:rtl/>
          <w:lang w:val="en-US"/>
        </w:rPr>
        <w:t xml:space="preserve"> (</w:t>
      </w:r>
      <w:r>
        <w:rPr>
          <w:szCs w:val="26"/>
          <w:lang w:val="en-US"/>
        </w:rPr>
        <w:t>KIPs</w:t>
      </w:r>
      <w:r>
        <w:rPr>
          <w:rFonts w:hint="cs"/>
          <w:szCs w:val="26"/>
          <w:rtl/>
          <w:lang w:val="en-US"/>
        </w:rPr>
        <w:t>)</w:t>
      </w:r>
      <w:r>
        <w:rPr>
          <w:szCs w:val="26"/>
          <w:rtl/>
          <w:lang w:val="en-US"/>
        </w:rPr>
        <w:t>"</w:t>
      </w:r>
      <w:r w:rsidRPr="005B5D18">
        <w:rPr>
          <w:szCs w:val="26"/>
          <w:rtl/>
          <w:lang w:val="en-US"/>
        </w:rPr>
        <w:t xml:space="preserve">، بينما ذكر أعضاء آخرون أن </w:t>
      </w:r>
      <w:r>
        <w:rPr>
          <w:rFonts w:hint="cs"/>
          <w:szCs w:val="26"/>
          <w:rtl/>
          <w:lang w:val="en-US"/>
        </w:rPr>
        <w:t>ا</w:t>
      </w:r>
      <w:r w:rsidRPr="008D51A9">
        <w:rPr>
          <w:rFonts w:hint="cs"/>
          <w:szCs w:val="26"/>
          <w:rtl/>
          <w:lang w:val="en-US"/>
        </w:rPr>
        <w:t>لمواد الهيدروفلوروكربونية</w:t>
      </w:r>
      <w:r w:rsidRPr="005B5D18">
        <w:rPr>
          <w:szCs w:val="26"/>
          <w:rtl/>
          <w:lang w:val="en-US"/>
        </w:rPr>
        <w:t xml:space="preserve"> يجب أن تكون </w:t>
      </w:r>
      <w:r>
        <w:rPr>
          <w:rFonts w:hint="cs"/>
          <w:szCs w:val="26"/>
          <w:rtl/>
          <w:lang w:val="en-US"/>
        </w:rPr>
        <w:t>جزءاً</w:t>
      </w:r>
      <w:r w:rsidRPr="005B5D18">
        <w:rPr>
          <w:szCs w:val="26"/>
          <w:rtl/>
          <w:lang w:val="en-US"/>
        </w:rPr>
        <w:t xml:space="preserve"> </w:t>
      </w:r>
      <w:r>
        <w:rPr>
          <w:szCs w:val="26"/>
          <w:rtl/>
          <w:lang w:val="en-US"/>
        </w:rPr>
        <w:t>من الاسم</w:t>
      </w:r>
      <w:r w:rsidRPr="005B5D18">
        <w:rPr>
          <w:szCs w:val="26"/>
          <w:rtl/>
          <w:lang w:val="en-US"/>
        </w:rPr>
        <w:t xml:space="preserve">، واقترحوا أسماء بديلة مثل "خطة </w:t>
      </w:r>
      <w:r>
        <w:rPr>
          <w:rFonts w:hint="cs"/>
          <w:szCs w:val="26"/>
          <w:rtl/>
          <w:lang w:val="en-US"/>
        </w:rPr>
        <w:t>كيغالي لإدارة ا</w:t>
      </w:r>
      <w:r w:rsidRPr="008D51A9">
        <w:rPr>
          <w:rFonts w:hint="cs"/>
          <w:szCs w:val="26"/>
          <w:rtl/>
          <w:lang w:val="en-US"/>
        </w:rPr>
        <w:t>لمواد الهيدروفلوروكربونية</w:t>
      </w:r>
      <w:r>
        <w:rPr>
          <w:rFonts w:hint="cs"/>
          <w:szCs w:val="26"/>
          <w:rtl/>
          <w:lang w:val="en-US"/>
        </w:rPr>
        <w:t>"</w:t>
      </w:r>
      <w:r w:rsidRPr="005B5D18">
        <w:rPr>
          <w:szCs w:val="26"/>
          <w:rtl/>
          <w:lang w:val="en-US"/>
        </w:rPr>
        <w:t xml:space="preserve"> أو "خطة تنفيذ </w:t>
      </w:r>
      <w:r>
        <w:rPr>
          <w:rFonts w:hint="cs"/>
          <w:szCs w:val="26"/>
          <w:rtl/>
          <w:lang w:val="en-US"/>
        </w:rPr>
        <w:t>ا</w:t>
      </w:r>
      <w:r w:rsidRPr="008D51A9">
        <w:rPr>
          <w:rFonts w:hint="cs"/>
          <w:szCs w:val="26"/>
          <w:rtl/>
          <w:lang w:val="en-US"/>
        </w:rPr>
        <w:t>لمواد الهيدروفلوروكربونية</w:t>
      </w:r>
      <w:r w:rsidRPr="005B5D18">
        <w:rPr>
          <w:szCs w:val="26"/>
          <w:rtl/>
          <w:lang w:val="en-US"/>
        </w:rPr>
        <w:t>".</w:t>
      </w:r>
    </w:p>
    <w:p w14:paraId="4C94B8D0"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sidRPr="005B5D18">
        <w:rPr>
          <w:szCs w:val="26"/>
          <w:rtl/>
          <w:lang w:val="en-US"/>
        </w:rPr>
        <w:t>ورداً على التعل</w:t>
      </w:r>
      <w:r>
        <w:rPr>
          <w:szCs w:val="26"/>
          <w:rtl/>
          <w:lang w:val="en-US"/>
        </w:rPr>
        <w:t>يقات والأسئلة الأخرى من الأعضاء</w:t>
      </w:r>
      <w:r w:rsidRPr="005B5D18">
        <w:rPr>
          <w:szCs w:val="26"/>
          <w:rtl/>
          <w:lang w:val="en-US"/>
        </w:rPr>
        <w:t>، أوضح ممثل الأمانة أن إدراج المساعدة لوضع التشريعات والس</w:t>
      </w:r>
      <w:r>
        <w:rPr>
          <w:szCs w:val="26"/>
          <w:rtl/>
          <w:lang w:val="en-US"/>
        </w:rPr>
        <w:t xml:space="preserve">ياسات واللوائح في </w:t>
      </w:r>
      <w:r w:rsidRPr="005B5D18">
        <w:rPr>
          <w:szCs w:val="26"/>
          <w:rtl/>
          <w:lang w:val="en-US"/>
        </w:rPr>
        <w:t xml:space="preserve">تمويل إعداد استراتيجية شاملة للمرحلة الأولى من خطط </w:t>
      </w:r>
      <w:r>
        <w:rPr>
          <w:rFonts w:hint="cs"/>
          <w:szCs w:val="26"/>
          <w:rtl/>
          <w:lang w:val="en-US"/>
        </w:rPr>
        <w:t>التخفيض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كان نهجًا مشابهًا للنهج المستخدم لخطط إدارة إزالة </w:t>
      </w:r>
      <w:r>
        <w:rPr>
          <w:szCs w:val="26"/>
          <w:rtl/>
          <w:lang w:val="en-US"/>
        </w:rPr>
        <w:t>المواد الهيدروكلوروفلوروكربونية</w:t>
      </w:r>
      <w:r w:rsidRPr="005B5D18">
        <w:rPr>
          <w:szCs w:val="26"/>
          <w:rtl/>
          <w:lang w:val="en-US"/>
        </w:rPr>
        <w:t xml:space="preserve">، </w:t>
      </w:r>
      <w:r w:rsidRPr="005B5D18">
        <w:rPr>
          <w:szCs w:val="26"/>
          <w:rtl/>
          <w:lang w:val="en-US"/>
        </w:rPr>
        <w:lastRenderedPageBreak/>
        <w:t xml:space="preserve">حيث كان هذا الإجراء </w:t>
      </w:r>
      <w:r>
        <w:rPr>
          <w:rFonts w:hint="cs"/>
          <w:szCs w:val="26"/>
          <w:rtl/>
          <w:lang w:val="en-US"/>
        </w:rPr>
        <w:t>لازما</w:t>
      </w:r>
      <w:r w:rsidRPr="005B5D18">
        <w:rPr>
          <w:szCs w:val="26"/>
          <w:rtl/>
          <w:lang w:val="en-US"/>
        </w:rPr>
        <w:t xml:space="preserve"> أثناء مرحلة الإعدا</w:t>
      </w:r>
      <w:r>
        <w:rPr>
          <w:szCs w:val="26"/>
          <w:rtl/>
          <w:lang w:val="en-US"/>
        </w:rPr>
        <w:t>د. لذلك</w:t>
      </w:r>
      <w:r w:rsidRPr="005B5D18">
        <w:rPr>
          <w:szCs w:val="26"/>
          <w:rtl/>
          <w:lang w:val="en-US"/>
        </w:rPr>
        <w:t xml:space="preserve">، ليس من المنافي أن نطلب من الوكالات الثنائية والمنفذة تأكيد </w:t>
      </w:r>
      <w:r>
        <w:rPr>
          <w:rFonts w:hint="cs"/>
          <w:szCs w:val="26"/>
          <w:rtl/>
          <w:lang w:val="en-US"/>
        </w:rPr>
        <w:t>فعل</w:t>
      </w:r>
      <w:r w:rsidRPr="005B5D18">
        <w:rPr>
          <w:szCs w:val="26"/>
          <w:rtl/>
          <w:lang w:val="en-US"/>
        </w:rPr>
        <w:t xml:space="preserve"> ذلك </w:t>
      </w:r>
      <w:r>
        <w:rPr>
          <w:szCs w:val="26"/>
          <w:rtl/>
          <w:lang w:val="en-US"/>
        </w:rPr>
        <w:t>عند تقديم طلباته</w:t>
      </w:r>
      <w:r>
        <w:rPr>
          <w:rFonts w:hint="cs"/>
          <w:szCs w:val="26"/>
          <w:rtl/>
          <w:lang w:val="en-US"/>
        </w:rPr>
        <w:t>ا</w:t>
      </w:r>
      <w:r>
        <w:rPr>
          <w:szCs w:val="26"/>
          <w:rtl/>
          <w:lang w:val="en-US"/>
        </w:rPr>
        <w:t xml:space="preserve"> لتمويل </w:t>
      </w:r>
      <w:r>
        <w:rPr>
          <w:rFonts w:hint="cs"/>
          <w:szCs w:val="26"/>
          <w:rtl/>
          <w:lang w:val="en-US"/>
        </w:rPr>
        <w:t>ا</w:t>
      </w:r>
      <w:r w:rsidRPr="005B5D18">
        <w:rPr>
          <w:szCs w:val="26"/>
          <w:rtl/>
          <w:lang w:val="en-US"/>
        </w:rPr>
        <w:t xml:space="preserve">لمرحلة الأولى من خطط </w:t>
      </w:r>
      <w:r>
        <w:rPr>
          <w:rFonts w:hint="cs"/>
          <w:szCs w:val="26"/>
          <w:rtl/>
          <w:lang w:val="en-US"/>
        </w:rPr>
        <w:t>التخفيض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w:t>
      </w:r>
    </w:p>
    <w:p w14:paraId="0082EFD7" w14:textId="77777777" w:rsidR="000F3E89" w:rsidRDefault="000F3E89" w:rsidP="000F3E89">
      <w:pPr>
        <w:pStyle w:val="ListParagraph"/>
        <w:numPr>
          <w:ilvl w:val="0"/>
          <w:numId w:val="40"/>
        </w:numPr>
        <w:bidi/>
        <w:spacing w:after="240" w:line="288" w:lineRule="auto"/>
        <w:ind w:left="720" w:hanging="720"/>
        <w:contextualSpacing w:val="0"/>
        <w:rPr>
          <w:szCs w:val="26"/>
          <w:rtl/>
          <w:lang w:val="en-US"/>
        </w:rPr>
      </w:pPr>
      <w:r w:rsidRPr="003869D0">
        <w:rPr>
          <w:szCs w:val="26"/>
          <w:u w:val="single"/>
          <w:rtl/>
          <w:lang w:val="en-US"/>
        </w:rPr>
        <w:t>وافقت</w:t>
      </w:r>
      <w:r w:rsidRPr="005B5D18">
        <w:rPr>
          <w:szCs w:val="26"/>
          <w:rtl/>
          <w:lang w:val="en-US"/>
        </w:rPr>
        <w:t xml:space="preserve"> اللجنة التنفيذية على إنشاء فريق اتصال لمواصلة النظر في هذه المسألة.</w:t>
      </w:r>
    </w:p>
    <w:p w14:paraId="3A37AA47"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Pr>
          <w:szCs w:val="26"/>
          <w:rtl/>
          <w:lang w:val="en-US"/>
        </w:rPr>
        <w:t>وبعد تقديم التقرير</w:t>
      </w:r>
      <w:r w:rsidRPr="005B5D18">
        <w:rPr>
          <w:szCs w:val="26"/>
          <w:rtl/>
          <w:lang w:val="en-US"/>
        </w:rPr>
        <w:t>، قال</w:t>
      </w:r>
      <w:r>
        <w:rPr>
          <w:rFonts w:hint="cs"/>
          <w:szCs w:val="26"/>
          <w:rtl/>
          <w:lang w:val="en-US"/>
        </w:rPr>
        <w:t>ت</w:t>
      </w:r>
      <w:r w:rsidRPr="005B5D18">
        <w:rPr>
          <w:szCs w:val="26"/>
          <w:rtl/>
          <w:lang w:val="en-US"/>
        </w:rPr>
        <w:t xml:space="preserve"> منظم</w:t>
      </w:r>
      <w:r>
        <w:rPr>
          <w:rFonts w:hint="cs"/>
          <w:szCs w:val="26"/>
          <w:rtl/>
          <w:lang w:val="en-US"/>
        </w:rPr>
        <w:t>ة</w:t>
      </w:r>
      <w:r w:rsidRPr="005B5D18">
        <w:rPr>
          <w:szCs w:val="26"/>
          <w:rtl/>
          <w:lang w:val="en-US"/>
        </w:rPr>
        <w:t xml:space="preserve"> فريق الاتصال إن الفريق لم يتمكن من التوصل إلى توافق في الآراء</w:t>
      </w:r>
      <w:r>
        <w:rPr>
          <w:szCs w:val="26"/>
          <w:rtl/>
          <w:lang w:val="en-US"/>
        </w:rPr>
        <w:t xml:space="preserve"> بشأن مشروع المبادئ التوجيهية. </w:t>
      </w:r>
      <w:r>
        <w:rPr>
          <w:rFonts w:hint="cs"/>
          <w:szCs w:val="26"/>
          <w:rtl/>
          <w:lang w:val="en-US"/>
        </w:rPr>
        <w:t>و</w:t>
      </w:r>
      <w:r w:rsidRPr="005B5D18">
        <w:rPr>
          <w:szCs w:val="26"/>
          <w:rtl/>
          <w:lang w:val="en-US"/>
        </w:rPr>
        <w:t>أعرب</w:t>
      </w:r>
      <w:r>
        <w:rPr>
          <w:rFonts w:hint="cs"/>
          <w:szCs w:val="26"/>
          <w:rtl/>
          <w:lang w:val="en-US"/>
        </w:rPr>
        <w:t xml:space="preserve">ت </w:t>
      </w:r>
      <w:r w:rsidRPr="005B5D18">
        <w:rPr>
          <w:szCs w:val="26"/>
          <w:rtl/>
          <w:lang w:val="en-US"/>
        </w:rPr>
        <w:t>رأيه</w:t>
      </w:r>
      <w:r>
        <w:rPr>
          <w:rFonts w:hint="cs"/>
          <w:szCs w:val="26"/>
          <w:rtl/>
          <w:lang w:val="en-US"/>
        </w:rPr>
        <w:t>ا</w:t>
      </w:r>
      <w:r w:rsidRPr="005B5D18">
        <w:rPr>
          <w:szCs w:val="26"/>
          <w:rtl/>
          <w:lang w:val="en-US"/>
        </w:rPr>
        <w:t xml:space="preserve"> الشخصي بأن</w:t>
      </w:r>
      <w:r>
        <w:rPr>
          <w:szCs w:val="26"/>
          <w:rtl/>
          <w:lang w:val="en-US"/>
        </w:rPr>
        <w:t xml:space="preserve"> اللجنة التنفيذية يمكن أن تعتمد، مؤقت</w:t>
      </w:r>
      <w:r>
        <w:rPr>
          <w:rFonts w:hint="cs"/>
          <w:szCs w:val="26"/>
          <w:rtl/>
          <w:lang w:val="en-US"/>
        </w:rPr>
        <w:t>ا</w:t>
      </w:r>
      <w:r w:rsidRPr="005B5D18">
        <w:rPr>
          <w:szCs w:val="26"/>
          <w:rtl/>
          <w:lang w:val="en-US"/>
        </w:rPr>
        <w:t xml:space="preserve">، </w:t>
      </w:r>
      <w:r>
        <w:rPr>
          <w:rFonts w:hint="cs"/>
          <w:szCs w:val="26"/>
          <w:rtl/>
          <w:lang w:val="en-US"/>
        </w:rPr>
        <w:t>مسودة</w:t>
      </w:r>
      <w:r w:rsidRPr="005B5D18">
        <w:rPr>
          <w:szCs w:val="26"/>
          <w:rtl/>
          <w:lang w:val="en-US"/>
        </w:rPr>
        <w:t xml:space="preserve"> المبادئ التوجيهية على النحو الذي اقترحته الأمانة في الأصل لتمكين اللجنة من المضي قدماً بطريقة موحدة مع طلبات التمويل لإعداد </w:t>
      </w:r>
      <w:r>
        <w:rPr>
          <w:rFonts w:hint="cs"/>
          <w:szCs w:val="26"/>
          <w:rtl/>
          <w:lang w:val="en-US"/>
        </w:rPr>
        <w:t>مشروعات التخفيض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w:t>
      </w:r>
      <w:r>
        <w:rPr>
          <w:szCs w:val="26"/>
          <w:rtl/>
          <w:lang w:val="en-US"/>
        </w:rPr>
        <w:t>التي قدمتها البلدان بالفعل</w:t>
      </w:r>
      <w:r w:rsidRPr="005B5D18">
        <w:rPr>
          <w:szCs w:val="26"/>
          <w:rtl/>
          <w:lang w:val="en-US"/>
        </w:rPr>
        <w:t>، على أساس أن يتم تعديل مستوى أي تمويل معتمد على</w:t>
      </w:r>
      <w:r>
        <w:rPr>
          <w:szCs w:val="26"/>
          <w:rtl/>
          <w:lang w:val="en-US"/>
        </w:rPr>
        <w:t xml:space="preserve"> أساس المبادئ التوجيهية المؤقتة، إذا لزم الأمر</w:t>
      </w:r>
      <w:r w:rsidRPr="005B5D18">
        <w:rPr>
          <w:szCs w:val="26"/>
          <w:rtl/>
          <w:lang w:val="en-US"/>
        </w:rPr>
        <w:t xml:space="preserve">، </w:t>
      </w:r>
      <w:r>
        <w:rPr>
          <w:szCs w:val="26"/>
          <w:rtl/>
          <w:lang w:val="en-US"/>
        </w:rPr>
        <w:t>في اجتماع لاحق</w:t>
      </w:r>
      <w:r w:rsidRPr="005B5D18">
        <w:rPr>
          <w:szCs w:val="26"/>
          <w:rtl/>
          <w:lang w:val="en-US"/>
        </w:rPr>
        <w:t>، لضم</w:t>
      </w:r>
      <w:r>
        <w:rPr>
          <w:szCs w:val="26"/>
          <w:rtl/>
          <w:lang w:val="en-US"/>
        </w:rPr>
        <w:t xml:space="preserve">ان توافقه مع المبادئ التوجيهية </w:t>
      </w:r>
      <w:r>
        <w:rPr>
          <w:rFonts w:hint="cs"/>
          <w:szCs w:val="26"/>
          <w:rtl/>
          <w:lang w:val="en-US"/>
        </w:rPr>
        <w:t>بمجرد اعتمادها</w:t>
      </w:r>
      <w:r w:rsidRPr="005B5D18">
        <w:rPr>
          <w:szCs w:val="26"/>
          <w:rtl/>
          <w:lang w:val="en-US"/>
        </w:rPr>
        <w:t>. وقال أحد الأعضاء إنه إذا</w:t>
      </w:r>
      <w:r>
        <w:rPr>
          <w:szCs w:val="26"/>
          <w:rtl/>
          <w:lang w:val="en-US"/>
        </w:rPr>
        <w:t xml:space="preserve"> كانت اللجنة ستمضي بهذه الطريقة، </w:t>
      </w:r>
      <w:r w:rsidRPr="005B5D18">
        <w:rPr>
          <w:szCs w:val="26"/>
          <w:rtl/>
          <w:lang w:val="en-US"/>
        </w:rPr>
        <w:t>سيتعين عليها توضيح الإجراء الدقيق لاستخدام المبادئ التوجيهية المؤقتة.</w:t>
      </w:r>
    </w:p>
    <w:p w14:paraId="048C2EDA"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Pr>
          <w:szCs w:val="26"/>
          <w:rtl/>
          <w:lang w:val="en-US"/>
        </w:rPr>
        <w:t>وبعد ذلك</w:t>
      </w:r>
      <w:r w:rsidRPr="005B5D18">
        <w:rPr>
          <w:szCs w:val="26"/>
          <w:rtl/>
          <w:lang w:val="en-US"/>
        </w:rPr>
        <w:t>، قدمت حكومتا أستراليا والولايات المتحدة الأمريكية مشروع مقرر يقترح إجراء مزيد من المناقشة لمشروع المبادئ التوجيه</w:t>
      </w:r>
      <w:r>
        <w:rPr>
          <w:szCs w:val="26"/>
          <w:rtl/>
          <w:lang w:val="en-US"/>
        </w:rPr>
        <w:t xml:space="preserve">ية في الاجتماع السابع والثمانين، </w:t>
      </w:r>
      <w:r>
        <w:rPr>
          <w:rFonts w:hint="cs"/>
          <w:szCs w:val="26"/>
          <w:rtl/>
          <w:lang w:val="en-US"/>
        </w:rPr>
        <w:t>مؤقتا</w:t>
      </w:r>
      <w:r>
        <w:rPr>
          <w:szCs w:val="26"/>
          <w:rtl/>
          <w:lang w:val="en-US"/>
        </w:rPr>
        <w:t xml:space="preserve">، </w:t>
      </w:r>
      <w:r>
        <w:rPr>
          <w:rFonts w:hint="cs"/>
          <w:szCs w:val="26"/>
          <w:rtl/>
          <w:lang w:val="en-US"/>
        </w:rPr>
        <w:t>و</w:t>
      </w:r>
      <w:r w:rsidRPr="005B5D18">
        <w:rPr>
          <w:szCs w:val="26"/>
          <w:rtl/>
          <w:lang w:val="en-US"/>
        </w:rPr>
        <w:t>في حال</w:t>
      </w:r>
      <w:r>
        <w:rPr>
          <w:szCs w:val="26"/>
          <w:rtl/>
          <w:lang w:val="en-US"/>
        </w:rPr>
        <w:t>ة عدم وجود مبادئ توجيهية معتمدة، فإن الحكم، على أساس استثنائي</w:t>
      </w:r>
      <w:r w:rsidRPr="005B5D18">
        <w:rPr>
          <w:szCs w:val="26"/>
          <w:rtl/>
          <w:lang w:val="en-US"/>
        </w:rPr>
        <w:t xml:space="preserve">، </w:t>
      </w:r>
      <w:r>
        <w:rPr>
          <w:rFonts w:hint="cs"/>
          <w:szCs w:val="26"/>
          <w:rtl/>
          <w:lang w:val="en-US"/>
        </w:rPr>
        <w:t>ب</w:t>
      </w:r>
      <w:r w:rsidRPr="005B5D18">
        <w:rPr>
          <w:szCs w:val="26"/>
          <w:rtl/>
          <w:lang w:val="en-US"/>
        </w:rPr>
        <w:t xml:space="preserve">التمويل المسبق </w:t>
      </w:r>
      <w:r>
        <w:rPr>
          <w:rFonts w:hint="cs"/>
          <w:szCs w:val="26"/>
          <w:rtl/>
          <w:lang w:val="en-US"/>
        </w:rPr>
        <w:t>وقدره</w:t>
      </w:r>
      <w:r w:rsidRPr="005B5D18">
        <w:rPr>
          <w:szCs w:val="26"/>
          <w:rtl/>
          <w:lang w:val="en-US"/>
        </w:rPr>
        <w:t xml:space="preserve"> 50</w:t>
      </w:r>
      <w:r>
        <w:rPr>
          <w:rFonts w:hint="cs"/>
          <w:szCs w:val="26"/>
          <w:rtl/>
          <w:lang w:val="en-US"/>
        </w:rPr>
        <w:t>,</w:t>
      </w:r>
      <w:r>
        <w:rPr>
          <w:szCs w:val="26"/>
          <w:rtl/>
          <w:lang w:val="en-US"/>
        </w:rPr>
        <w:t>000 دولار أمريكي</w:t>
      </w:r>
      <w:r w:rsidRPr="005B5D18">
        <w:rPr>
          <w:szCs w:val="26"/>
          <w:rtl/>
          <w:lang w:val="en-US"/>
        </w:rPr>
        <w:t>، بالإضاف</w:t>
      </w:r>
      <w:r>
        <w:rPr>
          <w:szCs w:val="26"/>
          <w:rtl/>
          <w:lang w:val="en-US"/>
        </w:rPr>
        <w:t>ة إلى تكاليف الدعم، للبلدان التي قدمت طلبات ل</w:t>
      </w:r>
      <w:r w:rsidRPr="005B5D18">
        <w:rPr>
          <w:szCs w:val="26"/>
          <w:rtl/>
          <w:lang w:val="en-US"/>
        </w:rPr>
        <w:t xml:space="preserve">تمويل إعداد المرحلة الأولى من خطة </w:t>
      </w:r>
      <w:r>
        <w:rPr>
          <w:rFonts w:hint="cs"/>
          <w:szCs w:val="26"/>
          <w:rtl/>
          <w:lang w:val="en-US"/>
        </w:rPr>
        <w:t>التخفيض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وسيُقدم التمويل على أساس أنه سيُستخدم لبدء استعراض اللوائح والسياسات وأنظمة تراخيص الاستيراد / التصدير الحالية من حيث تطبيقها على </w:t>
      </w:r>
      <w:r>
        <w:rPr>
          <w:rFonts w:hint="cs"/>
          <w:szCs w:val="26"/>
          <w:rtl/>
          <w:lang w:val="en-US"/>
        </w:rPr>
        <w:t>ا</w:t>
      </w:r>
      <w:r w:rsidRPr="008D51A9">
        <w:rPr>
          <w:rFonts w:hint="cs"/>
          <w:szCs w:val="26"/>
          <w:rtl/>
          <w:lang w:val="en-US"/>
        </w:rPr>
        <w:t>لمواد الهيدروفلوروكربونية</w:t>
      </w:r>
      <w:r w:rsidRPr="005B5D18">
        <w:rPr>
          <w:szCs w:val="26"/>
          <w:rtl/>
          <w:lang w:val="en-US"/>
        </w:rPr>
        <w:t xml:space="preserve">؛ لتحديد أصحاب المصلحة والمؤسسات التي ستشارك في </w:t>
      </w:r>
      <w:r>
        <w:rPr>
          <w:rFonts w:hint="cs"/>
          <w:szCs w:val="26"/>
          <w:rtl/>
          <w:lang w:val="en-US"/>
        </w:rPr>
        <w:t>التخفيض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w:t>
      </w:r>
      <w:r>
        <w:rPr>
          <w:rFonts w:hint="cs"/>
          <w:szCs w:val="26"/>
          <w:rtl/>
          <w:lang w:val="en-US"/>
        </w:rPr>
        <w:t>و</w:t>
      </w:r>
      <w:r w:rsidRPr="005B5D18">
        <w:rPr>
          <w:szCs w:val="26"/>
          <w:rtl/>
          <w:lang w:val="en-US"/>
        </w:rPr>
        <w:t xml:space="preserve">لتحديث نظم جمع وتحليل البيانات قبل إجراء </w:t>
      </w:r>
      <w:r>
        <w:rPr>
          <w:rFonts w:hint="cs"/>
          <w:szCs w:val="26"/>
          <w:rtl/>
          <w:lang w:val="en-US"/>
        </w:rPr>
        <w:t>دراسات استقصائية</w:t>
      </w:r>
      <w:r w:rsidRPr="005B5D18">
        <w:rPr>
          <w:szCs w:val="26"/>
          <w:rtl/>
          <w:lang w:val="en-US"/>
        </w:rPr>
        <w:t xml:space="preserve">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وبدء المشاورات مع أصحاب المصلحة المعنيين بشأن النهج الوطني الذي يتعين اتباعه </w:t>
      </w:r>
      <w:r>
        <w:rPr>
          <w:rFonts w:hint="cs"/>
          <w:szCs w:val="26"/>
          <w:rtl/>
          <w:lang w:val="en-US"/>
        </w:rPr>
        <w:t>للتخفيض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ولن يُنظر في المزيد من التمويل لإعداد الاستراتيجيات الشاملة والمرحلة الأولى من خطط </w:t>
      </w:r>
      <w:r>
        <w:rPr>
          <w:rFonts w:hint="cs"/>
          <w:szCs w:val="26"/>
          <w:rtl/>
          <w:lang w:val="en-US"/>
        </w:rPr>
        <w:t>التخفيض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إلا بعد الموافقة على المبادئ التوجيهي</w:t>
      </w:r>
      <w:r>
        <w:rPr>
          <w:szCs w:val="26"/>
          <w:rtl/>
          <w:lang w:val="en-US"/>
        </w:rPr>
        <w:t>ة</w:t>
      </w:r>
      <w:r w:rsidRPr="005B5D18">
        <w:rPr>
          <w:szCs w:val="26"/>
          <w:rtl/>
          <w:lang w:val="en-US"/>
        </w:rPr>
        <w:t>، وسيتم خصم التمويل المقدم من أي مبلغ ممنوح.</w:t>
      </w:r>
    </w:p>
    <w:p w14:paraId="10EE23F6"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sidRPr="005B5D18">
        <w:rPr>
          <w:szCs w:val="26"/>
          <w:rtl/>
          <w:lang w:val="en-US"/>
        </w:rPr>
        <w:t>أيد أحد الأعضاء الاقتراح الداعي إلى تق</w:t>
      </w:r>
      <w:r>
        <w:rPr>
          <w:szCs w:val="26"/>
          <w:rtl/>
          <w:lang w:val="en-US"/>
        </w:rPr>
        <w:t>ديم تمويل مسبق</w:t>
      </w:r>
      <w:r w:rsidRPr="005B5D18">
        <w:rPr>
          <w:szCs w:val="26"/>
          <w:rtl/>
          <w:lang w:val="en-US"/>
        </w:rPr>
        <w:t xml:space="preserve">، كوسيلة للحفاظ على الزخم قبل الاجتماع السابع والثمانين. غير أن العديد من الأعضاء قالوا إنهم يفضلون الاقتراح المقدم من منظم فريق الاتصال بشأن الاستخدام المؤقت للمبادئ التوجيهية التي اقترحتها الأمانة. وقال أحدهم إن الاقتراح المقدم من أستراليا والولايات المتحدة </w:t>
      </w:r>
      <w:r>
        <w:rPr>
          <w:szCs w:val="26"/>
          <w:rtl/>
          <w:lang w:val="en-US"/>
        </w:rPr>
        <w:t xml:space="preserve">الأمريكية وصل متأخراً </w:t>
      </w:r>
      <w:r>
        <w:rPr>
          <w:rFonts w:hint="cs"/>
          <w:szCs w:val="26"/>
          <w:rtl/>
          <w:lang w:val="en-US"/>
        </w:rPr>
        <w:t>جدا</w:t>
      </w:r>
      <w:r w:rsidRPr="005B5D18">
        <w:rPr>
          <w:szCs w:val="26"/>
          <w:rtl/>
          <w:lang w:val="en-US"/>
        </w:rPr>
        <w:t>، وبسبب الت</w:t>
      </w:r>
      <w:r>
        <w:rPr>
          <w:szCs w:val="26"/>
          <w:rtl/>
          <w:lang w:val="en-US"/>
        </w:rPr>
        <w:t>وقيت والطابع الافتراضي للاجتماع</w:t>
      </w:r>
      <w:r w:rsidRPr="005B5D18">
        <w:rPr>
          <w:szCs w:val="26"/>
          <w:rtl/>
          <w:lang w:val="en-US"/>
        </w:rPr>
        <w:t>، لم يكن لدى</w:t>
      </w:r>
      <w:r>
        <w:rPr>
          <w:rFonts w:hint="cs"/>
          <w:szCs w:val="26"/>
          <w:rtl/>
          <w:lang w:val="en-US"/>
        </w:rPr>
        <w:t xml:space="preserve"> أعضاء</w:t>
      </w:r>
      <w:r w:rsidRPr="005B5D18">
        <w:rPr>
          <w:szCs w:val="26"/>
          <w:rtl/>
          <w:lang w:val="en-US"/>
        </w:rPr>
        <w:t xml:space="preserve"> وفده الوقت للتشاور. </w:t>
      </w:r>
      <w:r>
        <w:rPr>
          <w:rFonts w:hint="cs"/>
          <w:szCs w:val="26"/>
          <w:rtl/>
          <w:lang w:val="en-US"/>
        </w:rPr>
        <w:t>وهو</w:t>
      </w:r>
      <w:r w:rsidRPr="005B5D18">
        <w:rPr>
          <w:szCs w:val="26"/>
          <w:rtl/>
          <w:lang w:val="en-US"/>
        </w:rPr>
        <w:t xml:space="preserve"> أمر غير مقبول.</w:t>
      </w:r>
    </w:p>
    <w:p w14:paraId="1AE641C7"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sidRPr="005B5D18">
        <w:rPr>
          <w:szCs w:val="26"/>
          <w:rtl/>
          <w:lang w:val="en-US"/>
        </w:rPr>
        <w:t xml:space="preserve">وعلق عضو آخر بالقول إن المبلغ الموحد البالغ </w:t>
      </w:r>
      <w:r>
        <w:rPr>
          <w:rFonts w:hint="cs"/>
          <w:szCs w:val="26"/>
          <w:rtl/>
          <w:lang w:val="en-US"/>
        </w:rPr>
        <w:t>50,000</w:t>
      </w:r>
      <w:r w:rsidRPr="005B5D18">
        <w:rPr>
          <w:szCs w:val="26"/>
          <w:rtl/>
          <w:lang w:val="en-US"/>
        </w:rPr>
        <w:t xml:space="preserve"> دولار أمريكي يمثل نسبة متغيرة للغاية من الت</w:t>
      </w:r>
      <w:r>
        <w:rPr>
          <w:szCs w:val="26"/>
          <w:rtl/>
          <w:lang w:val="en-US"/>
        </w:rPr>
        <w:t>مويل الإجمالي الذي يطلبه كل بلد</w:t>
      </w:r>
      <w:r w:rsidRPr="005B5D18">
        <w:rPr>
          <w:szCs w:val="26"/>
          <w:rtl/>
          <w:lang w:val="en-US"/>
        </w:rPr>
        <w:t>، وبالتالي فإن النهج غير عادل. كما أعرب عن قلقه من أنه إذا لم تتم الموافقة على المبادئ التوجيه</w:t>
      </w:r>
      <w:r>
        <w:rPr>
          <w:szCs w:val="26"/>
          <w:rtl/>
          <w:lang w:val="en-US"/>
        </w:rPr>
        <w:t>ية في الاجتماع السابع والثمانين</w:t>
      </w:r>
      <w:r w:rsidRPr="005B5D18">
        <w:rPr>
          <w:szCs w:val="26"/>
          <w:rtl/>
          <w:lang w:val="en-US"/>
        </w:rPr>
        <w:t>،</w:t>
      </w:r>
      <w:r>
        <w:rPr>
          <w:szCs w:val="26"/>
          <w:rtl/>
          <w:lang w:val="en-US"/>
        </w:rPr>
        <w:t xml:space="preserve"> </w:t>
      </w:r>
      <w:r>
        <w:rPr>
          <w:rFonts w:hint="cs"/>
          <w:szCs w:val="26"/>
          <w:rtl/>
          <w:lang w:val="en-US"/>
        </w:rPr>
        <w:t>وعدم إتاحة</w:t>
      </w:r>
      <w:r>
        <w:rPr>
          <w:szCs w:val="26"/>
          <w:rtl/>
          <w:lang w:val="en-US"/>
        </w:rPr>
        <w:t xml:space="preserve"> المزيد من التمويل</w:t>
      </w:r>
      <w:r w:rsidRPr="005B5D18">
        <w:rPr>
          <w:szCs w:val="26"/>
          <w:rtl/>
          <w:lang w:val="en-US"/>
        </w:rPr>
        <w:t xml:space="preserve">، فإن البلدان التي بدأت العمل في الأنشطة </w:t>
      </w:r>
      <w:r>
        <w:rPr>
          <w:rFonts w:hint="cs"/>
          <w:szCs w:val="26"/>
          <w:rtl/>
          <w:lang w:val="en-US"/>
        </w:rPr>
        <w:t>المحددة</w:t>
      </w:r>
      <w:r w:rsidRPr="005B5D18">
        <w:rPr>
          <w:szCs w:val="26"/>
          <w:rtl/>
          <w:lang w:val="en-US"/>
        </w:rPr>
        <w:t xml:space="preserve"> وأنفقت التمويل المسبق قد تجد أنشطتها في خطر. </w:t>
      </w:r>
      <w:r>
        <w:rPr>
          <w:rFonts w:hint="cs"/>
          <w:szCs w:val="26"/>
          <w:rtl/>
          <w:lang w:val="en-US"/>
        </w:rPr>
        <w:t>و</w:t>
      </w:r>
      <w:r w:rsidRPr="005B5D18">
        <w:rPr>
          <w:szCs w:val="26"/>
          <w:rtl/>
          <w:lang w:val="en-US"/>
        </w:rPr>
        <w:t xml:space="preserve">لم </w:t>
      </w:r>
      <w:r>
        <w:rPr>
          <w:rFonts w:hint="cs"/>
          <w:szCs w:val="26"/>
          <w:rtl/>
          <w:lang w:val="en-US"/>
        </w:rPr>
        <w:t>يرغب في</w:t>
      </w:r>
      <w:r w:rsidRPr="005B5D18">
        <w:rPr>
          <w:szCs w:val="26"/>
          <w:rtl/>
          <w:lang w:val="en-US"/>
        </w:rPr>
        <w:t xml:space="preserve"> </w:t>
      </w:r>
      <w:r>
        <w:rPr>
          <w:rFonts w:hint="cs"/>
          <w:szCs w:val="26"/>
          <w:rtl/>
          <w:lang w:val="en-US"/>
        </w:rPr>
        <w:t>فقدان هذا</w:t>
      </w:r>
      <w:r w:rsidRPr="005B5D18">
        <w:rPr>
          <w:szCs w:val="26"/>
          <w:rtl/>
          <w:lang w:val="en-US"/>
        </w:rPr>
        <w:t xml:space="preserve"> الزخم.</w:t>
      </w:r>
    </w:p>
    <w:p w14:paraId="0E76259F" w14:textId="77777777" w:rsidR="000F3E89" w:rsidRPr="005B5D18" w:rsidRDefault="000F3E89" w:rsidP="000F3E89">
      <w:pPr>
        <w:pStyle w:val="ListParagraph"/>
        <w:numPr>
          <w:ilvl w:val="0"/>
          <w:numId w:val="40"/>
        </w:numPr>
        <w:bidi/>
        <w:spacing w:after="240" w:line="288" w:lineRule="auto"/>
        <w:ind w:left="720" w:hanging="720"/>
        <w:contextualSpacing w:val="0"/>
        <w:rPr>
          <w:szCs w:val="26"/>
          <w:lang w:val="en-US"/>
        </w:rPr>
      </w:pPr>
      <w:r w:rsidRPr="005B5D18">
        <w:rPr>
          <w:szCs w:val="26"/>
          <w:rtl/>
          <w:lang w:val="en-US"/>
        </w:rPr>
        <w:lastRenderedPageBreak/>
        <w:t xml:space="preserve">شدد العديد من الأعضاء على حتمية اعتماد مبادئ توجيهية في الاجتماع السابع والثمانين. وأكد أحد الأعضاء على أهمية تخصيص وقت كافٍ للمناقشات في ذلك الاجتماع للسماح بحدوث ذلك. واقترح عضو آخر </w:t>
      </w:r>
      <w:r>
        <w:rPr>
          <w:rFonts w:hint="cs"/>
          <w:szCs w:val="26"/>
          <w:rtl/>
          <w:lang w:val="en-US"/>
        </w:rPr>
        <w:t>ب</w:t>
      </w:r>
      <w:r w:rsidRPr="005B5D18">
        <w:rPr>
          <w:szCs w:val="26"/>
          <w:rtl/>
          <w:lang w:val="en-US"/>
        </w:rPr>
        <w:t xml:space="preserve">أن تستند المناقشات إلى العمل بشأن المبادئ التوجيهية الذي قام به بالفعل فريق الاتصال. وأكد ممثل الأمانة أن جميع طلبات التمويل لإعداد خطط </w:t>
      </w:r>
      <w:r>
        <w:rPr>
          <w:rFonts w:hint="cs"/>
          <w:szCs w:val="26"/>
          <w:rtl/>
          <w:lang w:val="en-US"/>
        </w:rPr>
        <w:t>التخفيض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لبلدان المادة 5 التي قُدمت إلى الاجتماعين الخامس والثمانين والسادس والثمانين ستُحال إلى الاجتماع السابع والثمانين.</w:t>
      </w:r>
    </w:p>
    <w:p w14:paraId="658DEC52" w14:textId="77777777" w:rsidR="000F3E89" w:rsidRDefault="000F3E89" w:rsidP="000F3E89">
      <w:pPr>
        <w:pStyle w:val="ListParagraph"/>
        <w:numPr>
          <w:ilvl w:val="0"/>
          <w:numId w:val="40"/>
        </w:numPr>
        <w:bidi/>
        <w:spacing w:after="240" w:line="288" w:lineRule="auto"/>
        <w:ind w:left="720" w:hanging="720"/>
        <w:contextualSpacing w:val="0"/>
        <w:rPr>
          <w:szCs w:val="26"/>
          <w:lang w:val="en-US"/>
        </w:rPr>
      </w:pPr>
      <w:r w:rsidRPr="008A6209">
        <w:rPr>
          <w:szCs w:val="26"/>
          <w:u w:val="single"/>
          <w:rtl/>
          <w:lang w:val="en-US"/>
        </w:rPr>
        <w:t>قررت</w:t>
      </w:r>
      <w:r w:rsidRPr="005B5D18">
        <w:rPr>
          <w:szCs w:val="26"/>
          <w:rtl/>
          <w:lang w:val="en-US"/>
        </w:rPr>
        <w:t xml:space="preserve"> اللجنة التنفيذية مواصلة النظر في مشروع المبادئ التوجيهية لإعداد خطط </w:t>
      </w:r>
      <w:r>
        <w:rPr>
          <w:rFonts w:hint="cs"/>
          <w:szCs w:val="26"/>
          <w:rtl/>
          <w:lang w:val="en-US"/>
        </w:rPr>
        <w:t>التخفيض</w:t>
      </w:r>
      <w:r w:rsidRPr="005B5D18">
        <w:rPr>
          <w:szCs w:val="26"/>
          <w:rtl/>
          <w:lang w:val="en-US"/>
        </w:rPr>
        <w:t xml:space="preserve"> التدريجي </w:t>
      </w:r>
      <w:r>
        <w:rPr>
          <w:rFonts w:hint="cs"/>
          <w:szCs w:val="26"/>
          <w:rtl/>
          <w:lang w:val="en-US"/>
        </w:rPr>
        <w:t>ل</w:t>
      </w:r>
      <w:r w:rsidRPr="008D51A9">
        <w:rPr>
          <w:rFonts w:hint="cs"/>
          <w:szCs w:val="26"/>
          <w:rtl/>
          <w:lang w:val="en-US"/>
        </w:rPr>
        <w:t>لمواد الهيدروفلوروكربونية</w:t>
      </w:r>
      <w:r w:rsidRPr="005B5D18">
        <w:rPr>
          <w:szCs w:val="26"/>
          <w:rtl/>
          <w:lang w:val="en-US"/>
        </w:rPr>
        <w:t xml:space="preserve"> لبلدان المادة</w:t>
      </w:r>
      <w:r>
        <w:rPr>
          <w:szCs w:val="26"/>
          <w:rtl/>
          <w:lang w:val="en-US"/>
        </w:rPr>
        <w:t xml:space="preserve"> 5 في اجتماعها السابع والثمانين</w:t>
      </w:r>
      <w:r w:rsidRPr="005B5D18">
        <w:rPr>
          <w:szCs w:val="26"/>
          <w:rtl/>
          <w:lang w:val="en-US"/>
        </w:rPr>
        <w:t>، على أساس وثيقة العمل الصادرة عن فريق الاتصال الذي تم تشكي</w:t>
      </w:r>
      <w:r>
        <w:rPr>
          <w:szCs w:val="26"/>
          <w:rtl/>
          <w:lang w:val="en-US"/>
        </w:rPr>
        <w:t>له في الاجتماع السادس والثمانين</w:t>
      </w:r>
      <w:r w:rsidRPr="005B5D18">
        <w:rPr>
          <w:szCs w:val="26"/>
          <w:rtl/>
          <w:lang w:val="en-US"/>
        </w:rPr>
        <w:t xml:space="preserve">، على النحو </w:t>
      </w:r>
      <w:r>
        <w:rPr>
          <w:szCs w:val="26"/>
          <w:rtl/>
          <w:lang w:val="en-US"/>
        </w:rPr>
        <w:t xml:space="preserve">الوارد في المرفق </w:t>
      </w:r>
      <w:r>
        <w:rPr>
          <w:rFonts w:hint="cs"/>
          <w:szCs w:val="26"/>
          <w:rtl/>
          <w:lang w:val="en-US"/>
        </w:rPr>
        <w:t>السابع والأربعون</w:t>
      </w:r>
      <w:r>
        <w:rPr>
          <w:szCs w:val="26"/>
          <w:rtl/>
          <w:lang w:val="en-US"/>
        </w:rPr>
        <w:t xml:space="preserve"> </w:t>
      </w:r>
      <w:r>
        <w:rPr>
          <w:rFonts w:hint="cs"/>
          <w:szCs w:val="26"/>
          <w:rtl/>
          <w:lang w:val="en-US"/>
        </w:rPr>
        <w:t>ب</w:t>
      </w:r>
      <w:r w:rsidRPr="005B5D18">
        <w:rPr>
          <w:szCs w:val="26"/>
          <w:rtl/>
          <w:lang w:val="en-US"/>
        </w:rPr>
        <w:t>هذا التقرير.</w:t>
      </w:r>
    </w:p>
    <w:p w14:paraId="10B00266" w14:textId="77777777" w:rsidR="000F3E89" w:rsidRDefault="000F3E89" w:rsidP="000F3E89">
      <w:pPr>
        <w:bidi/>
        <w:spacing w:after="240" w:line="288" w:lineRule="auto"/>
        <w:rPr>
          <w:szCs w:val="26"/>
          <w:rt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3D4C7EC" w14:textId="77777777" w:rsidTr="000F1514">
        <w:tc>
          <w:tcPr>
            <w:tcW w:w="1871" w:type="dxa"/>
          </w:tcPr>
          <w:p w14:paraId="217F0027" w14:textId="77777777" w:rsidR="00E85409" w:rsidRPr="009B0D30" w:rsidRDefault="00E85409" w:rsidP="00393882"/>
        </w:tc>
        <w:tc>
          <w:tcPr>
            <w:tcW w:w="1872" w:type="dxa"/>
          </w:tcPr>
          <w:p w14:paraId="20358DF8" w14:textId="77777777" w:rsidR="00E85409" w:rsidRPr="009B0D30" w:rsidRDefault="00E85409" w:rsidP="00393882"/>
        </w:tc>
        <w:tc>
          <w:tcPr>
            <w:tcW w:w="1872" w:type="dxa"/>
            <w:tcBorders>
              <w:bottom w:val="single" w:sz="4" w:space="0" w:color="auto"/>
            </w:tcBorders>
          </w:tcPr>
          <w:p w14:paraId="4194269B" w14:textId="77777777" w:rsidR="00E85409" w:rsidRPr="009B0D30" w:rsidRDefault="00E85409" w:rsidP="00393882"/>
        </w:tc>
        <w:tc>
          <w:tcPr>
            <w:tcW w:w="1872" w:type="dxa"/>
          </w:tcPr>
          <w:p w14:paraId="6B99D508" w14:textId="77777777" w:rsidR="00E85409" w:rsidRPr="009B0D30" w:rsidRDefault="00E85409" w:rsidP="00393882"/>
        </w:tc>
        <w:tc>
          <w:tcPr>
            <w:tcW w:w="1873" w:type="dxa"/>
          </w:tcPr>
          <w:p w14:paraId="078E941D" w14:textId="77777777" w:rsidR="00E85409" w:rsidRPr="009B0D30" w:rsidRDefault="00E85409" w:rsidP="00393882"/>
        </w:tc>
      </w:tr>
    </w:tbl>
    <w:p w14:paraId="150662BB" w14:textId="77777777" w:rsidR="00E85409" w:rsidRDefault="00E85409" w:rsidP="004E7F9C"/>
    <w:p w14:paraId="31066A0A" w14:textId="77777777" w:rsidR="00462C42" w:rsidRDefault="00462C42" w:rsidP="004E7F9C"/>
    <w:p w14:paraId="5E1ECDC2" w14:textId="77777777" w:rsidR="00462C42" w:rsidRDefault="00462C42" w:rsidP="004E7F9C">
      <w:pPr>
        <w:sectPr w:rsidR="00462C42" w:rsidSect="00D67DD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3121086C" w14:textId="35A661E7" w:rsidR="00462C42" w:rsidRPr="009B0D30" w:rsidRDefault="00462C42" w:rsidP="004E7F9C"/>
    <w:sectPr w:rsidR="00462C42" w:rsidRPr="009B0D30" w:rsidSect="00DF5B74">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F1A45" w14:textId="77777777" w:rsidR="001277B4" w:rsidRDefault="001277B4" w:rsidP="004A504B">
      <w:r>
        <w:separator/>
      </w:r>
    </w:p>
  </w:endnote>
  <w:endnote w:type="continuationSeparator" w:id="0">
    <w:p w14:paraId="058236D4" w14:textId="77777777" w:rsidR="001277B4" w:rsidRDefault="001277B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F904A" w14:textId="1B2499B4" w:rsidR="00FE58B9" w:rsidRPr="0033525D" w:rsidRDefault="00FE58B9">
    <w:pPr>
      <w:jc w:val="center"/>
    </w:pPr>
    <w:r>
      <w:fldChar w:fldCharType="begin"/>
    </w:r>
    <w:r>
      <w:instrText xml:space="preserve"> PAGE </w:instrText>
    </w:r>
    <w:r>
      <w:fldChar w:fldCharType="separate"/>
    </w:r>
    <w:r w:rsidR="008F595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93282" w14:textId="5C15022D" w:rsidR="00FE58B9" w:rsidRPr="0033525D" w:rsidRDefault="00FE58B9">
    <w:pPr>
      <w:jc w:val="center"/>
    </w:pPr>
    <w:r>
      <w:fldChar w:fldCharType="begin"/>
    </w:r>
    <w:r>
      <w:instrText xml:space="preserve"> PAGE </w:instrText>
    </w:r>
    <w:r>
      <w:fldChar w:fldCharType="separate"/>
    </w:r>
    <w:r w:rsidR="008F5953">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4A9BD" w14:textId="77777777" w:rsidR="00CE1085" w:rsidRPr="00CE1085" w:rsidRDefault="00CE1085" w:rsidP="00CE1085">
    <w:pPr>
      <w:pBdr>
        <w:top w:val="single" w:sz="4" w:space="1" w:color="auto"/>
        <w:left w:val="single" w:sz="4" w:space="0" w:color="auto"/>
        <w:bottom w:val="single" w:sz="4" w:space="1" w:color="auto"/>
        <w:right w:val="single" w:sz="4" w:space="0" w:color="auto"/>
      </w:pBdr>
      <w:bidi/>
      <w:jc w:val="center"/>
      <w:rPr>
        <w:rFonts w:cs="Arabic Transparent"/>
        <w:sz w:val="20"/>
        <w:szCs w:val="20"/>
        <w:rtl/>
      </w:rPr>
    </w:pPr>
    <w:r w:rsidRPr="00CE1085">
      <w:rPr>
        <w:rFonts w:cs="Arabic Transparent" w:hint="cs"/>
        <w:sz w:val="20"/>
        <w:szCs w:val="20"/>
        <w:rtl/>
      </w:rPr>
      <w:t>إن وثائق ما قبل دورات اللجنة التنفيذية للصندوق المتعدد الأطراف لتنفيذ بروتوكول مونتريال</w:t>
    </w:r>
    <w:r w:rsidRPr="00CE1085">
      <w:rPr>
        <w:rFonts w:cs="Arabic Transparent"/>
        <w:sz w:val="20"/>
        <w:szCs w:val="20"/>
      </w:rPr>
      <w:t xml:space="preserve"> </w:t>
    </w:r>
  </w:p>
  <w:p w14:paraId="1720B46B" w14:textId="77777777" w:rsidR="00CE1085" w:rsidRPr="00CE1085" w:rsidRDefault="00CE1085" w:rsidP="00CE1085">
    <w:pPr>
      <w:pBdr>
        <w:top w:val="single" w:sz="4" w:space="1" w:color="auto"/>
        <w:left w:val="single" w:sz="4" w:space="0" w:color="auto"/>
        <w:bottom w:val="single" w:sz="4" w:space="1" w:color="auto"/>
        <w:right w:val="single" w:sz="4" w:space="0" w:color="auto"/>
      </w:pBdr>
      <w:bidi/>
      <w:jc w:val="center"/>
      <w:rPr>
        <w:rFonts w:cs="Arabic Transparent"/>
        <w:sz w:val="20"/>
        <w:szCs w:val="20"/>
      </w:rPr>
    </w:pPr>
    <w:r w:rsidRPr="00CE1085">
      <w:rPr>
        <w:rFonts w:cs="Arabic Transparent" w:hint="cs"/>
        <w:sz w:val="20"/>
        <w:szCs w:val="20"/>
        <w:rtl/>
      </w:rPr>
      <w:t>قد تصدر دون إخلال بأي قرار تتخذه اللجنة التنفيذية بعد صدورها.</w:t>
    </w:r>
    <w:r w:rsidRPr="00CE1085">
      <w:rPr>
        <w:rFonts w:cs="Arabic Transparent"/>
        <w:sz w:val="20"/>
        <w:szCs w:val="20"/>
      </w:rPr>
      <w:t xml:space="preserve"> </w:t>
    </w:r>
  </w:p>
  <w:p w14:paraId="5900F1F6" w14:textId="77777777" w:rsidR="00FE58B9" w:rsidRDefault="00FE58B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1BADB" w14:textId="3EDDEB3D" w:rsidR="000F3E89" w:rsidRPr="0033525D" w:rsidRDefault="000F3E89">
    <w:pPr>
      <w:jc w:val="center"/>
    </w:pPr>
    <w:r>
      <w:fldChar w:fldCharType="begin"/>
    </w:r>
    <w:r>
      <w:instrText xml:space="preserve"> PAGE </w:instrText>
    </w:r>
    <w:r>
      <w:fldChar w:fldCharType="separate"/>
    </w:r>
    <w:r w:rsidR="008F5953">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1EEA6" w14:textId="40AB3901" w:rsidR="000F3E89" w:rsidRPr="0033525D" w:rsidRDefault="000F3E89">
    <w:pPr>
      <w:jc w:val="center"/>
    </w:pPr>
    <w:r>
      <w:fldChar w:fldCharType="begin"/>
    </w:r>
    <w:r>
      <w:instrText xml:space="preserve"> PAGE </w:instrText>
    </w:r>
    <w:r>
      <w:fldChar w:fldCharType="separate"/>
    </w:r>
    <w:r w:rsidR="008F5953">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8144" w14:textId="589C47F9" w:rsidR="00FE58B9" w:rsidRPr="0033525D" w:rsidRDefault="00FE58B9" w:rsidP="00D67DDC">
    <w:pPr>
      <w:jc w:val="center"/>
    </w:pPr>
    <w:r>
      <w:fldChar w:fldCharType="begin"/>
    </w:r>
    <w:r>
      <w:instrText xml:space="preserve"> PAGE </w:instrText>
    </w:r>
    <w:r>
      <w:fldChar w:fldCharType="separate"/>
    </w:r>
    <w:r w:rsidR="008F5953">
      <w:rPr>
        <w:noProof/>
      </w:rPr>
      <w:t>1</w:t>
    </w:r>
    <w:r>
      <w:rPr>
        <w:noProof/>
      </w:rPr>
      <w:fldChar w:fldCharType="end"/>
    </w:r>
  </w:p>
  <w:p w14:paraId="37ADE898" w14:textId="77777777" w:rsidR="00FE58B9" w:rsidRPr="00D67DDC" w:rsidRDefault="00FE58B9" w:rsidP="00D67DDC">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53500" w14:textId="0EC1C862" w:rsidR="00FE58B9" w:rsidRPr="0033525D" w:rsidRDefault="00FE58B9">
    <w:pPr>
      <w:jc w:val="center"/>
    </w:pPr>
    <w:r>
      <w:fldChar w:fldCharType="begin"/>
    </w:r>
    <w:r>
      <w:instrText xml:space="preserve"> PAGE </w:instrText>
    </w:r>
    <w:r>
      <w:fldChar w:fldCharType="separate"/>
    </w:r>
    <w:r w:rsidR="000F3E89">
      <w:rPr>
        <w:noProof/>
      </w:rPr>
      <w:t>12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4A421" w14:textId="350B2564" w:rsidR="00FE58B9" w:rsidRPr="0033525D" w:rsidRDefault="00FE58B9">
    <w:pPr>
      <w:jc w:val="center"/>
    </w:pPr>
    <w:r>
      <w:fldChar w:fldCharType="begin"/>
    </w:r>
    <w:r>
      <w:instrText xml:space="preserve"> PAGE </w:instrText>
    </w:r>
    <w:r>
      <w:fldChar w:fldCharType="separate"/>
    </w:r>
    <w:r w:rsidR="000F3E89">
      <w:rPr>
        <w:noProof/>
      </w:rPr>
      <w:t>11</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3FA89" w14:textId="77777777" w:rsidR="00FE58B9" w:rsidRDefault="00FE58B9" w:rsidP="00183EDB">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884EE2" w14:textId="77777777" w:rsidR="001277B4" w:rsidRDefault="001277B4" w:rsidP="004A504B">
      <w:r>
        <w:separator/>
      </w:r>
    </w:p>
  </w:footnote>
  <w:footnote w:type="continuationSeparator" w:id="0">
    <w:p w14:paraId="4853C63A" w14:textId="77777777" w:rsidR="001277B4" w:rsidRDefault="001277B4" w:rsidP="004A504B">
      <w:r>
        <w:continuationSeparator/>
      </w:r>
    </w:p>
  </w:footnote>
  <w:footnote w:id="1">
    <w:p w14:paraId="266F49AD" w14:textId="702B66FB" w:rsidR="00CE1085" w:rsidRPr="00CE1085" w:rsidRDefault="00CE1085" w:rsidP="00CE1085">
      <w:pPr>
        <w:pStyle w:val="FootnoteText"/>
        <w:bidi/>
        <w:rPr>
          <w:rtl/>
        </w:rPr>
      </w:pPr>
      <w:r>
        <w:rPr>
          <w:rStyle w:val="FootnoteReference"/>
        </w:rPr>
        <w:footnoteRef/>
      </w:r>
      <w: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يونيه/حزيران ويوليه/تموز 2021 بسبب فيروس كورونا (كوفيد-19)</w:t>
      </w:r>
    </w:p>
  </w:footnote>
  <w:footnote w:id="2">
    <w:p w14:paraId="0661DE96" w14:textId="77777777" w:rsidR="0045481A" w:rsidRDefault="0045481A" w:rsidP="00CE1085">
      <w:pPr>
        <w:pStyle w:val="FootnoteText"/>
        <w:bidi/>
        <w:rPr>
          <w:rtl/>
          <w:lang w:bidi="ar-AE"/>
        </w:rPr>
      </w:pPr>
      <w:r>
        <w:rPr>
          <w:rStyle w:val="FootnoteReference"/>
        </w:rPr>
        <w:footnoteRef/>
      </w:r>
      <w:r>
        <w:t xml:space="preserve"> </w:t>
      </w:r>
      <w:r w:rsidRPr="00CE1085">
        <w:rPr>
          <w:rtl/>
          <w:lang w:bidi="ar-AE"/>
        </w:rPr>
        <w:t>كان مخططاً لها في فترة 2-6 نوفمبر 2020، وتم إرجاؤها إلى 8-12 مارس 2021</w:t>
      </w:r>
    </w:p>
  </w:footnote>
  <w:footnote w:id="3">
    <w:p w14:paraId="73A4D71D" w14:textId="77777777" w:rsidR="0045481A" w:rsidRPr="00CE1085" w:rsidRDefault="0045481A" w:rsidP="00CE1085">
      <w:pPr>
        <w:pStyle w:val="FootnoteText"/>
        <w:bidi/>
        <w:rPr>
          <w:rtl/>
          <w:lang w:bidi="ar-AE"/>
        </w:rPr>
      </w:pPr>
      <w:r>
        <w:rPr>
          <w:rStyle w:val="FootnoteReference"/>
        </w:rPr>
        <w:footnoteRef/>
      </w:r>
      <w:r>
        <w:t xml:space="preserve"> </w:t>
      </w:r>
      <w:r w:rsidRPr="00CE1085">
        <w:rPr>
          <w:rtl/>
          <w:lang w:bidi="ar-AE"/>
        </w:rPr>
        <w:t>على النحو الوارد في الفقرة 4 من الوثيقة</w:t>
      </w:r>
      <w:r>
        <w:rPr>
          <w:rFonts w:hint="cs"/>
          <w:rtl/>
          <w:lang w:bidi="ar-AE"/>
        </w:rPr>
        <w:t xml:space="preserve"> </w:t>
      </w:r>
      <w:r w:rsidRPr="00CE1085">
        <w:rPr>
          <w:lang w:bidi="ar-AE"/>
        </w:rPr>
        <w:t>UNEP/OzL.Pro/ExCom/86/IAPext/Rev.1</w:t>
      </w:r>
    </w:p>
  </w:footnote>
  <w:footnote w:id="4">
    <w:p w14:paraId="15DD5D56" w14:textId="5A6882BB" w:rsidR="0045481A" w:rsidRDefault="0045481A" w:rsidP="00CE1085">
      <w:pPr>
        <w:pStyle w:val="FootnoteText"/>
        <w:bidi/>
        <w:rPr>
          <w:rtl/>
          <w:lang w:bidi="ar-AE"/>
        </w:rPr>
      </w:pPr>
      <w:r>
        <w:rPr>
          <w:rStyle w:val="FootnoteReference"/>
        </w:rPr>
        <w:footnoteRef/>
      </w:r>
      <w:r>
        <w:t xml:space="preserve"> </w:t>
      </w:r>
      <w:r w:rsidRPr="00CE1085">
        <w:rPr>
          <w:rtl/>
          <w:lang w:bidi="ar-AE"/>
        </w:rPr>
        <w:t>عُقدت اجتماعات رسمية عبر الإنترنت (مع ترجمة فورية) في 6 و9 و12 و16 أبريل 2021</w:t>
      </w:r>
    </w:p>
    <w:p w14:paraId="766C15CC" w14:textId="77777777" w:rsidR="00436693" w:rsidRDefault="00436693" w:rsidP="00436693">
      <w:pPr>
        <w:pStyle w:val="FootnoteText"/>
        <w:bidi/>
        <w:rPr>
          <w:rtl/>
          <w:lang w:bidi="ar-AE"/>
        </w:rPr>
      </w:pPr>
    </w:p>
  </w:footnote>
  <w:footnote w:id="5">
    <w:p w14:paraId="6FF9C670" w14:textId="428EE8D6" w:rsidR="0009584D" w:rsidRPr="0009584D" w:rsidRDefault="0009584D" w:rsidP="0009584D">
      <w:pPr>
        <w:pStyle w:val="FootnoteText"/>
        <w:bidi/>
        <w:rPr>
          <w:rtl/>
          <w:lang w:bidi="ar-AE"/>
        </w:rPr>
      </w:pPr>
      <w:r>
        <w:rPr>
          <w:rStyle w:val="FootnoteReference"/>
        </w:rPr>
        <w:footnoteRef/>
      </w:r>
      <w:r>
        <w:t xml:space="preserve"> </w:t>
      </w:r>
      <w:r w:rsidRPr="0009584D">
        <w:rPr>
          <w:lang w:bidi="ar-AE"/>
        </w:rPr>
        <w:t>UNEP/OzL.Pro/ExCom/86/100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9BECF" w14:textId="70E7AE01" w:rsidR="00FE58B9" w:rsidRPr="0033525D" w:rsidRDefault="00CD074D">
    <w:fldSimple w:instr=" DOCPROPERTY &quot;Document number&quot;  \* MERGEFORMAT ">
      <w:r w:rsidR="00FE58B9">
        <w:t>UNEP/OzL.Pro/ExCom/87/46</w:t>
      </w:r>
    </w:fldSimple>
  </w:p>
  <w:p w14:paraId="2F39BC0E" w14:textId="77777777" w:rsidR="00FE58B9" w:rsidRPr="0033525D" w:rsidRDefault="00FE58B9" w:rsidP="00716050">
    <w:pPr>
      <w:bidi/>
    </w:pPr>
  </w:p>
  <w:p w14:paraId="54F0290C" w14:textId="77777777" w:rsidR="00FE58B9" w:rsidRPr="0033525D" w:rsidRDefault="00FE58B9" w:rsidP="00716050">
    <w:pPr>
      <w:bid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25E2" w14:textId="6102A3E2" w:rsidR="00FE58B9" w:rsidRPr="0033525D" w:rsidRDefault="00CD074D">
    <w:pPr>
      <w:jc w:val="right"/>
    </w:pPr>
    <w:fldSimple w:instr=" DOCPROPERTY &quot;Document number&quot;  \* MERGEFORMAT ">
      <w:r w:rsidR="00FE58B9">
        <w:t>UNEP/OzL.Pro/ExCom/87/46</w:t>
      </w:r>
    </w:fldSimple>
  </w:p>
  <w:p w14:paraId="66532305" w14:textId="77777777" w:rsidR="00FE58B9" w:rsidRPr="0033525D" w:rsidRDefault="00FE58B9" w:rsidP="00716050">
    <w:pPr>
      <w:bidi/>
    </w:pPr>
  </w:p>
  <w:p w14:paraId="1E736171" w14:textId="77777777" w:rsidR="00FE58B9" w:rsidRPr="0033525D" w:rsidRDefault="00FE58B9" w:rsidP="00716050">
    <w:pPr>
      <w:pStyle w:val="Header"/>
      <w:bid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B6133" w14:textId="595BCD71" w:rsidR="00FE58B9" w:rsidRPr="0033525D" w:rsidRDefault="00CD074D" w:rsidP="000F3E89">
    <w:pPr>
      <w:jc w:val="right"/>
    </w:pPr>
    <w:fldSimple w:instr=" DOCPROPERTY &quot;Document number&quot;  \* MERGEFORMAT ">
      <w:r w:rsidR="00FE58B9">
        <w:t>UNEP/OzL.Pro/ExCom/87/46</w:t>
      </w:r>
    </w:fldSimple>
  </w:p>
  <w:p w14:paraId="182CB91F" w14:textId="77777777" w:rsidR="00FE58B9" w:rsidRPr="0033525D" w:rsidRDefault="00FE58B9" w:rsidP="000F3E89">
    <w:pPr>
      <w:jc w:val="right"/>
    </w:pPr>
    <w:r>
      <w:t>Annex I</w:t>
    </w:r>
  </w:p>
  <w:p w14:paraId="06C69AB4" w14:textId="77777777" w:rsidR="00FE58B9" w:rsidRPr="0033525D" w:rsidRDefault="00FE58B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6EE5B" w14:textId="3A7673FE" w:rsidR="00FE58B9" w:rsidRPr="0033525D" w:rsidRDefault="00CD074D" w:rsidP="000F3E89">
    <w:pPr>
      <w:jc w:val="left"/>
    </w:pPr>
    <w:fldSimple w:instr=" DOCPROPERTY &quot;Document number&quot;  \* MERGEFORMAT ">
      <w:r w:rsidR="00FE58B9">
        <w:t>UNEP/OzL.Pro/ExCom/87/46</w:t>
      </w:r>
    </w:fldSimple>
  </w:p>
  <w:p w14:paraId="0022DB60" w14:textId="77777777" w:rsidR="00FE58B9" w:rsidRPr="0033525D" w:rsidRDefault="00FE58B9" w:rsidP="000F3E89">
    <w:pPr>
      <w:jc w:val="left"/>
    </w:pPr>
    <w:r>
      <w:t>Annex I</w:t>
    </w:r>
  </w:p>
  <w:p w14:paraId="54469BD5" w14:textId="77777777" w:rsidR="00FE58B9" w:rsidRPr="0033525D" w:rsidRDefault="00FE58B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758D0" w14:textId="030B5B72" w:rsidR="00FE58B9" w:rsidRPr="0033525D" w:rsidRDefault="00CD074D" w:rsidP="000F3E89">
    <w:pPr>
      <w:jc w:val="left"/>
    </w:pPr>
    <w:fldSimple w:instr=" DOCPROPERTY &quot;Document number&quot;  \* MERGEFORMAT ">
      <w:r w:rsidR="00FE58B9">
        <w:t>UNEP/OzL.Pro/ExCom/87/46</w:t>
      </w:r>
    </w:fldSimple>
  </w:p>
  <w:p w14:paraId="0D36E3C8" w14:textId="77777777" w:rsidR="00FE58B9" w:rsidRDefault="00FE58B9" w:rsidP="000F3E89">
    <w:pPr>
      <w:pStyle w:val="Header"/>
      <w:jc w:val="left"/>
    </w:pPr>
    <w:r>
      <w:t>Annex I</w:t>
    </w:r>
  </w:p>
  <w:p w14:paraId="0DCD1653" w14:textId="77777777" w:rsidR="00FE58B9" w:rsidRDefault="00FE58B9" w:rsidP="00D67DD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31D3E" w14:textId="77777777" w:rsidR="00FE58B9" w:rsidRPr="0033525D" w:rsidRDefault="00CD074D">
    <w:fldSimple w:instr=" DOCPROPERTY &quot;Document number&quot;  \* MERGEFORMAT ">
      <w:r w:rsidR="00FE58B9">
        <w:t>UNEP/OzL.Pro/ExCom/86/88</w:t>
      </w:r>
    </w:fldSimple>
  </w:p>
  <w:p w14:paraId="00F5CE8F" w14:textId="77777777" w:rsidR="00FE58B9" w:rsidRPr="0033525D" w:rsidRDefault="00FE58B9"/>
  <w:p w14:paraId="7102012A" w14:textId="77777777" w:rsidR="00FE58B9" w:rsidRPr="0033525D" w:rsidRDefault="00FE58B9"/>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01BC8" w14:textId="77777777" w:rsidR="00FE58B9" w:rsidRPr="0033525D" w:rsidRDefault="00CD074D">
    <w:pPr>
      <w:jc w:val="right"/>
    </w:pPr>
    <w:fldSimple w:instr=" DOCPROPERTY &quot;Document number&quot;  \* MERGEFORMAT ">
      <w:r w:rsidR="00FE58B9">
        <w:t>UNEP/OzL.Pro/ExCom/86/88</w:t>
      </w:r>
    </w:fldSimple>
  </w:p>
  <w:p w14:paraId="4DD69F3F" w14:textId="77777777" w:rsidR="00FE58B9" w:rsidRPr="0033525D" w:rsidRDefault="00FE58B9"/>
  <w:p w14:paraId="3DA81AB0" w14:textId="77777777" w:rsidR="00FE58B9" w:rsidRPr="0033525D" w:rsidRDefault="00FE58B9">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45181" w14:textId="77777777" w:rsidR="00FE58B9" w:rsidRDefault="00FE58B9" w:rsidP="00D67DD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494F3E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A2C5B7D"/>
    <w:multiLevelType w:val="hybridMultilevel"/>
    <w:tmpl w:val="14045884"/>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672DA2"/>
    <w:multiLevelType w:val="multilevel"/>
    <w:tmpl w:val="0060DEF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14152C99"/>
    <w:multiLevelType w:val="hybridMultilevel"/>
    <w:tmpl w:val="1DBAD58A"/>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EEE1C2C"/>
    <w:multiLevelType w:val="hybridMultilevel"/>
    <w:tmpl w:val="1DBAD58A"/>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7417875"/>
    <w:multiLevelType w:val="hybridMultilevel"/>
    <w:tmpl w:val="FEA0EC52"/>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AA3692"/>
    <w:multiLevelType w:val="hybridMultilevel"/>
    <w:tmpl w:val="2B281C72"/>
    <w:lvl w:ilvl="0" w:tplc="CC265E9E">
      <w:start w:val="32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B195B4B"/>
    <w:multiLevelType w:val="hybridMultilevel"/>
    <w:tmpl w:val="14045884"/>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08536BF"/>
    <w:multiLevelType w:val="hybridMultilevel"/>
    <w:tmpl w:val="14045884"/>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9752918"/>
    <w:multiLevelType w:val="hybridMultilevel"/>
    <w:tmpl w:val="14045884"/>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5F7753"/>
    <w:multiLevelType w:val="hybridMultilevel"/>
    <w:tmpl w:val="1DBAD58A"/>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4"/>
  </w:num>
  <w:num w:numId="3">
    <w:abstractNumId w:val="10"/>
  </w:num>
  <w:num w:numId="4">
    <w:abstractNumId w:val="12"/>
  </w:num>
  <w:num w:numId="5">
    <w:abstractNumId w:val="15"/>
  </w:num>
  <w:num w:numId="6">
    <w:abstractNumId w:val="6"/>
  </w:num>
  <w:num w:numId="7">
    <w:abstractNumId w:val="0"/>
    <w:lvlOverride w:ilvl="0">
      <w:startOverride w:val="3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4"/>
  </w:num>
  <w:num w:numId="14">
    <w:abstractNumId w:val="1"/>
  </w:num>
  <w:num w:numId="15">
    <w:abstractNumId w:val="3"/>
  </w:num>
  <w:num w:numId="16">
    <w:abstractNumId w:val="5"/>
  </w:num>
  <w:num w:numId="17">
    <w:abstractNumId w:val="13"/>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7"/>
  </w:num>
  <w:num w:numId="40">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0F1514"/>
    <w:rsid w:val="0000056C"/>
    <w:rsid w:val="00000FED"/>
    <w:rsid w:val="00001793"/>
    <w:rsid w:val="00001ED1"/>
    <w:rsid w:val="0000434E"/>
    <w:rsid w:val="000211A9"/>
    <w:rsid w:val="000269D3"/>
    <w:rsid w:val="00031260"/>
    <w:rsid w:val="00033AC1"/>
    <w:rsid w:val="0003681A"/>
    <w:rsid w:val="000372B7"/>
    <w:rsid w:val="00050F6E"/>
    <w:rsid w:val="00060A98"/>
    <w:rsid w:val="00061EC2"/>
    <w:rsid w:val="00066CE8"/>
    <w:rsid w:val="00080ED0"/>
    <w:rsid w:val="00085B8F"/>
    <w:rsid w:val="00090481"/>
    <w:rsid w:val="000942D0"/>
    <w:rsid w:val="0009584D"/>
    <w:rsid w:val="00097D11"/>
    <w:rsid w:val="000A3826"/>
    <w:rsid w:val="000A6C26"/>
    <w:rsid w:val="000B4F68"/>
    <w:rsid w:val="000D52A4"/>
    <w:rsid w:val="000E07BC"/>
    <w:rsid w:val="000F1514"/>
    <w:rsid w:val="000F1CD4"/>
    <w:rsid w:val="000F3E89"/>
    <w:rsid w:val="000F4103"/>
    <w:rsid w:val="000F70A7"/>
    <w:rsid w:val="00113CCA"/>
    <w:rsid w:val="001141DA"/>
    <w:rsid w:val="00122F25"/>
    <w:rsid w:val="001277B4"/>
    <w:rsid w:val="001340A0"/>
    <w:rsid w:val="00135980"/>
    <w:rsid w:val="00164719"/>
    <w:rsid w:val="001664FC"/>
    <w:rsid w:val="00166FC4"/>
    <w:rsid w:val="001677AC"/>
    <w:rsid w:val="00172BE7"/>
    <w:rsid w:val="001804EA"/>
    <w:rsid w:val="00181816"/>
    <w:rsid w:val="00183EDB"/>
    <w:rsid w:val="00186F73"/>
    <w:rsid w:val="00190A61"/>
    <w:rsid w:val="00190EAB"/>
    <w:rsid w:val="001A2215"/>
    <w:rsid w:val="001A3342"/>
    <w:rsid w:val="001A3E3D"/>
    <w:rsid w:val="001A7049"/>
    <w:rsid w:val="001B1E40"/>
    <w:rsid w:val="001C45BF"/>
    <w:rsid w:val="001C764E"/>
    <w:rsid w:val="001E1052"/>
    <w:rsid w:val="001E21B1"/>
    <w:rsid w:val="001E2F93"/>
    <w:rsid w:val="001E4554"/>
    <w:rsid w:val="001E61E5"/>
    <w:rsid w:val="001F2159"/>
    <w:rsid w:val="00201D8E"/>
    <w:rsid w:val="00210B8B"/>
    <w:rsid w:val="00212766"/>
    <w:rsid w:val="00214863"/>
    <w:rsid w:val="002156B4"/>
    <w:rsid w:val="00215CF3"/>
    <w:rsid w:val="00224425"/>
    <w:rsid w:val="00224FCD"/>
    <w:rsid w:val="00253222"/>
    <w:rsid w:val="00262847"/>
    <w:rsid w:val="00281BB2"/>
    <w:rsid w:val="002B254E"/>
    <w:rsid w:val="002B5E9E"/>
    <w:rsid w:val="002B72E9"/>
    <w:rsid w:val="002C7358"/>
    <w:rsid w:val="002C7998"/>
    <w:rsid w:val="002D018A"/>
    <w:rsid w:val="002E3B9B"/>
    <w:rsid w:val="002E4BBA"/>
    <w:rsid w:val="002F1E53"/>
    <w:rsid w:val="002F2CAA"/>
    <w:rsid w:val="002F6913"/>
    <w:rsid w:val="0030052C"/>
    <w:rsid w:val="003306E1"/>
    <w:rsid w:val="003320E4"/>
    <w:rsid w:val="003347A4"/>
    <w:rsid w:val="0033525D"/>
    <w:rsid w:val="003414F3"/>
    <w:rsid w:val="00356050"/>
    <w:rsid w:val="0035613E"/>
    <w:rsid w:val="00363EE9"/>
    <w:rsid w:val="00370C44"/>
    <w:rsid w:val="00376128"/>
    <w:rsid w:val="00376799"/>
    <w:rsid w:val="0037742E"/>
    <w:rsid w:val="00377D56"/>
    <w:rsid w:val="0038245A"/>
    <w:rsid w:val="003840E6"/>
    <w:rsid w:val="00385CFC"/>
    <w:rsid w:val="00385E07"/>
    <w:rsid w:val="0039337A"/>
    <w:rsid w:val="00393882"/>
    <w:rsid w:val="003A1F91"/>
    <w:rsid w:val="003A2D05"/>
    <w:rsid w:val="003A3189"/>
    <w:rsid w:val="003A3CA7"/>
    <w:rsid w:val="003B33BD"/>
    <w:rsid w:val="003B569D"/>
    <w:rsid w:val="003C0284"/>
    <w:rsid w:val="003C0467"/>
    <w:rsid w:val="003C3C0E"/>
    <w:rsid w:val="003D42A6"/>
    <w:rsid w:val="003D4F21"/>
    <w:rsid w:val="003D4FAC"/>
    <w:rsid w:val="003E0BFC"/>
    <w:rsid w:val="003E7906"/>
    <w:rsid w:val="003F3C50"/>
    <w:rsid w:val="00406A6A"/>
    <w:rsid w:val="00406B22"/>
    <w:rsid w:val="004230C3"/>
    <w:rsid w:val="004242DD"/>
    <w:rsid w:val="004245BC"/>
    <w:rsid w:val="004328A7"/>
    <w:rsid w:val="00434C74"/>
    <w:rsid w:val="00436693"/>
    <w:rsid w:val="0045481A"/>
    <w:rsid w:val="004554D2"/>
    <w:rsid w:val="00456EB4"/>
    <w:rsid w:val="00462C42"/>
    <w:rsid w:val="004718F3"/>
    <w:rsid w:val="00475040"/>
    <w:rsid w:val="00483892"/>
    <w:rsid w:val="00493D40"/>
    <w:rsid w:val="004967B6"/>
    <w:rsid w:val="004A504B"/>
    <w:rsid w:val="004A6911"/>
    <w:rsid w:val="004B39AE"/>
    <w:rsid w:val="004B54E0"/>
    <w:rsid w:val="004B7384"/>
    <w:rsid w:val="004C29A8"/>
    <w:rsid w:val="004C2DEE"/>
    <w:rsid w:val="004C4269"/>
    <w:rsid w:val="004D6236"/>
    <w:rsid w:val="004D7F90"/>
    <w:rsid w:val="004E4DBB"/>
    <w:rsid w:val="004E4E41"/>
    <w:rsid w:val="004E7F9C"/>
    <w:rsid w:val="004F138C"/>
    <w:rsid w:val="004F3493"/>
    <w:rsid w:val="004F5143"/>
    <w:rsid w:val="00512B09"/>
    <w:rsid w:val="005220ED"/>
    <w:rsid w:val="00533796"/>
    <w:rsid w:val="00537343"/>
    <w:rsid w:val="00555D75"/>
    <w:rsid w:val="00560DF0"/>
    <w:rsid w:val="0056664A"/>
    <w:rsid w:val="0056759C"/>
    <w:rsid w:val="00587D8A"/>
    <w:rsid w:val="0059513E"/>
    <w:rsid w:val="005A5E8C"/>
    <w:rsid w:val="005A6AA4"/>
    <w:rsid w:val="005A6D9F"/>
    <w:rsid w:val="005B48FF"/>
    <w:rsid w:val="005B6124"/>
    <w:rsid w:val="005D102C"/>
    <w:rsid w:val="005D137E"/>
    <w:rsid w:val="005D290D"/>
    <w:rsid w:val="005D363F"/>
    <w:rsid w:val="005D686F"/>
    <w:rsid w:val="00604C15"/>
    <w:rsid w:val="006158D5"/>
    <w:rsid w:val="00625D83"/>
    <w:rsid w:val="00625FC4"/>
    <w:rsid w:val="0065539E"/>
    <w:rsid w:val="006623E7"/>
    <w:rsid w:val="00662B80"/>
    <w:rsid w:val="006639EA"/>
    <w:rsid w:val="00670F6C"/>
    <w:rsid w:val="006852C7"/>
    <w:rsid w:val="006852CE"/>
    <w:rsid w:val="00692D14"/>
    <w:rsid w:val="00696EBF"/>
    <w:rsid w:val="006A341C"/>
    <w:rsid w:val="006B65C7"/>
    <w:rsid w:val="006C1727"/>
    <w:rsid w:val="006C32FD"/>
    <w:rsid w:val="006C39CE"/>
    <w:rsid w:val="006C5AD4"/>
    <w:rsid w:val="006C7D70"/>
    <w:rsid w:val="006D0FCC"/>
    <w:rsid w:val="006D21F5"/>
    <w:rsid w:val="006D50A4"/>
    <w:rsid w:val="006E0FCB"/>
    <w:rsid w:val="006E126D"/>
    <w:rsid w:val="006E1FC3"/>
    <w:rsid w:val="006E5F99"/>
    <w:rsid w:val="006E6CEB"/>
    <w:rsid w:val="006F7873"/>
    <w:rsid w:val="00701683"/>
    <w:rsid w:val="00704CE9"/>
    <w:rsid w:val="0070605E"/>
    <w:rsid w:val="0070616B"/>
    <w:rsid w:val="00706295"/>
    <w:rsid w:val="007068A6"/>
    <w:rsid w:val="00706FDA"/>
    <w:rsid w:val="00711F9A"/>
    <w:rsid w:val="00713810"/>
    <w:rsid w:val="00716050"/>
    <w:rsid w:val="00720E15"/>
    <w:rsid w:val="007303A5"/>
    <w:rsid w:val="00730B3E"/>
    <w:rsid w:val="00733441"/>
    <w:rsid w:val="0073420B"/>
    <w:rsid w:val="0074273C"/>
    <w:rsid w:val="0074760E"/>
    <w:rsid w:val="00754ABA"/>
    <w:rsid w:val="007604C1"/>
    <w:rsid w:val="00780D4F"/>
    <w:rsid w:val="00797B56"/>
    <w:rsid w:val="007A1546"/>
    <w:rsid w:val="007A228C"/>
    <w:rsid w:val="007A368E"/>
    <w:rsid w:val="007A5868"/>
    <w:rsid w:val="007A7FFE"/>
    <w:rsid w:val="007B04CE"/>
    <w:rsid w:val="007B2D3B"/>
    <w:rsid w:val="007B6871"/>
    <w:rsid w:val="007B7A2F"/>
    <w:rsid w:val="007C3D33"/>
    <w:rsid w:val="007D294A"/>
    <w:rsid w:val="007D47D2"/>
    <w:rsid w:val="007D6EC0"/>
    <w:rsid w:val="007D7E1D"/>
    <w:rsid w:val="007E13DF"/>
    <w:rsid w:val="007F26E2"/>
    <w:rsid w:val="00806858"/>
    <w:rsid w:val="00827707"/>
    <w:rsid w:val="00830A34"/>
    <w:rsid w:val="00830BED"/>
    <w:rsid w:val="00831979"/>
    <w:rsid w:val="00832379"/>
    <w:rsid w:val="00850362"/>
    <w:rsid w:val="0085113A"/>
    <w:rsid w:val="00851352"/>
    <w:rsid w:val="00857077"/>
    <w:rsid w:val="00863230"/>
    <w:rsid w:val="00865BD0"/>
    <w:rsid w:val="00867EAE"/>
    <w:rsid w:val="008717D8"/>
    <w:rsid w:val="0087215C"/>
    <w:rsid w:val="0087323E"/>
    <w:rsid w:val="00875D25"/>
    <w:rsid w:val="00880E35"/>
    <w:rsid w:val="008875FE"/>
    <w:rsid w:val="00887F8E"/>
    <w:rsid w:val="00896234"/>
    <w:rsid w:val="00897E43"/>
    <w:rsid w:val="008A127B"/>
    <w:rsid w:val="008B419A"/>
    <w:rsid w:val="008C5738"/>
    <w:rsid w:val="008C7EAD"/>
    <w:rsid w:val="008D0CFE"/>
    <w:rsid w:val="008D6152"/>
    <w:rsid w:val="008E7BA9"/>
    <w:rsid w:val="008F0F81"/>
    <w:rsid w:val="008F27BF"/>
    <w:rsid w:val="008F5953"/>
    <w:rsid w:val="009142EC"/>
    <w:rsid w:val="009154C3"/>
    <w:rsid w:val="00923540"/>
    <w:rsid w:val="00926767"/>
    <w:rsid w:val="00933D8D"/>
    <w:rsid w:val="009361D5"/>
    <w:rsid w:val="00937DA1"/>
    <w:rsid w:val="009428A4"/>
    <w:rsid w:val="009615E1"/>
    <w:rsid w:val="009647D6"/>
    <w:rsid w:val="009659F4"/>
    <w:rsid w:val="00970D60"/>
    <w:rsid w:val="009907E6"/>
    <w:rsid w:val="0099390E"/>
    <w:rsid w:val="009960E5"/>
    <w:rsid w:val="009A7ADC"/>
    <w:rsid w:val="009B0D30"/>
    <w:rsid w:val="009B25CE"/>
    <w:rsid w:val="009C19B7"/>
    <w:rsid w:val="009C5ABB"/>
    <w:rsid w:val="009D3818"/>
    <w:rsid w:val="009D62AC"/>
    <w:rsid w:val="009D7C51"/>
    <w:rsid w:val="009E0CC2"/>
    <w:rsid w:val="009E0FFD"/>
    <w:rsid w:val="009E196C"/>
    <w:rsid w:val="009F36BF"/>
    <w:rsid w:val="00A111B6"/>
    <w:rsid w:val="00A1657C"/>
    <w:rsid w:val="00A20A9C"/>
    <w:rsid w:val="00A26D27"/>
    <w:rsid w:val="00A30BF0"/>
    <w:rsid w:val="00A376EE"/>
    <w:rsid w:val="00A42A99"/>
    <w:rsid w:val="00A5151A"/>
    <w:rsid w:val="00A55CB0"/>
    <w:rsid w:val="00A57E0A"/>
    <w:rsid w:val="00A6134F"/>
    <w:rsid w:val="00A73CBA"/>
    <w:rsid w:val="00A823F6"/>
    <w:rsid w:val="00A85F63"/>
    <w:rsid w:val="00A8719E"/>
    <w:rsid w:val="00AA0A89"/>
    <w:rsid w:val="00AA1C7A"/>
    <w:rsid w:val="00AA6429"/>
    <w:rsid w:val="00AC01AA"/>
    <w:rsid w:val="00AC4F72"/>
    <w:rsid w:val="00AC622A"/>
    <w:rsid w:val="00AF0844"/>
    <w:rsid w:val="00AF108D"/>
    <w:rsid w:val="00AF15AE"/>
    <w:rsid w:val="00AF266E"/>
    <w:rsid w:val="00AF741A"/>
    <w:rsid w:val="00B01ADB"/>
    <w:rsid w:val="00B04161"/>
    <w:rsid w:val="00B056F9"/>
    <w:rsid w:val="00B05E90"/>
    <w:rsid w:val="00B11E3D"/>
    <w:rsid w:val="00B17E82"/>
    <w:rsid w:val="00B21946"/>
    <w:rsid w:val="00B33C0E"/>
    <w:rsid w:val="00B4030F"/>
    <w:rsid w:val="00B4575A"/>
    <w:rsid w:val="00B575BA"/>
    <w:rsid w:val="00B70859"/>
    <w:rsid w:val="00B71608"/>
    <w:rsid w:val="00B76429"/>
    <w:rsid w:val="00B956D4"/>
    <w:rsid w:val="00B97446"/>
    <w:rsid w:val="00BA468F"/>
    <w:rsid w:val="00BA6AD6"/>
    <w:rsid w:val="00BA7432"/>
    <w:rsid w:val="00BB2764"/>
    <w:rsid w:val="00BC1AA0"/>
    <w:rsid w:val="00BC2495"/>
    <w:rsid w:val="00BC7EB9"/>
    <w:rsid w:val="00BD09D3"/>
    <w:rsid w:val="00BD2643"/>
    <w:rsid w:val="00BD33EE"/>
    <w:rsid w:val="00BD56B1"/>
    <w:rsid w:val="00BD6558"/>
    <w:rsid w:val="00BF2F76"/>
    <w:rsid w:val="00BF3022"/>
    <w:rsid w:val="00BF3214"/>
    <w:rsid w:val="00BF5573"/>
    <w:rsid w:val="00C062E7"/>
    <w:rsid w:val="00C10A07"/>
    <w:rsid w:val="00C15867"/>
    <w:rsid w:val="00C2296D"/>
    <w:rsid w:val="00C23155"/>
    <w:rsid w:val="00C26008"/>
    <w:rsid w:val="00C40C41"/>
    <w:rsid w:val="00C447BC"/>
    <w:rsid w:val="00C45885"/>
    <w:rsid w:val="00C50F22"/>
    <w:rsid w:val="00C57971"/>
    <w:rsid w:val="00C65BD7"/>
    <w:rsid w:val="00C7172A"/>
    <w:rsid w:val="00C76BA4"/>
    <w:rsid w:val="00C83A48"/>
    <w:rsid w:val="00C85865"/>
    <w:rsid w:val="00C85E85"/>
    <w:rsid w:val="00CA2EAE"/>
    <w:rsid w:val="00CA2F04"/>
    <w:rsid w:val="00CA4AC1"/>
    <w:rsid w:val="00CB0316"/>
    <w:rsid w:val="00CB0B11"/>
    <w:rsid w:val="00CB426A"/>
    <w:rsid w:val="00CB5354"/>
    <w:rsid w:val="00CC3C9E"/>
    <w:rsid w:val="00CC6A14"/>
    <w:rsid w:val="00CC70A3"/>
    <w:rsid w:val="00CD074D"/>
    <w:rsid w:val="00CD4442"/>
    <w:rsid w:val="00CD53C3"/>
    <w:rsid w:val="00CD574E"/>
    <w:rsid w:val="00CE1085"/>
    <w:rsid w:val="00CE31CE"/>
    <w:rsid w:val="00CE4C22"/>
    <w:rsid w:val="00CF41EC"/>
    <w:rsid w:val="00CF51CF"/>
    <w:rsid w:val="00CF5D04"/>
    <w:rsid w:val="00D0423B"/>
    <w:rsid w:val="00D04DE4"/>
    <w:rsid w:val="00D063F1"/>
    <w:rsid w:val="00D14F22"/>
    <w:rsid w:val="00D15B5B"/>
    <w:rsid w:val="00D3530D"/>
    <w:rsid w:val="00D43068"/>
    <w:rsid w:val="00D4741C"/>
    <w:rsid w:val="00D558D6"/>
    <w:rsid w:val="00D57918"/>
    <w:rsid w:val="00D65F15"/>
    <w:rsid w:val="00D675DB"/>
    <w:rsid w:val="00D67DDC"/>
    <w:rsid w:val="00D72F55"/>
    <w:rsid w:val="00D73A95"/>
    <w:rsid w:val="00D73DC6"/>
    <w:rsid w:val="00D74C1A"/>
    <w:rsid w:val="00D754C1"/>
    <w:rsid w:val="00D77393"/>
    <w:rsid w:val="00D77A35"/>
    <w:rsid w:val="00D81B3E"/>
    <w:rsid w:val="00D838F1"/>
    <w:rsid w:val="00D90C70"/>
    <w:rsid w:val="00D90E49"/>
    <w:rsid w:val="00D96ADE"/>
    <w:rsid w:val="00DA0CE2"/>
    <w:rsid w:val="00DB07C5"/>
    <w:rsid w:val="00DC6A10"/>
    <w:rsid w:val="00DE342C"/>
    <w:rsid w:val="00DE657E"/>
    <w:rsid w:val="00DF4704"/>
    <w:rsid w:val="00DF5B74"/>
    <w:rsid w:val="00E024AA"/>
    <w:rsid w:val="00E15C77"/>
    <w:rsid w:val="00E21DF6"/>
    <w:rsid w:val="00E250F1"/>
    <w:rsid w:val="00E34DB4"/>
    <w:rsid w:val="00E3550D"/>
    <w:rsid w:val="00E35AF1"/>
    <w:rsid w:val="00E4748F"/>
    <w:rsid w:val="00E52838"/>
    <w:rsid w:val="00E53CF0"/>
    <w:rsid w:val="00E56257"/>
    <w:rsid w:val="00E614E0"/>
    <w:rsid w:val="00E639C1"/>
    <w:rsid w:val="00E63CFB"/>
    <w:rsid w:val="00E73F7F"/>
    <w:rsid w:val="00E85409"/>
    <w:rsid w:val="00EA429F"/>
    <w:rsid w:val="00EA4F9E"/>
    <w:rsid w:val="00EA5146"/>
    <w:rsid w:val="00EA63CA"/>
    <w:rsid w:val="00EA6D3B"/>
    <w:rsid w:val="00EB00AD"/>
    <w:rsid w:val="00EB136C"/>
    <w:rsid w:val="00EB480E"/>
    <w:rsid w:val="00EB5EC6"/>
    <w:rsid w:val="00EB7FC9"/>
    <w:rsid w:val="00EC75F1"/>
    <w:rsid w:val="00ED0607"/>
    <w:rsid w:val="00ED14EC"/>
    <w:rsid w:val="00ED27E8"/>
    <w:rsid w:val="00ED7137"/>
    <w:rsid w:val="00EE48F2"/>
    <w:rsid w:val="00EF06EA"/>
    <w:rsid w:val="00F14288"/>
    <w:rsid w:val="00F21088"/>
    <w:rsid w:val="00F24280"/>
    <w:rsid w:val="00F26E32"/>
    <w:rsid w:val="00F327E7"/>
    <w:rsid w:val="00F35746"/>
    <w:rsid w:val="00F35866"/>
    <w:rsid w:val="00F447C7"/>
    <w:rsid w:val="00F459B4"/>
    <w:rsid w:val="00F5211B"/>
    <w:rsid w:val="00F554A9"/>
    <w:rsid w:val="00F716FD"/>
    <w:rsid w:val="00F80355"/>
    <w:rsid w:val="00F87C43"/>
    <w:rsid w:val="00FA5722"/>
    <w:rsid w:val="00FB0C81"/>
    <w:rsid w:val="00FC17EA"/>
    <w:rsid w:val="00FC2200"/>
    <w:rsid w:val="00FC2540"/>
    <w:rsid w:val="00FC543E"/>
    <w:rsid w:val="00FD4267"/>
    <w:rsid w:val="00FE58B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F946A"/>
  <w15:docId w15:val="{BCA3F4DC-D7A4-4DEF-93D5-9008C54DC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151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1514"/>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462C42"/>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62C42"/>
    <w:rPr>
      <w:sz w:val="22"/>
      <w:szCs w:val="22"/>
      <w:lang w:val="en-CA"/>
    </w:rPr>
  </w:style>
  <w:style w:type="paragraph" w:customStyle="1" w:styleId="Default">
    <w:name w:val="Default"/>
    <w:rsid w:val="00462C42"/>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462C42"/>
  </w:style>
  <w:style w:type="character" w:styleId="Hyperlink">
    <w:name w:val="Hyperlink"/>
    <w:basedOn w:val="DefaultParagraphFont"/>
    <w:unhideWhenUsed/>
    <w:rsid w:val="00462C42"/>
    <w:rPr>
      <w:color w:val="0000FF"/>
      <w:u w:val="single"/>
    </w:rPr>
  </w:style>
  <w:style w:type="character" w:customStyle="1" w:styleId="HeaderChar">
    <w:name w:val="Header Char"/>
    <w:basedOn w:val="DefaultParagraphFont"/>
    <w:link w:val="Header"/>
    <w:rsid w:val="00462C42"/>
    <w:rPr>
      <w:sz w:val="22"/>
      <w:szCs w:val="22"/>
      <w:lang w:val="en-CA"/>
    </w:rPr>
  </w:style>
  <w:style w:type="character" w:customStyle="1" w:styleId="PlainTextChar">
    <w:name w:val="Plain Text Char"/>
    <w:basedOn w:val="DefaultParagraphFont"/>
    <w:link w:val="PlainText"/>
    <w:uiPriority w:val="99"/>
    <w:rsid w:val="00462C42"/>
    <w:rPr>
      <w:rFonts w:ascii="Courier New" w:hAnsi="Courier New" w:cs="Courier New"/>
      <w:szCs w:val="22"/>
      <w:lang w:val="en-CA"/>
    </w:rPr>
  </w:style>
  <w:style w:type="paragraph" w:styleId="ListParagraph">
    <w:name w:val="List Paragraph"/>
    <w:aliases w:val="列出段落YUAN,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462C42"/>
    <w:pPr>
      <w:ind w:left="720"/>
      <w:contextualSpacing/>
    </w:pPr>
    <w:rPr>
      <w:lang w:val="en-GB"/>
    </w:rPr>
  </w:style>
  <w:style w:type="character" w:styleId="Strong">
    <w:name w:val="Strong"/>
    <w:basedOn w:val="DefaultParagraphFont"/>
    <w:uiPriority w:val="22"/>
    <w:qFormat/>
    <w:rsid w:val="00462C42"/>
    <w:rPr>
      <w:b/>
      <w:bCs/>
    </w:rPr>
  </w:style>
  <w:style w:type="paragraph" w:styleId="NormalWeb">
    <w:name w:val="Normal (Web)"/>
    <w:basedOn w:val="Normal"/>
    <w:uiPriority w:val="99"/>
    <w:unhideWhenUsed/>
    <w:rsid w:val="00462C42"/>
    <w:pPr>
      <w:spacing w:before="100" w:beforeAutospacing="1" w:after="100" w:afterAutospacing="1"/>
      <w:jc w:val="left"/>
    </w:pPr>
    <w:rPr>
      <w:sz w:val="24"/>
      <w:szCs w:val="24"/>
      <w:lang w:eastAsia="en-CA"/>
    </w:rPr>
  </w:style>
  <w:style w:type="paragraph" w:styleId="Revision">
    <w:name w:val="Revision"/>
    <w:hidden/>
    <w:uiPriority w:val="99"/>
    <w:semiHidden/>
    <w:rsid w:val="00462C42"/>
    <w:rPr>
      <w:sz w:val="22"/>
      <w:szCs w:val="22"/>
      <w:lang w:val="en-GB"/>
    </w:rPr>
  </w:style>
  <w:style w:type="table" w:customStyle="1" w:styleId="TableGrid10">
    <w:name w:val="Table Grid1"/>
    <w:basedOn w:val="TableNormal"/>
    <w:next w:val="TableGrid"/>
    <w:rsid w:val="00462C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462C42"/>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462C42"/>
    <w:rPr>
      <w:lang w:val="fr-FR"/>
    </w:rPr>
  </w:style>
  <w:style w:type="paragraph" w:customStyle="1" w:styleId="CH2">
    <w:name w:val="CH2"/>
    <w:basedOn w:val="Normal"/>
    <w:next w:val="Normal"/>
    <w:link w:val="CH2Char"/>
    <w:rsid w:val="00462C42"/>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n-GB"/>
    </w:rPr>
  </w:style>
  <w:style w:type="character" w:customStyle="1" w:styleId="CH2Char">
    <w:name w:val="CH2 Char"/>
    <w:link w:val="CH2"/>
    <w:locked/>
    <w:rsid w:val="00462C42"/>
    <w:rPr>
      <w:b/>
      <w:sz w:val="24"/>
      <w:szCs w:val="24"/>
      <w:lang w:val="en-GB"/>
    </w:rPr>
  </w:style>
  <w:style w:type="paragraph" w:styleId="Caption">
    <w:name w:val="caption"/>
    <w:basedOn w:val="Normal"/>
    <w:next w:val="Normal"/>
    <w:qFormat/>
    <w:rsid w:val="00A85F63"/>
    <w:pPr>
      <w:bidi/>
      <w:ind w:left="180" w:hanging="180"/>
      <w:jc w:val="lowKashida"/>
    </w:pPr>
    <w:rPr>
      <w:rFonts w:cs="Simplified Arabic"/>
      <w:sz w:val="24"/>
      <w:szCs w:val="32"/>
      <w:lang w:val="en-US" w:eastAsia="en-CA" w:bidi="ar-DZ"/>
    </w:rPr>
  </w:style>
  <w:style w:type="character" w:customStyle="1" w:styleId="ListParagraphChar">
    <w:name w:val="List Paragraph Char"/>
    <w:aliases w:val="列出段落YUAN Char,List Paragraph (numbered (a)) Char,WB Para Char,Bullet OSM Char,Bullets Char,CORE-1.1.1 Char,Dot pt Char,Heading 2_sj Char,List Paragraph11 Char,Numbered Para 1 Char,Proposal Bullet List Char,Report Para Char,Table Char"/>
    <w:link w:val="ListParagraph"/>
    <w:uiPriority w:val="34"/>
    <w:qFormat/>
    <w:locked/>
    <w:rsid w:val="000F3E8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UNEP/OzL.Pro/ExCom/87/46</Document_x0020_Number>
    <DocumentType xmlns="48d2d36d-b4e3-478b-a344-cdbeebaca89a">Pre-session</DocumentType>
  </documentManagement>
</p:properties>
</file>

<file path=customXml/itemProps1.xml><?xml version="1.0" encoding="utf-8"?>
<ds:datastoreItem xmlns:ds="http://schemas.openxmlformats.org/officeDocument/2006/customXml" ds:itemID="{CE478058-D4C6-4361-B24D-D366A6450751}"/>
</file>

<file path=customXml/itemProps2.xml><?xml version="1.0" encoding="utf-8"?>
<ds:datastoreItem xmlns:ds="http://schemas.openxmlformats.org/officeDocument/2006/customXml" ds:itemID="{B8EB7C36-CC73-402E-AAA4-981ED61B26D6}"/>
</file>

<file path=customXml/itemProps3.xml><?xml version="1.0" encoding="utf-8"?>
<ds:datastoreItem xmlns:ds="http://schemas.openxmlformats.org/officeDocument/2006/customXml" ds:itemID="{60915EFB-27A7-4033-9D92-B5AAD80CE24A}"/>
</file>

<file path=customXml/itemProps4.xml><?xml version="1.0" encoding="utf-8"?>
<ds:datastoreItem xmlns:ds="http://schemas.openxmlformats.org/officeDocument/2006/customXml" ds:itemID="{B87B9BC4-0EE2-48B8-81FF-392A450AC5B5}"/>
</file>

<file path=docProps/app.xml><?xml version="1.0" encoding="utf-8"?>
<Properties xmlns="http://schemas.openxmlformats.org/officeDocument/2006/extended-properties" xmlns:vt="http://schemas.openxmlformats.org/officeDocument/2006/docPropsVTypes">
  <Template>Eec87G</Template>
  <TotalTime>54</TotalTime>
  <Pages>13</Pages>
  <Words>3481</Words>
  <Characters>19846</Characters>
  <Application>Microsoft Office Word</Application>
  <DocSecurity>0</DocSecurity>
  <Lines>165</Lines>
  <Paragraphs>46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مشروع مبادئ توجيهية لإعداد خطط التخفيض التدريجي للمواد الهيدروفلوروكربونية لبلدان المادة 5 </vt:lpstr>
      <vt:lpstr>Draft guidelines HFC phase-down project preparation</vt:lpstr>
    </vt:vector>
  </TitlesOfParts>
  <Company/>
  <LinksUpToDate>false</LinksUpToDate>
  <CharactersWithSpaces>23281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مبادئ توجيهية لإعداد خطط التخفيض التدريجي للمواد الهيدروفلوروكربونية لبلدان المادة 5 </dc:title>
  <dc:creator>Muriel Aguiar</dc:creator>
  <cp:lastModifiedBy>HB</cp:lastModifiedBy>
  <cp:revision>15</cp:revision>
  <cp:lastPrinted>2001-05-26T16:40:00Z</cp:lastPrinted>
  <dcterms:created xsi:type="dcterms:W3CDTF">2021-06-17T00:42:00Z</dcterms:created>
  <dcterms:modified xsi:type="dcterms:W3CDTF">2021-06-27T00:01:00Z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UNEP/OzL.Pro/ExCom/87/46</vt:lpwstr>
  </property>
  <property fmtid="{D5CDD505-2E9C-101B-9397-08002B2CF9AE}" pid="3" name="Revision date">
    <vt:lpwstr>6/02/2021</vt:lpwstr>
  </property>
  <property fmtid="{D5CDD505-2E9C-101B-9397-08002B2CF9AE}" pid="4" name="ContentTypeId">
    <vt:lpwstr>0x010100B3344F64B3C0BD4E94486C1C70C35CAD</vt:lpwstr>
  </property>
</Properties>
</file>