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6F5913" w14:paraId="37B3EB86" w14:textId="77777777" w:rsidTr="00A22B8D">
        <w:trPr>
          <w:trHeight w:val="720"/>
        </w:trPr>
        <w:tc>
          <w:tcPr>
            <w:tcW w:w="5922" w:type="dxa"/>
            <w:gridSpan w:val="2"/>
            <w:tcBorders>
              <w:bottom w:val="single" w:sz="18" w:space="0" w:color="auto"/>
            </w:tcBorders>
          </w:tcPr>
          <w:p w14:paraId="61168023" w14:textId="77777777" w:rsidR="006F5913" w:rsidRDefault="006F5913" w:rsidP="00A22B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73E9A81" w14:textId="77777777" w:rsidR="006F5913" w:rsidRDefault="006F5913" w:rsidP="00A22B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77BA0DE4" w14:textId="77777777" w:rsidR="006F5913" w:rsidRDefault="006F5913" w:rsidP="00A22B8D">
            <w:pPr>
              <w:tabs>
                <w:tab w:val="left" w:pos="3010"/>
              </w:tabs>
              <w:jc w:val="center"/>
              <w:rPr>
                <w:sz w:val="52"/>
                <w:szCs w:val="52"/>
              </w:rPr>
            </w:pPr>
            <w:r>
              <w:rPr>
                <w:rFonts w:ascii="Univers Bold" w:hAnsi="Univers Bold"/>
                <w:b/>
                <w:sz w:val="72"/>
                <w:lang w:val="fr-CA"/>
              </w:rPr>
              <w:t xml:space="preserve">               EP</w:t>
            </w:r>
          </w:p>
        </w:tc>
      </w:tr>
      <w:tr w:rsidR="006F5913" w:rsidRPr="00103AB1" w14:paraId="3CDEDDF6" w14:textId="77777777" w:rsidTr="00A22B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0C5F4BB9" w14:textId="77777777" w:rsidR="006F5913" w:rsidRDefault="006F5913" w:rsidP="00A22B8D">
            <w:pPr>
              <w:spacing w:before="120"/>
            </w:pPr>
            <w:r>
              <w:rPr>
                <w:noProof/>
                <w:lang w:eastAsia="en-CA"/>
              </w:rPr>
              <w:drawing>
                <wp:anchor distT="0" distB="0" distL="114300" distR="114300" simplePos="0" relativeHeight="251659264" behindDoc="0" locked="0" layoutInCell="1" allowOverlap="1" wp14:anchorId="05A7ED93" wp14:editId="1651CABD">
                  <wp:simplePos x="0" y="0"/>
                  <wp:positionH relativeFrom="column">
                    <wp:posOffset>75111</wp:posOffset>
                  </wp:positionH>
                  <wp:positionV relativeFrom="paragraph">
                    <wp:posOffset>841581</wp:posOffset>
                  </wp:positionV>
                  <wp:extent cx="747281" cy="659765"/>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8185" cy="66056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5ADB8030" wp14:editId="31D18EE0">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3"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3EE8BC18" w14:textId="77777777" w:rsidR="006F5913" w:rsidRDefault="006F5913" w:rsidP="00A22B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184ADEE" w14:textId="77777777" w:rsidR="006F5913" w:rsidRDefault="006F5913" w:rsidP="00A22B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A112255" w14:textId="77777777" w:rsidR="006F5913" w:rsidRDefault="006F5913" w:rsidP="00A22B8D">
            <w:pPr>
              <w:rPr>
                <w:rFonts w:ascii="Univers" w:hAnsi="Univers"/>
                <w:b/>
                <w:sz w:val="32"/>
                <w:lang w:val="fr-CA"/>
              </w:rPr>
            </w:pPr>
            <w:r>
              <w:rPr>
                <w:rFonts w:ascii="Univers" w:hAnsi="Univers"/>
                <w:b/>
                <w:sz w:val="32"/>
                <w:lang w:val="fr-CA"/>
              </w:rPr>
              <w:t>Nations Unies pour</w:t>
            </w:r>
          </w:p>
          <w:p w14:paraId="5E5EEA6C" w14:textId="77777777" w:rsidR="006F5913" w:rsidRPr="00542808" w:rsidRDefault="006F5913" w:rsidP="00A22B8D">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7A542AD7" w14:textId="77777777" w:rsidR="006F5913" w:rsidRDefault="006F5913" w:rsidP="00A22B8D"/>
          <w:p w14:paraId="09FC72BE" w14:textId="77777777" w:rsidR="006F5913" w:rsidRPr="00DD3433" w:rsidRDefault="006F5913" w:rsidP="00A22B8D">
            <w:r w:rsidRPr="00DD3433">
              <w:t>Distr.</w:t>
            </w:r>
          </w:p>
          <w:p w14:paraId="34CAA795" w14:textId="77777777" w:rsidR="006F5913" w:rsidRPr="00DD3433" w:rsidRDefault="006F5913" w:rsidP="00A22B8D">
            <w:r w:rsidRPr="00DD3433">
              <w:t>GÉNÉRALE</w:t>
            </w:r>
          </w:p>
          <w:p w14:paraId="5D8BE0AF" w14:textId="77777777" w:rsidR="006F5913" w:rsidRPr="00DD3433" w:rsidRDefault="006F5913" w:rsidP="00A22B8D"/>
          <w:p w14:paraId="5A378672" w14:textId="4EF94DC9" w:rsidR="006F5913" w:rsidRPr="00956C5C" w:rsidRDefault="006F5913" w:rsidP="00A22B8D">
            <w:pPr>
              <w:rPr>
                <w:lang w:val="fr-CA"/>
              </w:rPr>
            </w:pPr>
            <w:r>
              <w:fldChar w:fldCharType="begin"/>
            </w:r>
            <w:r w:rsidRPr="00956C5C">
              <w:rPr>
                <w:lang w:val="fr-CA"/>
              </w:rPr>
              <w:instrText xml:space="preserve"> DOCPROPERTY "Document number"  \* MERGEFORMAT </w:instrText>
            </w:r>
            <w:r>
              <w:fldChar w:fldCharType="separate"/>
            </w:r>
            <w:r>
              <w:rPr>
                <w:lang w:val="fr-CA"/>
              </w:rPr>
              <w:t>UNEP/OzL.Pro/ExCom/96/11</w:t>
            </w:r>
            <w:r>
              <w:fldChar w:fldCharType="end"/>
            </w:r>
          </w:p>
          <w:p w14:paraId="1F2D9A55" w14:textId="6D0074D2" w:rsidR="006F5913" w:rsidRPr="00DB2922" w:rsidRDefault="006F5913" w:rsidP="00A22B8D">
            <w:pPr>
              <w:rPr>
                <w:lang w:val="fr-CA"/>
              </w:rPr>
            </w:pPr>
            <w:r w:rsidRPr="009B0D30">
              <w:fldChar w:fldCharType="begin"/>
            </w:r>
            <w:r w:rsidRPr="009B0D30">
              <w:instrText xml:space="preserve"> DOCPROPERTY "Revision date" \@ "d MMMM YYYY"  \* MERGEFORMAT </w:instrText>
            </w:r>
            <w:r w:rsidRPr="009B0D30">
              <w:fldChar w:fldCharType="separate"/>
            </w:r>
            <w:r>
              <w:t>7 mai 2025</w:t>
            </w:r>
            <w:r w:rsidRPr="009B0D30">
              <w:fldChar w:fldCharType="end"/>
            </w:r>
          </w:p>
          <w:p w14:paraId="33867D54" w14:textId="77777777" w:rsidR="006F5913" w:rsidRDefault="006F5913" w:rsidP="00A22B8D">
            <w:pPr>
              <w:rPr>
                <w:caps/>
              </w:rPr>
            </w:pPr>
            <w:r w:rsidRPr="00DB2922">
              <w:rPr>
                <w:caps/>
                <w:lang w:val="fr-CA"/>
              </w:rPr>
              <w:br/>
            </w:r>
            <w:r>
              <w:rPr>
                <w:caps/>
              </w:rPr>
              <w:t>FRANÇAIS</w:t>
            </w:r>
          </w:p>
          <w:p w14:paraId="4982E02C" w14:textId="77777777" w:rsidR="006F5913" w:rsidRPr="00E5237E" w:rsidRDefault="006F5913" w:rsidP="00A22B8D">
            <w:pPr>
              <w:rPr>
                <w:lang w:val="fr-CA"/>
              </w:rPr>
            </w:pPr>
            <w:r w:rsidRPr="00E5237E">
              <w:rPr>
                <w:lang w:val="fr-CA"/>
              </w:rPr>
              <w:t>ORIGINAL: ANGLAIS</w:t>
            </w:r>
          </w:p>
        </w:tc>
      </w:tr>
    </w:tbl>
    <w:p w14:paraId="4CF6085F" w14:textId="77777777" w:rsidR="006F5913" w:rsidRDefault="006F5913" w:rsidP="006F5913">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w:t>
      </w:r>
      <w:r w:rsidRPr="008E4CC8">
        <w:rPr>
          <w:lang w:val="fr-CA"/>
        </w:rPr>
        <w:t>seizième</w:t>
      </w:r>
      <w:r w:rsidRPr="00103AB1">
        <w:rPr>
          <w:lang w:val="fr-CA"/>
        </w:rPr>
        <w:t xml:space="preserve"> réunion</w:t>
      </w:r>
    </w:p>
    <w:p w14:paraId="15AC14D5" w14:textId="77777777" w:rsidR="006F5913" w:rsidRPr="00FE1FA0" w:rsidRDefault="006F5913" w:rsidP="006F5913">
      <w:pPr>
        <w:jc w:val="left"/>
        <w:rPr>
          <w:lang w:val="fr-CA"/>
        </w:rPr>
      </w:pPr>
      <w:r w:rsidRPr="008A4946">
        <w:rPr>
          <w:lang w:val="fr-CA"/>
        </w:rPr>
        <w:t xml:space="preserve">Montréal, </w:t>
      </w:r>
      <w:r>
        <w:rPr>
          <w:lang w:val="fr-CA"/>
        </w:rPr>
        <w:t>26-30 mai 2025</w:t>
      </w:r>
    </w:p>
    <w:p w14:paraId="5A0B6E41" w14:textId="774BF7F1" w:rsidR="0079781A" w:rsidRDefault="0079781A" w:rsidP="0079781A">
      <w:pPr>
        <w:jc w:val="left"/>
      </w:pPr>
      <w:r>
        <w:t>Point 7 a) de l’ordre du jour provisoire </w:t>
      </w:r>
      <w:r w:rsidRPr="00512BEF">
        <w:rPr>
          <w:rStyle w:val="FootnoteReference"/>
        </w:rPr>
        <w:footnoteReference w:id="2"/>
      </w:r>
    </w:p>
    <w:p w14:paraId="242EA379" w14:textId="40775D2E" w:rsidR="00C15867" w:rsidRPr="009B0D30" w:rsidRDefault="00C15867" w:rsidP="00CA59FB">
      <w:pPr>
        <w:jc w:val="left"/>
      </w:pPr>
    </w:p>
    <w:p w14:paraId="6EEC9F04" w14:textId="77777777" w:rsidR="009145E4" w:rsidRDefault="009145E4" w:rsidP="00310590">
      <w:pPr>
        <w:pStyle w:val="Heading1"/>
        <w:numPr>
          <w:ilvl w:val="0"/>
          <w:numId w:val="0"/>
        </w:numPr>
        <w:spacing w:after="0"/>
      </w:pPr>
    </w:p>
    <w:p w14:paraId="001CCAE2" w14:textId="77777777" w:rsidR="00066CE8" w:rsidRPr="009B0D30" w:rsidRDefault="00066CE8" w:rsidP="00857077">
      <w:pPr>
        <w:jc w:val="left"/>
      </w:pPr>
    </w:p>
    <w:p w14:paraId="4CF64366" w14:textId="6F8F2705" w:rsidR="00355F14" w:rsidRPr="00355F14" w:rsidRDefault="00322180" w:rsidP="00355F14">
      <w:pPr>
        <w:jc w:val="center"/>
        <w:textAlignment w:val="baseline"/>
        <w:rPr>
          <w:rFonts w:ascii="Segoe UI" w:hAnsi="Segoe UI" w:cs="Segoe UI"/>
          <w:sz w:val="18"/>
          <w:szCs w:val="18"/>
        </w:rPr>
      </w:pPr>
      <w:r>
        <w:rPr>
          <w:b/>
        </w:rPr>
        <w:t>RAPPORTS DE SITUATION ET RAPPORTS SUR LES PROJETS COMPORTANT DES EXIGENCES PARTICULIÈRES DE REMISE DE RAPPORTS</w:t>
      </w:r>
    </w:p>
    <w:p w14:paraId="1E8475A0" w14:textId="2D248D7A" w:rsidR="00355F14" w:rsidRDefault="00355F14" w:rsidP="00021333">
      <w:pPr>
        <w:spacing w:after="240"/>
        <w:textAlignment w:val="baseline"/>
      </w:pPr>
      <w:r>
        <w:t> </w:t>
      </w:r>
    </w:p>
    <w:p w14:paraId="3CFE7394" w14:textId="5DA944A1" w:rsidR="00526866" w:rsidRDefault="00526866" w:rsidP="00526866">
      <w:pPr>
        <w:pStyle w:val="Heading1"/>
        <w:tabs>
          <w:tab w:val="left" w:pos="720"/>
        </w:tabs>
      </w:pPr>
      <w:r>
        <w:t>Le présent document se compose de deux sections, soit i) projets présentant des retards de mise en œuvre et pour lesquels des rapports de situation spéciaux ont été demandés, et ii) projets comportant des exigences particulières de remise de rapports sans question en suspens. Les rapports sur ces projets, après l’examen du secrétariat, ne comportent pas de question en suspens et ne nécessitent pas, par conséquent, que le Comité exécutif les examine individuellement.</w:t>
      </w:r>
    </w:p>
    <w:p w14:paraId="08A4C52B" w14:textId="77777777" w:rsidR="00526866" w:rsidRPr="003D1E13" w:rsidRDefault="00526866" w:rsidP="00526866">
      <w:pPr>
        <w:pStyle w:val="sub-title"/>
        <w:keepNext/>
        <w:keepLines/>
        <w:spacing w:after="240"/>
        <w:ind w:left="720" w:hanging="720"/>
        <w:rPr>
          <w:bCs/>
          <w:noProof w:val="0"/>
          <w:sz w:val="24"/>
          <w:szCs w:val="24"/>
        </w:rPr>
      </w:pPr>
      <w:r>
        <w:rPr>
          <w:sz w:val="24"/>
        </w:rPr>
        <w:t>I.</w:t>
      </w:r>
      <w:r>
        <w:rPr>
          <w:sz w:val="24"/>
        </w:rPr>
        <w:tab/>
        <w:t>Projets présentant des retards de mise en œuvre et pour lesquels des rapports de situation spéciaux ont été demandés</w:t>
      </w:r>
    </w:p>
    <w:p w14:paraId="016C00CE" w14:textId="77777777" w:rsidR="0082615C" w:rsidRPr="00516B5A" w:rsidRDefault="0082615C" w:rsidP="0082615C">
      <w:pPr>
        <w:pStyle w:val="Heading1"/>
      </w:pPr>
      <w:r>
        <w:t>À la 95</w:t>
      </w:r>
      <w:r>
        <w:rPr>
          <w:vertAlign w:val="superscript"/>
        </w:rPr>
        <w:t>e</w:t>
      </w:r>
      <w:r>
        <w:t> réunion, le Comité exécutif a pris note du fait que les agences bilatérales et d’exécution devraient faire rapport, à la 96</w:t>
      </w:r>
      <w:r>
        <w:rPr>
          <w:vertAlign w:val="superscript"/>
        </w:rPr>
        <w:t>e</w:t>
      </w:r>
      <w:r>
        <w:t> réunion, sur 114 projets présentant des retards de mise en œuvre et sur 11 projets en cours ou tranches d’accords pluriannuels recommandés pour des rapports de situation supplémentaires (décision 95/12 a) iii)). En conséquence, les agences bilatérales et d’exécution concernées ont présenté les rapports demandés à la 96</w:t>
      </w:r>
      <w:r>
        <w:rPr>
          <w:vertAlign w:val="superscript"/>
        </w:rPr>
        <w:t>e</w:t>
      </w:r>
      <w:r>
        <w:t> réunion. Lors de l’examen des rapports, le secrétariat s’est entretenu avec les agences bilatérales et d’exécution et a constaté que plusieurs questions avaient été traitées de manière satisfaisante. Le tableau 1 donne un résumé des projets présentant des retards de mise en œuvre et des projets pour lesquels des rapports de situation supplémentaires sont recommandés, y compris leur niveau d’avancement, les recommandations du secrétariat et les références aux annexes du présent document.</w:t>
      </w:r>
    </w:p>
    <w:p w14:paraId="7292CE8F" w14:textId="77777777" w:rsidR="00D35ED6" w:rsidRDefault="00D35ED6" w:rsidP="00B83026">
      <w:pPr>
        <w:pStyle w:val="a--"/>
        <w:keepNext/>
        <w:suppressAutoHyphens w:val="0"/>
        <w:jc w:val="left"/>
        <w:rPr>
          <w:sz w:val="22"/>
        </w:rPr>
      </w:pPr>
    </w:p>
    <w:p w14:paraId="736E138B" w14:textId="77777777" w:rsidR="00D35ED6" w:rsidRDefault="00D35ED6" w:rsidP="00B83026">
      <w:pPr>
        <w:pStyle w:val="a--"/>
        <w:keepNext/>
        <w:suppressAutoHyphens w:val="0"/>
        <w:jc w:val="left"/>
        <w:rPr>
          <w:sz w:val="22"/>
        </w:rPr>
      </w:pPr>
    </w:p>
    <w:p w14:paraId="276796A9" w14:textId="3B20C68E" w:rsidR="0082615C" w:rsidRPr="00516B5A" w:rsidRDefault="0082615C" w:rsidP="00B83026">
      <w:pPr>
        <w:pStyle w:val="a--"/>
        <w:keepNext/>
        <w:suppressAutoHyphens w:val="0"/>
        <w:jc w:val="left"/>
        <w:rPr>
          <w:sz w:val="22"/>
          <w:szCs w:val="22"/>
        </w:rPr>
      </w:pPr>
      <w:r>
        <w:rPr>
          <w:sz w:val="22"/>
        </w:rPr>
        <w:t xml:space="preserve">Tableau 1. Résumé des projets présentant des retards de mise en œuvre et des rapports de situation supplémentaires </w:t>
      </w:r>
    </w:p>
    <w:tbl>
      <w:tblPr>
        <w:tblStyle w:val="TableGrid"/>
        <w:tblW w:w="5000" w:type="pct"/>
        <w:tblLook w:val="04A0" w:firstRow="1" w:lastRow="0" w:firstColumn="1" w:lastColumn="0" w:noHBand="0" w:noVBand="1"/>
      </w:tblPr>
      <w:tblGrid>
        <w:gridCol w:w="2837"/>
        <w:gridCol w:w="1262"/>
        <w:gridCol w:w="1045"/>
        <w:gridCol w:w="3118"/>
        <w:gridCol w:w="1088"/>
      </w:tblGrid>
      <w:tr w:rsidR="0082615C" w:rsidRPr="00516B5A" w14:paraId="69B8FA0A" w14:textId="77777777" w:rsidTr="0016123A">
        <w:trPr>
          <w:trHeight w:val="224"/>
          <w:tblHeader/>
        </w:trPr>
        <w:tc>
          <w:tcPr>
            <w:tcW w:w="1518" w:type="pct"/>
            <w:shd w:val="clear" w:color="auto" w:fill="auto"/>
          </w:tcPr>
          <w:p w14:paraId="4C0B913C" w14:textId="77777777" w:rsidR="0082615C" w:rsidRPr="00516B5A" w:rsidRDefault="0082615C" w:rsidP="003807F3">
            <w:pPr>
              <w:pStyle w:val="Heading1"/>
              <w:numPr>
                <w:ilvl w:val="0"/>
                <w:numId w:val="0"/>
              </w:numPr>
              <w:spacing w:after="0"/>
              <w:jc w:val="center"/>
              <w:rPr>
                <w:rFonts w:asciiTheme="majorBidi" w:hAnsiTheme="majorBidi" w:cstheme="majorBidi"/>
                <w:b/>
                <w:bCs/>
                <w:sz w:val="20"/>
                <w:szCs w:val="20"/>
              </w:rPr>
            </w:pPr>
            <w:r>
              <w:rPr>
                <w:rFonts w:asciiTheme="majorBidi" w:hAnsiTheme="majorBidi"/>
                <w:b/>
                <w:sz w:val="20"/>
              </w:rPr>
              <w:t>Niveau d’avancement</w:t>
            </w:r>
          </w:p>
        </w:tc>
        <w:tc>
          <w:tcPr>
            <w:tcW w:w="676" w:type="pct"/>
            <w:shd w:val="clear" w:color="auto" w:fill="auto"/>
          </w:tcPr>
          <w:p w14:paraId="72CF86D8" w14:textId="77777777" w:rsidR="0082615C" w:rsidRPr="00516B5A" w:rsidRDefault="0082615C" w:rsidP="003807F3">
            <w:pPr>
              <w:pStyle w:val="Heading1"/>
              <w:numPr>
                <w:ilvl w:val="0"/>
                <w:numId w:val="0"/>
              </w:numPr>
              <w:spacing w:after="0"/>
              <w:jc w:val="center"/>
              <w:rPr>
                <w:rFonts w:asciiTheme="majorBidi" w:hAnsiTheme="majorBidi" w:cstheme="majorBidi"/>
                <w:b/>
                <w:bCs/>
                <w:sz w:val="20"/>
                <w:szCs w:val="20"/>
              </w:rPr>
            </w:pPr>
            <w:r>
              <w:rPr>
                <w:rFonts w:asciiTheme="majorBidi" w:hAnsiTheme="majorBidi"/>
                <w:b/>
                <w:sz w:val="20"/>
              </w:rPr>
              <w:t>Nombre de projets</w:t>
            </w:r>
          </w:p>
        </w:tc>
        <w:tc>
          <w:tcPr>
            <w:tcW w:w="560" w:type="pct"/>
            <w:shd w:val="clear" w:color="auto" w:fill="auto"/>
          </w:tcPr>
          <w:p w14:paraId="1E74FF1D" w14:textId="77777777" w:rsidR="0082615C" w:rsidRPr="00516B5A" w:rsidRDefault="0082615C" w:rsidP="003807F3">
            <w:pPr>
              <w:pStyle w:val="Heading1"/>
              <w:numPr>
                <w:ilvl w:val="0"/>
                <w:numId w:val="0"/>
              </w:numPr>
              <w:spacing w:after="0"/>
              <w:jc w:val="center"/>
              <w:rPr>
                <w:rFonts w:asciiTheme="majorBidi" w:hAnsiTheme="majorBidi" w:cstheme="majorBidi"/>
                <w:b/>
                <w:bCs/>
                <w:sz w:val="20"/>
                <w:szCs w:val="20"/>
              </w:rPr>
            </w:pPr>
            <w:r>
              <w:rPr>
                <w:rFonts w:asciiTheme="majorBidi" w:hAnsiTheme="majorBidi"/>
                <w:b/>
                <w:sz w:val="20"/>
              </w:rPr>
              <w:t>Décision</w:t>
            </w:r>
          </w:p>
        </w:tc>
        <w:tc>
          <w:tcPr>
            <w:tcW w:w="1668" w:type="pct"/>
            <w:shd w:val="clear" w:color="auto" w:fill="auto"/>
          </w:tcPr>
          <w:p w14:paraId="096BABB8" w14:textId="77777777" w:rsidR="0082615C" w:rsidRPr="00516B5A" w:rsidRDefault="0082615C" w:rsidP="003807F3">
            <w:pPr>
              <w:pStyle w:val="Heading1"/>
              <w:numPr>
                <w:ilvl w:val="0"/>
                <w:numId w:val="0"/>
              </w:numPr>
              <w:spacing w:after="0"/>
              <w:jc w:val="center"/>
              <w:rPr>
                <w:rFonts w:asciiTheme="majorBidi" w:hAnsiTheme="majorBidi" w:cstheme="majorBidi"/>
                <w:b/>
                <w:bCs/>
                <w:sz w:val="20"/>
                <w:szCs w:val="20"/>
              </w:rPr>
            </w:pPr>
            <w:r>
              <w:rPr>
                <w:rFonts w:asciiTheme="majorBidi" w:hAnsiTheme="majorBidi"/>
                <w:b/>
                <w:sz w:val="20"/>
              </w:rPr>
              <w:t>Recommandation</w:t>
            </w:r>
          </w:p>
        </w:tc>
        <w:tc>
          <w:tcPr>
            <w:tcW w:w="578" w:type="pct"/>
            <w:shd w:val="clear" w:color="auto" w:fill="auto"/>
          </w:tcPr>
          <w:p w14:paraId="02A75D75" w14:textId="77777777" w:rsidR="0082615C" w:rsidRPr="00516B5A" w:rsidRDefault="0082615C" w:rsidP="003807F3">
            <w:pPr>
              <w:pStyle w:val="Heading1"/>
              <w:numPr>
                <w:ilvl w:val="0"/>
                <w:numId w:val="0"/>
              </w:numPr>
              <w:spacing w:after="0"/>
              <w:jc w:val="center"/>
              <w:rPr>
                <w:rFonts w:asciiTheme="majorBidi" w:hAnsiTheme="majorBidi" w:cstheme="majorBidi"/>
                <w:b/>
                <w:bCs/>
                <w:sz w:val="20"/>
                <w:szCs w:val="20"/>
              </w:rPr>
            </w:pPr>
            <w:r>
              <w:rPr>
                <w:rFonts w:asciiTheme="majorBidi" w:hAnsiTheme="majorBidi"/>
                <w:b/>
                <w:sz w:val="20"/>
              </w:rPr>
              <w:t>Annexe</w:t>
            </w:r>
          </w:p>
        </w:tc>
      </w:tr>
      <w:tr w:rsidR="0082615C" w:rsidRPr="00516B5A" w14:paraId="2AE377EA" w14:textId="77777777" w:rsidTr="007A4382">
        <w:trPr>
          <w:trHeight w:val="54"/>
        </w:trPr>
        <w:tc>
          <w:tcPr>
            <w:tcW w:w="5000" w:type="pct"/>
            <w:gridSpan w:val="5"/>
            <w:shd w:val="clear" w:color="auto" w:fill="auto"/>
          </w:tcPr>
          <w:p w14:paraId="785D35BC" w14:textId="77777777" w:rsidR="0082615C" w:rsidRPr="00516B5A" w:rsidRDefault="0082615C" w:rsidP="003807F3">
            <w:pPr>
              <w:pStyle w:val="Heading1"/>
              <w:numPr>
                <w:ilvl w:val="0"/>
                <w:numId w:val="0"/>
              </w:numPr>
              <w:spacing w:after="0"/>
              <w:rPr>
                <w:rFonts w:asciiTheme="majorBidi" w:hAnsiTheme="majorBidi" w:cstheme="majorBidi"/>
                <w:b/>
                <w:bCs/>
                <w:sz w:val="20"/>
                <w:szCs w:val="20"/>
              </w:rPr>
            </w:pPr>
            <w:r>
              <w:rPr>
                <w:rFonts w:asciiTheme="majorBidi" w:hAnsiTheme="majorBidi"/>
                <w:b/>
                <w:sz w:val="20"/>
              </w:rPr>
              <w:t>Retards de mise en œuvre</w:t>
            </w:r>
          </w:p>
        </w:tc>
      </w:tr>
      <w:tr w:rsidR="0082615C" w:rsidRPr="00516B5A" w14:paraId="159D0C78" w14:textId="77777777" w:rsidTr="007A4382">
        <w:tc>
          <w:tcPr>
            <w:tcW w:w="1518" w:type="pct"/>
            <w:shd w:val="clear" w:color="auto" w:fill="auto"/>
          </w:tcPr>
          <w:p w14:paraId="737C2758" w14:textId="77777777" w:rsidR="0082615C" w:rsidRPr="00516B5A" w:rsidRDefault="0082615C" w:rsidP="003807F3">
            <w:pPr>
              <w:pStyle w:val="Heading1"/>
              <w:numPr>
                <w:ilvl w:val="0"/>
                <w:numId w:val="0"/>
              </w:numPr>
              <w:spacing w:after="0"/>
              <w:rPr>
                <w:rFonts w:asciiTheme="majorBidi" w:hAnsiTheme="majorBidi" w:cstheme="majorBidi"/>
                <w:sz w:val="20"/>
                <w:szCs w:val="20"/>
              </w:rPr>
            </w:pPr>
            <w:r>
              <w:rPr>
                <w:rFonts w:asciiTheme="majorBidi" w:hAnsiTheme="majorBidi"/>
                <w:sz w:val="20"/>
              </w:rPr>
              <w:t xml:space="preserve">Avancées </w:t>
            </w:r>
          </w:p>
          <w:p w14:paraId="7CFE44EA" w14:textId="77777777" w:rsidR="0082615C" w:rsidRPr="00516B5A" w:rsidRDefault="0082615C" w:rsidP="003807F3">
            <w:pPr>
              <w:pStyle w:val="Heading1"/>
              <w:numPr>
                <w:ilvl w:val="0"/>
                <w:numId w:val="0"/>
              </w:numPr>
              <w:spacing w:after="0"/>
              <w:ind w:right="-107"/>
              <w:jc w:val="left"/>
              <w:rPr>
                <w:rFonts w:asciiTheme="majorBidi" w:hAnsiTheme="majorBidi" w:cstheme="majorBidi"/>
                <w:sz w:val="20"/>
                <w:szCs w:val="20"/>
              </w:rPr>
            </w:pPr>
            <w:r>
              <w:rPr>
                <w:rFonts w:asciiTheme="majorBidi" w:hAnsiTheme="majorBidi"/>
                <w:sz w:val="20"/>
              </w:rPr>
              <w:t>(Projets individuels et accords pluriannuels)</w:t>
            </w:r>
          </w:p>
        </w:tc>
        <w:tc>
          <w:tcPr>
            <w:tcW w:w="676" w:type="pct"/>
            <w:shd w:val="clear" w:color="auto" w:fill="auto"/>
          </w:tcPr>
          <w:p w14:paraId="41A6BF37"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Pr>
                <w:rFonts w:asciiTheme="majorBidi" w:hAnsiTheme="majorBidi"/>
                <w:sz w:val="20"/>
              </w:rPr>
              <w:t>106</w:t>
            </w:r>
          </w:p>
        </w:tc>
        <w:tc>
          <w:tcPr>
            <w:tcW w:w="560" w:type="pct"/>
            <w:shd w:val="clear" w:color="auto" w:fill="auto"/>
          </w:tcPr>
          <w:p w14:paraId="350284B6"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Pr>
                <w:rFonts w:asciiTheme="majorBidi" w:hAnsiTheme="majorBidi"/>
                <w:sz w:val="20"/>
              </w:rPr>
              <w:t>32/4</w:t>
            </w:r>
          </w:p>
        </w:tc>
        <w:tc>
          <w:tcPr>
            <w:tcW w:w="1668" w:type="pct"/>
            <w:shd w:val="clear" w:color="auto" w:fill="auto"/>
          </w:tcPr>
          <w:p w14:paraId="3CAA0AE4" w14:textId="77777777" w:rsidR="0082615C" w:rsidRPr="00516B5A" w:rsidRDefault="0082615C" w:rsidP="003807F3">
            <w:pPr>
              <w:pStyle w:val="Heading1"/>
              <w:numPr>
                <w:ilvl w:val="0"/>
                <w:numId w:val="0"/>
              </w:numPr>
              <w:spacing w:after="0"/>
              <w:rPr>
                <w:rFonts w:asciiTheme="majorBidi" w:hAnsiTheme="majorBidi" w:cstheme="majorBidi"/>
                <w:sz w:val="20"/>
                <w:szCs w:val="20"/>
              </w:rPr>
            </w:pPr>
            <w:r>
              <w:rPr>
                <w:rFonts w:asciiTheme="majorBidi" w:hAnsiTheme="majorBidi"/>
                <w:sz w:val="20"/>
              </w:rPr>
              <w:t>À supprimer des futurs rapports</w:t>
            </w:r>
          </w:p>
        </w:tc>
        <w:tc>
          <w:tcPr>
            <w:tcW w:w="578" w:type="pct"/>
            <w:shd w:val="clear" w:color="auto" w:fill="auto"/>
          </w:tcPr>
          <w:p w14:paraId="62709F53"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Pr>
                <w:rFonts w:asciiTheme="majorBidi" w:hAnsiTheme="majorBidi"/>
                <w:sz w:val="20"/>
              </w:rPr>
              <w:t>s.o.</w:t>
            </w:r>
          </w:p>
        </w:tc>
      </w:tr>
      <w:tr w:rsidR="0082615C" w:rsidRPr="00516B5A" w14:paraId="3666E5C8" w14:textId="77777777" w:rsidTr="003807F3">
        <w:tc>
          <w:tcPr>
            <w:tcW w:w="1518" w:type="pct"/>
            <w:shd w:val="clear" w:color="auto" w:fill="auto"/>
          </w:tcPr>
          <w:p w14:paraId="44F41EDA" w14:textId="77777777" w:rsidR="0082615C" w:rsidRPr="00516B5A" w:rsidRDefault="0082615C" w:rsidP="003807F3">
            <w:pPr>
              <w:pStyle w:val="Heading1"/>
              <w:numPr>
                <w:ilvl w:val="0"/>
                <w:numId w:val="0"/>
              </w:numPr>
              <w:spacing w:after="0"/>
              <w:jc w:val="left"/>
              <w:rPr>
                <w:rFonts w:asciiTheme="majorBidi" w:hAnsiTheme="majorBidi" w:cstheme="majorBidi"/>
                <w:sz w:val="20"/>
                <w:szCs w:val="20"/>
              </w:rPr>
            </w:pPr>
            <w:r>
              <w:rPr>
                <w:rFonts w:asciiTheme="majorBidi" w:hAnsiTheme="majorBidi"/>
                <w:sz w:val="20"/>
              </w:rPr>
              <w:t xml:space="preserve">Quelques avancées </w:t>
            </w:r>
          </w:p>
          <w:p w14:paraId="64506111" w14:textId="77777777" w:rsidR="0082615C" w:rsidRPr="00516B5A" w:rsidRDefault="0082615C" w:rsidP="003807F3">
            <w:pPr>
              <w:pStyle w:val="Heading1"/>
              <w:numPr>
                <w:ilvl w:val="0"/>
                <w:numId w:val="0"/>
              </w:numPr>
              <w:spacing w:after="0"/>
              <w:ind w:right="-107"/>
              <w:jc w:val="left"/>
              <w:rPr>
                <w:rFonts w:asciiTheme="majorBidi" w:hAnsiTheme="majorBidi" w:cstheme="majorBidi"/>
                <w:sz w:val="20"/>
                <w:szCs w:val="20"/>
              </w:rPr>
            </w:pPr>
            <w:r>
              <w:rPr>
                <w:rFonts w:asciiTheme="majorBidi" w:hAnsiTheme="majorBidi"/>
                <w:sz w:val="20"/>
              </w:rPr>
              <w:t>(Projets individuels et accords pluriannuels)</w:t>
            </w:r>
          </w:p>
        </w:tc>
        <w:tc>
          <w:tcPr>
            <w:tcW w:w="676" w:type="pct"/>
            <w:shd w:val="clear" w:color="auto" w:fill="auto"/>
          </w:tcPr>
          <w:p w14:paraId="7AA8BB23"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Pr>
                <w:rFonts w:asciiTheme="majorBidi" w:hAnsiTheme="majorBidi"/>
                <w:sz w:val="20"/>
              </w:rPr>
              <w:t>4</w:t>
            </w:r>
          </w:p>
        </w:tc>
        <w:tc>
          <w:tcPr>
            <w:tcW w:w="560" w:type="pct"/>
            <w:shd w:val="clear" w:color="auto" w:fill="auto"/>
          </w:tcPr>
          <w:p w14:paraId="3620387C"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Pr>
                <w:rFonts w:asciiTheme="majorBidi" w:hAnsiTheme="majorBidi"/>
                <w:sz w:val="20"/>
              </w:rPr>
              <w:t>32/4</w:t>
            </w:r>
          </w:p>
        </w:tc>
        <w:tc>
          <w:tcPr>
            <w:tcW w:w="1668" w:type="pct"/>
            <w:shd w:val="clear" w:color="auto" w:fill="auto"/>
          </w:tcPr>
          <w:p w14:paraId="0D23AFD0" w14:textId="77777777" w:rsidR="0082615C" w:rsidRPr="00516B5A" w:rsidRDefault="0082615C" w:rsidP="003807F3">
            <w:pPr>
              <w:pStyle w:val="Heading1"/>
              <w:numPr>
                <w:ilvl w:val="0"/>
                <w:numId w:val="0"/>
              </w:numPr>
              <w:spacing w:after="0"/>
              <w:rPr>
                <w:rFonts w:asciiTheme="majorBidi" w:hAnsiTheme="majorBidi" w:cstheme="majorBidi"/>
                <w:sz w:val="20"/>
                <w:szCs w:val="20"/>
              </w:rPr>
            </w:pPr>
            <w:r>
              <w:rPr>
                <w:rFonts w:asciiTheme="majorBidi" w:hAnsiTheme="majorBidi"/>
                <w:sz w:val="20"/>
              </w:rPr>
              <w:t>Poursuivre la surveillance jusqu’à leur achèvement final</w:t>
            </w:r>
          </w:p>
        </w:tc>
        <w:tc>
          <w:tcPr>
            <w:tcW w:w="578" w:type="pct"/>
            <w:shd w:val="clear" w:color="auto" w:fill="auto"/>
          </w:tcPr>
          <w:p w14:paraId="2D1C6BF8"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Pr>
                <w:rFonts w:asciiTheme="majorBidi" w:hAnsiTheme="majorBidi"/>
                <w:sz w:val="20"/>
              </w:rPr>
              <w:t>Annexe I</w:t>
            </w:r>
          </w:p>
        </w:tc>
      </w:tr>
      <w:tr w:rsidR="0082615C" w:rsidRPr="00516B5A" w14:paraId="3380E775" w14:textId="77777777" w:rsidTr="003807F3">
        <w:tc>
          <w:tcPr>
            <w:tcW w:w="1518" w:type="pct"/>
            <w:shd w:val="clear" w:color="auto" w:fill="auto"/>
          </w:tcPr>
          <w:p w14:paraId="2489F795" w14:textId="77777777" w:rsidR="0082615C" w:rsidRPr="00516B5A" w:rsidRDefault="0082615C" w:rsidP="003807F3">
            <w:pPr>
              <w:pStyle w:val="Heading1"/>
              <w:numPr>
                <w:ilvl w:val="0"/>
                <w:numId w:val="0"/>
              </w:numPr>
              <w:spacing w:after="0"/>
              <w:rPr>
                <w:rFonts w:asciiTheme="majorBidi" w:hAnsiTheme="majorBidi" w:cstheme="majorBidi"/>
                <w:sz w:val="20"/>
                <w:szCs w:val="20"/>
              </w:rPr>
            </w:pPr>
            <w:r>
              <w:rPr>
                <w:rFonts w:asciiTheme="majorBidi" w:hAnsiTheme="majorBidi"/>
                <w:sz w:val="20"/>
              </w:rPr>
              <w:t>Pas d’avancée pour la première fois (accords pluriannuels)</w:t>
            </w:r>
          </w:p>
        </w:tc>
        <w:tc>
          <w:tcPr>
            <w:tcW w:w="676" w:type="pct"/>
            <w:shd w:val="clear" w:color="auto" w:fill="auto"/>
          </w:tcPr>
          <w:p w14:paraId="5BEBE55F"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Pr>
                <w:rFonts w:asciiTheme="majorBidi" w:hAnsiTheme="majorBidi"/>
                <w:sz w:val="20"/>
              </w:rPr>
              <w:t>4</w:t>
            </w:r>
          </w:p>
        </w:tc>
        <w:tc>
          <w:tcPr>
            <w:tcW w:w="560" w:type="pct"/>
            <w:shd w:val="clear" w:color="auto" w:fill="auto"/>
          </w:tcPr>
          <w:p w14:paraId="03CB49FA"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Pr>
                <w:rFonts w:asciiTheme="majorBidi" w:hAnsiTheme="majorBidi"/>
                <w:sz w:val="20"/>
              </w:rPr>
              <w:t>84/45</w:t>
            </w:r>
          </w:p>
        </w:tc>
        <w:tc>
          <w:tcPr>
            <w:tcW w:w="1668" w:type="pct"/>
            <w:shd w:val="clear" w:color="auto" w:fill="auto"/>
          </w:tcPr>
          <w:p w14:paraId="28E1B4D8" w14:textId="77777777" w:rsidR="0082615C" w:rsidRPr="00516B5A" w:rsidRDefault="0082615C" w:rsidP="003807F3">
            <w:pPr>
              <w:pStyle w:val="Heading1"/>
              <w:numPr>
                <w:ilvl w:val="0"/>
                <w:numId w:val="0"/>
              </w:numPr>
              <w:spacing w:after="0"/>
              <w:rPr>
                <w:rFonts w:asciiTheme="majorBidi" w:hAnsiTheme="majorBidi" w:cstheme="majorBidi"/>
                <w:sz w:val="20"/>
                <w:szCs w:val="20"/>
              </w:rPr>
            </w:pPr>
            <w:r>
              <w:rPr>
                <w:rFonts w:asciiTheme="majorBidi" w:hAnsiTheme="majorBidi"/>
                <w:sz w:val="20"/>
              </w:rPr>
              <w:t xml:space="preserve">Poursuivre la surveillance jusqu’à leur achèvement final </w:t>
            </w:r>
          </w:p>
        </w:tc>
        <w:tc>
          <w:tcPr>
            <w:tcW w:w="578" w:type="pct"/>
            <w:shd w:val="clear" w:color="auto" w:fill="auto"/>
          </w:tcPr>
          <w:p w14:paraId="75E37EB5"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Pr>
                <w:rFonts w:asciiTheme="majorBidi" w:hAnsiTheme="majorBidi"/>
                <w:sz w:val="20"/>
              </w:rPr>
              <w:t>Annexe II</w:t>
            </w:r>
          </w:p>
        </w:tc>
      </w:tr>
      <w:tr w:rsidR="0082615C" w:rsidRPr="00516B5A" w14:paraId="0F277393" w14:textId="77777777" w:rsidTr="003807F3">
        <w:tc>
          <w:tcPr>
            <w:tcW w:w="1518" w:type="pct"/>
            <w:shd w:val="clear" w:color="auto" w:fill="auto"/>
          </w:tcPr>
          <w:p w14:paraId="733C3729" w14:textId="77777777" w:rsidR="0082615C" w:rsidRPr="00516B5A" w:rsidRDefault="0082615C" w:rsidP="003807F3">
            <w:pPr>
              <w:pStyle w:val="Heading1"/>
              <w:numPr>
                <w:ilvl w:val="0"/>
                <w:numId w:val="0"/>
              </w:numPr>
              <w:spacing w:after="0"/>
              <w:rPr>
                <w:rFonts w:asciiTheme="majorBidi" w:hAnsiTheme="majorBidi" w:cstheme="majorBidi"/>
                <w:b/>
                <w:bCs/>
                <w:sz w:val="20"/>
                <w:szCs w:val="20"/>
              </w:rPr>
            </w:pPr>
            <w:r>
              <w:rPr>
                <w:rFonts w:asciiTheme="majorBidi" w:hAnsiTheme="majorBidi"/>
                <w:b/>
                <w:sz w:val="20"/>
              </w:rPr>
              <w:t>Total</w:t>
            </w:r>
          </w:p>
        </w:tc>
        <w:tc>
          <w:tcPr>
            <w:tcW w:w="676" w:type="pct"/>
            <w:shd w:val="clear" w:color="auto" w:fill="auto"/>
          </w:tcPr>
          <w:p w14:paraId="681D20EB" w14:textId="77777777" w:rsidR="0082615C" w:rsidRPr="00516B5A" w:rsidRDefault="0082615C" w:rsidP="003807F3">
            <w:pPr>
              <w:pStyle w:val="Heading1"/>
              <w:numPr>
                <w:ilvl w:val="0"/>
                <w:numId w:val="0"/>
              </w:numPr>
              <w:spacing w:after="0"/>
              <w:jc w:val="center"/>
              <w:rPr>
                <w:rFonts w:asciiTheme="majorBidi" w:hAnsiTheme="majorBidi" w:cstheme="majorBidi"/>
                <w:b/>
                <w:bCs/>
                <w:sz w:val="20"/>
                <w:szCs w:val="20"/>
              </w:rPr>
            </w:pPr>
            <w:r>
              <w:rPr>
                <w:rFonts w:asciiTheme="majorBidi" w:hAnsiTheme="majorBidi"/>
                <w:b/>
                <w:sz w:val="20"/>
              </w:rPr>
              <w:t>114</w:t>
            </w:r>
          </w:p>
        </w:tc>
        <w:tc>
          <w:tcPr>
            <w:tcW w:w="560" w:type="pct"/>
            <w:shd w:val="clear" w:color="auto" w:fill="auto"/>
          </w:tcPr>
          <w:p w14:paraId="4084CF7B" w14:textId="77777777" w:rsidR="0082615C" w:rsidRPr="00516B5A" w:rsidRDefault="0082615C" w:rsidP="003807F3">
            <w:pPr>
              <w:pStyle w:val="Heading1"/>
              <w:numPr>
                <w:ilvl w:val="0"/>
                <w:numId w:val="0"/>
              </w:numPr>
              <w:spacing w:after="0"/>
              <w:rPr>
                <w:rFonts w:asciiTheme="majorBidi" w:hAnsiTheme="majorBidi" w:cstheme="majorBidi"/>
                <w:sz w:val="20"/>
                <w:szCs w:val="20"/>
              </w:rPr>
            </w:pPr>
          </w:p>
        </w:tc>
        <w:tc>
          <w:tcPr>
            <w:tcW w:w="1668" w:type="pct"/>
            <w:shd w:val="clear" w:color="auto" w:fill="auto"/>
          </w:tcPr>
          <w:p w14:paraId="4218820B" w14:textId="77777777" w:rsidR="0082615C" w:rsidRPr="00516B5A" w:rsidRDefault="0082615C" w:rsidP="003807F3">
            <w:pPr>
              <w:pStyle w:val="Heading1"/>
              <w:numPr>
                <w:ilvl w:val="0"/>
                <w:numId w:val="0"/>
              </w:numPr>
              <w:spacing w:after="0"/>
              <w:rPr>
                <w:rFonts w:asciiTheme="majorBidi" w:hAnsiTheme="majorBidi" w:cstheme="majorBidi"/>
                <w:sz w:val="20"/>
                <w:szCs w:val="20"/>
              </w:rPr>
            </w:pPr>
          </w:p>
        </w:tc>
        <w:tc>
          <w:tcPr>
            <w:tcW w:w="578" w:type="pct"/>
            <w:shd w:val="clear" w:color="auto" w:fill="auto"/>
          </w:tcPr>
          <w:p w14:paraId="4141AA1A" w14:textId="77777777" w:rsidR="0082615C" w:rsidRPr="00516B5A" w:rsidRDefault="0082615C" w:rsidP="003807F3">
            <w:pPr>
              <w:pStyle w:val="Heading1"/>
              <w:numPr>
                <w:ilvl w:val="0"/>
                <w:numId w:val="0"/>
              </w:numPr>
              <w:spacing w:after="0"/>
              <w:rPr>
                <w:rFonts w:asciiTheme="majorBidi" w:hAnsiTheme="majorBidi" w:cstheme="majorBidi"/>
                <w:sz w:val="20"/>
                <w:szCs w:val="20"/>
              </w:rPr>
            </w:pPr>
          </w:p>
        </w:tc>
      </w:tr>
      <w:tr w:rsidR="0082615C" w:rsidRPr="00516B5A" w14:paraId="746D4232" w14:textId="77777777" w:rsidTr="003807F3">
        <w:tc>
          <w:tcPr>
            <w:tcW w:w="5000" w:type="pct"/>
            <w:gridSpan w:val="5"/>
            <w:shd w:val="clear" w:color="auto" w:fill="auto"/>
          </w:tcPr>
          <w:p w14:paraId="778996DB" w14:textId="77777777" w:rsidR="0082615C" w:rsidRPr="00516B5A" w:rsidRDefault="0082615C" w:rsidP="003807F3">
            <w:pPr>
              <w:pStyle w:val="Heading1"/>
              <w:numPr>
                <w:ilvl w:val="0"/>
                <w:numId w:val="0"/>
              </w:numPr>
              <w:spacing w:after="0"/>
              <w:rPr>
                <w:rFonts w:asciiTheme="majorBidi" w:hAnsiTheme="majorBidi" w:cstheme="majorBidi"/>
                <w:b/>
                <w:bCs/>
                <w:sz w:val="20"/>
                <w:szCs w:val="20"/>
              </w:rPr>
            </w:pPr>
            <w:r>
              <w:rPr>
                <w:rFonts w:asciiTheme="majorBidi" w:hAnsiTheme="majorBidi"/>
                <w:b/>
                <w:sz w:val="20"/>
              </w:rPr>
              <w:t>Rapports de situation</w:t>
            </w:r>
          </w:p>
        </w:tc>
      </w:tr>
      <w:tr w:rsidR="0082615C" w:rsidRPr="00516B5A" w14:paraId="4161A362" w14:textId="77777777" w:rsidTr="003807F3">
        <w:tc>
          <w:tcPr>
            <w:tcW w:w="1518" w:type="pct"/>
            <w:shd w:val="clear" w:color="auto" w:fill="auto"/>
          </w:tcPr>
          <w:p w14:paraId="1E917512" w14:textId="77777777" w:rsidR="0082615C" w:rsidRPr="00516B5A" w:rsidRDefault="0082615C" w:rsidP="003807F3">
            <w:pPr>
              <w:pStyle w:val="Heading1"/>
              <w:numPr>
                <w:ilvl w:val="0"/>
                <w:numId w:val="0"/>
              </w:numPr>
              <w:spacing w:after="0"/>
              <w:jc w:val="left"/>
              <w:rPr>
                <w:rFonts w:asciiTheme="majorBidi" w:hAnsiTheme="majorBidi" w:cstheme="majorBidi"/>
                <w:sz w:val="20"/>
                <w:szCs w:val="20"/>
              </w:rPr>
            </w:pPr>
            <w:r>
              <w:rPr>
                <w:rFonts w:asciiTheme="majorBidi" w:hAnsiTheme="majorBidi"/>
                <w:sz w:val="20"/>
              </w:rPr>
              <w:t>Aucune question en suspens</w:t>
            </w:r>
          </w:p>
        </w:tc>
        <w:tc>
          <w:tcPr>
            <w:tcW w:w="676" w:type="pct"/>
            <w:shd w:val="clear" w:color="auto" w:fill="auto"/>
          </w:tcPr>
          <w:p w14:paraId="4D450596" w14:textId="77777777" w:rsidR="0082615C" w:rsidRPr="00667D78" w:rsidRDefault="0082615C" w:rsidP="003807F3">
            <w:pPr>
              <w:pStyle w:val="Heading1"/>
              <w:numPr>
                <w:ilvl w:val="0"/>
                <w:numId w:val="0"/>
              </w:numPr>
              <w:spacing w:after="0"/>
              <w:jc w:val="center"/>
              <w:rPr>
                <w:rFonts w:asciiTheme="majorBidi" w:hAnsiTheme="majorBidi" w:cstheme="majorBidi"/>
                <w:sz w:val="20"/>
                <w:szCs w:val="20"/>
              </w:rPr>
            </w:pPr>
            <w:r>
              <w:rPr>
                <w:rFonts w:asciiTheme="majorBidi" w:hAnsiTheme="majorBidi"/>
                <w:sz w:val="20"/>
              </w:rPr>
              <w:t>7</w:t>
            </w:r>
          </w:p>
        </w:tc>
        <w:tc>
          <w:tcPr>
            <w:tcW w:w="560" w:type="pct"/>
            <w:shd w:val="clear" w:color="auto" w:fill="auto"/>
          </w:tcPr>
          <w:p w14:paraId="6BF4215C"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Pr>
                <w:rFonts w:asciiTheme="majorBidi" w:hAnsiTheme="majorBidi"/>
                <w:sz w:val="20"/>
              </w:rPr>
              <w:t>51/13</w:t>
            </w:r>
          </w:p>
        </w:tc>
        <w:tc>
          <w:tcPr>
            <w:tcW w:w="1668" w:type="pct"/>
            <w:shd w:val="clear" w:color="auto" w:fill="auto"/>
          </w:tcPr>
          <w:p w14:paraId="0FB0A669" w14:textId="77777777" w:rsidR="0082615C" w:rsidRPr="00516B5A" w:rsidRDefault="0082615C" w:rsidP="003807F3">
            <w:pPr>
              <w:pStyle w:val="Heading1"/>
              <w:numPr>
                <w:ilvl w:val="0"/>
                <w:numId w:val="0"/>
              </w:numPr>
              <w:spacing w:after="0"/>
              <w:rPr>
                <w:rFonts w:asciiTheme="majorBidi" w:hAnsiTheme="majorBidi" w:cstheme="majorBidi"/>
                <w:sz w:val="20"/>
                <w:szCs w:val="20"/>
              </w:rPr>
            </w:pPr>
            <w:r>
              <w:rPr>
                <w:rFonts w:asciiTheme="majorBidi" w:hAnsiTheme="majorBidi"/>
                <w:sz w:val="20"/>
              </w:rPr>
              <w:t>À supprimer des futurs rapports</w:t>
            </w:r>
          </w:p>
        </w:tc>
        <w:tc>
          <w:tcPr>
            <w:tcW w:w="578" w:type="pct"/>
            <w:shd w:val="clear" w:color="auto" w:fill="auto"/>
          </w:tcPr>
          <w:p w14:paraId="06ECB17C"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Pr>
                <w:rFonts w:asciiTheme="majorBidi" w:hAnsiTheme="majorBidi"/>
                <w:sz w:val="20"/>
              </w:rPr>
              <w:t>s.o.</w:t>
            </w:r>
          </w:p>
        </w:tc>
      </w:tr>
      <w:tr w:rsidR="0082615C" w:rsidRPr="00516B5A" w14:paraId="40745EE8" w14:textId="77777777" w:rsidTr="003807F3">
        <w:tc>
          <w:tcPr>
            <w:tcW w:w="1518" w:type="pct"/>
            <w:shd w:val="clear" w:color="auto" w:fill="auto"/>
          </w:tcPr>
          <w:p w14:paraId="59C5CF6D" w14:textId="77777777" w:rsidR="0082615C" w:rsidRPr="00516B5A" w:rsidRDefault="0082615C" w:rsidP="003807F3">
            <w:pPr>
              <w:pStyle w:val="Heading1"/>
              <w:numPr>
                <w:ilvl w:val="0"/>
                <w:numId w:val="0"/>
              </w:numPr>
              <w:spacing w:after="0"/>
              <w:jc w:val="left"/>
              <w:rPr>
                <w:rFonts w:asciiTheme="majorBidi" w:hAnsiTheme="majorBidi" w:cstheme="majorBidi"/>
                <w:sz w:val="20"/>
                <w:szCs w:val="20"/>
              </w:rPr>
            </w:pPr>
            <w:r>
              <w:rPr>
                <w:rFonts w:asciiTheme="majorBidi" w:hAnsiTheme="majorBidi"/>
                <w:sz w:val="20"/>
              </w:rPr>
              <w:t xml:space="preserve">Des questions doivent encore être résolues </w:t>
            </w:r>
          </w:p>
        </w:tc>
        <w:tc>
          <w:tcPr>
            <w:tcW w:w="676" w:type="pct"/>
            <w:shd w:val="clear" w:color="auto" w:fill="auto"/>
          </w:tcPr>
          <w:p w14:paraId="14B366DC" w14:textId="77777777" w:rsidR="0082615C" w:rsidRPr="00667D78" w:rsidRDefault="0082615C" w:rsidP="003807F3">
            <w:pPr>
              <w:pStyle w:val="Heading1"/>
              <w:numPr>
                <w:ilvl w:val="0"/>
                <w:numId w:val="0"/>
              </w:numPr>
              <w:spacing w:after="0"/>
              <w:jc w:val="center"/>
              <w:rPr>
                <w:rFonts w:asciiTheme="majorBidi" w:hAnsiTheme="majorBidi" w:cstheme="majorBidi"/>
                <w:sz w:val="20"/>
                <w:szCs w:val="20"/>
              </w:rPr>
            </w:pPr>
            <w:r>
              <w:rPr>
                <w:rFonts w:asciiTheme="majorBidi" w:hAnsiTheme="majorBidi"/>
                <w:sz w:val="20"/>
              </w:rPr>
              <w:t>4</w:t>
            </w:r>
          </w:p>
        </w:tc>
        <w:tc>
          <w:tcPr>
            <w:tcW w:w="560" w:type="pct"/>
            <w:shd w:val="clear" w:color="auto" w:fill="auto"/>
          </w:tcPr>
          <w:p w14:paraId="417DCCBB"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Pr>
                <w:rFonts w:asciiTheme="majorBidi" w:hAnsiTheme="majorBidi"/>
                <w:sz w:val="20"/>
              </w:rPr>
              <w:t>51/13</w:t>
            </w:r>
          </w:p>
        </w:tc>
        <w:tc>
          <w:tcPr>
            <w:tcW w:w="1668" w:type="pct"/>
            <w:shd w:val="clear" w:color="auto" w:fill="auto"/>
          </w:tcPr>
          <w:p w14:paraId="1223EE5D" w14:textId="77777777" w:rsidR="0082615C" w:rsidRPr="00516B5A" w:rsidRDefault="0082615C" w:rsidP="003807F3">
            <w:pPr>
              <w:pStyle w:val="Heading1"/>
              <w:numPr>
                <w:ilvl w:val="0"/>
                <w:numId w:val="0"/>
              </w:numPr>
              <w:spacing w:after="0"/>
              <w:jc w:val="left"/>
              <w:rPr>
                <w:rFonts w:asciiTheme="majorBidi" w:hAnsiTheme="majorBidi" w:cstheme="majorBidi"/>
                <w:sz w:val="20"/>
                <w:szCs w:val="20"/>
              </w:rPr>
            </w:pPr>
            <w:r>
              <w:rPr>
                <w:rFonts w:asciiTheme="majorBidi" w:hAnsiTheme="majorBidi"/>
                <w:sz w:val="20"/>
              </w:rPr>
              <w:t xml:space="preserve">Demander la présentation de rapports de situation supplémentaires </w:t>
            </w:r>
          </w:p>
        </w:tc>
        <w:tc>
          <w:tcPr>
            <w:tcW w:w="578" w:type="pct"/>
            <w:shd w:val="clear" w:color="auto" w:fill="auto"/>
          </w:tcPr>
          <w:p w14:paraId="077C23C1"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Pr>
                <w:rFonts w:asciiTheme="majorBidi" w:hAnsiTheme="majorBidi"/>
                <w:sz w:val="20"/>
              </w:rPr>
              <w:t>Annexe III</w:t>
            </w:r>
          </w:p>
        </w:tc>
      </w:tr>
      <w:tr w:rsidR="0082615C" w:rsidRPr="00516B5A" w14:paraId="2BFC7E23" w14:textId="77777777" w:rsidTr="003807F3">
        <w:tc>
          <w:tcPr>
            <w:tcW w:w="1518" w:type="pct"/>
            <w:shd w:val="clear" w:color="auto" w:fill="auto"/>
          </w:tcPr>
          <w:p w14:paraId="4B69C22C" w14:textId="77777777" w:rsidR="0082615C" w:rsidRPr="00516B5A" w:rsidRDefault="0082615C" w:rsidP="003807F3">
            <w:pPr>
              <w:pStyle w:val="Heading1"/>
              <w:numPr>
                <w:ilvl w:val="0"/>
                <w:numId w:val="0"/>
              </w:numPr>
              <w:spacing w:after="0"/>
              <w:jc w:val="left"/>
              <w:rPr>
                <w:rFonts w:asciiTheme="majorBidi" w:hAnsiTheme="majorBidi" w:cstheme="majorBidi"/>
                <w:b/>
                <w:bCs/>
                <w:sz w:val="20"/>
                <w:szCs w:val="20"/>
              </w:rPr>
            </w:pPr>
            <w:r>
              <w:rPr>
                <w:rFonts w:asciiTheme="majorBidi" w:hAnsiTheme="majorBidi"/>
                <w:b/>
                <w:sz w:val="20"/>
              </w:rPr>
              <w:t>Total</w:t>
            </w:r>
          </w:p>
        </w:tc>
        <w:tc>
          <w:tcPr>
            <w:tcW w:w="676" w:type="pct"/>
            <w:shd w:val="clear" w:color="auto" w:fill="auto"/>
          </w:tcPr>
          <w:p w14:paraId="334AEE4C" w14:textId="77777777" w:rsidR="0082615C" w:rsidRPr="00516B5A" w:rsidRDefault="0082615C" w:rsidP="003807F3">
            <w:pPr>
              <w:pStyle w:val="Heading1"/>
              <w:numPr>
                <w:ilvl w:val="0"/>
                <w:numId w:val="0"/>
              </w:numPr>
              <w:spacing w:after="0"/>
              <w:jc w:val="center"/>
              <w:rPr>
                <w:rFonts w:asciiTheme="majorBidi" w:hAnsiTheme="majorBidi" w:cstheme="majorBidi"/>
                <w:b/>
                <w:bCs/>
                <w:sz w:val="20"/>
                <w:szCs w:val="20"/>
              </w:rPr>
            </w:pPr>
            <w:r>
              <w:rPr>
                <w:rFonts w:asciiTheme="majorBidi" w:hAnsiTheme="majorBidi"/>
                <w:b/>
                <w:sz w:val="20"/>
              </w:rPr>
              <w:t>11</w:t>
            </w:r>
          </w:p>
        </w:tc>
        <w:tc>
          <w:tcPr>
            <w:tcW w:w="560" w:type="pct"/>
            <w:shd w:val="clear" w:color="auto" w:fill="auto"/>
          </w:tcPr>
          <w:p w14:paraId="5CA4AB0E" w14:textId="77777777" w:rsidR="0082615C" w:rsidRPr="00516B5A" w:rsidRDefault="0082615C" w:rsidP="003807F3">
            <w:pPr>
              <w:pStyle w:val="Heading1"/>
              <w:numPr>
                <w:ilvl w:val="0"/>
                <w:numId w:val="0"/>
              </w:numPr>
              <w:spacing w:after="0"/>
              <w:rPr>
                <w:rFonts w:asciiTheme="majorBidi" w:hAnsiTheme="majorBidi" w:cstheme="majorBidi"/>
                <w:sz w:val="20"/>
                <w:szCs w:val="20"/>
              </w:rPr>
            </w:pPr>
          </w:p>
        </w:tc>
        <w:tc>
          <w:tcPr>
            <w:tcW w:w="1668" w:type="pct"/>
            <w:shd w:val="clear" w:color="auto" w:fill="auto"/>
          </w:tcPr>
          <w:p w14:paraId="344322EF" w14:textId="77777777" w:rsidR="0082615C" w:rsidRPr="00516B5A" w:rsidRDefault="0082615C" w:rsidP="003807F3">
            <w:pPr>
              <w:pStyle w:val="Heading1"/>
              <w:numPr>
                <w:ilvl w:val="0"/>
                <w:numId w:val="0"/>
              </w:numPr>
              <w:spacing w:after="0"/>
              <w:rPr>
                <w:rFonts w:asciiTheme="majorBidi" w:hAnsiTheme="majorBidi" w:cstheme="majorBidi"/>
                <w:sz w:val="20"/>
                <w:szCs w:val="20"/>
              </w:rPr>
            </w:pPr>
          </w:p>
        </w:tc>
        <w:tc>
          <w:tcPr>
            <w:tcW w:w="578" w:type="pct"/>
            <w:shd w:val="clear" w:color="auto" w:fill="auto"/>
          </w:tcPr>
          <w:p w14:paraId="0EA0056A" w14:textId="77777777" w:rsidR="0082615C" w:rsidRPr="00516B5A" w:rsidRDefault="0082615C" w:rsidP="003807F3">
            <w:pPr>
              <w:pStyle w:val="Heading1"/>
              <w:numPr>
                <w:ilvl w:val="0"/>
                <w:numId w:val="0"/>
              </w:numPr>
              <w:spacing w:after="0"/>
              <w:rPr>
                <w:rFonts w:asciiTheme="majorBidi" w:hAnsiTheme="majorBidi" w:cstheme="majorBidi"/>
                <w:sz w:val="20"/>
                <w:szCs w:val="20"/>
              </w:rPr>
            </w:pPr>
          </w:p>
        </w:tc>
      </w:tr>
    </w:tbl>
    <w:p w14:paraId="107FDB43" w14:textId="77777777" w:rsidR="0082615C" w:rsidRPr="00516B5A" w:rsidRDefault="0082615C" w:rsidP="0082615C"/>
    <w:p w14:paraId="140B44F3" w14:textId="77777777" w:rsidR="0082615C" w:rsidRPr="00516B5A" w:rsidRDefault="0082615C" w:rsidP="00F107A2">
      <w:pPr>
        <w:pStyle w:val="a--"/>
        <w:keepNext/>
        <w:suppressAutoHyphens w:val="0"/>
        <w:spacing w:after="240"/>
        <w:jc w:val="left"/>
      </w:pPr>
      <w:r>
        <w:t>Recommandation</w:t>
      </w:r>
    </w:p>
    <w:p w14:paraId="1477BB74" w14:textId="77777777" w:rsidR="0082615C" w:rsidRPr="00516B5A" w:rsidRDefault="0082615C" w:rsidP="0082615C">
      <w:pPr>
        <w:pStyle w:val="Heading1"/>
      </w:pPr>
      <w:r>
        <w:t>Le Comité exécutif pourrait envisager :</w:t>
      </w:r>
    </w:p>
    <w:p w14:paraId="505F1E64" w14:textId="77777777" w:rsidR="0082615C" w:rsidRPr="00516B5A" w:rsidRDefault="0082615C" w:rsidP="0082615C">
      <w:pPr>
        <w:pStyle w:val="Heading2"/>
      </w:pPr>
      <w:r>
        <w:t>de prendre note :</w:t>
      </w:r>
    </w:p>
    <w:p w14:paraId="6C1DC694" w14:textId="61D8D117" w:rsidR="0082615C" w:rsidRPr="00516B5A" w:rsidRDefault="0082615C" w:rsidP="0082615C">
      <w:pPr>
        <w:pStyle w:val="Heading3"/>
      </w:pPr>
      <w:r>
        <w:t>des rapports sur les retards dans la mise en œuvre et des rapports de situation soumis par les agences bilatérales et d’exécution, présentés dans le document UNEP/OzL.Pro/ExCom/96/11 ;</w:t>
      </w:r>
    </w:p>
    <w:p w14:paraId="4D581D51" w14:textId="77777777" w:rsidR="0082615C" w:rsidRPr="00516B5A" w:rsidRDefault="0082615C" w:rsidP="0082615C">
      <w:pPr>
        <w:pStyle w:val="Heading3"/>
      </w:pPr>
      <w:r>
        <w:t>du fait que les agences bilatérales et d’exécution feront rapport au Comité exécutif, lors de sa 97</w:t>
      </w:r>
      <w:r>
        <w:rPr>
          <w:vertAlign w:val="superscript"/>
        </w:rPr>
        <w:t>e</w:t>
      </w:r>
      <w:r>
        <w:t> réunion, sur huit projets présentant des retards de mise en œuvre, comme indiqué aux annexes I et II du présent document, et sur quatre projets pour lesquels des rapports de situation supplémentaires sont recommandés, comme indiqué dans l’annexe III du présent document, dans le cadre du rapport périodique financier et annuel 2024 des agences bilatérales et d’exécution ;</w:t>
      </w:r>
    </w:p>
    <w:p w14:paraId="48698883" w14:textId="77777777" w:rsidR="0082615C" w:rsidRPr="00516B5A" w:rsidRDefault="0082615C" w:rsidP="0082615C">
      <w:pPr>
        <w:pStyle w:val="Heading2"/>
      </w:pPr>
      <w:r>
        <w:t>d’approuver les recommandations concernant les projets en cours présentant des questions particulières mentionnées dans la dernière colonne du tableau de l’annexe III du présent document.</w:t>
      </w:r>
    </w:p>
    <w:p w14:paraId="13A6EC80" w14:textId="673BE72A" w:rsidR="0082615C" w:rsidRPr="004748A4" w:rsidRDefault="00D11A63" w:rsidP="004748A4">
      <w:pPr>
        <w:spacing w:after="240"/>
        <w:jc w:val="left"/>
        <w:rPr>
          <w:b/>
          <w:bCs/>
          <w:sz w:val="24"/>
          <w:szCs w:val="24"/>
        </w:rPr>
      </w:pPr>
      <w:r>
        <w:rPr>
          <w:b/>
          <w:sz w:val="24"/>
        </w:rPr>
        <w:t>II.</w:t>
      </w:r>
      <w:r>
        <w:rPr>
          <w:b/>
          <w:sz w:val="24"/>
        </w:rPr>
        <w:tab/>
        <w:t>Projets comportant des exigences particulières de remise de rapports sans question en suspens</w:t>
      </w:r>
    </w:p>
    <w:p w14:paraId="52FD4815" w14:textId="77777777" w:rsidR="00F42E7F" w:rsidRDefault="00355F14" w:rsidP="00F42E7F">
      <w:pPr>
        <w:spacing w:after="240"/>
        <w:textAlignment w:val="baseline"/>
        <w:rPr>
          <w:b/>
          <w:bCs/>
          <w:sz w:val="24"/>
          <w:szCs w:val="24"/>
        </w:rPr>
      </w:pPr>
      <w:r>
        <w:rPr>
          <w:b/>
          <w:sz w:val="24"/>
        </w:rPr>
        <w:t>Présentation</w:t>
      </w:r>
    </w:p>
    <w:p w14:paraId="65BFA983" w14:textId="7302D87A" w:rsidR="00355F14" w:rsidRPr="00355F14" w:rsidRDefault="00355F14" w:rsidP="00F42E7F">
      <w:pPr>
        <w:pStyle w:val="Heading1"/>
      </w:pPr>
      <w:r>
        <w:t>Le tableau 2 dresse la liste des rapports sur les projets comportant des exigences particulières sans question en suspens.</w:t>
      </w:r>
    </w:p>
    <w:p w14:paraId="0D15E285" w14:textId="77777777" w:rsidR="00D35ED6" w:rsidRDefault="00D35ED6" w:rsidP="00355F14">
      <w:pPr>
        <w:textAlignment w:val="baseline"/>
        <w:rPr>
          <w:b/>
        </w:rPr>
      </w:pPr>
    </w:p>
    <w:p w14:paraId="04D701B3" w14:textId="60F0B328" w:rsidR="00355F14" w:rsidRPr="007371F3" w:rsidRDefault="00355F14" w:rsidP="00355F14">
      <w:pPr>
        <w:textAlignment w:val="baseline"/>
        <w:rPr>
          <w:rFonts w:ascii="Segoe UI" w:hAnsi="Segoe UI" w:cs="Segoe UI"/>
        </w:rPr>
      </w:pPr>
      <w:r>
        <w:rPr>
          <w:b/>
        </w:rPr>
        <w:t>Tableau 2. Rapports sur les projets soumis à des exigences spécifiques en matière d’établissement de rapports et ne présentant pas de problèmes en suspens</w:t>
      </w:r>
    </w:p>
    <w:tbl>
      <w:tblPr>
        <w:tblW w:w="9344" w:type="dxa"/>
        <w:tblBorders>
          <w:top w:val="outset" w:sz="6" w:space="0" w:color="auto"/>
          <w:left w:val="outset" w:sz="6" w:space="0" w:color="auto"/>
          <w:bottom w:val="outset" w:sz="6" w:space="0" w:color="auto"/>
          <w:right w:val="outset" w:sz="6" w:space="0" w:color="auto"/>
        </w:tblBorders>
        <w:tblCellMar>
          <w:left w:w="57" w:type="dxa"/>
          <w:right w:w="57" w:type="dxa"/>
        </w:tblCellMar>
        <w:tblLook w:val="04A0" w:firstRow="1" w:lastRow="0" w:firstColumn="1" w:lastColumn="0" w:noHBand="0" w:noVBand="1"/>
      </w:tblPr>
      <w:tblGrid>
        <w:gridCol w:w="1545"/>
        <w:gridCol w:w="6074"/>
        <w:gridCol w:w="1725"/>
      </w:tblGrid>
      <w:tr w:rsidR="00355F14" w:rsidRPr="00355F14" w14:paraId="1BC35257" w14:textId="77777777" w:rsidTr="00771DF4">
        <w:trPr>
          <w:trHeight w:val="170"/>
          <w:tblHeader/>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768F436" w14:textId="77777777" w:rsidR="00355F14" w:rsidRPr="00355F14" w:rsidRDefault="00355F14" w:rsidP="00355F14">
            <w:pPr>
              <w:jc w:val="center"/>
              <w:textAlignment w:val="baseline"/>
              <w:rPr>
                <w:sz w:val="24"/>
                <w:szCs w:val="24"/>
              </w:rPr>
            </w:pPr>
            <w:r>
              <w:rPr>
                <w:b/>
                <w:sz w:val="20"/>
              </w:rPr>
              <w:lastRenderedPageBreak/>
              <w:t>Pays</w:t>
            </w:r>
            <w:r>
              <w:rPr>
                <w:sz w:val="20"/>
              </w:rPr>
              <w:t> </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206DA0B3" w14:textId="77777777" w:rsidR="00355F14" w:rsidRPr="00355F14" w:rsidRDefault="00355F14" w:rsidP="00355F14">
            <w:pPr>
              <w:jc w:val="center"/>
              <w:textAlignment w:val="baseline"/>
              <w:rPr>
                <w:sz w:val="24"/>
                <w:szCs w:val="24"/>
              </w:rPr>
            </w:pPr>
            <w:r>
              <w:rPr>
                <w:b/>
                <w:sz w:val="20"/>
              </w:rPr>
              <w:t>Titre du projet</w:t>
            </w:r>
            <w:r>
              <w:rPr>
                <w:sz w:val="20"/>
              </w:rPr>
              <w:t> </w:t>
            </w:r>
          </w:p>
        </w:tc>
        <w:tc>
          <w:tcPr>
            <w:tcW w:w="1725" w:type="dxa"/>
            <w:tcBorders>
              <w:top w:val="single" w:sz="6" w:space="0" w:color="auto"/>
              <w:left w:val="single" w:sz="6" w:space="0" w:color="auto"/>
              <w:bottom w:val="single" w:sz="6" w:space="0" w:color="auto"/>
              <w:right w:val="single" w:sz="6" w:space="0" w:color="auto"/>
            </w:tcBorders>
            <w:shd w:val="clear" w:color="auto" w:fill="auto"/>
            <w:hideMark/>
          </w:tcPr>
          <w:p w14:paraId="28BAA7C7" w14:textId="77777777" w:rsidR="00355F14" w:rsidRPr="00355F14" w:rsidRDefault="00355F14" w:rsidP="00355F14">
            <w:pPr>
              <w:jc w:val="center"/>
              <w:textAlignment w:val="baseline"/>
              <w:rPr>
                <w:sz w:val="24"/>
                <w:szCs w:val="24"/>
              </w:rPr>
            </w:pPr>
            <w:r>
              <w:rPr>
                <w:b/>
                <w:sz w:val="20"/>
              </w:rPr>
              <w:t>Paragraphes</w:t>
            </w:r>
            <w:r>
              <w:rPr>
                <w:sz w:val="20"/>
              </w:rPr>
              <w:t> </w:t>
            </w:r>
          </w:p>
        </w:tc>
      </w:tr>
      <w:tr w:rsidR="00355F14" w:rsidRPr="00355F14" w14:paraId="744B9790" w14:textId="77777777" w:rsidTr="00771DF4">
        <w:trPr>
          <w:trHeight w:val="170"/>
        </w:trPr>
        <w:tc>
          <w:tcPr>
            <w:tcW w:w="9344" w:type="dxa"/>
            <w:gridSpan w:val="3"/>
            <w:tcBorders>
              <w:top w:val="single" w:sz="6" w:space="0" w:color="auto"/>
              <w:left w:val="single" w:sz="6" w:space="0" w:color="auto"/>
              <w:bottom w:val="single" w:sz="6" w:space="0" w:color="auto"/>
              <w:right w:val="single" w:sz="6" w:space="0" w:color="auto"/>
            </w:tcBorders>
            <w:shd w:val="clear" w:color="auto" w:fill="auto"/>
            <w:hideMark/>
          </w:tcPr>
          <w:p w14:paraId="2F3A8D4D" w14:textId="5CBCB36B" w:rsidR="00355F14" w:rsidRPr="00287554" w:rsidRDefault="00355F14" w:rsidP="00B872EC">
            <w:pPr>
              <w:pStyle w:val="ListParagraph"/>
              <w:numPr>
                <w:ilvl w:val="0"/>
                <w:numId w:val="27"/>
              </w:numPr>
              <w:ind w:left="362" w:hanging="362"/>
              <w:jc w:val="left"/>
              <w:textAlignment w:val="baseline"/>
              <w:rPr>
                <w:sz w:val="20"/>
                <w:szCs w:val="20"/>
              </w:rPr>
            </w:pPr>
            <w:r>
              <w:rPr>
                <w:b/>
                <w:sz w:val="20"/>
              </w:rPr>
              <w:t>Rapports en lien avec les plans de gestion de l’élimination des HCFC (PGEH)</w:t>
            </w:r>
            <w:r>
              <w:rPr>
                <w:sz w:val="20"/>
              </w:rPr>
              <w:t> </w:t>
            </w:r>
          </w:p>
        </w:tc>
      </w:tr>
      <w:tr w:rsidR="00F7196C" w:rsidRPr="00355F14" w14:paraId="44E675E4" w14:textId="77777777" w:rsidTr="00771DF4">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743C8B61" w14:textId="46D8B1D1" w:rsidR="00F7196C" w:rsidRPr="00050FCA" w:rsidRDefault="00F7196C" w:rsidP="00F7196C">
            <w:pPr>
              <w:textAlignment w:val="baseline"/>
              <w:rPr>
                <w:sz w:val="20"/>
                <w:szCs w:val="20"/>
              </w:rPr>
            </w:pPr>
            <w:r>
              <w:rPr>
                <w:sz w:val="20"/>
              </w:rPr>
              <w:t>Argentine</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51BBF02A" w14:textId="2AC1C760" w:rsidR="00F7196C" w:rsidRPr="00050FCA" w:rsidRDefault="00F7196C" w:rsidP="00F7196C">
            <w:pPr>
              <w:textAlignment w:val="baseline"/>
              <w:rPr>
                <w:sz w:val="20"/>
                <w:szCs w:val="20"/>
              </w:rPr>
            </w:pPr>
            <w:r>
              <w:rPr>
                <w:sz w:val="20"/>
              </w:rPr>
              <w:t>Plan de gestion de l’élimination des HCFC (phase II – disponibilité des solutions de remplacement à faible potentiel de réchauffement de la planète pour le HCFC‑141b dans le secteur de la fabrication de mousses et usage transitoire de solutions de remplacement à fort potentiel de réchauffement de la planète)</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31F952B3" w14:textId="2E1A990D" w:rsidR="00F7196C" w:rsidRPr="00050FCA" w:rsidRDefault="00F7196C" w:rsidP="00F7196C">
            <w:pPr>
              <w:jc w:val="center"/>
              <w:textAlignment w:val="baseline"/>
              <w:rPr>
                <w:sz w:val="20"/>
                <w:szCs w:val="20"/>
              </w:rPr>
            </w:pPr>
            <w:r>
              <w:rPr>
                <w:sz w:val="20"/>
              </w:rPr>
              <w:t>5–18</w:t>
            </w:r>
          </w:p>
        </w:tc>
      </w:tr>
      <w:tr w:rsidR="00F7196C" w:rsidRPr="00355F14" w14:paraId="573DCE5F"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6FB7D09" w14:textId="4DC95B35" w:rsidR="00F7196C" w:rsidRPr="00B811F5" w:rsidRDefault="00F7196C" w:rsidP="00F7196C">
            <w:pPr>
              <w:textAlignment w:val="baseline"/>
              <w:rPr>
                <w:sz w:val="24"/>
                <w:szCs w:val="24"/>
              </w:rPr>
            </w:pPr>
            <w:r>
              <w:rPr>
                <w:sz w:val="20"/>
              </w:rPr>
              <w:t>Brésil </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68F89596" w14:textId="30C40116" w:rsidR="00F7196C" w:rsidRPr="00B811F5" w:rsidRDefault="00F7196C" w:rsidP="00F7196C">
            <w:pPr>
              <w:textAlignment w:val="baseline"/>
              <w:rPr>
                <w:sz w:val="24"/>
                <w:szCs w:val="24"/>
              </w:rPr>
            </w:pPr>
            <w:r>
              <w:rPr>
                <w:color w:val="000000"/>
                <w:sz w:val="20"/>
                <w:shd w:val="clear" w:color="auto" w:fill="FFFFFF"/>
              </w:rPr>
              <w:t>Plan de gestion de l’élimination des HCFC (phase II – rapport périodique sur la mise en œuvre des programmes de travail associés à la cinquième et dernière tranche)</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238F9B19" w14:textId="6A57D208" w:rsidR="00F7196C" w:rsidRPr="00FE5706" w:rsidRDefault="00F7196C" w:rsidP="00F7196C">
            <w:pPr>
              <w:jc w:val="center"/>
              <w:textAlignment w:val="baseline"/>
              <w:rPr>
                <w:sz w:val="20"/>
                <w:szCs w:val="20"/>
                <w:highlight w:val="yellow"/>
              </w:rPr>
            </w:pPr>
            <w:r>
              <w:rPr>
                <w:sz w:val="20"/>
              </w:rPr>
              <w:t>19–32</w:t>
            </w:r>
          </w:p>
        </w:tc>
      </w:tr>
      <w:tr w:rsidR="00F7196C" w:rsidRPr="00515B7E" w14:paraId="016FB98C"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7922E681" w14:textId="01FF70BD" w:rsidR="00F7196C" w:rsidRPr="00515B7E" w:rsidRDefault="00F7196C" w:rsidP="00F7196C">
            <w:pPr>
              <w:textAlignment w:val="baseline"/>
              <w:rPr>
                <w:sz w:val="24"/>
                <w:szCs w:val="24"/>
              </w:rPr>
            </w:pPr>
            <w:r>
              <w:rPr>
                <w:sz w:val="20"/>
              </w:rPr>
              <w:t>Inde</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4AF1D474" w14:textId="2B36F687" w:rsidR="00F7196C" w:rsidRPr="00515B7E" w:rsidRDefault="00F7196C" w:rsidP="00F7196C">
            <w:pPr>
              <w:textAlignment w:val="baseline"/>
              <w:rPr>
                <w:sz w:val="24"/>
                <w:szCs w:val="24"/>
              </w:rPr>
            </w:pPr>
            <w:r>
              <w:rPr>
                <w:color w:val="000000"/>
                <w:sz w:val="20"/>
                <w:shd w:val="clear" w:color="auto" w:fill="FFFFFF"/>
              </w:rPr>
              <w:t>Plan de gestion de l’élimination des HCFC (phase II – rapport périodique sur la mise en œuvre du programme de travail associé à la quatrième et dernière tranche)</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3A704E11" w14:textId="6C613F5B" w:rsidR="00F7196C" w:rsidRPr="00515B7E" w:rsidRDefault="00F7196C" w:rsidP="00F7196C">
            <w:pPr>
              <w:jc w:val="center"/>
              <w:textAlignment w:val="baseline"/>
              <w:rPr>
                <w:sz w:val="20"/>
                <w:szCs w:val="20"/>
              </w:rPr>
            </w:pPr>
            <w:r>
              <w:rPr>
                <w:sz w:val="20"/>
              </w:rPr>
              <w:t>33–42</w:t>
            </w:r>
          </w:p>
        </w:tc>
      </w:tr>
      <w:tr w:rsidR="00F7196C" w:rsidRPr="00954332" w14:paraId="4AAE7300"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62DDB65" w14:textId="758366F7" w:rsidR="00F7196C" w:rsidRPr="00142141" w:rsidRDefault="00F7196C" w:rsidP="00F7196C">
            <w:pPr>
              <w:textAlignment w:val="baseline"/>
              <w:rPr>
                <w:sz w:val="24"/>
                <w:szCs w:val="24"/>
              </w:rPr>
            </w:pPr>
            <w:r>
              <w:rPr>
                <w:sz w:val="20"/>
              </w:rPr>
              <w:t>Indonésie</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184679A0" w14:textId="4FC755A4" w:rsidR="00F7196C" w:rsidRPr="00142141" w:rsidRDefault="00F7196C" w:rsidP="00F7196C">
            <w:pPr>
              <w:textAlignment w:val="baseline"/>
              <w:rPr>
                <w:sz w:val="24"/>
                <w:szCs w:val="24"/>
              </w:rPr>
            </w:pPr>
            <w:r>
              <w:rPr>
                <w:color w:val="000000"/>
                <w:sz w:val="20"/>
                <w:shd w:val="clear" w:color="auto" w:fill="FFFFFF"/>
              </w:rPr>
              <w:t xml:space="preserve">Plan de gestion de l’élimination des HCFC </w:t>
            </w:r>
            <w:r>
              <w:rPr>
                <w:sz w:val="20"/>
              </w:rPr>
              <w:t>(phase II – rapport périodique sur la mise en œuvre du programme de travail associé à la quatrième et dernière tranche)</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62B4BC73" w14:textId="78678FD2" w:rsidR="00F7196C" w:rsidRPr="00954332" w:rsidRDefault="00F7196C" w:rsidP="00F7196C">
            <w:pPr>
              <w:jc w:val="center"/>
              <w:textAlignment w:val="baseline"/>
              <w:rPr>
                <w:sz w:val="20"/>
                <w:szCs w:val="20"/>
              </w:rPr>
            </w:pPr>
            <w:r>
              <w:rPr>
                <w:sz w:val="20"/>
              </w:rPr>
              <w:t>43–52</w:t>
            </w:r>
          </w:p>
        </w:tc>
      </w:tr>
      <w:tr w:rsidR="00F7196C" w:rsidRPr="00355F14" w14:paraId="167BC04D" w14:textId="77777777" w:rsidTr="00771DF4">
        <w:trPr>
          <w:cantSplit/>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217E9E12" w14:textId="284F1D75" w:rsidR="00F7196C" w:rsidRPr="00126F4F" w:rsidRDefault="00F7196C" w:rsidP="00F7196C">
            <w:pPr>
              <w:textAlignment w:val="baseline"/>
              <w:rPr>
                <w:sz w:val="24"/>
                <w:szCs w:val="24"/>
              </w:rPr>
            </w:pPr>
            <w:r>
              <w:rPr>
                <w:sz w:val="20"/>
              </w:rPr>
              <w:t>Irak </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1182CE91" w14:textId="099BCE87" w:rsidR="00F7196C" w:rsidRPr="00126F4F" w:rsidRDefault="00F7196C" w:rsidP="00F7196C">
            <w:pPr>
              <w:textAlignment w:val="baseline"/>
              <w:rPr>
                <w:sz w:val="24"/>
                <w:szCs w:val="24"/>
              </w:rPr>
            </w:pPr>
            <w:r>
              <w:rPr>
                <w:color w:val="000000"/>
                <w:sz w:val="20"/>
                <w:shd w:val="clear" w:color="auto" w:fill="FFFFFF"/>
              </w:rPr>
              <w:t>Plan de gestion de l’élimination des HCFC (phase II – achèvement de la phase I, plan national d’élimination, et projet de remplacement du CFC-12 par de l’isobutane et du CFC-11 par du cyclopentane dans la fabrication d’équipement de réfrigération domestique chez Light Industries)</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623B42BA" w14:textId="7C7B62F9" w:rsidR="00F7196C" w:rsidRPr="00543E11" w:rsidRDefault="001B5D19" w:rsidP="00F7196C">
            <w:pPr>
              <w:jc w:val="center"/>
              <w:textAlignment w:val="baseline"/>
              <w:rPr>
                <w:sz w:val="20"/>
                <w:szCs w:val="20"/>
              </w:rPr>
            </w:pPr>
            <w:r>
              <w:rPr>
                <w:sz w:val="20"/>
              </w:rPr>
              <w:t>53–59</w:t>
            </w:r>
          </w:p>
        </w:tc>
      </w:tr>
      <w:tr w:rsidR="00F7196C" w:rsidRPr="00355F14" w14:paraId="18C8BEE1"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72255F62" w14:textId="577B14D2" w:rsidR="00F7196C" w:rsidRPr="004825BA" w:rsidRDefault="00F7196C" w:rsidP="00F7196C">
            <w:pPr>
              <w:textAlignment w:val="baseline"/>
              <w:rPr>
                <w:sz w:val="20"/>
                <w:szCs w:val="20"/>
              </w:rPr>
            </w:pPr>
            <w:r>
              <w:rPr>
                <w:sz w:val="20"/>
              </w:rPr>
              <w:t>Kenya</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1EC9292C" w14:textId="7E325B92" w:rsidR="00F7196C" w:rsidRPr="004825BA" w:rsidRDefault="00F7196C" w:rsidP="00F7196C">
            <w:pPr>
              <w:textAlignment w:val="baseline"/>
              <w:rPr>
                <w:color w:val="000000"/>
                <w:sz w:val="20"/>
                <w:szCs w:val="20"/>
                <w:shd w:val="clear" w:color="auto" w:fill="FFFFFF"/>
              </w:rPr>
            </w:pPr>
            <w:r>
              <w:rPr>
                <w:color w:val="000000"/>
                <w:sz w:val="20"/>
                <w:shd w:val="clear" w:color="auto" w:fill="FFFFFF"/>
              </w:rPr>
              <w:t>Plan de gestion de l’élimination des HCFC (phase II – changement de technologie pour un supermarché (Woolmatt))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263D4D3C" w14:textId="726E57C5" w:rsidR="00F7196C" w:rsidRPr="00543E11" w:rsidRDefault="001564CB" w:rsidP="00F7196C">
            <w:pPr>
              <w:jc w:val="center"/>
              <w:textAlignment w:val="baseline"/>
              <w:rPr>
                <w:sz w:val="20"/>
                <w:szCs w:val="20"/>
              </w:rPr>
            </w:pPr>
            <w:r>
              <w:rPr>
                <w:sz w:val="20"/>
              </w:rPr>
              <w:t>60–66</w:t>
            </w:r>
          </w:p>
        </w:tc>
      </w:tr>
      <w:tr w:rsidR="00F7196C" w:rsidRPr="00355F14" w14:paraId="5CB53229"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3CD2A9E1" w14:textId="1D5E2B5A" w:rsidR="00F7196C" w:rsidRPr="00B95E7B" w:rsidRDefault="00F7196C" w:rsidP="00F7196C">
            <w:pPr>
              <w:textAlignment w:val="baseline"/>
              <w:rPr>
                <w:sz w:val="20"/>
                <w:szCs w:val="20"/>
                <w:highlight w:val="yellow"/>
              </w:rPr>
            </w:pPr>
            <w:r>
              <w:rPr>
                <w:sz w:val="20"/>
              </w:rPr>
              <w:t>Mali</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78CBEDA8" w14:textId="215A0B73" w:rsidR="00F7196C" w:rsidRPr="00B95E7B" w:rsidRDefault="00F7196C" w:rsidP="00F7196C">
            <w:pPr>
              <w:textAlignment w:val="baseline"/>
              <w:rPr>
                <w:color w:val="000000"/>
                <w:sz w:val="20"/>
                <w:szCs w:val="20"/>
                <w:highlight w:val="yellow"/>
                <w:shd w:val="clear" w:color="auto" w:fill="FFFFFF"/>
              </w:rPr>
            </w:pPr>
            <w:r>
              <w:rPr>
                <w:color w:val="000000"/>
                <w:sz w:val="20"/>
                <w:shd w:val="clear" w:color="auto" w:fill="FFFFFF"/>
              </w:rPr>
              <w:t xml:space="preserve">Plan de gestion de l’élimination des HCFC </w:t>
            </w:r>
            <w:r>
              <w:rPr>
                <w:sz w:val="20"/>
              </w:rPr>
              <w:t>(phase I, cinquième tranche – mise en œuvre du programme de travail associé à la dernière tranche)</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42694CD4" w14:textId="23917B9F" w:rsidR="00F7196C" w:rsidRPr="00543E11" w:rsidRDefault="00543E11" w:rsidP="00F7196C">
            <w:pPr>
              <w:jc w:val="center"/>
              <w:textAlignment w:val="baseline"/>
              <w:rPr>
                <w:sz w:val="20"/>
                <w:szCs w:val="20"/>
              </w:rPr>
            </w:pPr>
            <w:r>
              <w:rPr>
                <w:sz w:val="20"/>
              </w:rPr>
              <w:t>67–72</w:t>
            </w:r>
          </w:p>
        </w:tc>
      </w:tr>
      <w:tr w:rsidR="00F7196C" w:rsidRPr="00355F14" w14:paraId="0F458EFF"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69B5E929" w14:textId="5CF64D0E" w:rsidR="00F7196C" w:rsidRPr="00B95E7B" w:rsidRDefault="00F7196C" w:rsidP="00F7196C">
            <w:pPr>
              <w:textAlignment w:val="baseline"/>
              <w:rPr>
                <w:sz w:val="20"/>
                <w:szCs w:val="20"/>
              </w:rPr>
            </w:pPr>
            <w:r>
              <w:rPr>
                <w:sz w:val="20"/>
              </w:rPr>
              <w:t>Mexique</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02BEB486" w14:textId="4647E685" w:rsidR="00F7196C" w:rsidRPr="00B95E7B" w:rsidRDefault="00F7196C" w:rsidP="00F7196C">
            <w:pPr>
              <w:textAlignment w:val="baseline"/>
              <w:rPr>
                <w:color w:val="000000"/>
                <w:sz w:val="20"/>
                <w:szCs w:val="20"/>
                <w:shd w:val="clear" w:color="auto" w:fill="FFFFFF"/>
              </w:rPr>
            </w:pPr>
            <w:r>
              <w:rPr>
                <w:color w:val="000000"/>
                <w:sz w:val="20"/>
                <w:shd w:val="clear" w:color="auto" w:fill="FFFFFF"/>
              </w:rPr>
              <w:t>Plan de gestion de l’élimination des HCFC</w:t>
            </w:r>
            <w:r>
              <w:rPr>
                <w:sz w:val="20"/>
              </w:rPr>
              <w:t xml:space="preserve"> (phase II – rapport périodique sur la mise en œuvre des programmes de travail associés à la cinquième et dernière tranche)</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692017FF" w14:textId="063899AE" w:rsidR="00F7196C" w:rsidRPr="00543E11" w:rsidRDefault="00543E11" w:rsidP="00F7196C">
            <w:pPr>
              <w:jc w:val="center"/>
              <w:textAlignment w:val="baseline"/>
              <w:rPr>
                <w:sz w:val="20"/>
                <w:szCs w:val="20"/>
              </w:rPr>
            </w:pPr>
            <w:r>
              <w:rPr>
                <w:sz w:val="20"/>
              </w:rPr>
              <w:t>73–78</w:t>
            </w:r>
          </w:p>
        </w:tc>
      </w:tr>
      <w:tr w:rsidR="00F7196C" w:rsidRPr="00355F14" w14:paraId="5CAB592F"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706619A0" w14:textId="7B75D9B2" w:rsidR="00F7196C" w:rsidRPr="009C4636" w:rsidRDefault="00F7196C" w:rsidP="00F7196C">
            <w:pPr>
              <w:textAlignment w:val="baseline"/>
              <w:rPr>
                <w:sz w:val="20"/>
                <w:szCs w:val="20"/>
              </w:rPr>
            </w:pPr>
            <w:r>
              <w:rPr>
                <w:sz w:val="20"/>
              </w:rPr>
              <w:t>Pakistan</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17F1F9C0" w14:textId="13329916" w:rsidR="00F7196C" w:rsidRPr="009C4636" w:rsidRDefault="00F7196C" w:rsidP="00F7196C">
            <w:pPr>
              <w:textAlignment w:val="baseline"/>
              <w:rPr>
                <w:color w:val="000000"/>
                <w:sz w:val="20"/>
                <w:szCs w:val="20"/>
                <w:shd w:val="clear" w:color="auto" w:fill="FFFFFF"/>
              </w:rPr>
            </w:pPr>
            <w:r>
              <w:rPr>
                <w:color w:val="000000"/>
                <w:sz w:val="20"/>
                <w:shd w:val="clear" w:color="auto" w:fill="FFFFFF"/>
              </w:rPr>
              <w:t>Plan de gestion de l’élimination des HCFC (phase II – rapport périodique final sur la mise en œuvre des troisième et quatrième tranches ; et phase III – rapport périodique sur le projet de reconversion de Cool Point)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39070082" w14:textId="7B47AC10" w:rsidR="00F7196C" w:rsidRPr="00543E11" w:rsidRDefault="00543E11" w:rsidP="00F7196C">
            <w:pPr>
              <w:jc w:val="center"/>
              <w:textAlignment w:val="baseline"/>
              <w:rPr>
                <w:sz w:val="20"/>
                <w:szCs w:val="20"/>
              </w:rPr>
            </w:pPr>
            <w:r>
              <w:rPr>
                <w:sz w:val="20"/>
              </w:rPr>
              <w:t>79–91</w:t>
            </w:r>
          </w:p>
        </w:tc>
      </w:tr>
      <w:tr w:rsidR="00F7196C" w:rsidRPr="00355F14" w14:paraId="696EE6F6" w14:textId="77777777" w:rsidTr="00891AD1">
        <w:trPr>
          <w:trHeight w:val="170"/>
        </w:trPr>
        <w:tc>
          <w:tcPr>
            <w:tcW w:w="9344" w:type="dxa"/>
            <w:gridSpan w:val="3"/>
            <w:tcBorders>
              <w:top w:val="single" w:sz="6" w:space="0" w:color="auto"/>
              <w:left w:val="single" w:sz="6" w:space="0" w:color="auto"/>
              <w:bottom w:val="single" w:sz="6" w:space="0" w:color="auto"/>
              <w:right w:val="single" w:sz="6" w:space="0" w:color="auto"/>
            </w:tcBorders>
            <w:shd w:val="clear" w:color="auto" w:fill="auto"/>
            <w:hideMark/>
          </w:tcPr>
          <w:p w14:paraId="40C1E4AF" w14:textId="3378D735" w:rsidR="00F7196C" w:rsidRPr="00543E11" w:rsidRDefault="00F7196C" w:rsidP="00F7196C">
            <w:pPr>
              <w:pStyle w:val="ListParagraph"/>
              <w:numPr>
                <w:ilvl w:val="0"/>
                <w:numId w:val="27"/>
              </w:numPr>
              <w:ind w:left="362"/>
              <w:jc w:val="left"/>
              <w:textAlignment w:val="baseline"/>
              <w:rPr>
                <w:sz w:val="20"/>
                <w:szCs w:val="20"/>
              </w:rPr>
            </w:pPr>
            <w:r>
              <w:rPr>
                <w:b/>
                <w:sz w:val="20"/>
              </w:rPr>
              <w:t>Rapports relatifs aux activités supplémentaires visant à assurer l’efficacité énergétique dans le secteur de l’entretien de l’équipement de réfrigération (décision 89/6)</w:t>
            </w:r>
            <w:r>
              <w:rPr>
                <w:sz w:val="20"/>
              </w:rPr>
              <w:t> </w:t>
            </w:r>
          </w:p>
        </w:tc>
      </w:tr>
      <w:tr w:rsidR="00F7196C" w:rsidRPr="00355F14" w14:paraId="3D75D606" w14:textId="77777777" w:rsidTr="00AE3A6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5E9F5FF4" w14:textId="34A3627E" w:rsidR="00F7196C" w:rsidRPr="00B95E7B" w:rsidRDefault="00F7196C" w:rsidP="00F7196C">
            <w:pPr>
              <w:textAlignment w:val="baseline"/>
              <w:rPr>
                <w:sz w:val="20"/>
                <w:szCs w:val="20"/>
              </w:rPr>
            </w:pPr>
            <w:r>
              <w:rPr>
                <w:sz w:val="20"/>
              </w:rPr>
              <w:t>Kirghizistan</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233105C2" w14:textId="209DFC68" w:rsidR="00F7196C" w:rsidRPr="00B95E7B" w:rsidRDefault="00F7196C" w:rsidP="00F7196C">
            <w:pPr>
              <w:textAlignment w:val="baseline"/>
              <w:rPr>
                <w:sz w:val="20"/>
                <w:szCs w:val="20"/>
              </w:rPr>
            </w:pPr>
            <w:r>
              <w:rPr>
                <w:sz w:val="20"/>
              </w:rPr>
              <w:t>Activités supplémentaires visant à maintenir l’efficacité énergétique du secteur de l’entretien en vertu de la décision 89/6 b) (rapport périodique et demande de report de la date d’achèvement)</w:t>
            </w:r>
          </w:p>
        </w:tc>
        <w:tc>
          <w:tcPr>
            <w:tcW w:w="1725" w:type="dxa"/>
            <w:tcBorders>
              <w:top w:val="single" w:sz="6" w:space="0" w:color="auto"/>
              <w:left w:val="single" w:sz="6" w:space="0" w:color="auto"/>
              <w:bottom w:val="single" w:sz="6" w:space="0" w:color="auto"/>
              <w:right w:val="single" w:sz="6" w:space="0" w:color="auto"/>
            </w:tcBorders>
            <w:shd w:val="clear" w:color="auto" w:fill="auto"/>
            <w:hideMark/>
          </w:tcPr>
          <w:p w14:paraId="2AB6AF75" w14:textId="5617FDC0" w:rsidR="00F7196C" w:rsidRPr="00543E11" w:rsidRDefault="00543E11" w:rsidP="00F7196C">
            <w:pPr>
              <w:jc w:val="center"/>
              <w:textAlignment w:val="baseline"/>
              <w:rPr>
                <w:sz w:val="20"/>
                <w:szCs w:val="20"/>
              </w:rPr>
            </w:pPr>
            <w:r>
              <w:rPr>
                <w:sz w:val="20"/>
              </w:rPr>
              <w:t>92–100</w:t>
            </w:r>
          </w:p>
        </w:tc>
      </w:tr>
      <w:tr w:rsidR="00F7196C" w:rsidRPr="00355F14" w14:paraId="41DBD2DB"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1C869918" w14:textId="4239E484" w:rsidR="00F7196C" w:rsidRPr="00B95E7B" w:rsidRDefault="00F7196C" w:rsidP="00F7196C">
            <w:pPr>
              <w:textAlignment w:val="baseline"/>
              <w:rPr>
                <w:sz w:val="20"/>
                <w:szCs w:val="20"/>
              </w:rPr>
            </w:pPr>
            <w:r>
              <w:rPr>
                <w:sz w:val="20"/>
              </w:rPr>
              <w:t>Maldives </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72ABF4AC" w14:textId="42006648" w:rsidR="00F7196C" w:rsidRPr="00B95E7B" w:rsidRDefault="00F7196C" w:rsidP="00F7196C">
            <w:pPr>
              <w:textAlignment w:val="baseline"/>
              <w:rPr>
                <w:sz w:val="20"/>
                <w:szCs w:val="20"/>
              </w:rPr>
            </w:pPr>
            <w:r>
              <w:rPr>
                <w:sz w:val="20"/>
              </w:rPr>
              <w:t>Activités supplémentaires visant à maintenir l’efficacité énergétique dans le secteur de l’entretien de l’équipement de la réfrigération au titre de la décision 89/6 b) (demande de report de la date d’achèvement du projet) </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49D66B36" w14:textId="2007C655" w:rsidR="00F7196C" w:rsidRPr="00543E11" w:rsidRDefault="00543E11" w:rsidP="00F7196C">
            <w:pPr>
              <w:jc w:val="center"/>
              <w:textAlignment w:val="baseline"/>
              <w:rPr>
                <w:sz w:val="20"/>
                <w:szCs w:val="20"/>
              </w:rPr>
            </w:pPr>
            <w:r>
              <w:rPr>
                <w:sz w:val="20"/>
              </w:rPr>
              <w:t>101–107</w:t>
            </w:r>
          </w:p>
        </w:tc>
      </w:tr>
    </w:tbl>
    <w:p w14:paraId="634340AB" w14:textId="2615A52F" w:rsidR="00355F14" w:rsidRPr="00442BD9" w:rsidRDefault="00355F14" w:rsidP="00442BD9">
      <w:pPr>
        <w:pStyle w:val="ListParagraph"/>
        <w:numPr>
          <w:ilvl w:val="0"/>
          <w:numId w:val="28"/>
        </w:numPr>
        <w:spacing w:before="240" w:after="240"/>
        <w:ind w:hanging="720"/>
        <w:textAlignment w:val="baseline"/>
        <w:rPr>
          <w:b/>
          <w:bCs/>
        </w:rPr>
      </w:pPr>
      <w:r>
        <w:rPr>
          <w:b/>
        </w:rPr>
        <w:t>Rapports liés aux PGEH</w:t>
      </w:r>
    </w:p>
    <w:p w14:paraId="058A0E66" w14:textId="77777777" w:rsidR="007B27C6" w:rsidRPr="007B27C6" w:rsidRDefault="007B27C6" w:rsidP="007B27C6">
      <w:pPr>
        <w:spacing w:after="240"/>
        <w:ind w:left="720"/>
        <w:rPr>
          <w:b/>
          <w:bCs/>
          <w:u w:val="single"/>
        </w:rPr>
      </w:pPr>
      <w:r>
        <w:rPr>
          <w:b/>
          <w:u w:val="single"/>
        </w:rPr>
        <w:t>Argentine : Plan de gestion de l’élimination des HCFC (phase II – disponibilité des solutions de remplacement à faible potentiel de réchauffement de la planète pour le HCFC‑141b dans le secteur de la fabrication de mousses et usage transitoire de solutions de remplacement à fort potentiel de réchauffement de la planète)</w:t>
      </w:r>
      <w:r>
        <w:rPr>
          <w:b/>
        </w:rPr>
        <w:t xml:space="preserve"> (ONUDI et Gouvernement de l’Italie)</w:t>
      </w:r>
    </w:p>
    <w:p w14:paraId="1C5706C5" w14:textId="77777777" w:rsidR="007B27C6" w:rsidRPr="007B27C6" w:rsidRDefault="007B27C6" w:rsidP="007B27C6">
      <w:pPr>
        <w:spacing w:after="240"/>
        <w:rPr>
          <w:b/>
        </w:rPr>
      </w:pPr>
      <w:r>
        <w:rPr>
          <w:b/>
        </w:rPr>
        <w:t>Contexte</w:t>
      </w:r>
    </w:p>
    <w:p w14:paraId="51AB7162" w14:textId="77777777" w:rsidR="007B27C6" w:rsidRPr="007B27C6" w:rsidRDefault="007B27C6" w:rsidP="007B27C6">
      <w:pPr>
        <w:numPr>
          <w:ilvl w:val="0"/>
          <w:numId w:val="1"/>
        </w:numPr>
        <w:spacing w:after="240"/>
        <w:outlineLvl w:val="0"/>
      </w:pPr>
      <w:r>
        <w:t>Lors de sa 92</w:t>
      </w:r>
      <w:r>
        <w:rPr>
          <w:vertAlign w:val="superscript"/>
        </w:rPr>
        <w:t>e</w:t>
      </w:r>
      <w:r>
        <w:t> réunion, en approuvant la troisième tranche de la phase II du plan de gestion de l’élimination des HCFC (PGEH) pour l’Argentine (décision 92/31), le Comité exécutif a notamment pris note :</w:t>
      </w:r>
    </w:p>
    <w:p w14:paraId="392990D2" w14:textId="77777777" w:rsidR="007B27C6" w:rsidRPr="007B27C6" w:rsidRDefault="007B27C6" w:rsidP="007B27C6">
      <w:pPr>
        <w:widowControl w:val="0"/>
        <w:numPr>
          <w:ilvl w:val="1"/>
          <w:numId w:val="1"/>
        </w:numPr>
        <w:spacing w:after="240"/>
        <w:outlineLvl w:val="1"/>
      </w:pPr>
      <w:r>
        <w:t>des difficultés dues au manque d’approvisionnement en solutions de remplacement au HCFC-141b à faible potentiel de réchauffement de la planète (PRP) dans le secteur de la fabrication des mousses de polyuréthane (PU), ce qui a retardé la mise en œuvre des activités de la phase II dans le secteur de la fabrication de mousses qui auraient permis au Gouvernement de l’Argentine d’éliminer 85,92 tonnes PAO de HCFC ; et</w:t>
      </w:r>
    </w:p>
    <w:p w14:paraId="0AA5A86D" w14:textId="77777777" w:rsidR="007B27C6" w:rsidRPr="007B27C6" w:rsidRDefault="007B27C6" w:rsidP="007B27C6">
      <w:pPr>
        <w:widowControl w:val="0"/>
        <w:numPr>
          <w:ilvl w:val="1"/>
          <w:numId w:val="1"/>
        </w:numPr>
        <w:spacing w:after="240"/>
        <w:outlineLvl w:val="1"/>
      </w:pPr>
      <w:r>
        <w:lastRenderedPageBreak/>
        <w:t>du fait que, dans la mesure où les produits de remplacement n’étaient pas disponibles sur le marché local, des solutions de remplacement à fort PRP pouvaient être utilisées, de façon transitoire, et que le Gouvernement de l’Argentine ferait un rapport à chaque réunion du Comité exécutif sur les avancées réalisées pour s’assurer que les technologies sélectionnées, y compris les composantes connexes, seront disponibles pour les professionnels dans le pays, étant entendu que les coûts différentiels d’exploitation (CDE) ne seront pas financés jusqu’à ce que la transition vers les solutions de remplacement convenues soit achevée.</w:t>
      </w:r>
    </w:p>
    <w:p w14:paraId="103B12CD" w14:textId="77777777" w:rsidR="007B27C6" w:rsidRPr="007B27C6" w:rsidRDefault="007B27C6" w:rsidP="007B27C6">
      <w:pPr>
        <w:numPr>
          <w:ilvl w:val="0"/>
          <w:numId w:val="1"/>
        </w:numPr>
        <w:spacing w:after="240"/>
        <w:outlineLvl w:val="0"/>
      </w:pPr>
      <w:r>
        <w:t>En conséquence, l’ONUDI a communiqué sur cette question à chaque réunion du Comité exécutif </w:t>
      </w:r>
      <w:r w:rsidRPr="007B27C6">
        <w:rPr>
          <w:vertAlign w:val="superscript"/>
        </w:rPr>
        <w:footnoteReference w:id="3"/>
      </w:r>
      <w:r>
        <w:t>, le dernier rapport, à la 95</w:t>
      </w:r>
      <w:r>
        <w:rPr>
          <w:vertAlign w:val="superscript"/>
        </w:rPr>
        <w:t>e</w:t>
      </w:r>
      <w:r>
        <w:t> réunion, soulignant que l’un des fournisseurs avait indiqué qu’il pourrait fournir ses HFO au marché local d’ici 2026 alors que les deux autres fournisseurs avaient confirmé qu’ils étaient en capacité de fournir des HFO à l’Argentine immédiatement. Les fournisseurs ont mentionné la possibilité de conclure des accords commerciaux avec des prix nettement inférieurs à ceux qui ont été signalés précédemment. Ces prix devaient rendre les HFO plus accessibles au marché local même s’ils restent difficiles à obtenir pour les entreprises de transformation locales. Certaines entreprises de mousses de PU utilisaient encore des HFC de manière transitoire, mais le gouvernement a répété qu’il ne s’agissait pas d’une solution à long terme, que les fournisseurs comptaient pour une part importante dans l’adoption de la technologie et que le pays avait besoin du soutien de pays producteurs de HFO pour assurer une alimentation locale fiable.</w:t>
      </w:r>
    </w:p>
    <w:p w14:paraId="454CF49A" w14:textId="77777777" w:rsidR="007B27C6" w:rsidRPr="007B27C6" w:rsidRDefault="007B27C6" w:rsidP="007B27C6">
      <w:pPr>
        <w:numPr>
          <w:ilvl w:val="0"/>
          <w:numId w:val="1"/>
        </w:numPr>
        <w:spacing w:after="240"/>
        <w:outlineLvl w:val="0"/>
      </w:pPr>
      <w:r>
        <w:t>À la 95</w:t>
      </w:r>
      <w:r>
        <w:rPr>
          <w:vertAlign w:val="superscript"/>
        </w:rPr>
        <w:t>e</w:t>
      </w:r>
      <w:r>
        <w:t> réunion, le Comité exécutif a demandé au Gouvernement de l’Argentine et à l’ONUDI, en accord avec la décision 92/31 c) ii), de fournir une mise à jour à la 96</w:t>
      </w:r>
      <w:r>
        <w:rPr>
          <w:vertAlign w:val="superscript"/>
        </w:rPr>
        <w:t>e</w:t>
      </w:r>
      <w:r>
        <w:t> réunion sur la disponibilité sur le marché local des substituts à faible PRP pour le HCFC-141b dans le secteur de la fabrication de mousses et sur l’utilisation transitoire des substituts à fort PRP (décision 95/19 b)).</w:t>
      </w:r>
    </w:p>
    <w:p w14:paraId="34507F47" w14:textId="77777777" w:rsidR="007B27C6" w:rsidRPr="007B27C6" w:rsidRDefault="007B27C6" w:rsidP="007B27C6">
      <w:pPr>
        <w:keepNext/>
        <w:spacing w:after="240"/>
        <w:outlineLvl w:val="0"/>
        <w:rPr>
          <w:b/>
          <w:bCs/>
        </w:rPr>
      </w:pPr>
      <w:r>
        <w:rPr>
          <w:b/>
        </w:rPr>
        <w:t>Rapport périodique</w:t>
      </w:r>
    </w:p>
    <w:p w14:paraId="0F2F9DA3" w14:textId="55DA5D4F" w:rsidR="007B27C6" w:rsidRPr="007B27C6" w:rsidRDefault="007B27C6" w:rsidP="007B27C6">
      <w:pPr>
        <w:numPr>
          <w:ilvl w:val="0"/>
          <w:numId w:val="1"/>
        </w:numPr>
        <w:spacing w:after="240"/>
        <w:outlineLvl w:val="0"/>
      </w:pPr>
      <w:r>
        <w:t>Au nom du Gouvernement de l’Argentine, l’ONUDI a présenté un rapport faisant le point sur l’état de l’approvisionnement, le prix et les délais de livraison des HFO pour le secteur des mousses de PU, à l’issue de consultations supplémentaires menées par le Gouvernement de l’Argentine avec les principaux fournisseurs et les entreprises locales.</w:t>
      </w:r>
    </w:p>
    <w:p w14:paraId="30BF3DB3" w14:textId="353A8680" w:rsidR="007B27C6" w:rsidRPr="007B27C6" w:rsidRDefault="007B27C6" w:rsidP="007B27C6">
      <w:pPr>
        <w:numPr>
          <w:ilvl w:val="0"/>
          <w:numId w:val="1"/>
        </w:numPr>
        <w:spacing w:after="240"/>
        <w:outlineLvl w:val="0"/>
      </w:pPr>
      <w:r>
        <w:t>En ce qui concerne l’alimentation, alors qu’un des fournisseurs continue à communiquer son inaptitude à fournir le marché argentin avant 2026, les deux autres ont reconfirmé leur capacité à fournir leurs HFO immédiatement et la possibilité de réduire les délais de livraison pour de futurs achats par rapport aux 90 à 120 jours initiaux estimés.</w:t>
      </w:r>
    </w:p>
    <w:p w14:paraId="33AEBA72" w14:textId="77777777" w:rsidR="007B27C6" w:rsidRPr="007B27C6" w:rsidRDefault="007B27C6" w:rsidP="007B27C6">
      <w:pPr>
        <w:numPr>
          <w:ilvl w:val="0"/>
          <w:numId w:val="1"/>
        </w:numPr>
        <w:spacing w:after="240"/>
        <w:outlineLvl w:val="0"/>
      </w:pPr>
      <w:r>
        <w:t>En ce qui concerne le prix, depuis la 95</w:t>
      </w:r>
      <w:r>
        <w:rPr>
          <w:vertAlign w:val="superscript"/>
        </w:rPr>
        <w:t>e</w:t>
      </w:r>
      <w:r>
        <w:t> réunion, les sociétés de formulation ont confirmé qu’elles ont trouvé un prix abordable pour la transition et presque toutes ont passé leurs premières commandes pour commencer à utiliser des HFO. Les premières importations de HFO seront livrées en conteneurs d’une tonne qui doivent être restitués pour réutilisation. Toutefois, l’un des fournisseurs a indiqué qu’il ne pouvait pas garantir les quantités demandées par les sociétés de formulation en raison d’une pénurie de conteneurs pour l’expédition, qui reste à résoudre.</w:t>
      </w:r>
    </w:p>
    <w:p w14:paraId="513366A7" w14:textId="2146BE6F" w:rsidR="007B27C6" w:rsidRPr="007B27C6" w:rsidRDefault="007B27C6" w:rsidP="007B27C6">
      <w:pPr>
        <w:numPr>
          <w:ilvl w:val="0"/>
          <w:numId w:val="1"/>
        </w:numPr>
        <w:spacing w:after="240"/>
        <w:outlineLvl w:val="0"/>
      </w:pPr>
      <w:r>
        <w:t>Comme les expéditions initiales de HFO ne sont pas encore arrivées dans le pays, les HFO ne sont toujours pas consommés ou utilisés en Argentine en remplacement du HCFC-141b. L’ONUDI a confirmé que certaines entreprises utilisent toujours des HFC de manière transitoire comme solution de remplacement du HCFC-141b, mais le gouvernement a répété qu’il ne s’agit pas d’une solution à long terme et que le pays a toujours besoin du soutien des pays producteurs de HFO pour assurer l’alimentation en HFO.</w:t>
      </w:r>
    </w:p>
    <w:p w14:paraId="3BF5FA32" w14:textId="77777777" w:rsidR="007B27C6" w:rsidRPr="007B27C6" w:rsidRDefault="007B27C6" w:rsidP="007B27C6">
      <w:pPr>
        <w:numPr>
          <w:ilvl w:val="0"/>
          <w:numId w:val="1"/>
        </w:numPr>
        <w:spacing w:after="240"/>
        <w:outlineLvl w:val="0"/>
      </w:pPr>
      <w:r>
        <w:lastRenderedPageBreak/>
        <w:t>Enfin l’ONUDI a également indiqué qu’aucune licence n’a été octroyée pour l’importation de HCFC-141b en 2025. En conséquence, jusqu’à la livraison des premiers conteneurs de HFO, les sociétés de formulation se débrouillent avec les stocks existants de HCFC-141b ou de HFC.</w:t>
      </w:r>
    </w:p>
    <w:p w14:paraId="668C2EB9" w14:textId="77777777" w:rsidR="007B27C6" w:rsidRPr="007B27C6" w:rsidRDefault="007B27C6" w:rsidP="007B27C6">
      <w:pPr>
        <w:spacing w:after="240"/>
        <w:outlineLvl w:val="0"/>
        <w:rPr>
          <w:b/>
        </w:rPr>
      </w:pPr>
      <w:r>
        <w:rPr>
          <w:b/>
        </w:rPr>
        <w:t>Observations du secrétariat</w:t>
      </w:r>
    </w:p>
    <w:p w14:paraId="2AE951E4" w14:textId="77777777" w:rsidR="007B27C6" w:rsidRPr="007B27C6" w:rsidRDefault="007B27C6" w:rsidP="007B27C6">
      <w:pPr>
        <w:numPr>
          <w:ilvl w:val="0"/>
          <w:numId w:val="1"/>
        </w:numPr>
        <w:spacing w:after="240"/>
        <w:outlineLvl w:val="0"/>
      </w:pPr>
      <w:r>
        <w:t>Le secrétariat prend note du rapport fournissant une mise à jour au sujet de l’approvisionnement, des prix et de la disponibilité des HFO dans le secteur des mousses de PU, de la confirmation que certaines entreprises continuent d’utiliser les HFC de manière temporaire comme solution de remplacement au HCFC-141b ainsi que de la réaffirmation de la volonté des usines de traitement locales d’adopter les HFO comme solution de remplacement une fois que les obstacles de prix et d’approvisionnement seront résolus.</w:t>
      </w:r>
    </w:p>
    <w:p w14:paraId="53F753C5" w14:textId="77777777" w:rsidR="007B27C6" w:rsidRPr="007B27C6" w:rsidRDefault="007B27C6" w:rsidP="007B27C6">
      <w:pPr>
        <w:numPr>
          <w:ilvl w:val="0"/>
          <w:numId w:val="1"/>
        </w:numPr>
        <w:spacing w:after="240"/>
        <w:outlineLvl w:val="0"/>
      </w:pPr>
      <w:r>
        <w:t>Au sujet des problèmes possibles découlant de l’utilisation de conteneurs d’une tonne pour les importations de HFO, l’ONUDI a expliqué que l’utilisation de ces plus petits réservoirs entraîne des coûts d’exportation supplémentaires, qui sont déjà inclus lors de l’utilisation de réservoirs ISO dans des conteneurs. L’ONUDI travaille avec les sociétés de formulation sur des manières possibles de réduire ou d’éviter ces coûts supplémentaires. Il est prévu que tous les achats en cours soient livrés entre mai et juin.</w:t>
      </w:r>
    </w:p>
    <w:p w14:paraId="52559265" w14:textId="77777777" w:rsidR="007B27C6" w:rsidRPr="007B27C6" w:rsidRDefault="007B27C6" w:rsidP="007B27C6">
      <w:pPr>
        <w:numPr>
          <w:ilvl w:val="0"/>
          <w:numId w:val="1"/>
        </w:numPr>
        <w:spacing w:after="240"/>
        <w:outlineLvl w:val="0"/>
      </w:pPr>
      <w:r>
        <w:t>Le secrétariat a pris note que, à la 92</w:t>
      </w:r>
      <w:r>
        <w:rPr>
          <w:vertAlign w:val="superscript"/>
        </w:rPr>
        <w:t>e</w:t>
      </w:r>
      <w:r>
        <w:t> réunion, le Comité exécutif a approuvé un report de la phase II à décembre 2024 et a convenu d’examiner la situation au moment de la présentation de la tranche suivante. Comme la tranche suivante n’a pas encore été présentée à cause du problème en cours avec les solutions de remplacement pour les mousses de PU, ce report n’a pas été réexaminé. En consultation avec le gouvernement, l’ONUDI a indiqué que, étant donné les commandes en cours restant à livrer, le gouvernement sera en meilleure position pour établir une date d’achèvement révisée à la 97</w:t>
      </w:r>
      <w:r>
        <w:rPr>
          <w:vertAlign w:val="superscript"/>
        </w:rPr>
        <w:t>e</w:t>
      </w:r>
      <w:r>
        <w:t> réunion, en même temps que la demande pour la deuxième tranche.</w:t>
      </w:r>
    </w:p>
    <w:p w14:paraId="37DE00C3" w14:textId="32046B50" w:rsidR="007B27C6" w:rsidRPr="007B27C6" w:rsidRDefault="007B27C6" w:rsidP="007B27C6">
      <w:pPr>
        <w:numPr>
          <w:ilvl w:val="0"/>
          <w:numId w:val="1"/>
        </w:numPr>
        <w:spacing w:after="240"/>
        <w:outlineLvl w:val="0"/>
      </w:pPr>
      <w:r>
        <w:t>Le secrétariat prend également note avec satisfaction qu’après la 95</w:t>
      </w:r>
      <w:r>
        <w:rPr>
          <w:vertAlign w:val="superscript"/>
        </w:rPr>
        <w:t>e</w:t>
      </w:r>
      <w:r>
        <w:t> réunion, le gouvernement a poursuivi ses discussions avec les fournisseurs de HFO et les sociétés de formulation, et que des progrès supplémentaires ont été réalisés, avec la livraison de premiers achats prévue dans les deux prochains mois. Sachant que le problème de disponibilité des solutions de remplacement pour la fabrication des mousses de PU fera l’objet d’une discussion au point 11 de l’ordre du jour de la 96</w:t>
      </w:r>
      <w:r>
        <w:rPr>
          <w:vertAlign w:val="superscript"/>
        </w:rPr>
        <w:t>e</w:t>
      </w:r>
      <w:r>
        <w:t> réunion, le secrétariat a inclus les informations actualisées sur le projet des mousses de PU en Argentine dans le document UNEP/OzL.Pro/ExCom/96/60.</w:t>
      </w:r>
    </w:p>
    <w:p w14:paraId="5AD00B09" w14:textId="6E959E5F" w:rsidR="007B27C6" w:rsidRPr="007B27C6" w:rsidRDefault="007B27C6" w:rsidP="007B27C6">
      <w:pPr>
        <w:numPr>
          <w:ilvl w:val="0"/>
          <w:numId w:val="1"/>
        </w:numPr>
        <w:spacing w:after="240"/>
        <w:outlineLvl w:val="0"/>
      </w:pPr>
      <w:r>
        <w:t>Malgré les importants progrès supplémentaires réalisés, les problèmes de disponibilité et de prix des produits de remplacement à faible PRP ne sont toujours pas complètement résolus, et des produits de remplacement à fort PRP sont toujours utilisés à titre transitoire. Par conséquent, conformément à la décision 92/31 c) ii), le secrétariat recommande au Gouvernement de l’Argentine de continuer à présenter des rapports au Comité exécutif sur cette question.</w:t>
      </w:r>
    </w:p>
    <w:p w14:paraId="7A443C12" w14:textId="77777777" w:rsidR="007B27C6" w:rsidRPr="007B27C6" w:rsidRDefault="007B27C6" w:rsidP="007B27C6">
      <w:pPr>
        <w:keepNext/>
        <w:keepLines/>
        <w:spacing w:after="240"/>
        <w:outlineLvl w:val="0"/>
        <w:rPr>
          <w:b/>
        </w:rPr>
      </w:pPr>
      <w:r>
        <w:rPr>
          <w:b/>
        </w:rPr>
        <w:t>Recommandation</w:t>
      </w:r>
    </w:p>
    <w:p w14:paraId="26C17CA5" w14:textId="77777777" w:rsidR="007B27C6" w:rsidRPr="007B27C6" w:rsidRDefault="007B27C6" w:rsidP="007B27C6">
      <w:pPr>
        <w:keepNext/>
        <w:keepLines/>
        <w:numPr>
          <w:ilvl w:val="0"/>
          <w:numId w:val="1"/>
        </w:numPr>
        <w:spacing w:after="240"/>
        <w:outlineLvl w:val="0"/>
      </w:pPr>
      <w:r>
        <w:t>Le Comité exécutif pourrait envisager :</w:t>
      </w:r>
    </w:p>
    <w:p w14:paraId="67D79464" w14:textId="77777777" w:rsidR="007B27C6" w:rsidRPr="007B27C6" w:rsidRDefault="007B27C6" w:rsidP="007B27C6">
      <w:pPr>
        <w:keepNext/>
        <w:keepLines/>
        <w:numPr>
          <w:ilvl w:val="1"/>
          <w:numId w:val="1"/>
        </w:numPr>
        <w:spacing w:after="240"/>
        <w:outlineLvl w:val="1"/>
      </w:pPr>
      <w:r>
        <w:t xml:space="preserve">de prendre note de la situation sur la </w:t>
      </w:r>
      <w:bookmarkStart w:id="0" w:name="_Hlk152497896"/>
      <w:r>
        <w:t>disponibilité des solutions de remplacement des HCFC-141b à faible potentiel de réchauffement de la planète (PRP) dans le secteur des mousses et de l’utilisation transitoire des solutions de remplacement à fort PRP</w:t>
      </w:r>
      <w:bookmarkEnd w:id="0"/>
      <w:r>
        <w:t xml:space="preserve"> dans le contexte de la phase II du plan de gestion de l’élimination des HCFC de l’Argentine, fourni par l’ONUDI et contenu dans le document UNEP/OzL.Pro/ExCom/96/11 ; et</w:t>
      </w:r>
    </w:p>
    <w:p w14:paraId="5464A0FC" w14:textId="77777777" w:rsidR="007B27C6" w:rsidRPr="007B27C6" w:rsidRDefault="007B27C6" w:rsidP="007B27C6">
      <w:pPr>
        <w:widowControl w:val="0"/>
        <w:numPr>
          <w:ilvl w:val="1"/>
          <w:numId w:val="1"/>
        </w:numPr>
        <w:spacing w:after="240"/>
        <w:outlineLvl w:val="1"/>
      </w:pPr>
      <w:r>
        <w:t>de demander au Gouvernement de l’Argentine et à l’ONUDI, en accord avec la décision 92/31 c) ii), de fournir une mise à jour à la 97</w:t>
      </w:r>
      <w:r>
        <w:rPr>
          <w:vertAlign w:val="superscript"/>
        </w:rPr>
        <w:t>e</w:t>
      </w:r>
      <w:r>
        <w:t xml:space="preserve"> réunion au sujet de la disponibilité sur le marché local des solutions de remplacement des HCFC-141b à faible PRP dans le secteur de la fabrication des mousses et de l’usage transitoire des solutions de </w:t>
      </w:r>
      <w:r>
        <w:lastRenderedPageBreak/>
        <w:t>remplacement à fort PRP.</w:t>
      </w:r>
    </w:p>
    <w:p w14:paraId="361DBEED" w14:textId="5CD26136" w:rsidR="00543A70" w:rsidRPr="00543A70" w:rsidRDefault="00543A70" w:rsidP="00543A70">
      <w:pPr>
        <w:spacing w:after="240"/>
        <w:ind w:left="720"/>
        <w:rPr>
          <w:rFonts w:eastAsiaTheme="minorEastAsia"/>
          <w:b/>
          <w:bCs/>
        </w:rPr>
      </w:pPr>
      <w:r>
        <w:rPr>
          <w:b/>
          <w:u w:val="single"/>
        </w:rPr>
        <w:t xml:space="preserve">Brésil : Plan de gestion de l’élimination des HCFC (phase II – rapport périodique sur la mise en œuvre des programmes de travail associés à la </w:t>
      </w:r>
      <w:r w:rsidR="002A0B51" w:rsidRPr="002A0B51">
        <w:rPr>
          <w:b/>
          <w:u w:val="single"/>
        </w:rPr>
        <w:t>sixième</w:t>
      </w:r>
      <w:r>
        <w:rPr>
          <w:b/>
          <w:u w:val="single"/>
        </w:rPr>
        <w:t xml:space="preserve"> et dernière tranche)</w:t>
      </w:r>
      <w:r>
        <w:rPr>
          <w:b/>
        </w:rPr>
        <w:t xml:space="preserve"> (PNUD, ONUDI et Gouvernement de l’Allemagne)</w:t>
      </w:r>
    </w:p>
    <w:p w14:paraId="2E326BA8" w14:textId="77777777" w:rsidR="00543A70" w:rsidRPr="00543A70" w:rsidRDefault="00543A70" w:rsidP="00543A70">
      <w:pPr>
        <w:spacing w:before="240" w:after="240"/>
        <w:rPr>
          <w:rFonts w:eastAsiaTheme="minorEastAsia"/>
          <w:b/>
          <w:bCs/>
        </w:rPr>
      </w:pPr>
      <w:r>
        <w:rPr>
          <w:b/>
        </w:rPr>
        <w:t>Contexte</w:t>
      </w:r>
    </w:p>
    <w:p w14:paraId="5F58D28A" w14:textId="77777777" w:rsidR="00543A70" w:rsidRPr="00543A70" w:rsidRDefault="00543A70" w:rsidP="00543A70">
      <w:pPr>
        <w:numPr>
          <w:ilvl w:val="0"/>
          <w:numId w:val="1"/>
        </w:numPr>
        <w:spacing w:after="240"/>
        <w:outlineLvl w:val="0"/>
        <w:rPr>
          <w:rFonts w:eastAsiaTheme="minorEastAsia"/>
        </w:rPr>
      </w:pPr>
      <w:r>
        <w:t>À sa 94</w:t>
      </w:r>
      <w:r>
        <w:rPr>
          <w:vertAlign w:val="superscript"/>
        </w:rPr>
        <w:t>e</w:t>
      </w:r>
      <w:r>
        <w:t> réunion, en approuvant la sixième et dernière tranche de la phase II du plan de gestion de l’élimination des HCFC (PGEH) pour le Brésil, le Comité exécutif a demandé au Gouvernement du Brésil, au PNUD, à l’ONUDI et au Gouvernement de l’Allemagne de présenter, à la 96</w:t>
      </w:r>
      <w:r>
        <w:rPr>
          <w:vertAlign w:val="superscript"/>
        </w:rPr>
        <w:t>e</w:t>
      </w:r>
      <w:r>
        <w:t> réunion, un rapport périodique sur la mise en œuvre des programmes de travail associés à cette tranche, comprenant une liste complète des entreprises utilisatrices de mousse en aval financées par le Fonds multilatéral au titre de la phase II, en spécifiant leurs sous-secteurs, la consommation de HCFC</w:t>
      </w:r>
      <w:r>
        <w:noBreakHyphen/>
        <w:t>141b éliminée et les nouvelles technologies adoptées (décision 94/33 b)).</w:t>
      </w:r>
    </w:p>
    <w:p w14:paraId="6D91CF0C" w14:textId="05660278" w:rsidR="00543A70" w:rsidRPr="00543A70" w:rsidRDefault="00543A70" w:rsidP="00543A70">
      <w:pPr>
        <w:numPr>
          <w:ilvl w:val="0"/>
          <w:numId w:val="1"/>
        </w:numPr>
        <w:spacing w:after="240"/>
        <w:outlineLvl w:val="0"/>
        <w:rPr>
          <w:rFonts w:eastAsiaTheme="minorEastAsia"/>
        </w:rPr>
      </w:pPr>
      <w:r>
        <w:t>Le Gouvernement du Brésil a déclaré une consommation de 491,60 tonnes PAO de HCFC en 2023, consommation inférieure de 63 pour cent à la valeur de référence du pays pour les HCFC en matière de conformité </w:t>
      </w:r>
      <w:r w:rsidRPr="00543A70">
        <w:rPr>
          <w:rFonts w:eastAsiaTheme="minorEastAsia"/>
          <w:vertAlign w:val="superscript"/>
          <w:lang w:eastAsia="zh-CN"/>
        </w:rPr>
        <w:footnoteReference w:id="4"/>
      </w:r>
      <w:r>
        <w:t>. Le rapport de mise en œuvre du programme du pays (PP) pour 2024 sera disponible en mai 2025, avec une estimation préliminaire de la consommation s’élevant à moins de 484,46 tonnes PAO. Le tableau 3 indique la consommation de HCFC pour la période 2020–2023.</w:t>
      </w:r>
    </w:p>
    <w:p w14:paraId="0DC0F42D" w14:textId="3A349A85" w:rsidR="00543A70" w:rsidRPr="00543A70" w:rsidRDefault="00543A70" w:rsidP="009C5A95">
      <w:pPr>
        <w:keepNext/>
        <w:rPr>
          <w:rFonts w:eastAsiaTheme="minorEastAsia"/>
        </w:rPr>
      </w:pPr>
      <w:r>
        <w:rPr>
          <w:b/>
        </w:rPr>
        <w:t>Tableau 3.</w:t>
      </w:r>
      <w:r>
        <w:t xml:space="preserve"> </w:t>
      </w:r>
      <w:r>
        <w:rPr>
          <w:b/>
        </w:rPr>
        <w:t>Consommation de HCFC au Brésil (2020–2023, données de l’article 7)</w:t>
      </w:r>
    </w:p>
    <w:tbl>
      <w:tblPr>
        <w:tblW w:w="5000" w:type="pct"/>
        <w:tblLook w:val="04A0" w:firstRow="1" w:lastRow="0" w:firstColumn="1" w:lastColumn="0" w:noHBand="0" w:noVBand="1"/>
      </w:tblPr>
      <w:tblGrid>
        <w:gridCol w:w="3381"/>
        <w:gridCol w:w="1193"/>
        <w:gridCol w:w="1193"/>
        <w:gridCol w:w="1195"/>
        <w:gridCol w:w="1194"/>
        <w:gridCol w:w="1194"/>
      </w:tblGrid>
      <w:tr w:rsidR="00543A70" w:rsidRPr="00543A70" w14:paraId="4B68A810" w14:textId="77777777" w:rsidTr="0069776D">
        <w:trPr>
          <w:tblHeader/>
        </w:trPr>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641CB8" w14:textId="77777777" w:rsidR="00543A70" w:rsidRPr="00543A70" w:rsidRDefault="00543A70" w:rsidP="00543A70">
            <w:pPr>
              <w:keepNext/>
              <w:jc w:val="center"/>
              <w:rPr>
                <w:b/>
                <w:bCs/>
                <w:color w:val="000000"/>
                <w:sz w:val="20"/>
                <w:szCs w:val="20"/>
              </w:rPr>
            </w:pPr>
            <w:r>
              <w:rPr>
                <w:b/>
                <w:color w:val="000000"/>
                <w:sz w:val="20"/>
              </w:rPr>
              <w:t>HCFC</w:t>
            </w:r>
          </w:p>
        </w:tc>
        <w:tc>
          <w:tcPr>
            <w:tcW w:w="652" w:type="pct"/>
            <w:tcBorders>
              <w:top w:val="single" w:sz="4" w:space="0" w:color="auto"/>
              <w:left w:val="nil"/>
              <w:bottom w:val="single" w:sz="4" w:space="0" w:color="auto"/>
              <w:right w:val="single" w:sz="4" w:space="0" w:color="auto"/>
            </w:tcBorders>
            <w:shd w:val="clear" w:color="auto" w:fill="auto"/>
            <w:noWrap/>
            <w:vAlign w:val="center"/>
            <w:hideMark/>
          </w:tcPr>
          <w:p w14:paraId="21AE856E" w14:textId="77777777" w:rsidR="00543A70" w:rsidRPr="00543A70" w:rsidRDefault="00543A70" w:rsidP="00543A70">
            <w:pPr>
              <w:keepNext/>
              <w:jc w:val="center"/>
              <w:rPr>
                <w:b/>
                <w:bCs/>
                <w:color w:val="000000"/>
                <w:sz w:val="20"/>
                <w:szCs w:val="20"/>
              </w:rPr>
            </w:pPr>
            <w:r>
              <w:rPr>
                <w:b/>
                <w:color w:val="000000"/>
                <w:sz w:val="20"/>
              </w:rPr>
              <w:t>2020</w:t>
            </w:r>
          </w:p>
        </w:tc>
        <w:tc>
          <w:tcPr>
            <w:tcW w:w="652" w:type="pct"/>
            <w:tcBorders>
              <w:top w:val="single" w:sz="4" w:space="0" w:color="auto"/>
              <w:left w:val="nil"/>
              <w:bottom w:val="single" w:sz="4" w:space="0" w:color="auto"/>
              <w:right w:val="single" w:sz="4" w:space="0" w:color="auto"/>
            </w:tcBorders>
            <w:shd w:val="clear" w:color="auto" w:fill="auto"/>
            <w:noWrap/>
            <w:vAlign w:val="center"/>
            <w:hideMark/>
          </w:tcPr>
          <w:p w14:paraId="3F41847C" w14:textId="77777777" w:rsidR="00543A70" w:rsidRPr="00543A70" w:rsidRDefault="00543A70" w:rsidP="00543A70">
            <w:pPr>
              <w:keepNext/>
              <w:jc w:val="center"/>
              <w:rPr>
                <w:b/>
                <w:bCs/>
                <w:color w:val="000000"/>
                <w:sz w:val="20"/>
                <w:szCs w:val="20"/>
              </w:rPr>
            </w:pPr>
            <w:r>
              <w:rPr>
                <w:b/>
                <w:color w:val="000000"/>
                <w:sz w:val="20"/>
              </w:rPr>
              <w:t>2021</w:t>
            </w:r>
          </w:p>
        </w:tc>
        <w:tc>
          <w:tcPr>
            <w:tcW w:w="653" w:type="pct"/>
            <w:tcBorders>
              <w:top w:val="single" w:sz="4" w:space="0" w:color="auto"/>
              <w:left w:val="nil"/>
              <w:bottom w:val="single" w:sz="4" w:space="0" w:color="auto"/>
              <w:right w:val="single" w:sz="4" w:space="0" w:color="auto"/>
            </w:tcBorders>
            <w:shd w:val="clear" w:color="auto" w:fill="auto"/>
            <w:vAlign w:val="center"/>
          </w:tcPr>
          <w:p w14:paraId="4F845360" w14:textId="77777777" w:rsidR="00543A70" w:rsidRPr="00543A70" w:rsidRDefault="00543A70" w:rsidP="00543A70">
            <w:pPr>
              <w:keepNext/>
              <w:jc w:val="center"/>
              <w:rPr>
                <w:b/>
                <w:bCs/>
                <w:color w:val="000000"/>
                <w:sz w:val="20"/>
                <w:szCs w:val="20"/>
              </w:rPr>
            </w:pPr>
            <w:r>
              <w:rPr>
                <w:b/>
                <w:color w:val="000000"/>
                <w:sz w:val="20"/>
              </w:rPr>
              <w:t>2022</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227F6AE9" w14:textId="77777777" w:rsidR="00543A70" w:rsidRPr="00543A70" w:rsidRDefault="00543A70" w:rsidP="00543A70">
            <w:pPr>
              <w:keepNext/>
              <w:jc w:val="center"/>
              <w:rPr>
                <w:b/>
                <w:bCs/>
                <w:color w:val="000000"/>
                <w:sz w:val="20"/>
                <w:szCs w:val="20"/>
              </w:rPr>
            </w:pPr>
            <w:r>
              <w:rPr>
                <w:b/>
                <w:color w:val="000000"/>
                <w:sz w:val="20"/>
              </w:rPr>
              <w:t>2023</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0D3528BE" w14:textId="77777777" w:rsidR="00543A70" w:rsidRPr="00543A70" w:rsidRDefault="00543A70" w:rsidP="00543A70">
            <w:pPr>
              <w:keepNext/>
              <w:jc w:val="center"/>
              <w:rPr>
                <w:b/>
                <w:bCs/>
                <w:color w:val="000000"/>
                <w:sz w:val="20"/>
                <w:szCs w:val="20"/>
              </w:rPr>
            </w:pPr>
            <w:r>
              <w:rPr>
                <w:b/>
                <w:color w:val="000000"/>
                <w:sz w:val="20"/>
              </w:rPr>
              <w:t>Référence</w:t>
            </w:r>
          </w:p>
        </w:tc>
      </w:tr>
      <w:tr w:rsidR="00543A70" w:rsidRPr="00543A70" w14:paraId="02241B87" w14:textId="77777777" w:rsidTr="0069776D">
        <w:tc>
          <w:tcPr>
            <w:tcW w:w="5000" w:type="pct"/>
            <w:gridSpan w:val="6"/>
            <w:tcBorders>
              <w:top w:val="nil"/>
              <w:left w:val="single" w:sz="4" w:space="0" w:color="auto"/>
              <w:bottom w:val="single" w:sz="4" w:space="0" w:color="auto"/>
              <w:right w:val="single" w:sz="4" w:space="0" w:color="auto"/>
            </w:tcBorders>
            <w:shd w:val="clear" w:color="auto" w:fill="auto"/>
          </w:tcPr>
          <w:p w14:paraId="090439A5" w14:textId="77777777" w:rsidR="00543A70" w:rsidRPr="00543A70" w:rsidRDefault="00543A70" w:rsidP="00543A70">
            <w:pPr>
              <w:keepNext/>
              <w:jc w:val="left"/>
              <w:rPr>
                <w:b/>
                <w:bCs/>
                <w:color w:val="000000"/>
                <w:sz w:val="20"/>
                <w:szCs w:val="20"/>
              </w:rPr>
            </w:pPr>
            <w:r>
              <w:rPr>
                <w:b/>
                <w:color w:val="000000"/>
                <w:sz w:val="20"/>
              </w:rPr>
              <w:t>Tonnes métriques (tm)</w:t>
            </w:r>
          </w:p>
        </w:tc>
      </w:tr>
      <w:tr w:rsidR="00543A70" w:rsidRPr="00543A70" w14:paraId="7F462689"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40C071" w14:textId="77777777" w:rsidR="00543A70" w:rsidRPr="00543A70" w:rsidRDefault="00543A70" w:rsidP="00543A70">
            <w:pPr>
              <w:widowControl w:val="0"/>
              <w:tabs>
                <w:tab w:val="left" w:pos="430"/>
              </w:tabs>
              <w:ind w:left="92" w:right="63"/>
              <w:jc w:val="left"/>
              <w:rPr>
                <w:sz w:val="20"/>
                <w:szCs w:val="20"/>
              </w:rPr>
            </w:pPr>
            <w:r>
              <w:rPr>
                <w:color w:val="000000"/>
                <w:sz w:val="20"/>
              </w:rPr>
              <w:t>HCFC-22</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52383F2" w14:textId="77777777" w:rsidR="00543A70" w:rsidRPr="00543A70" w:rsidRDefault="00543A70" w:rsidP="00543A70">
            <w:pPr>
              <w:jc w:val="right"/>
              <w:rPr>
                <w:rFonts w:eastAsiaTheme="minorEastAsia"/>
                <w:sz w:val="20"/>
                <w:szCs w:val="20"/>
              </w:rPr>
            </w:pPr>
            <w:r>
              <w:rPr>
                <w:sz w:val="20"/>
              </w:rPr>
              <w:t>7 652,80</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4E89C40A" w14:textId="77777777" w:rsidR="00543A70" w:rsidRPr="00543A70" w:rsidRDefault="00543A70" w:rsidP="00543A70">
            <w:pPr>
              <w:jc w:val="right"/>
              <w:rPr>
                <w:rFonts w:eastAsiaTheme="minorEastAsia"/>
                <w:sz w:val="20"/>
                <w:szCs w:val="20"/>
              </w:rPr>
            </w:pPr>
            <w:r>
              <w:rPr>
                <w:sz w:val="20"/>
              </w:rPr>
              <w:t>8 352,53</w:t>
            </w:r>
          </w:p>
        </w:tc>
        <w:tc>
          <w:tcPr>
            <w:tcW w:w="653" w:type="pct"/>
            <w:tcBorders>
              <w:top w:val="single" w:sz="4" w:space="0" w:color="auto"/>
              <w:left w:val="nil"/>
              <w:bottom w:val="single" w:sz="4" w:space="0" w:color="auto"/>
              <w:right w:val="single" w:sz="4" w:space="0" w:color="auto"/>
            </w:tcBorders>
            <w:shd w:val="clear" w:color="auto" w:fill="auto"/>
            <w:vAlign w:val="bottom"/>
          </w:tcPr>
          <w:p w14:paraId="16328768" w14:textId="77777777" w:rsidR="00543A70" w:rsidRPr="00543A70" w:rsidRDefault="00543A70" w:rsidP="00543A70">
            <w:pPr>
              <w:jc w:val="right"/>
              <w:rPr>
                <w:rFonts w:eastAsiaTheme="minorEastAsia"/>
                <w:sz w:val="20"/>
                <w:szCs w:val="20"/>
              </w:rPr>
            </w:pPr>
            <w:r>
              <w:rPr>
                <w:sz w:val="20"/>
              </w:rPr>
              <w:t>9 764,37</w:t>
            </w:r>
          </w:p>
        </w:tc>
        <w:tc>
          <w:tcPr>
            <w:tcW w:w="652" w:type="pct"/>
            <w:tcBorders>
              <w:top w:val="single" w:sz="4" w:space="0" w:color="auto"/>
              <w:left w:val="nil"/>
              <w:bottom w:val="single" w:sz="4" w:space="0" w:color="auto"/>
              <w:right w:val="single" w:sz="4" w:space="0" w:color="auto"/>
            </w:tcBorders>
            <w:shd w:val="clear" w:color="auto" w:fill="auto"/>
            <w:vAlign w:val="bottom"/>
          </w:tcPr>
          <w:p w14:paraId="2B81571B" w14:textId="77777777" w:rsidR="00543A70" w:rsidRPr="00543A70" w:rsidRDefault="00543A70" w:rsidP="00543A70">
            <w:pPr>
              <w:jc w:val="right"/>
              <w:rPr>
                <w:rFonts w:eastAsiaTheme="minorEastAsia"/>
                <w:sz w:val="20"/>
                <w:szCs w:val="20"/>
              </w:rPr>
            </w:pPr>
            <w:r>
              <w:rPr>
                <w:sz w:val="20"/>
              </w:rPr>
              <w:t>8 092,24</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1BF774BD" w14:textId="77777777" w:rsidR="00543A70" w:rsidRPr="00543A70" w:rsidRDefault="00543A70" w:rsidP="00543A70">
            <w:pPr>
              <w:widowControl w:val="0"/>
              <w:tabs>
                <w:tab w:val="left" w:pos="430"/>
              </w:tabs>
              <w:ind w:left="-137" w:right="63"/>
              <w:jc w:val="right"/>
              <w:rPr>
                <w:color w:val="000000"/>
                <w:sz w:val="20"/>
                <w:szCs w:val="20"/>
              </w:rPr>
            </w:pPr>
            <w:r>
              <w:rPr>
                <w:color w:val="000000"/>
                <w:sz w:val="20"/>
              </w:rPr>
              <w:t>14 401,0</w:t>
            </w:r>
          </w:p>
        </w:tc>
      </w:tr>
      <w:tr w:rsidR="00543A70" w:rsidRPr="00543A70" w14:paraId="5A826515"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415898" w14:textId="77777777" w:rsidR="00543A70" w:rsidRPr="00543A70" w:rsidRDefault="00543A70" w:rsidP="00543A70">
            <w:pPr>
              <w:widowControl w:val="0"/>
              <w:tabs>
                <w:tab w:val="left" w:pos="430"/>
              </w:tabs>
              <w:ind w:left="92" w:right="63"/>
              <w:jc w:val="left"/>
              <w:rPr>
                <w:sz w:val="20"/>
                <w:szCs w:val="20"/>
              </w:rPr>
            </w:pPr>
            <w:r>
              <w:rPr>
                <w:color w:val="000000"/>
                <w:sz w:val="20"/>
              </w:rPr>
              <w:t>HCFC-123</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2F09EC2" w14:textId="77777777" w:rsidR="00543A70" w:rsidRPr="00543A70" w:rsidRDefault="00543A70" w:rsidP="00543A70">
            <w:pPr>
              <w:jc w:val="right"/>
              <w:rPr>
                <w:rFonts w:eastAsiaTheme="minorEastAsia"/>
                <w:sz w:val="20"/>
                <w:szCs w:val="20"/>
              </w:rPr>
            </w:pPr>
            <w:r>
              <w:rPr>
                <w:sz w:val="20"/>
              </w:rPr>
              <w:t>14,89</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64071C4A" w14:textId="77777777" w:rsidR="00543A70" w:rsidRPr="00543A70" w:rsidRDefault="00543A70" w:rsidP="00543A70">
            <w:pPr>
              <w:jc w:val="right"/>
              <w:rPr>
                <w:rFonts w:eastAsiaTheme="minorEastAsia"/>
                <w:sz w:val="20"/>
                <w:szCs w:val="20"/>
              </w:rPr>
            </w:pPr>
            <w:r>
              <w:rPr>
                <w:sz w:val="20"/>
              </w:rPr>
              <w:t>14,89</w:t>
            </w:r>
          </w:p>
        </w:tc>
        <w:tc>
          <w:tcPr>
            <w:tcW w:w="653" w:type="pct"/>
            <w:tcBorders>
              <w:top w:val="single" w:sz="4" w:space="0" w:color="auto"/>
              <w:left w:val="nil"/>
              <w:bottom w:val="single" w:sz="4" w:space="0" w:color="auto"/>
              <w:right w:val="single" w:sz="4" w:space="0" w:color="auto"/>
            </w:tcBorders>
            <w:shd w:val="clear" w:color="auto" w:fill="auto"/>
            <w:vAlign w:val="bottom"/>
          </w:tcPr>
          <w:p w14:paraId="7FD53C57" w14:textId="77777777" w:rsidR="00543A70" w:rsidRPr="00543A70" w:rsidRDefault="00543A70" w:rsidP="00543A70">
            <w:pPr>
              <w:jc w:val="right"/>
              <w:rPr>
                <w:rFonts w:eastAsiaTheme="minorEastAsia"/>
                <w:sz w:val="20"/>
                <w:szCs w:val="20"/>
              </w:rPr>
            </w:pPr>
            <w:r>
              <w:rPr>
                <w:sz w:val="20"/>
              </w:rPr>
              <w:t>14,89</w:t>
            </w:r>
          </w:p>
        </w:tc>
        <w:tc>
          <w:tcPr>
            <w:tcW w:w="652" w:type="pct"/>
            <w:tcBorders>
              <w:top w:val="single" w:sz="4" w:space="0" w:color="auto"/>
              <w:left w:val="nil"/>
              <w:bottom w:val="single" w:sz="4" w:space="0" w:color="auto"/>
              <w:right w:val="single" w:sz="4" w:space="0" w:color="auto"/>
            </w:tcBorders>
            <w:shd w:val="clear" w:color="auto" w:fill="auto"/>
            <w:vAlign w:val="bottom"/>
          </w:tcPr>
          <w:p w14:paraId="3278D74F" w14:textId="77777777" w:rsidR="00543A70" w:rsidRPr="00543A70" w:rsidRDefault="00543A70" w:rsidP="00543A70">
            <w:pPr>
              <w:jc w:val="right"/>
              <w:rPr>
                <w:rFonts w:eastAsiaTheme="minorEastAsia"/>
                <w:sz w:val="20"/>
                <w:szCs w:val="20"/>
              </w:rPr>
            </w:pPr>
            <w:r>
              <w:rPr>
                <w:sz w:val="20"/>
              </w:rPr>
              <w:t>13,44</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60E8B55C" w14:textId="77777777" w:rsidR="00543A70" w:rsidRPr="00543A70" w:rsidRDefault="00543A70" w:rsidP="00543A70">
            <w:pPr>
              <w:widowControl w:val="0"/>
              <w:tabs>
                <w:tab w:val="left" w:pos="430"/>
              </w:tabs>
              <w:ind w:left="-137" w:right="63"/>
              <w:jc w:val="right"/>
              <w:rPr>
                <w:color w:val="000000"/>
                <w:sz w:val="20"/>
                <w:szCs w:val="20"/>
              </w:rPr>
            </w:pPr>
            <w:r>
              <w:rPr>
                <w:color w:val="000000"/>
                <w:sz w:val="20"/>
              </w:rPr>
              <w:t>14,9</w:t>
            </w:r>
          </w:p>
        </w:tc>
      </w:tr>
      <w:tr w:rsidR="00543A70" w:rsidRPr="00543A70" w14:paraId="19BF820F"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6CCE97" w14:textId="77777777" w:rsidR="00543A70" w:rsidRPr="00543A70" w:rsidRDefault="00543A70" w:rsidP="00543A70">
            <w:pPr>
              <w:widowControl w:val="0"/>
              <w:tabs>
                <w:tab w:val="left" w:pos="430"/>
              </w:tabs>
              <w:ind w:left="92" w:right="63"/>
              <w:jc w:val="left"/>
              <w:rPr>
                <w:sz w:val="20"/>
                <w:szCs w:val="20"/>
              </w:rPr>
            </w:pPr>
            <w:r>
              <w:rPr>
                <w:color w:val="000000"/>
                <w:sz w:val="20"/>
              </w:rPr>
              <w:t>HCFC-124</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43E4948" w14:textId="77777777" w:rsidR="00543A70" w:rsidRPr="00543A70" w:rsidRDefault="00543A70" w:rsidP="00543A70">
            <w:pPr>
              <w:jc w:val="right"/>
              <w:rPr>
                <w:rFonts w:eastAsiaTheme="minorEastAsia"/>
                <w:sz w:val="20"/>
                <w:szCs w:val="20"/>
              </w:rPr>
            </w:pPr>
            <w:r>
              <w:rPr>
                <w:sz w:val="20"/>
              </w:rPr>
              <w:t>24,73</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648DFB23" w14:textId="77777777" w:rsidR="00543A70" w:rsidRPr="00543A70" w:rsidRDefault="00543A70" w:rsidP="00543A70">
            <w:pPr>
              <w:jc w:val="right"/>
              <w:rPr>
                <w:rFonts w:eastAsiaTheme="minorEastAsia"/>
                <w:sz w:val="20"/>
                <w:szCs w:val="20"/>
              </w:rPr>
            </w:pPr>
            <w:r>
              <w:rPr>
                <w:sz w:val="20"/>
              </w:rPr>
              <w:t>19,85</w:t>
            </w:r>
          </w:p>
        </w:tc>
        <w:tc>
          <w:tcPr>
            <w:tcW w:w="653" w:type="pct"/>
            <w:tcBorders>
              <w:top w:val="single" w:sz="4" w:space="0" w:color="auto"/>
              <w:left w:val="nil"/>
              <w:bottom w:val="single" w:sz="4" w:space="0" w:color="auto"/>
              <w:right w:val="single" w:sz="4" w:space="0" w:color="auto"/>
            </w:tcBorders>
            <w:shd w:val="clear" w:color="auto" w:fill="auto"/>
            <w:vAlign w:val="bottom"/>
          </w:tcPr>
          <w:p w14:paraId="35E85F75" w14:textId="77777777" w:rsidR="00543A70" w:rsidRPr="00543A70" w:rsidRDefault="00543A70" w:rsidP="00543A70">
            <w:pPr>
              <w:jc w:val="right"/>
              <w:rPr>
                <w:rFonts w:eastAsiaTheme="minorEastAsia"/>
                <w:sz w:val="20"/>
                <w:szCs w:val="20"/>
              </w:rPr>
            </w:pPr>
            <w:r>
              <w:rPr>
                <w:sz w:val="20"/>
              </w:rPr>
              <w:t>17,70</w:t>
            </w:r>
          </w:p>
        </w:tc>
        <w:tc>
          <w:tcPr>
            <w:tcW w:w="652" w:type="pct"/>
            <w:tcBorders>
              <w:top w:val="single" w:sz="4" w:space="0" w:color="auto"/>
              <w:left w:val="nil"/>
              <w:bottom w:val="single" w:sz="4" w:space="0" w:color="auto"/>
              <w:right w:val="single" w:sz="4" w:space="0" w:color="auto"/>
            </w:tcBorders>
            <w:shd w:val="clear" w:color="auto" w:fill="auto"/>
            <w:vAlign w:val="bottom"/>
          </w:tcPr>
          <w:p w14:paraId="2EA2DB01" w14:textId="77777777" w:rsidR="00543A70" w:rsidRPr="00543A70" w:rsidRDefault="00543A70" w:rsidP="00543A70">
            <w:pPr>
              <w:jc w:val="right"/>
              <w:rPr>
                <w:rFonts w:eastAsiaTheme="minorEastAsia"/>
                <w:sz w:val="20"/>
                <w:szCs w:val="20"/>
              </w:rPr>
            </w:pPr>
            <w:r>
              <w:rPr>
                <w:sz w:val="20"/>
              </w:rPr>
              <w:t>11,71</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38B8847D" w14:textId="77777777" w:rsidR="00543A70" w:rsidRPr="00543A70" w:rsidRDefault="00543A70" w:rsidP="00543A70">
            <w:pPr>
              <w:widowControl w:val="0"/>
              <w:tabs>
                <w:tab w:val="left" w:pos="430"/>
              </w:tabs>
              <w:ind w:left="-137" w:right="63"/>
              <w:jc w:val="right"/>
              <w:rPr>
                <w:color w:val="000000"/>
                <w:sz w:val="20"/>
                <w:szCs w:val="20"/>
              </w:rPr>
            </w:pPr>
            <w:r>
              <w:rPr>
                <w:color w:val="000000"/>
                <w:sz w:val="20"/>
              </w:rPr>
              <w:t>351,3</w:t>
            </w:r>
          </w:p>
        </w:tc>
      </w:tr>
      <w:tr w:rsidR="00543A70" w:rsidRPr="00543A70" w14:paraId="4C206280"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ED3A56" w14:textId="77777777" w:rsidR="00543A70" w:rsidRPr="00543A70" w:rsidRDefault="00543A70" w:rsidP="00543A70">
            <w:pPr>
              <w:widowControl w:val="0"/>
              <w:tabs>
                <w:tab w:val="left" w:pos="430"/>
              </w:tabs>
              <w:ind w:left="92" w:right="63"/>
              <w:jc w:val="left"/>
              <w:rPr>
                <w:sz w:val="20"/>
                <w:szCs w:val="20"/>
              </w:rPr>
            </w:pPr>
            <w:r>
              <w:rPr>
                <w:color w:val="000000"/>
                <w:sz w:val="20"/>
              </w:rPr>
              <w:t>HCFC-141b</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1E3DA9F" w14:textId="77777777" w:rsidR="00543A70" w:rsidRPr="00543A70" w:rsidRDefault="00543A70" w:rsidP="00543A70">
            <w:pPr>
              <w:jc w:val="right"/>
              <w:rPr>
                <w:rFonts w:eastAsiaTheme="minorEastAsia"/>
                <w:sz w:val="20"/>
                <w:szCs w:val="20"/>
              </w:rPr>
            </w:pPr>
            <w:r>
              <w:rPr>
                <w:sz w:val="20"/>
              </w:rPr>
              <w:t>282,43</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5D46D662" w14:textId="77777777" w:rsidR="00543A70" w:rsidRPr="00543A70" w:rsidRDefault="00543A70" w:rsidP="00543A70">
            <w:pPr>
              <w:jc w:val="right"/>
              <w:rPr>
                <w:rFonts w:eastAsiaTheme="minorEastAsia"/>
                <w:sz w:val="20"/>
                <w:szCs w:val="20"/>
              </w:rPr>
            </w:pPr>
            <w:r>
              <w:rPr>
                <w:sz w:val="20"/>
              </w:rPr>
              <w:t>280,02</w:t>
            </w:r>
          </w:p>
        </w:tc>
        <w:tc>
          <w:tcPr>
            <w:tcW w:w="653" w:type="pct"/>
            <w:tcBorders>
              <w:top w:val="single" w:sz="4" w:space="0" w:color="auto"/>
              <w:left w:val="nil"/>
              <w:bottom w:val="single" w:sz="4" w:space="0" w:color="auto"/>
              <w:right w:val="single" w:sz="4" w:space="0" w:color="auto"/>
            </w:tcBorders>
            <w:shd w:val="clear" w:color="auto" w:fill="auto"/>
            <w:vAlign w:val="bottom"/>
          </w:tcPr>
          <w:p w14:paraId="019B5887" w14:textId="77777777" w:rsidR="00543A70" w:rsidRPr="00543A70" w:rsidRDefault="00543A70" w:rsidP="00543A70">
            <w:pPr>
              <w:jc w:val="right"/>
              <w:rPr>
                <w:rFonts w:eastAsiaTheme="minorEastAsia"/>
                <w:sz w:val="20"/>
                <w:szCs w:val="20"/>
              </w:rPr>
            </w:pPr>
            <w:r>
              <w:rPr>
                <w:sz w:val="20"/>
              </w:rPr>
              <w:t>421,46</w:t>
            </w:r>
          </w:p>
        </w:tc>
        <w:tc>
          <w:tcPr>
            <w:tcW w:w="652" w:type="pct"/>
            <w:tcBorders>
              <w:top w:val="single" w:sz="4" w:space="0" w:color="auto"/>
              <w:left w:val="nil"/>
              <w:bottom w:val="single" w:sz="4" w:space="0" w:color="auto"/>
              <w:right w:val="single" w:sz="4" w:space="0" w:color="auto"/>
            </w:tcBorders>
            <w:shd w:val="clear" w:color="auto" w:fill="auto"/>
            <w:vAlign w:val="bottom"/>
          </w:tcPr>
          <w:p w14:paraId="3F9FEE3D" w14:textId="77777777" w:rsidR="00543A70" w:rsidRPr="00543A70" w:rsidRDefault="00543A70" w:rsidP="00543A70">
            <w:pPr>
              <w:jc w:val="right"/>
              <w:rPr>
                <w:rFonts w:eastAsiaTheme="minorEastAsia"/>
                <w:sz w:val="20"/>
                <w:szCs w:val="20"/>
              </w:rPr>
            </w:pPr>
            <w:r>
              <w:rPr>
                <w:sz w:val="20"/>
              </w:rPr>
              <w:t>418,15</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758360AA" w14:textId="77777777" w:rsidR="00543A70" w:rsidRPr="00543A70" w:rsidRDefault="00543A70" w:rsidP="00543A70">
            <w:pPr>
              <w:widowControl w:val="0"/>
              <w:tabs>
                <w:tab w:val="left" w:pos="430"/>
              </w:tabs>
              <w:ind w:left="-137" w:right="63"/>
              <w:jc w:val="right"/>
              <w:rPr>
                <w:color w:val="000000"/>
                <w:sz w:val="20"/>
                <w:szCs w:val="20"/>
              </w:rPr>
            </w:pPr>
            <w:r>
              <w:rPr>
                <w:color w:val="000000"/>
                <w:sz w:val="20"/>
              </w:rPr>
              <w:t>4 741,3</w:t>
            </w:r>
          </w:p>
        </w:tc>
      </w:tr>
      <w:tr w:rsidR="00543A70" w:rsidRPr="00543A70" w14:paraId="5D6A39F9"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16FB560" w14:textId="77777777" w:rsidR="00543A70" w:rsidRPr="00543A70" w:rsidRDefault="00543A70" w:rsidP="00543A70">
            <w:pPr>
              <w:widowControl w:val="0"/>
              <w:tabs>
                <w:tab w:val="left" w:pos="430"/>
              </w:tabs>
              <w:ind w:left="92" w:right="63"/>
              <w:jc w:val="left"/>
              <w:rPr>
                <w:color w:val="000000"/>
                <w:sz w:val="20"/>
                <w:szCs w:val="20"/>
              </w:rPr>
            </w:pPr>
            <w:r>
              <w:rPr>
                <w:color w:val="000000"/>
                <w:sz w:val="20"/>
              </w:rPr>
              <w:t>HCFC-142b</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58DD46F" w14:textId="77777777" w:rsidR="00543A70" w:rsidRPr="00543A70" w:rsidRDefault="00543A70" w:rsidP="00543A70">
            <w:pPr>
              <w:jc w:val="right"/>
              <w:rPr>
                <w:rFonts w:eastAsiaTheme="minorEastAsia"/>
                <w:sz w:val="20"/>
                <w:szCs w:val="20"/>
              </w:rPr>
            </w:pPr>
            <w:r>
              <w:rPr>
                <w:sz w:val="20"/>
              </w:rPr>
              <w:t>0</w:t>
            </w:r>
          </w:p>
        </w:tc>
        <w:tc>
          <w:tcPr>
            <w:tcW w:w="652" w:type="pct"/>
            <w:tcBorders>
              <w:top w:val="single" w:sz="4" w:space="0" w:color="auto"/>
              <w:left w:val="nil"/>
              <w:bottom w:val="single" w:sz="4" w:space="0" w:color="auto"/>
              <w:right w:val="single" w:sz="4" w:space="0" w:color="auto"/>
            </w:tcBorders>
            <w:shd w:val="clear" w:color="auto" w:fill="FFFFFF" w:themeFill="background1"/>
            <w:noWrap/>
          </w:tcPr>
          <w:p w14:paraId="2D1B4E6A" w14:textId="77777777" w:rsidR="00543A70" w:rsidRPr="00543A70" w:rsidRDefault="00543A70" w:rsidP="00543A70">
            <w:pPr>
              <w:jc w:val="right"/>
              <w:rPr>
                <w:rFonts w:eastAsiaTheme="minorEastAsia"/>
                <w:sz w:val="20"/>
                <w:szCs w:val="20"/>
              </w:rPr>
            </w:pPr>
            <w:r>
              <w:rPr>
                <w:sz w:val="20"/>
              </w:rPr>
              <w:t>0</w:t>
            </w:r>
          </w:p>
        </w:tc>
        <w:tc>
          <w:tcPr>
            <w:tcW w:w="653" w:type="pct"/>
            <w:tcBorders>
              <w:top w:val="single" w:sz="4" w:space="0" w:color="auto"/>
              <w:left w:val="nil"/>
              <w:bottom w:val="single" w:sz="4" w:space="0" w:color="auto"/>
              <w:right w:val="single" w:sz="4" w:space="0" w:color="auto"/>
            </w:tcBorders>
            <w:shd w:val="clear" w:color="auto" w:fill="auto"/>
          </w:tcPr>
          <w:p w14:paraId="0B9BF2CE" w14:textId="77777777" w:rsidR="00543A70" w:rsidRPr="00543A70" w:rsidRDefault="00543A70" w:rsidP="00543A70">
            <w:pPr>
              <w:jc w:val="right"/>
              <w:rPr>
                <w:rFonts w:eastAsiaTheme="minorEastAsia"/>
                <w:sz w:val="20"/>
                <w:szCs w:val="20"/>
              </w:rPr>
            </w:pPr>
            <w:r>
              <w:rPr>
                <w:sz w:val="20"/>
              </w:rPr>
              <w:t>0</w:t>
            </w:r>
          </w:p>
        </w:tc>
        <w:tc>
          <w:tcPr>
            <w:tcW w:w="652" w:type="pct"/>
            <w:tcBorders>
              <w:top w:val="single" w:sz="4" w:space="0" w:color="auto"/>
              <w:left w:val="nil"/>
              <w:bottom w:val="single" w:sz="4" w:space="0" w:color="auto"/>
              <w:right w:val="single" w:sz="4" w:space="0" w:color="auto"/>
            </w:tcBorders>
            <w:shd w:val="clear" w:color="auto" w:fill="auto"/>
          </w:tcPr>
          <w:p w14:paraId="78BE8872" w14:textId="77777777" w:rsidR="00543A70" w:rsidRPr="00543A70" w:rsidRDefault="00543A70" w:rsidP="00543A70">
            <w:pPr>
              <w:jc w:val="right"/>
              <w:rPr>
                <w:rFonts w:eastAsiaTheme="minorEastAsia"/>
                <w:sz w:val="20"/>
                <w:szCs w:val="20"/>
              </w:rPr>
            </w:pPr>
            <w:r>
              <w:rPr>
                <w:sz w:val="20"/>
              </w:rPr>
              <w:t>0</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408585C9" w14:textId="77777777" w:rsidR="00543A70" w:rsidRPr="00543A70" w:rsidRDefault="00543A70" w:rsidP="00543A70">
            <w:pPr>
              <w:widowControl w:val="0"/>
              <w:tabs>
                <w:tab w:val="left" w:pos="430"/>
              </w:tabs>
              <w:ind w:left="-137" w:right="63"/>
              <w:jc w:val="right"/>
              <w:rPr>
                <w:color w:val="000000"/>
                <w:sz w:val="20"/>
                <w:szCs w:val="20"/>
              </w:rPr>
            </w:pPr>
            <w:r>
              <w:rPr>
                <w:color w:val="000000"/>
                <w:sz w:val="20"/>
              </w:rPr>
              <w:t>86,3</w:t>
            </w:r>
          </w:p>
        </w:tc>
      </w:tr>
      <w:tr w:rsidR="00543A70" w:rsidRPr="00543A70" w14:paraId="517DAC7F"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F3EEA03" w14:textId="77777777" w:rsidR="00543A70" w:rsidRPr="00543A70" w:rsidRDefault="00543A70" w:rsidP="00543A70">
            <w:pPr>
              <w:widowControl w:val="0"/>
              <w:tabs>
                <w:tab w:val="left" w:pos="430"/>
              </w:tabs>
              <w:ind w:left="234" w:right="63"/>
              <w:jc w:val="left"/>
              <w:rPr>
                <w:b/>
                <w:color w:val="000000"/>
                <w:sz w:val="20"/>
                <w:szCs w:val="20"/>
              </w:rPr>
            </w:pPr>
            <w:r>
              <w:rPr>
                <w:b/>
                <w:color w:val="000000"/>
                <w:sz w:val="20"/>
              </w:rPr>
              <w:t>Total (tm)</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3BA445CA" w14:textId="77777777" w:rsidR="00543A70" w:rsidRPr="00543A70" w:rsidRDefault="00543A70" w:rsidP="00543A70">
            <w:pPr>
              <w:jc w:val="right"/>
              <w:rPr>
                <w:rFonts w:eastAsiaTheme="minorEastAsia"/>
                <w:sz w:val="20"/>
                <w:szCs w:val="20"/>
              </w:rPr>
            </w:pPr>
            <w:r>
              <w:rPr>
                <w:b/>
                <w:color w:val="000000"/>
                <w:sz w:val="20"/>
              </w:rPr>
              <w:t>7 974,85</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81621EA" w14:textId="77777777" w:rsidR="00543A70" w:rsidRPr="00543A70" w:rsidRDefault="00543A70" w:rsidP="00543A70">
            <w:pPr>
              <w:jc w:val="right"/>
              <w:rPr>
                <w:rFonts w:eastAsiaTheme="minorEastAsia"/>
                <w:sz w:val="20"/>
                <w:szCs w:val="20"/>
              </w:rPr>
            </w:pPr>
            <w:r>
              <w:rPr>
                <w:b/>
                <w:color w:val="000000"/>
                <w:sz w:val="20"/>
              </w:rPr>
              <w:t>8 667,29</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741FC514" w14:textId="77777777" w:rsidR="00543A70" w:rsidRPr="00543A70" w:rsidRDefault="00543A70" w:rsidP="00543A70">
            <w:pPr>
              <w:jc w:val="right"/>
              <w:rPr>
                <w:rFonts w:eastAsiaTheme="minorEastAsia"/>
                <w:sz w:val="20"/>
                <w:szCs w:val="20"/>
              </w:rPr>
            </w:pPr>
            <w:r>
              <w:rPr>
                <w:b/>
                <w:color w:val="000000"/>
                <w:sz w:val="20"/>
              </w:rPr>
              <w:t>10 218,42</w:t>
            </w:r>
          </w:p>
        </w:tc>
        <w:tc>
          <w:tcPr>
            <w:tcW w:w="652" w:type="pct"/>
            <w:tcBorders>
              <w:top w:val="single" w:sz="4" w:space="0" w:color="auto"/>
              <w:left w:val="single" w:sz="4" w:space="0" w:color="auto"/>
              <w:bottom w:val="single" w:sz="4" w:space="0" w:color="auto"/>
              <w:right w:val="single" w:sz="4" w:space="0" w:color="auto"/>
            </w:tcBorders>
            <w:shd w:val="clear" w:color="auto" w:fill="auto"/>
            <w:vAlign w:val="bottom"/>
          </w:tcPr>
          <w:p w14:paraId="01D87D84" w14:textId="77777777" w:rsidR="00543A70" w:rsidRPr="00543A70" w:rsidRDefault="00543A70" w:rsidP="00543A70">
            <w:pPr>
              <w:jc w:val="right"/>
              <w:rPr>
                <w:rFonts w:eastAsiaTheme="minorEastAsia"/>
                <w:sz w:val="20"/>
                <w:szCs w:val="20"/>
              </w:rPr>
            </w:pPr>
            <w:r>
              <w:rPr>
                <w:b/>
                <w:color w:val="000000"/>
                <w:sz w:val="20"/>
              </w:rPr>
              <w:t>8 535,54</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6953DE22" w14:textId="77777777" w:rsidR="00543A70" w:rsidRPr="00543A70" w:rsidRDefault="00543A70" w:rsidP="00543A70">
            <w:pPr>
              <w:widowControl w:val="0"/>
              <w:tabs>
                <w:tab w:val="left" w:pos="430"/>
              </w:tabs>
              <w:ind w:left="-137" w:right="63"/>
              <w:jc w:val="right"/>
              <w:rPr>
                <w:b/>
                <w:color w:val="000000"/>
                <w:sz w:val="20"/>
                <w:szCs w:val="20"/>
              </w:rPr>
            </w:pPr>
            <w:r>
              <w:rPr>
                <w:b/>
                <w:color w:val="000000"/>
                <w:sz w:val="20"/>
              </w:rPr>
              <w:t>19 594,8</w:t>
            </w:r>
          </w:p>
        </w:tc>
      </w:tr>
      <w:tr w:rsidR="00543A70" w:rsidRPr="00543A70" w14:paraId="4C58C903" w14:textId="77777777" w:rsidTr="0069776D">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5D4F756D" w14:textId="77777777" w:rsidR="00543A70" w:rsidRPr="00543A70" w:rsidRDefault="00543A70" w:rsidP="00543A70">
            <w:pPr>
              <w:keepNext/>
              <w:jc w:val="left"/>
              <w:rPr>
                <w:color w:val="000000"/>
                <w:sz w:val="20"/>
                <w:szCs w:val="20"/>
              </w:rPr>
            </w:pPr>
            <w:r>
              <w:rPr>
                <w:b/>
                <w:color w:val="000000"/>
                <w:sz w:val="20"/>
              </w:rPr>
              <w:t>Tonnes PAO</w:t>
            </w:r>
          </w:p>
        </w:tc>
      </w:tr>
      <w:tr w:rsidR="00543A70" w:rsidRPr="00543A70" w14:paraId="4FBEC55F"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245FF2" w14:textId="77777777" w:rsidR="00543A70" w:rsidRPr="00543A70" w:rsidRDefault="00543A70" w:rsidP="00543A70">
            <w:pPr>
              <w:widowControl w:val="0"/>
              <w:ind w:left="92" w:right="63"/>
              <w:jc w:val="left"/>
              <w:rPr>
                <w:color w:val="000000"/>
                <w:sz w:val="20"/>
                <w:szCs w:val="20"/>
              </w:rPr>
            </w:pPr>
            <w:r>
              <w:rPr>
                <w:color w:val="000000"/>
                <w:sz w:val="20"/>
              </w:rPr>
              <w:t>HCFC-22</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5F8170F2" w14:textId="77777777" w:rsidR="00543A70" w:rsidRPr="00543A70" w:rsidRDefault="00543A70" w:rsidP="00543A70">
            <w:pPr>
              <w:widowControl w:val="0"/>
              <w:ind w:left="-279" w:right="63"/>
              <w:jc w:val="right"/>
              <w:rPr>
                <w:color w:val="000000"/>
                <w:sz w:val="20"/>
                <w:szCs w:val="20"/>
              </w:rPr>
            </w:pPr>
            <w:r>
              <w:rPr>
                <w:color w:val="000000"/>
                <w:sz w:val="20"/>
              </w:rPr>
              <w:t>420,90</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3D6F04D" w14:textId="77777777" w:rsidR="00543A70" w:rsidRPr="00543A70" w:rsidRDefault="00543A70" w:rsidP="00543A70">
            <w:pPr>
              <w:widowControl w:val="0"/>
              <w:ind w:left="-279" w:right="63"/>
              <w:jc w:val="right"/>
              <w:rPr>
                <w:color w:val="000000"/>
                <w:sz w:val="20"/>
                <w:szCs w:val="20"/>
              </w:rPr>
            </w:pPr>
            <w:r>
              <w:rPr>
                <w:color w:val="000000"/>
                <w:sz w:val="20"/>
              </w:rPr>
              <w:t>459,39</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67CD5B2A" w14:textId="77777777" w:rsidR="00543A70" w:rsidRPr="00543A70" w:rsidRDefault="00543A70" w:rsidP="00543A70">
            <w:pPr>
              <w:widowControl w:val="0"/>
              <w:ind w:left="-279" w:right="63"/>
              <w:jc w:val="right"/>
              <w:rPr>
                <w:color w:val="000000"/>
                <w:sz w:val="20"/>
                <w:szCs w:val="20"/>
              </w:rPr>
            </w:pPr>
            <w:r>
              <w:rPr>
                <w:color w:val="000000"/>
                <w:sz w:val="20"/>
              </w:rPr>
              <w:t>537,04</w:t>
            </w:r>
          </w:p>
        </w:tc>
        <w:tc>
          <w:tcPr>
            <w:tcW w:w="652" w:type="pct"/>
            <w:tcBorders>
              <w:top w:val="single" w:sz="4" w:space="0" w:color="auto"/>
              <w:left w:val="single" w:sz="4" w:space="0" w:color="auto"/>
              <w:bottom w:val="single" w:sz="4" w:space="0" w:color="auto"/>
              <w:right w:val="nil"/>
            </w:tcBorders>
            <w:shd w:val="clear" w:color="auto" w:fill="auto"/>
            <w:vAlign w:val="bottom"/>
          </w:tcPr>
          <w:p w14:paraId="4C2F4601" w14:textId="77777777" w:rsidR="00543A70" w:rsidRPr="00543A70" w:rsidRDefault="00543A70" w:rsidP="00543A70">
            <w:pPr>
              <w:widowControl w:val="0"/>
              <w:ind w:left="-279" w:right="63"/>
              <w:jc w:val="right"/>
              <w:rPr>
                <w:color w:val="000000"/>
                <w:sz w:val="20"/>
                <w:szCs w:val="20"/>
              </w:rPr>
            </w:pPr>
            <w:r>
              <w:rPr>
                <w:color w:val="000000"/>
                <w:sz w:val="20"/>
              </w:rPr>
              <w:t>445,07</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4C9D75D8" w14:textId="77777777" w:rsidR="00543A70" w:rsidRPr="00543A70" w:rsidRDefault="00543A70" w:rsidP="00543A70">
            <w:pPr>
              <w:widowControl w:val="0"/>
              <w:ind w:left="-279" w:right="63"/>
              <w:jc w:val="right"/>
              <w:rPr>
                <w:color w:val="000000"/>
                <w:sz w:val="20"/>
                <w:szCs w:val="20"/>
              </w:rPr>
            </w:pPr>
            <w:r>
              <w:rPr>
                <w:sz w:val="20"/>
              </w:rPr>
              <w:t>792,0</w:t>
            </w:r>
          </w:p>
        </w:tc>
      </w:tr>
      <w:tr w:rsidR="00543A70" w:rsidRPr="00543A70" w14:paraId="43208282"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A6A88C" w14:textId="77777777" w:rsidR="00543A70" w:rsidRPr="00543A70" w:rsidRDefault="00543A70" w:rsidP="00543A70">
            <w:pPr>
              <w:widowControl w:val="0"/>
              <w:ind w:left="92" w:right="63"/>
              <w:jc w:val="left"/>
              <w:rPr>
                <w:color w:val="000000"/>
                <w:sz w:val="20"/>
                <w:szCs w:val="20"/>
              </w:rPr>
            </w:pPr>
            <w:r>
              <w:rPr>
                <w:color w:val="000000"/>
                <w:sz w:val="20"/>
              </w:rPr>
              <w:t>HCFC-123</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689CF74C" w14:textId="77777777" w:rsidR="00543A70" w:rsidRPr="00543A70" w:rsidRDefault="00543A70" w:rsidP="00543A70">
            <w:pPr>
              <w:widowControl w:val="0"/>
              <w:ind w:left="-279" w:right="63"/>
              <w:jc w:val="right"/>
              <w:rPr>
                <w:color w:val="000000"/>
                <w:sz w:val="20"/>
                <w:szCs w:val="20"/>
              </w:rPr>
            </w:pPr>
            <w:r>
              <w:rPr>
                <w:color w:val="000000"/>
                <w:sz w:val="20"/>
              </w:rPr>
              <w:t>0,30</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8C802C9" w14:textId="77777777" w:rsidR="00543A70" w:rsidRPr="00543A70" w:rsidRDefault="00543A70" w:rsidP="00543A70">
            <w:pPr>
              <w:widowControl w:val="0"/>
              <w:ind w:left="-279" w:right="63"/>
              <w:jc w:val="right"/>
              <w:rPr>
                <w:color w:val="000000"/>
                <w:sz w:val="20"/>
                <w:szCs w:val="20"/>
              </w:rPr>
            </w:pPr>
            <w:r>
              <w:rPr>
                <w:color w:val="000000"/>
                <w:sz w:val="20"/>
              </w:rPr>
              <w:t>0,30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5C1FD39A" w14:textId="77777777" w:rsidR="00543A70" w:rsidRPr="00543A70" w:rsidRDefault="00543A70" w:rsidP="00543A70">
            <w:pPr>
              <w:widowControl w:val="0"/>
              <w:ind w:left="-279" w:right="63"/>
              <w:jc w:val="right"/>
              <w:rPr>
                <w:color w:val="000000"/>
                <w:sz w:val="20"/>
                <w:szCs w:val="20"/>
              </w:rPr>
            </w:pPr>
            <w:r>
              <w:rPr>
                <w:color w:val="000000"/>
                <w:sz w:val="20"/>
              </w:rPr>
              <w:t>0,30</w:t>
            </w:r>
          </w:p>
        </w:tc>
        <w:tc>
          <w:tcPr>
            <w:tcW w:w="652" w:type="pct"/>
            <w:tcBorders>
              <w:top w:val="single" w:sz="4" w:space="0" w:color="auto"/>
              <w:left w:val="single" w:sz="4" w:space="0" w:color="auto"/>
              <w:bottom w:val="single" w:sz="4" w:space="0" w:color="auto"/>
              <w:right w:val="nil"/>
            </w:tcBorders>
            <w:shd w:val="clear" w:color="auto" w:fill="auto"/>
            <w:vAlign w:val="bottom"/>
          </w:tcPr>
          <w:p w14:paraId="4C059B14" w14:textId="77777777" w:rsidR="00543A70" w:rsidRPr="00543A70" w:rsidRDefault="00543A70" w:rsidP="00543A70">
            <w:pPr>
              <w:widowControl w:val="0"/>
              <w:ind w:left="-279" w:right="63"/>
              <w:jc w:val="right"/>
              <w:rPr>
                <w:color w:val="000000"/>
                <w:sz w:val="20"/>
                <w:szCs w:val="20"/>
              </w:rPr>
            </w:pPr>
            <w:r>
              <w:rPr>
                <w:color w:val="000000"/>
                <w:sz w:val="20"/>
              </w:rPr>
              <w:t>0,27</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0E1B29D5" w14:textId="77777777" w:rsidR="00543A70" w:rsidRPr="00543A70" w:rsidRDefault="00543A70" w:rsidP="00543A70">
            <w:pPr>
              <w:widowControl w:val="0"/>
              <w:ind w:left="-279" w:right="63"/>
              <w:jc w:val="right"/>
              <w:rPr>
                <w:color w:val="000000"/>
                <w:sz w:val="20"/>
                <w:szCs w:val="20"/>
              </w:rPr>
            </w:pPr>
            <w:r>
              <w:rPr>
                <w:sz w:val="20"/>
              </w:rPr>
              <w:t>0,30</w:t>
            </w:r>
          </w:p>
        </w:tc>
      </w:tr>
      <w:tr w:rsidR="00543A70" w:rsidRPr="00543A70" w14:paraId="244FCAE7"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3B7C8F" w14:textId="77777777" w:rsidR="00543A70" w:rsidRPr="00543A70" w:rsidRDefault="00543A70" w:rsidP="00543A70">
            <w:pPr>
              <w:widowControl w:val="0"/>
              <w:ind w:left="92" w:right="63"/>
              <w:jc w:val="left"/>
              <w:rPr>
                <w:color w:val="000000"/>
                <w:sz w:val="20"/>
                <w:szCs w:val="20"/>
              </w:rPr>
            </w:pPr>
            <w:r>
              <w:rPr>
                <w:color w:val="000000"/>
                <w:sz w:val="20"/>
              </w:rPr>
              <w:t>HCFC-124</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722650CA" w14:textId="77777777" w:rsidR="00543A70" w:rsidRPr="00543A70" w:rsidRDefault="00543A70" w:rsidP="00543A70">
            <w:pPr>
              <w:widowControl w:val="0"/>
              <w:ind w:left="-279" w:right="63"/>
              <w:jc w:val="right"/>
              <w:rPr>
                <w:color w:val="000000"/>
                <w:sz w:val="20"/>
                <w:szCs w:val="20"/>
              </w:rPr>
            </w:pPr>
            <w:r>
              <w:rPr>
                <w:color w:val="000000"/>
                <w:sz w:val="20"/>
              </w:rPr>
              <w:t>0,54</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2F6433A" w14:textId="77777777" w:rsidR="00543A70" w:rsidRPr="00543A70" w:rsidRDefault="00543A70" w:rsidP="00543A70">
            <w:pPr>
              <w:widowControl w:val="0"/>
              <w:ind w:left="-279" w:right="63"/>
              <w:jc w:val="right"/>
              <w:rPr>
                <w:color w:val="000000"/>
                <w:sz w:val="20"/>
                <w:szCs w:val="20"/>
              </w:rPr>
            </w:pPr>
            <w:r>
              <w:rPr>
                <w:color w:val="000000"/>
                <w:sz w:val="20"/>
              </w:rPr>
              <w:t>0,44</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7C7DECFF" w14:textId="77777777" w:rsidR="00543A70" w:rsidRPr="00543A70" w:rsidRDefault="00543A70" w:rsidP="00543A70">
            <w:pPr>
              <w:widowControl w:val="0"/>
              <w:ind w:left="-279" w:right="63"/>
              <w:jc w:val="right"/>
              <w:rPr>
                <w:color w:val="000000"/>
                <w:sz w:val="20"/>
                <w:szCs w:val="20"/>
              </w:rPr>
            </w:pPr>
            <w:r>
              <w:rPr>
                <w:color w:val="000000"/>
                <w:sz w:val="20"/>
              </w:rPr>
              <w:t>0,39</w:t>
            </w:r>
          </w:p>
        </w:tc>
        <w:tc>
          <w:tcPr>
            <w:tcW w:w="652" w:type="pct"/>
            <w:tcBorders>
              <w:top w:val="single" w:sz="4" w:space="0" w:color="auto"/>
              <w:left w:val="single" w:sz="4" w:space="0" w:color="auto"/>
              <w:bottom w:val="single" w:sz="4" w:space="0" w:color="auto"/>
              <w:right w:val="nil"/>
            </w:tcBorders>
            <w:shd w:val="clear" w:color="auto" w:fill="auto"/>
            <w:vAlign w:val="bottom"/>
          </w:tcPr>
          <w:p w14:paraId="05F9E62E" w14:textId="77777777" w:rsidR="00543A70" w:rsidRPr="00543A70" w:rsidRDefault="00543A70" w:rsidP="00543A70">
            <w:pPr>
              <w:widowControl w:val="0"/>
              <w:ind w:left="-279" w:right="63"/>
              <w:jc w:val="right"/>
              <w:rPr>
                <w:color w:val="000000"/>
                <w:sz w:val="20"/>
                <w:szCs w:val="20"/>
              </w:rPr>
            </w:pPr>
            <w:r>
              <w:rPr>
                <w:color w:val="000000"/>
                <w:sz w:val="20"/>
              </w:rPr>
              <w:t>0,26</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5F0029C8" w14:textId="77777777" w:rsidR="00543A70" w:rsidRPr="00543A70" w:rsidRDefault="00543A70" w:rsidP="00543A70">
            <w:pPr>
              <w:widowControl w:val="0"/>
              <w:ind w:left="-279" w:right="63"/>
              <w:jc w:val="right"/>
              <w:rPr>
                <w:color w:val="000000"/>
                <w:sz w:val="20"/>
                <w:szCs w:val="20"/>
              </w:rPr>
            </w:pPr>
            <w:r>
              <w:rPr>
                <w:sz w:val="20"/>
              </w:rPr>
              <w:t>7,7</w:t>
            </w:r>
          </w:p>
        </w:tc>
      </w:tr>
      <w:tr w:rsidR="00543A70" w:rsidRPr="00543A70" w14:paraId="75765EE8" w14:textId="77777777" w:rsidTr="0069776D">
        <w:trPr>
          <w:trHeight w:val="50"/>
        </w:trPr>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27D351" w14:textId="77777777" w:rsidR="00543A70" w:rsidRPr="00543A70" w:rsidRDefault="00543A70" w:rsidP="00543A70">
            <w:pPr>
              <w:widowControl w:val="0"/>
              <w:ind w:left="92" w:right="63"/>
              <w:jc w:val="left"/>
              <w:rPr>
                <w:color w:val="000000"/>
                <w:sz w:val="20"/>
                <w:szCs w:val="20"/>
              </w:rPr>
            </w:pPr>
            <w:r>
              <w:rPr>
                <w:color w:val="000000"/>
                <w:sz w:val="20"/>
              </w:rPr>
              <w:t>HCFC-141b</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26E28446" w14:textId="77777777" w:rsidR="00543A70" w:rsidRPr="00543A70" w:rsidRDefault="00543A70" w:rsidP="00543A70">
            <w:pPr>
              <w:widowControl w:val="0"/>
              <w:ind w:left="-279" w:right="63"/>
              <w:jc w:val="right"/>
              <w:rPr>
                <w:color w:val="000000"/>
                <w:sz w:val="20"/>
                <w:szCs w:val="20"/>
              </w:rPr>
            </w:pPr>
            <w:r>
              <w:rPr>
                <w:color w:val="000000"/>
                <w:sz w:val="20"/>
              </w:rPr>
              <w:t>31,07</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AF92D99" w14:textId="77777777" w:rsidR="00543A70" w:rsidRPr="00543A70" w:rsidRDefault="00543A70" w:rsidP="00543A70">
            <w:pPr>
              <w:widowControl w:val="0"/>
              <w:ind w:left="-279" w:right="63"/>
              <w:jc w:val="right"/>
              <w:rPr>
                <w:color w:val="000000"/>
                <w:sz w:val="20"/>
                <w:szCs w:val="20"/>
              </w:rPr>
            </w:pPr>
            <w:r>
              <w:rPr>
                <w:color w:val="000000"/>
                <w:sz w:val="20"/>
              </w:rPr>
              <w:t>30,80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24571AF4" w14:textId="77777777" w:rsidR="00543A70" w:rsidRPr="00543A70" w:rsidRDefault="00543A70" w:rsidP="00543A70">
            <w:pPr>
              <w:widowControl w:val="0"/>
              <w:ind w:left="-279" w:right="63"/>
              <w:jc w:val="right"/>
              <w:rPr>
                <w:color w:val="000000"/>
                <w:sz w:val="20"/>
                <w:szCs w:val="20"/>
              </w:rPr>
            </w:pPr>
            <w:r>
              <w:rPr>
                <w:color w:val="000000"/>
                <w:sz w:val="20"/>
              </w:rPr>
              <w:t>46,36</w:t>
            </w:r>
          </w:p>
        </w:tc>
        <w:tc>
          <w:tcPr>
            <w:tcW w:w="652" w:type="pct"/>
            <w:tcBorders>
              <w:top w:val="single" w:sz="4" w:space="0" w:color="auto"/>
              <w:left w:val="single" w:sz="4" w:space="0" w:color="auto"/>
              <w:bottom w:val="single" w:sz="4" w:space="0" w:color="auto"/>
              <w:right w:val="nil"/>
            </w:tcBorders>
            <w:shd w:val="clear" w:color="auto" w:fill="auto"/>
            <w:vAlign w:val="bottom"/>
          </w:tcPr>
          <w:p w14:paraId="3CB1CA59" w14:textId="77777777" w:rsidR="00543A70" w:rsidRPr="00543A70" w:rsidRDefault="00543A70" w:rsidP="00543A70">
            <w:pPr>
              <w:widowControl w:val="0"/>
              <w:ind w:left="-279" w:right="63"/>
              <w:jc w:val="right"/>
              <w:rPr>
                <w:color w:val="000000"/>
                <w:sz w:val="20"/>
                <w:szCs w:val="20"/>
              </w:rPr>
            </w:pPr>
            <w:r>
              <w:rPr>
                <w:color w:val="000000"/>
                <w:sz w:val="20"/>
              </w:rPr>
              <w:t>46,00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0BAC8BA8" w14:textId="77777777" w:rsidR="00543A70" w:rsidRPr="00543A70" w:rsidRDefault="00543A70" w:rsidP="00543A70">
            <w:pPr>
              <w:widowControl w:val="0"/>
              <w:ind w:left="-279" w:right="63"/>
              <w:jc w:val="right"/>
              <w:rPr>
                <w:color w:val="000000"/>
                <w:sz w:val="20"/>
                <w:szCs w:val="20"/>
              </w:rPr>
            </w:pPr>
            <w:r>
              <w:rPr>
                <w:sz w:val="20"/>
              </w:rPr>
              <w:t>521,7</w:t>
            </w:r>
          </w:p>
        </w:tc>
      </w:tr>
      <w:tr w:rsidR="00543A70" w:rsidRPr="00543A70" w14:paraId="4F6E3F7F"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923D0EF" w14:textId="77777777" w:rsidR="00543A70" w:rsidRPr="00543A70" w:rsidRDefault="00543A70" w:rsidP="00543A70">
            <w:pPr>
              <w:widowControl w:val="0"/>
              <w:ind w:left="92" w:right="63"/>
              <w:jc w:val="left"/>
              <w:rPr>
                <w:color w:val="000000"/>
                <w:sz w:val="20"/>
                <w:szCs w:val="20"/>
              </w:rPr>
            </w:pPr>
            <w:r>
              <w:rPr>
                <w:color w:val="000000"/>
                <w:sz w:val="20"/>
              </w:rPr>
              <w:t>HCFC-142b</w:t>
            </w:r>
          </w:p>
        </w:tc>
        <w:tc>
          <w:tcPr>
            <w:tcW w:w="652" w:type="pct"/>
            <w:tcBorders>
              <w:top w:val="single" w:sz="4" w:space="0" w:color="auto"/>
              <w:left w:val="nil"/>
              <w:bottom w:val="single" w:sz="4" w:space="0" w:color="auto"/>
              <w:right w:val="single" w:sz="4" w:space="0" w:color="auto"/>
            </w:tcBorders>
            <w:shd w:val="clear" w:color="auto" w:fill="auto"/>
            <w:noWrap/>
          </w:tcPr>
          <w:p w14:paraId="4E1334F8" w14:textId="77777777" w:rsidR="00543A70" w:rsidRPr="00543A70" w:rsidRDefault="00543A70" w:rsidP="00543A70">
            <w:pPr>
              <w:widowControl w:val="0"/>
              <w:ind w:left="-279" w:right="63"/>
              <w:jc w:val="right"/>
              <w:rPr>
                <w:rFonts w:eastAsiaTheme="minorEastAsia"/>
                <w:color w:val="000000"/>
                <w:sz w:val="20"/>
                <w:szCs w:val="20"/>
              </w:rPr>
            </w:pPr>
            <w:r>
              <w:rPr>
                <w:sz w:val="20"/>
              </w:rPr>
              <w:t>0</w:t>
            </w:r>
          </w:p>
        </w:tc>
        <w:tc>
          <w:tcPr>
            <w:tcW w:w="652" w:type="pct"/>
            <w:tcBorders>
              <w:top w:val="single" w:sz="4" w:space="0" w:color="auto"/>
              <w:left w:val="single" w:sz="4" w:space="0" w:color="auto"/>
              <w:bottom w:val="single" w:sz="4" w:space="0" w:color="auto"/>
              <w:right w:val="single" w:sz="4" w:space="0" w:color="auto"/>
            </w:tcBorders>
            <w:shd w:val="clear" w:color="auto" w:fill="auto"/>
            <w:noWrap/>
          </w:tcPr>
          <w:p w14:paraId="51E3E742" w14:textId="77777777" w:rsidR="00543A70" w:rsidRPr="00543A70" w:rsidRDefault="00543A70" w:rsidP="00543A70">
            <w:pPr>
              <w:widowControl w:val="0"/>
              <w:ind w:left="-279" w:right="63"/>
              <w:jc w:val="right"/>
              <w:rPr>
                <w:rFonts w:eastAsiaTheme="minorEastAsia"/>
                <w:color w:val="000000"/>
                <w:sz w:val="20"/>
                <w:szCs w:val="20"/>
              </w:rPr>
            </w:pPr>
            <w:r>
              <w:rPr>
                <w:sz w:val="20"/>
              </w:rPr>
              <w:t>0</w:t>
            </w:r>
          </w:p>
        </w:tc>
        <w:tc>
          <w:tcPr>
            <w:tcW w:w="653" w:type="pct"/>
            <w:tcBorders>
              <w:top w:val="single" w:sz="4" w:space="0" w:color="auto"/>
              <w:left w:val="single" w:sz="4" w:space="0" w:color="auto"/>
              <w:bottom w:val="single" w:sz="4" w:space="0" w:color="auto"/>
              <w:right w:val="single" w:sz="4" w:space="0" w:color="auto"/>
            </w:tcBorders>
            <w:shd w:val="clear" w:color="auto" w:fill="auto"/>
          </w:tcPr>
          <w:p w14:paraId="2F2BAEA9" w14:textId="77777777" w:rsidR="00543A70" w:rsidRPr="00543A70" w:rsidRDefault="00543A70" w:rsidP="00543A70">
            <w:pPr>
              <w:widowControl w:val="0"/>
              <w:ind w:left="-279" w:right="63"/>
              <w:jc w:val="right"/>
              <w:rPr>
                <w:rFonts w:eastAsiaTheme="minorEastAsia"/>
                <w:color w:val="000000"/>
                <w:sz w:val="20"/>
                <w:szCs w:val="20"/>
              </w:rPr>
            </w:pPr>
            <w:r>
              <w:rPr>
                <w:sz w:val="20"/>
              </w:rPr>
              <w:t>0</w:t>
            </w:r>
          </w:p>
        </w:tc>
        <w:tc>
          <w:tcPr>
            <w:tcW w:w="652" w:type="pct"/>
            <w:tcBorders>
              <w:top w:val="single" w:sz="4" w:space="0" w:color="auto"/>
              <w:left w:val="single" w:sz="4" w:space="0" w:color="auto"/>
              <w:bottom w:val="single" w:sz="4" w:space="0" w:color="auto"/>
              <w:right w:val="nil"/>
            </w:tcBorders>
            <w:shd w:val="clear" w:color="auto" w:fill="auto"/>
          </w:tcPr>
          <w:p w14:paraId="39D86183" w14:textId="77777777" w:rsidR="00543A70" w:rsidRPr="00543A70" w:rsidRDefault="00543A70" w:rsidP="00543A70">
            <w:pPr>
              <w:widowControl w:val="0"/>
              <w:ind w:left="-279" w:right="63"/>
              <w:jc w:val="right"/>
              <w:rPr>
                <w:rFonts w:eastAsiaTheme="minorEastAsia"/>
                <w:color w:val="000000"/>
                <w:sz w:val="20"/>
                <w:szCs w:val="20"/>
              </w:rPr>
            </w:pPr>
            <w:r>
              <w:rPr>
                <w:sz w:val="20"/>
              </w:rPr>
              <w:t>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3D21A972" w14:textId="77777777" w:rsidR="00543A70" w:rsidRPr="00543A70" w:rsidRDefault="00543A70" w:rsidP="00543A70">
            <w:pPr>
              <w:widowControl w:val="0"/>
              <w:ind w:left="-279" w:right="63"/>
              <w:jc w:val="right"/>
              <w:rPr>
                <w:color w:val="000000"/>
                <w:sz w:val="20"/>
                <w:szCs w:val="20"/>
              </w:rPr>
            </w:pPr>
            <w:r>
              <w:rPr>
                <w:sz w:val="20"/>
              </w:rPr>
              <w:t>5,6</w:t>
            </w:r>
          </w:p>
        </w:tc>
      </w:tr>
      <w:tr w:rsidR="00543A70" w:rsidRPr="00543A70" w14:paraId="408E0653"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386D71C" w14:textId="77777777" w:rsidR="00543A70" w:rsidRPr="00543A70" w:rsidRDefault="00543A70" w:rsidP="00543A70">
            <w:pPr>
              <w:widowControl w:val="0"/>
              <w:ind w:left="234" w:right="63"/>
              <w:jc w:val="left"/>
              <w:rPr>
                <w:b/>
                <w:color w:val="000000"/>
                <w:sz w:val="20"/>
                <w:szCs w:val="20"/>
              </w:rPr>
            </w:pPr>
            <w:r>
              <w:rPr>
                <w:b/>
                <w:sz w:val="20"/>
              </w:rPr>
              <w:t>Total (tonnes PAO)</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76F71D31" w14:textId="77777777" w:rsidR="00543A70" w:rsidRPr="00543A70" w:rsidRDefault="00543A70" w:rsidP="00543A70">
            <w:pPr>
              <w:widowControl w:val="0"/>
              <w:ind w:left="-279" w:right="63"/>
              <w:jc w:val="right"/>
              <w:rPr>
                <w:b/>
                <w:color w:val="000000"/>
                <w:sz w:val="20"/>
                <w:szCs w:val="20"/>
              </w:rPr>
            </w:pPr>
            <w:r>
              <w:rPr>
                <w:b/>
                <w:color w:val="000000"/>
                <w:sz w:val="20"/>
              </w:rPr>
              <w:t>452,81</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127E0B5" w14:textId="77777777" w:rsidR="00543A70" w:rsidRPr="00543A70" w:rsidRDefault="00543A70" w:rsidP="00543A70">
            <w:pPr>
              <w:widowControl w:val="0"/>
              <w:ind w:left="-279" w:right="63"/>
              <w:jc w:val="right"/>
              <w:rPr>
                <w:b/>
                <w:color w:val="000000"/>
                <w:sz w:val="20"/>
                <w:szCs w:val="20"/>
              </w:rPr>
            </w:pPr>
            <w:r>
              <w:rPr>
                <w:b/>
                <w:color w:val="000000"/>
                <w:sz w:val="20"/>
              </w:rPr>
              <w:t>490,93</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71E435A0" w14:textId="77777777" w:rsidR="00543A70" w:rsidRPr="00543A70" w:rsidRDefault="00543A70" w:rsidP="00543A70">
            <w:pPr>
              <w:ind w:left="-279" w:right="63"/>
              <w:jc w:val="right"/>
              <w:rPr>
                <w:b/>
                <w:color w:val="000000"/>
                <w:sz w:val="20"/>
                <w:szCs w:val="20"/>
              </w:rPr>
            </w:pPr>
            <w:r>
              <w:rPr>
                <w:b/>
                <w:color w:val="000000"/>
                <w:sz w:val="20"/>
              </w:rPr>
              <w:t>584,09</w:t>
            </w:r>
          </w:p>
        </w:tc>
        <w:tc>
          <w:tcPr>
            <w:tcW w:w="652" w:type="pct"/>
            <w:tcBorders>
              <w:top w:val="single" w:sz="4" w:space="0" w:color="auto"/>
              <w:left w:val="single" w:sz="4" w:space="0" w:color="auto"/>
              <w:bottom w:val="single" w:sz="4" w:space="0" w:color="auto"/>
              <w:right w:val="nil"/>
            </w:tcBorders>
            <w:shd w:val="clear" w:color="auto" w:fill="auto"/>
            <w:vAlign w:val="bottom"/>
          </w:tcPr>
          <w:p w14:paraId="5AEA2BF8" w14:textId="77777777" w:rsidR="00543A70" w:rsidRPr="00543A70" w:rsidRDefault="00543A70" w:rsidP="00543A70">
            <w:pPr>
              <w:ind w:left="-279" w:right="63"/>
              <w:jc w:val="right"/>
              <w:rPr>
                <w:b/>
                <w:color w:val="000000"/>
                <w:sz w:val="20"/>
                <w:szCs w:val="20"/>
              </w:rPr>
            </w:pPr>
            <w:r>
              <w:rPr>
                <w:b/>
                <w:color w:val="000000"/>
                <w:sz w:val="20"/>
              </w:rPr>
              <w:t>491,60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64A59D3C" w14:textId="77777777" w:rsidR="00543A70" w:rsidRPr="00543A70" w:rsidRDefault="00543A70" w:rsidP="00543A70">
            <w:pPr>
              <w:ind w:left="-279" w:right="63"/>
              <w:jc w:val="right"/>
              <w:rPr>
                <w:rFonts w:eastAsiaTheme="minorHAnsi"/>
                <w:b/>
                <w:color w:val="000000"/>
                <w:sz w:val="20"/>
                <w:szCs w:val="20"/>
              </w:rPr>
            </w:pPr>
            <w:r>
              <w:rPr>
                <w:b/>
                <w:sz w:val="20"/>
              </w:rPr>
              <w:t>1 327,3</w:t>
            </w:r>
          </w:p>
        </w:tc>
      </w:tr>
      <w:tr w:rsidR="00543A70" w:rsidRPr="00543A70" w14:paraId="5632AC19"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23957DD6" w14:textId="77777777" w:rsidR="00543A70" w:rsidRPr="00543A70" w:rsidRDefault="00543A70" w:rsidP="00543A70">
            <w:pPr>
              <w:widowControl w:val="0"/>
              <w:ind w:left="98" w:right="63"/>
              <w:jc w:val="left"/>
              <w:rPr>
                <w:b/>
                <w:bCs/>
                <w:color w:val="000000"/>
                <w:sz w:val="20"/>
                <w:szCs w:val="20"/>
              </w:rPr>
            </w:pPr>
            <w:r>
              <w:rPr>
                <w:b/>
                <w:sz w:val="20"/>
              </w:rPr>
              <w:t>Consommation maximale admissible</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0952DC" w14:textId="77777777" w:rsidR="00543A70" w:rsidRPr="00543A70" w:rsidRDefault="00543A70" w:rsidP="00543A70">
            <w:pPr>
              <w:widowControl w:val="0"/>
              <w:ind w:left="-279" w:right="63"/>
              <w:jc w:val="right"/>
              <w:rPr>
                <w:color w:val="000000"/>
                <w:sz w:val="20"/>
                <w:szCs w:val="20"/>
              </w:rPr>
            </w:pPr>
            <w:r>
              <w:rPr>
                <w:color w:val="000000"/>
                <w:sz w:val="20"/>
              </w:rPr>
              <w:t>862,74</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BC8CC7" w14:textId="77777777" w:rsidR="00543A70" w:rsidRPr="00543A70" w:rsidRDefault="00543A70" w:rsidP="00543A70">
            <w:pPr>
              <w:widowControl w:val="0"/>
              <w:ind w:left="-279" w:right="63"/>
              <w:jc w:val="right"/>
              <w:rPr>
                <w:color w:val="000000"/>
                <w:sz w:val="20"/>
                <w:szCs w:val="20"/>
              </w:rPr>
            </w:pPr>
            <w:r>
              <w:rPr>
                <w:color w:val="000000"/>
                <w:sz w:val="20"/>
              </w:rPr>
              <w:t>730,02</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1D717361" w14:textId="77777777" w:rsidR="00543A70" w:rsidRPr="00543A70" w:rsidRDefault="00543A70" w:rsidP="00543A70">
            <w:pPr>
              <w:ind w:left="-279" w:right="63"/>
              <w:jc w:val="right"/>
              <w:rPr>
                <w:color w:val="000000"/>
                <w:sz w:val="20"/>
                <w:szCs w:val="20"/>
              </w:rPr>
            </w:pPr>
            <w:r>
              <w:rPr>
                <w:color w:val="000000"/>
                <w:sz w:val="20"/>
              </w:rPr>
              <w:t>730,02</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246415D9" w14:textId="77777777" w:rsidR="00543A70" w:rsidRPr="00543A70" w:rsidRDefault="00543A70" w:rsidP="00543A70">
            <w:pPr>
              <w:ind w:left="-279" w:right="63"/>
              <w:jc w:val="right"/>
              <w:rPr>
                <w:color w:val="000000"/>
                <w:sz w:val="20"/>
                <w:szCs w:val="20"/>
              </w:rPr>
            </w:pPr>
            <w:r>
              <w:rPr>
                <w:color w:val="000000"/>
                <w:sz w:val="20"/>
              </w:rPr>
              <w:t>730,02</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2EA6F5DB" w14:textId="77777777" w:rsidR="00543A70" w:rsidRPr="00543A70" w:rsidRDefault="00543A70" w:rsidP="00543A70">
            <w:pPr>
              <w:ind w:left="-279" w:right="63"/>
              <w:jc w:val="right"/>
              <w:rPr>
                <w:color w:val="000000"/>
                <w:sz w:val="20"/>
                <w:szCs w:val="20"/>
              </w:rPr>
            </w:pPr>
            <w:r>
              <w:rPr>
                <w:color w:val="000000"/>
                <w:sz w:val="20"/>
              </w:rPr>
              <w:t>s.o.</w:t>
            </w:r>
          </w:p>
        </w:tc>
      </w:tr>
    </w:tbl>
    <w:p w14:paraId="7101173E" w14:textId="77777777" w:rsidR="00543A70" w:rsidRPr="00543A70" w:rsidRDefault="00543A70" w:rsidP="00543A70">
      <w:pPr>
        <w:numPr>
          <w:ilvl w:val="0"/>
          <w:numId w:val="1"/>
        </w:numPr>
        <w:spacing w:before="240" w:after="240"/>
        <w:outlineLvl w:val="0"/>
        <w:rPr>
          <w:rFonts w:eastAsiaTheme="minorEastAsia"/>
        </w:rPr>
      </w:pPr>
      <w:r>
        <w:t>Le Gouvernement du Brésil a communiqué des données du secteur de la consommation des HCFC dans le cadre du rapport de mise en œuvre du PP de 2023, et ces données correspondent aux données déclarées en vertu de l’article 7 du Protocole de Montréal.</w:t>
      </w:r>
    </w:p>
    <w:p w14:paraId="51E58F65" w14:textId="77777777" w:rsidR="00543A70" w:rsidRPr="00543A70" w:rsidRDefault="00543A70" w:rsidP="00543A70">
      <w:pPr>
        <w:keepNext/>
        <w:spacing w:after="240"/>
        <w:outlineLvl w:val="0"/>
        <w:rPr>
          <w:rFonts w:eastAsiaTheme="minorEastAsia"/>
          <w:b/>
          <w:bCs/>
        </w:rPr>
      </w:pPr>
      <w:r>
        <w:rPr>
          <w:b/>
        </w:rPr>
        <w:t>Rapport périodique</w:t>
      </w:r>
    </w:p>
    <w:p w14:paraId="6EBB08DB" w14:textId="77777777" w:rsidR="00543A70" w:rsidRPr="00543A70" w:rsidRDefault="00543A70" w:rsidP="00543A70">
      <w:pPr>
        <w:numPr>
          <w:ilvl w:val="0"/>
          <w:numId w:val="1"/>
        </w:numPr>
        <w:spacing w:after="240"/>
        <w:outlineLvl w:val="0"/>
        <w:rPr>
          <w:rFonts w:eastAsiaTheme="minorEastAsia"/>
        </w:rPr>
      </w:pPr>
      <w:r>
        <w:t>Au nom du Gouvernement du Brésil, le PNUD a présenté un rapport sur les progrès réalisés dans la mise en œuvre des activités restantes de la phase II</w:t>
      </w:r>
      <w:bookmarkStart w:id="1" w:name="_Hlk126934425"/>
      <w:bookmarkStart w:id="2" w:name="_Hlk126663552"/>
      <w:r>
        <w:t>, conformément au récapitulatif ci-dessous.</w:t>
      </w:r>
    </w:p>
    <w:p w14:paraId="184F9A5E" w14:textId="77777777" w:rsidR="00543A70" w:rsidRPr="00543A70" w:rsidRDefault="00543A70" w:rsidP="00543A70">
      <w:pPr>
        <w:spacing w:after="240"/>
        <w:rPr>
          <w:rFonts w:eastAsiaTheme="minorEastAsia"/>
          <w:u w:val="single"/>
        </w:rPr>
      </w:pPr>
      <w:r>
        <w:rPr>
          <w:u w:val="single"/>
        </w:rPr>
        <w:t>Cadre réglementaire</w:t>
      </w:r>
    </w:p>
    <w:p w14:paraId="40E1D5B3" w14:textId="77777777" w:rsidR="00543A70" w:rsidRPr="00543A70" w:rsidRDefault="00543A70" w:rsidP="00543A70">
      <w:pPr>
        <w:numPr>
          <w:ilvl w:val="0"/>
          <w:numId w:val="1"/>
        </w:numPr>
        <w:spacing w:after="240"/>
        <w:outlineLvl w:val="0"/>
        <w:rPr>
          <w:rFonts w:eastAsiaTheme="minorEastAsia"/>
        </w:rPr>
      </w:pPr>
      <w:r>
        <w:lastRenderedPageBreak/>
        <w:t>La norme internationale ISO 22043:2020 pour les congélateurs de crème glacée (classification, exigences et conditions d’essai) a été traduite en portugais et est actuellement soumise à une consultation publique. Le travail en cours sur d’autres normes comprend la traduction de l’ISO 23953-1 pour les présentoirs réfrigérés (Partie 1 : Vocabulaire) ; une nouvelle version de l’ISO 5149:2014 pour les systèmes frigorifiques et les pompes à chaleur (Parties 1 à 4 : Exigences sanitaires et environnementales) ; et la révision de l’ABNT NBR 16666 sur les frigorigènes (Désignation et classification de sécurité).</w:t>
      </w:r>
    </w:p>
    <w:p w14:paraId="32D00DCB" w14:textId="77777777" w:rsidR="00543A70" w:rsidRPr="00543A70" w:rsidRDefault="00543A70" w:rsidP="00543A70">
      <w:pPr>
        <w:widowControl w:val="0"/>
        <w:spacing w:before="240" w:after="240"/>
        <w:outlineLvl w:val="0"/>
        <w:rPr>
          <w:rFonts w:eastAsiaTheme="minorEastAsia"/>
          <w:color w:val="000000" w:themeColor="text1"/>
          <w:u w:val="single"/>
        </w:rPr>
      </w:pPr>
      <w:r>
        <w:rPr>
          <w:color w:val="000000" w:themeColor="text1"/>
          <w:u w:val="single"/>
        </w:rPr>
        <w:t>Secteur de la fabrication</w:t>
      </w:r>
    </w:p>
    <w:p w14:paraId="72ADEF72" w14:textId="77777777" w:rsidR="00543A70" w:rsidRPr="00543A70" w:rsidRDefault="00543A70" w:rsidP="00543A70">
      <w:pPr>
        <w:widowControl w:val="0"/>
        <w:spacing w:after="240"/>
        <w:rPr>
          <w:rFonts w:eastAsiaTheme="minorEastAsia"/>
          <w:i/>
          <w:iCs/>
        </w:rPr>
      </w:pPr>
      <w:r>
        <w:rPr>
          <w:i/>
        </w:rPr>
        <w:t>Fabrication des mousses de polyuréthane (PNUD)</w:t>
      </w:r>
    </w:p>
    <w:p w14:paraId="15C7EC4A" w14:textId="77777777" w:rsidR="00543A70" w:rsidRPr="00543A70" w:rsidRDefault="00543A70" w:rsidP="00543A70">
      <w:pPr>
        <w:widowControl w:val="0"/>
        <w:numPr>
          <w:ilvl w:val="0"/>
          <w:numId w:val="1"/>
        </w:numPr>
        <w:spacing w:after="240"/>
        <w:outlineLvl w:val="0"/>
        <w:rPr>
          <w:rFonts w:eastAsiaTheme="minorEastAsia"/>
        </w:rPr>
      </w:pPr>
      <w:r>
        <w:t>La reconversion totale du secteur de la fabrication des mousses de polyuréthane (PU) a été finalisée en remplaçant intégralement le HCFC</w:t>
      </w:r>
      <w:r>
        <w:noBreakHyphen/>
        <w:t>141b utilisé comme agent de gonflage par des solutions de remplacement sans potentiel d’appauvrissement de l’ozone (PAO) et à faible potentiel de réchauffement de la planète (PRP). Les reconversions dans 20 entreprises individuelles </w:t>
      </w:r>
      <w:r w:rsidRPr="00543A70">
        <w:rPr>
          <w:rFonts w:eastAsiaTheme="minorEastAsia"/>
          <w:vertAlign w:val="superscript"/>
          <w:lang w:eastAsia="zh-CN"/>
        </w:rPr>
        <w:footnoteReference w:id="5"/>
      </w:r>
      <w:r>
        <w:t xml:space="preserve"> ont permis l’élimination de 58,78 tonnes PAO de HCFC</w:t>
      </w:r>
      <w:r>
        <w:noBreakHyphen/>
        <w:t>141b, et un projet de groupe pour convertir 200 entreprises utilisatrices de mousse en aval avec l’aide de neuf sociétés de formulation locales a éliminé 77,6 tonnes PAO de HCFC</w:t>
      </w:r>
      <w:r>
        <w:noBreakHyphen/>
        <w:t>141b. Les sociétés de formulation ont également fourni des technologies de remplacement aux entreprises qui n’ont pas participé au PGEH, pour une quantité supplémentaire estimée à 33,5 tonnes PAO de HCFC-141b éliminée sans l’assistance du Fonds multilatéral.</w:t>
      </w:r>
    </w:p>
    <w:p w14:paraId="31C0A0BC" w14:textId="77777777" w:rsidR="00543A70" w:rsidRPr="00543A70" w:rsidRDefault="00543A70" w:rsidP="00A343E6">
      <w:pPr>
        <w:keepNext/>
        <w:spacing w:before="240" w:after="240"/>
        <w:outlineLvl w:val="0"/>
        <w:rPr>
          <w:rFonts w:eastAsiaTheme="minorEastAsia"/>
          <w:i/>
          <w:iCs/>
          <w:color w:val="000000" w:themeColor="text1"/>
        </w:rPr>
      </w:pPr>
      <w:r>
        <w:rPr>
          <w:i/>
          <w:color w:val="000000" w:themeColor="text1"/>
        </w:rPr>
        <w:t>Fabrication en réfrigération commerciale (ONUDI)</w:t>
      </w:r>
    </w:p>
    <w:p w14:paraId="45E31B92" w14:textId="77777777" w:rsidR="00543A70" w:rsidRPr="00543A70" w:rsidRDefault="00543A70" w:rsidP="00A343E6">
      <w:pPr>
        <w:numPr>
          <w:ilvl w:val="0"/>
          <w:numId w:val="1"/>
        </w:numPr>
        <w:spacing w:after="240"/>
        <w:outlineLvl w:val="0"/>
        <w:rPr>
          <w:rFonts w:eastAsiaTheme="minorEastAsia"/>
        </w:rPr>
      </w:pPr>
      <w:r>
        <w:t>Douze des 14 petites et moyennes entreprises fabriquant de l’équipement de réfrigération à usage commercial utilisant des frigorigènes à faible PRP qui ont participé à la phase II ont achevé leurs reconversions </w:t>
      </w:r>
      <w:r w:rsidRPr="00543A70">
        <w:rPr>
          <w:rFonts w:eastAsiaTheme="minorEastAsia"/>
          <w:vertAlign w:val="superscript"/>
          <w:lang w:eastAsia="zh-CN"/>
        </w:rPr>
        <w:footnoteReference w:id="6"/>
      </w:r>
      <w:r>
        <w:t xml:space="preserve"> (six d’entre elles au cours de l’année écoulée), sélectionnant dans la plupart des cas le R</w:t>
      </w:r>
      <w:r>
        <w:noBreakHyphen/>
        <w:t>290 comme solution de remplacement, seules trois entreprises </w:t>
      </w:r>
      <w:r w:rsidRPr="00543A70">
        <w:rPr>
          <w:rFonts w:eastAsiaTheme="minorEastAsia"/>
          <w:vertAlign w:val="superscript"/>
          <w:lang w:eastAsia="zh-CN"/>
        </w:rPr>
        <w:footnoteReference w:id="7"/>
      </w:r>
      <w:r>
        <w:t xml:space="preserve"> optant pour les HFO. Les deux dernières entreprises finalisent actuellement la documentation pour le paiement final. En juin 2024, un atelier a eu lieu pour présenter les expériences des bénéficiaires avec ce projet, y compris les considérations de sécurité.</w:t>
      </w:r>
    </w:p>
    <w:p w14:paraId="34A5909F" w14:textId="523BE8F6" w:rsidR="00543A70" w:rsidRDefault="00543A70" w:rsidP="00543A70">
      <w:pPr>
        <w:keepNext/>
        <w:spacing w:after="240"/>
        <w:outlineLvl w:val="1"/>
        <w:rPr>
          <w:rFonts w:eastAsiaTheme="minorEastAsia"/>
          <w:color w:val="000000" w:themeColor="text1"/>
          <w:u w:val="single"/>
        </w:rPr>
      </w:pPr>
      <w:r>
        <w:rPr>
          <w:color w:val="000000" w:themeColor="text1"/>
          <w:u w:val="single"/>
        </w:rPr>
        <w:t>Secteur de l’entretien de l’équipement de réfrigération (Gouvernement de l’Allemagne)</w:t>
      </w:r>
    </w:p>
    <w:p w14:paraId="4F65D6E9" w14:textId="0DDB2E5F" w:rsidR="00F77CDD" w:rsidRPr="00543A70" w:rsidRDefault="00EA797E" w:rsidP="00F77CDD">
      <w:pPr>
        <w:pStyle w:val="Heading1"/>
        <w:rPr>
          <w:rFonts w:eastAsiaTheme="minorEastAsia"/>
        </w:rPr>
      </w:pPr>
      <w:r>
        <w:t>Les activités suivantes ont été mises en œuvre :</w:t>
      </w:r>
    </w:p>
    <w:p w14:paraId="4EAA02C5" w14:textId="6899914F" w:rsidR="00543A70" w:rsidRPr="00543A70" w:rsidRDefault="00543A70" w:rsidP="00543A70">
      <w:pPr>
        <w:widowControl w:val="0"/>
        <w:numPr>
          <w:ilvl w:val="1"/>
          <w:numId w:val="1"/>
        </w:numPr>
        <w:spacing w:after="240"/>
        <w:outlineLvl w:val="1"/>
        <w:rPr>
          <w:rFonts w:eastAsiaTheme="minorEastAsia"/>
        </w:rPr>
      </w:pPr>
      <w:r>
        <w:rPr>
          <w:i/>
        </w:rPr>
        <w:t xml:space="preserve">Formation et renforcement de la capacité : </w:t>
      </w:r>
      <w:r>
        <w:t>deux ateliers supplémentaires de formation du formateur pour des pratiques sûres dans la réfrigération à usage commercial ont été tenus ; la formation de 700 techniciens aux meilleures pratiques pour les systèmes de climatisation bibloc et de fenêtre et de 300 techniciens aux meilleures pratiques en réfrigération à usage commercial a commencé et son achèvement est prévu pour décembre 2025 ; l’installation de deux mini-supermarchés dans des institutions de formation est en cours, avec une formation associée programmée pour commencer au deuxième trimestre de 2025 ; des climatiseurs au R</w:t>
      </w:r>
      <w:r>
        <w:noBreakHyphen/>
        <w:t>290 pour la formation ont été importés et livrés à cinq institutions de formation ; et les essais de sécurité et de performance nécessaires pour la certification des modèles de climatiseurs au Brésil ont été sous-traités et effectués ; et</w:t>
      </w:r>
    </w:p>
    <w:p w14:paraId="6B3925B1" w14:textId="77777777" w:rsidR="00543A70" w:rsidRPr="00543A70" w:rsidRDefault="00543A70" w:rsidP="00543A70">
      <w:pPr>
        <w:numPr>
          <w:ilvl w:val="1"/>
          <w:numId w:val="1"/>
        </w:numPr>
        <w:spacing w:after="240"/>
        <w:outlineLvl w:val="1"/>
        <w:rPr>
          <w:rFonts w:eastAsiaTheme="minorEastAsia"/>
        </w:rPr>
      </w:pPr>
      <w:r>
        <w:rPr>
          <w:i/>
          <w:color w:val="000000" w:themeColor="text1"/>
        </w:rPr>
        <w:t xml:space="preserve">Campagne d’information et de sensibilisation : </w:t>
      </w:r>
      <w:r>
        <w:t xml:space="preserve">des documents de formation et des présentations pour l’utilisation sûre du dioxyde de carbone et du propane ont été élaborés </w:t>
      </w:r>
      <w:r>
        <w:lastRenderedPageBreak/>
        <w:t>et sont en cours de traduction ; le site Web du projet a été mis à jour avec 10 entretiens pour la série « Cool Talks HPMP » ; un compte Instagram du projet a été créé ; et des vidéos ont été produites pour promouvoir les activités de formation des techniciens.</w:t>
      </w:r>
    </w:p>
    <w:bookmarkEnd w:id="1"/>
    <w:bookmarkEnd w:id="2"/>
    <w:p w14:paraId="0A67E73F" w14:textId="77777777" w:rsidR="00543A70" w:rsidRPr="00543A70" w:rsidRDefault="00543A70" w:rsidP="00543A70">
      <w:pPr>
        <w:numPr>
          <w:ilvl w:val="0"/>
          <w:numId w:val="1"/>
        </w:numPr>
        <w:outlineLvl w:val="0"/>
        <w:rPr>
          <w:rFonts w:eastAsiaTheme="minorEastAsia"/>
        </w:rPr>
      </w:pPr>
      <w:r>
        <w:t>Des 26 019 401 $US approuvés pour la phase II du PGEH pour le Brésil, 23 443 428 $US ont été décaissés. Du solde restant de 2 575 973 $US, il est estimé de manière préliminaire que 1 695 731 $US seront restitués par le PNUD et 311 203 $US seront restitués par l’ONUDI une fois le projet financièrement achevé, et le solde restant sera décaissé en 2025 et 2026.</w:t>
      </w:r>
    </w:p>
    <w:p w14:paraId="4F1F1DC0" w14:textId="77777777" w:rsidR="00543A70" w:rsidRPr="00543A70" w:rsidRDefault="00543A70" w:rsidP="00543A70">
      <w:pPr>
        <w:keepNext/>
        <w:spacing w:before="240" w:after="240"/>
        <w:rPr>
          <w:rFonts w:eastAsiaTheme="minorEastAsia"/>
          <w:b/>
          <w:bCs/>
        </w:rPr>
      </w:pPr>
      <w:r>
        <w:rPr>
          <w:b/>
        </w:rPr>
        <w:t>Observations du secrétariat</w:t>
      </w:r>
    </w:p>
    <w:p w14:paraId="77C51BA0" w14:textId="77777777" w:rsidR="00543A70" w:rsidRPr="00543A70" w:rsidRDefault="00543A70" w:rsidP="00543A70">
      <w:pPr>
        <w:numPr>
          <w:ilvl w:val="0"/>
          <w:numId w:val="1"/>
        </w:numPr>
        <w:spacing w:before="240" w:after="240"/>
        <w:outlineLvl w:val="0"/>
        <w:rPr>
          <w:rFonts w:eastAsiaTheme="minorEastAsia"/>
        </w:rPr>
      </w:pPr>
      <w:r>
        <w:t>À la demande du secrétariat, le PNUD a confirmé que la phase II du PGEH serait terminée d’ici le 31 décembre 2025, conformément à la décision 91/26 b) ii).</w:t>
      </w:r>
    </w:p>
    <w:p w14:paraId="5FC1B0E6" w14:textId="77777777" w:rsidR="00543A70" w:rsidRPr="00543A70" w:rsidRDefault="00543A70" w:rsidP="00543A70">
      <w:pPr>
        <w:numPr>
          <w:ilvl w:val="0"/>
          <w:numId w:val="1"/>
        </w:numPr>
        <w:spacing w:before="240" w:after="240"/>
        <w:outlineLvl w:val="0"/>
        <w:rPr>
          <w:rFonts w:eastAsiaTheme="minorEastAsia"/>
        </w:rPr>
      </w:pPr>
      <w:r>
        <w:t>Le PNUD a également confirmé que le plan du secteur des mousses de PU a été finalisé le 31 décembre 2024 et fourni la liste finale des entreprises de fabrication de mousses de PU en aval financées au titre de la phase II, conformément à la décision 94/33 b) ii). Des 445 entreprises utilisatrices de mousse en aval qui devaient initialement recevoir de l’assistance, 200 ont reçu de l’assistance au titre du projet ; les fonds associés aux entreprises restantes ont déjà été déduits des tranches approuvées, restitués au Fond lors de précédentes réunions, ou seront restitués une fois le plan financièrement achevé. Le coût final du plan du secteur des mousses de PU au Brésil était de 10 809 269 $US. En ce qui concerne la disponibilité des solutions de remplacement à faible PRP, le PNUD a informé le secrétariat que des HFO étaient actuellement disponibles, avec des prix allant de 14 $US à 18 $US, selon le contrat entre le consommateur et le fournisseur.</w:t>
      </w:r>
    </w:p>
    <w:p w14:paraId="24AC576D" w14:textId="77777777" w:rsidR="00543A70" w:rsidRPr="00543A70" w:rsidRDefault="00543A70" w:rsidP="00543A70">
      <w:pPr>
        <w:numPr>
          <w:ilvl w:val="0"/>
          <w:numId w:val="1"/>
        </w:numPr>
        <w:spacing w:after="240"/>
        <w:outlineLvl w:val="0"/>
        <w:rPr>
          <w:rFonts w:eastAsiaTheme="minorEastAsia"/>
        </w:rPr>
      </w:pPr>
      <w:r>
        <w:t>Conformément à la décision 94/33 a) ii), le PNUD a continué à assister les entreprises utilisatrices de mousse en aval associées à la société de formulation U-Tech, qui s’était retirée de la phase II du PGEH, dans l’adoption des technologies à faible PRP pour remplacer le HCFC-22 dans l’application de gonflage de mousse </w:t>
      </w:r>
      <w:r w:rsidRPr="00543A70">
        <w:rPr>
          <w:rFonts w:eastAsiaTheme="minorEastAsia"/>
          <w:vertAlign w:val="superscript"/>
          <w:lang w:eastAsia="zh-CN"/>
        </w:rPr>
        <w:footnoteReference w:id="8"/>
      </w:r>
      <w:r>
        <w:t>. Le PNUD a indiqué que, malgré les efforts, il n’a pas été possible de fournir de l’assistance aux entreprises utilisatrices de mousse en aval de U-Tech avec des ressources provenant du Fonds multilatéral. Le financement identifié pour les coûts différentiels d’exploitation pour ces entreprises utilisatrices de mousse en aval n’a donc pas été transféré et sera restitué au Fonds multilatéral à la fin du projet, avec le financement restant du surcoût d’investissement initial.</w:t>
      </w:r>
    </w:p>
    <w:p w14:paraId="02A2AB58" w14:textId="77777777" w:rsidR="00543A70" w:rsidRPr="00543A70" w:rsidRDefault="00543A70" w:rsidP="00543A70">
      <w:pPr>
        <w:numPr>
          <w:ilvl w:val="0"/>
          <w:numId w:val="1"/>
        </w:numPr>
        <w:spacing w:after="240"/>
        <w:outlineLvl w:val="0"/>
        <w:rPr>
          <w:rFonts w:eastAsiaTheme="minorEastAsia"/>
        </w:rPr>
      </w:pPr>
      <w:r>
        <w:t>Le secrétariat prend note que, avec l’achèvement des activités en cours dans le secteur de l’entretien, le Brésil aura achevé toutes les activités planifiées au titre de la dernière tranche de la phase II du PGEH.</w:t>
      </w:r>
    </w:p>
    <w:p w14:paraId="35941208" w14:textId="77777777" w:rsidR="00543A70" w:rsidRPr="00543A70" w:rsidRDefault="00543A70" w:rsidP="00543A70">
      <w:pPr>
        <w:spacing w:before="240" w:after="240"/>
        <w:rPr>
          <w:rFonts w:eastAsiaTheme="minorEastAsia"/>
          <w:b/>
          <w:bCs/>
        </w:rPr>
      </w:pPr>
      <w:r>
        <w:rPr>
          <w:b/>
        </w:rPr>
        <w:t>Recommandation</w:t>
      </w:r>
    </w:p>
    <w:p w14:paraId="0C848631" w14:textId="77777777" w:rsidR="00543A70" w:rsidRPr="00F43592" w:rsidRDefault="00543A70" w:rsidP="00543A70">
      <w:pPr>
        <w:numPr>
          <w:ilvl w:val="0"/>
          <w:numId w:val="1"/>
        </w:numPr>
        <w:spacing w:after="240"/>
        <w:outlineLvl w:val="0"/>
        <w:rPr>
          <w:rFonts w:eastAsiaTheme="minorEastAsia"/>
        </w:rPr>
      </w:pPr>
      <w:r>
        <w:t>Le Comité exécutif pourrait souhaiter prendre note du rapport sur l’actualisation des progrès effectués pour la mise en œuvre des programmes de travail associés à la sixième et dernière tranche de la phase II du plan de gestion de l’élimination des HCFC pour le Brésil, soumis par le PNUD et contenu dans le document UNDP/OzL.Pro/ExCom/96/11.</w:t>
      </w:r>
    </w:p>
    <w:p w14:paraId="52FB1827" w14:textId="77777777" w:rsidR="009F1217" w:rsidRPr="009F1217" w:rsidRDefault="009F1217" w:rsidP="0027224F">
      <w:pPr>
        <w:spacing w:after="240"/>
        <w:ind w:left="720"/>
        <w:rPr>
          <w:rFonts w:eastAsiaTheme="minorEastAsia"/>
          <w:b/>
          <w:bCs/>
        </w:rPr>
      </w:pPr>
      <w:r>
        <w:rPr>
          <w:b/>
          <w:u w:val="single"/>
        </w:rPr>
        <w:t>Inde : Plan de gestion de l’élimination des HCFC (phase II – rapport périodique sur la mise en œuvre du programme de travail associé à la quatrième et dernière tranche)</w:t>
      </w:r>
      <w:r>
        <w:rPr>
          <w:b/>
        </w:rPr>
        <w:t xml:space="preserve"> (PNUD, PNUE et Gouvernement de l’Allemagne)</w:t>
      </w:r>
    </w:p>
    <w:p w14:paraId="2CA45A71" w14:textId="77777777" w:rsidR="00D35ED6" w:rsidRDefault="00D35ED6" w:rsidP="009F1217">
      <w:pPr>
        <w:spacing w:after="240"/>
        <w:rPr>
          <w:b/>
        </w:rPr>
      </w:pPr>
    </w:p>
    <w:p w14:paraId="05DA7480" w14:textId="0D23ACAE" w:rsidR="009F1217" w:rsidRPr="009F1217" w:rsidRDefault="009F1217" w:rsidP="009F1217">
      <w:pPr>
        <w:spacing w:after="240"/>
        <w:rPr>
          <w:rFonts w:eastAsiaTheme="minorEastAsia"/>
          <w:b/>
          <w:bCs/>
        </w:rPr>
      </w:pPr>
      <w:r>
        <w:rPr>
          <w:b/>
        </w:rPr>
        <w:t>Contexte</w:t>
      </w:r>
    </w:p>
    <w:p w14:paraId="28B40E4B" w14:textId="7CE99932" w:rsidR="009F1217" w:rsidRPr="009F1217" w:rsidRDefault="009F1217" w:rsidP="009F1217">
      <w:pPr>
        <w:keepNext/>
        <w:keepLines/>
        <w:numPr>
          <w:ilvl w:val="0"/>
          <w:numId w:val="1"/>
        </w:numPr>
        <w:spacing w:after="240"/>
        <w:outlineLvl w:val="0"/>
        <w:rPr>
          <w:rFonts w:eastAsiaTheme="minorEastAsia"/>
        </w:rPr>
      </w:pPr>
      <w:r>
        <w:t>À sa 91</w:t>
      </w:r>
      <w:r>
        <w:rPr>
          <w:vertAlign w:val="superscript"/>
        </w:rPr>
        <w:t>e</w:t>
      </w:r>
      <w:r>
        <w:t> réunion, en approuvant la quatrième et dernière tranche de la phase II du plan de gestion de l’élimination des HCFC (PGEH) pour l’Inde, le Comité exécutif a également demandé au Gouvernement de l’Inde, au PNUD, au PNUE et au Gouvernement de l’Allemagne de présenter, à la première réunion de 2025, un rapport périodique sur la mise en œuvre de la dernière tranche du PGEH </w:t>
      </w:r>
      <w:r w:rsidRPr="009F1217">
        <w:rPr>
          <w:rFonts w:eastAsiaTheme="minorEastAsia"/>
          <w:vertAlign w:val="superscript"/>
          <w:lang w:eastAsia="zh-CN"/>
        </w:rPr>
        <w:footnoteReference w:id="9"/>
      </w:r>
      <w:r>
        <w:t>.</w:t>
      </w:r>
    </w:p>
    <w:p w14:paraId="1E952B24" w14:textId="1B2D8C58" w:rsidR="009F1217" w:rsidRPr="009F1217" w:rsidRDefault="009F1217" w:rsidP="009F1217">
      <w:pPr>
        <w:keepNext/>
        <w:keepLines/>
        <w:numPr>
          <w:ilvl w:val="0"/>
          <w:numId w:val="1"/>
        </w:numPr>
        <w:spacing w:after="240"/>
        <w:outlineLvl w:val="0"/>
        <w:rPr>
          <w:rFonts w:eastAsiaTheme="minorEastAsia"/>
        </w:rPr>
      </w:pPr>
      <w:r>
        <w:t>Le Gouvernement de l’Inde a déclaré une consommation de 322,44 tonnes PAO de HCFC en 2023, qui est inférieure de 80,0 pour cent à la valeur de référence des HCFC aux fins de conformité </w:t>
      </w:r>
      <w:r w:rsidRPr="009F1217">
        <w:rPr>
          <w:rFonts w:eastAsiaTheme="minorEastAsia"/>
          <w:vertAlign w:val="superscript"/>
          <w:lang w:eastAsia="zh-CN"/>
        </w:rPr>
        <w:footnoteReference w:id="10"/>
      </w:r>
      <w:r>
        <w:t>. Les données préliminaires de consommation pour 2024 sont en cours de compilation et sont estimées à 464,33 tonnes PAO. Le tableau 4 indique la consommation de HCFC pour la période 2019–2024.</w:t>
      </w:r>
    </w:p>
    <w:p w14:paraId="5BA4BA06" w14:textId="09DD81A0" w:rsidR="009F1217" w:rsidRPr="009F1217" w:rsidRDefault="009F1217" w:rsidP="009F1217">
      <w:pPr>
        <w:keepNext/>
        <w:rPr>
          <w:rFonts w:eastAsiaTheme="minorEastAsia"/>
          <w:b/>
        </w:rPr>
      </w:pPr>
      <w:r>
        <w:rPr>
          <w:b/>
        </w:rPr>
        <w:t>Tableau 4. Consommation de HCFC en Inde (données de l’article 7 pour 2019–2023)</w:t>
      </w:r>
    </w:p>
    <w:tbl>
      <w:tblPr>
        <w:tblW w:w="5000" w:type="pct"/>
        <w:tblLayout w:type="fixed"/>
        <w:tblLook w:val="04A0" w:firstRow="1" w:lastRow="0" w:firstColumn="1" w:lastColumn="0" w:noHBand="0" w:noVBand="1"/>
      </w:tblPr>
      <w:tblGrid>
        <w:gridCol w:w="1963"/>
        <w:gridCol w:w="1028"/>
        <w:gridCol w:w="1029"/>
        <w:gridCol w:w="1030"/>
        <w:gridCol w:w="1029"/>
        <w:gridCol w:w="1029"/>
        <w:gridCol w:w="1030"/>
        <w:gridCol w:w="1212"/>
      </w:tblGrid>
      <w:tr w:rsidR="009F1217" w:rsidRPr="009F1217" w14:paraId="0577A0B4" w14:textId="77777777" w:rsidTr="00825E3B">
        <w:trPr>
          <w:tblHeader/>
        </w:trPr>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816FFD" w14:textId="77777777" w:rsidR="009F1217" w:rsidRPr="009F1217" w:rsidRDefault="009F1217" w:rsidP="009F1217">
            <w:pPr>
              <w:keepNext/>
              <w:jc w:val="center"/>
              <w:rPr>
                <w:rFonts w:eastAsiaTheme="minorEastAsia"/>
                <w:b/>
                <w:bCs/>
                <w:color w:val="000000"/>
                <w:sz w:val="20"/>
                <w:szCs w:val="20"/>
              </w:rPr>
            </w:pPr>
            <w:r>
              <w:rPr>
                <w:b/>
                <w:color w:val="000000"/>
                <w:sz w:val="20"/>
              </w:rPr>
              <w:t>HCFC</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55B227C2" w14:textId="77777777" w:rsidR="009F1217" w:rsidRPr="009F1217" w:rsidRDefault="009F1217" w:rsidP="009F1217">
            <w:pPr>
              <w:keepNext/>
              <w:jc w:val="center"/>
              <w:rPr>
                <w:rFonts w:eastAsiaTheme="minorEastAsia"/>
                <w:b/>
                <w:bCs/>
                <w:color w:val="000000"/>
                <w:sz w:val="20"/>
                <w:szCs w:val="20"/>
              </w:rPr>
            </w:pPr>
            <w:r>
              <w:rPr>
                <w:b/>
                <w:color w:val="000000"/>
                <w:sz w:val="20"/>
              </w:rPr>
              <w:t>2019</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2EAC1811" w14:textId="77777777" w:rsidR="009F1217" w:rsidRPr="009F1217" w:rsidRDefault="009F1217" w:rsidP="009F1217">
            <w:pPr>
              <w:keepNext/>
              <w:jc w:val="center"/>
              <w:rPr>
                <w:rFonts w:eastAsiaTheme="minorEastAsia"/>
                <w:b/>
                <w:bCs/>
                <w:color w:val="000000"/>
                <w:sz w:val="20"/>
                <w:szCs w:val="20"/>
              </w:rPr>
            </w:pPr>
            <w:r>
              <w:rPr>
                <w:b/>
                <w:color w:val="000000"/>
                <w:sz w:val="20"/>
              </w:rPr>
              <w:t>2020</w:t>
            </w:r>
          </w:p>
        </w:tc>
        <w:tc>
          <w:tcPr>
            <w:tcW w:w="551" w:type="pct"/>
            <w:tcBorders>
              <w:top w:val="single" w:sz="4" w:space="0" w:color="auto"/>
              <w:left w:val="nil"/>
              <w:bottom w:val="single" w:sz="4" w:space="0" w:color="auto"/>
              <w:right w:val="single" w:sz="4" w:space="0" w:color="auto"/>
            </w:tcBorders>
            <w:shd w:val="clear" w:color="auto" w:fill="auto"/>
            <w:noWrap/>
            <w:vAlign w:val="center"/>
            <w:hideMark/>
          </w:tcPr>
          <w:p w14:paraId="1B240ECF" w14:textId="77777777" w:rsidR="009F1217" w:rsidRPr="009F1217" w:rsidRDefault="009F1217" w:rsidP="009F1217">
            <w:pPr>
              <w:keepNext/>
              <w:jc w:val="center"/>
              <w:rPr>
                <w:rFonts w:eastAsiaTheme="minorEastAsia"/>
                <w:b/>
                <w:bCs/>
                <w:color w:val="000000"/>
                <w:sz w:val="20"/>
                <w:szCs w:val="20"/>
              </w:rPr>
            </w:pPr>
            <w:r>
              <w:rPr>
                <w:b/>
                <w:color w:val="000000"/>
                <w:sz w:val="20"/>
              </w:rPr>
              <w:t>2021</w:t>
            </w:r>
          </w:p>
        </w:tc>
        <w:tc>
          <w:tcPr>
            <w:tcW w:w="550" w:type="pct"/>
            <w:tcBorders>
              <w:top w:val="single" w:sz="4" w:space="0" w:color="auto"/>
              <w:left w:val="nil"/>
              <w:bottom w:val="single" w:sz="4" w:space="0" w:color="auto"/>
              <w:right w:val="single" w:sz="4" w:space="0" w:color="auto"/>
            </w:tcBorders>
          </w:tcPr>
          <w:p w14:paraId="5158CB61" w14:textId="77777777" w:rsidR="009F1217" w:rsidRPr="009F1217" w:rsidRDefault="009F1217" w:rsidP="009F1217">
            <w:pPr>
              <w:keepNext/>
              <w:jc w:val="center"/>
              <w:rPr>
                <w:rFonts w:eastAsiaTheme="minorEastAsia"/>
                <w:b/>
                <w:bCs/>
                <w:color w:val="000000"/>
                <w:sz w:val="20"/>
                <w:szCs w:val="20"/>
              </w:rPr>
            </w:pPr>
            <w:r>
              <w:rPr>
                <w:b/>
                <w:color w:val="000000"/>
                <w:sz w:val="20"/>
              </w:rPr>
              <w:t>2022</w:t>
            </w:r>
          </w:p>
        </w:tc>
        <w:tc>
          <w:tcPr>
            <w:tcW w:w="550" w:type="pct"/>
            <w:tcBorders>
              <w:top w:val="single" w:sz="4" w:space="0" w:color="auto"/>
              <w:left w:val="single" w:sz="4" w:space="0" w:color="auto"/>
              <w:bottom w:val="single" w:sz="4" w:space="0" w:color="auto"/>
              <w:right w:val="single" w:sz="4" w:space="0" w:color="auto"/>
            </w:tcBorders>
          </w:tcPr>
          <w:p w14:paraId="567F1A35" w14:textId="77777777" w:rsidR="009F1217" w:rsidRPr="009F1217" w:rsidRDefault="009F1217" w:rsidP="009F1217">
            <w:pPr>
              <w:keepNext/>
              <w:jc w:val="center"/>
              <w:rPr>
                <w:rFonts w:eastAsiaTheme="minorEastAsia"/>
                <w:b/>
                <w:bCs/>
                <w:color w:val="000000"/>
                <w:sz w:val="20"/>
                <w:szCs w:val="20"/>
              </w:rPr>
            </w:pPr>
            <w:r>
              <w:rPr>
                <w:b/>
                <w:color w:val="000000"/>
                <w:sz w:val="20"/>
              </w:rPr>
              <w:t>2023</w:t>
            </w:r>
          </w:p>
        </w:tc>
        <w:tc>
          <w:tcPr>
            <w:tcW w:w="551" w:type="pct"/>
            <w:tcBorders>
              <w:top w:val="single" w:sz="4" w:space="0" w:color="auto"/>
              <w:left w:val="single" w:sz="4" w:space="0" w:color="auto"/>
              <w:bottom w:val="single" w:sz="4" w:space="0" w:color="auto"/>
              <w:right w:val="single" w:sz="4" w:space="0" w:color="auto"/>
            </w:tcBorders>
          </w:tcPr>
          <w:p w14:paraId="651D5884" w14:textId="77777777" w:rsidR="009F1217" w:rsidRPr="009F1217" w:rsidRDefault="009F1217" w:rsidP="009F1217">
            <w:pPr>
              <w:keepNext/>
              <w:jc w:val="center"/>
              <w:rPr>
                <w:rFonts w:eastAsiaTheme="minorEastAsia"/>
                <w:b/>
                <w:bCs/>
                <w:color w:val="000000"/>
                <w:sz w:val="20"/>
                <w:szCs w:val="20"/>
              </w:rPr>
            </w:pPr>
            <w:r>
              <w:rPr>
                <w:b/>
                <w:color w:val="000000"/>
                <w:sz w:val="20"/>
              </w:rPr>
              <w:t>2024*</w:t>
            </w:r>
          </w:p>
        </w:tc>
        <w:tc>
          <w:tcPr>
            <w:tcW w:w="6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D9A40F" w14:textId="77777777" w:rsidR="009F1217" w:rsidRPr="009F1217" w:rsidRDefault="009F1217" w:rsidP="009F1217">
            <w:pPr>
              <w:keepNext/>
              <w:jc w:val="center"/>
              <w:rPr>
                <w:rFonts w:eastAsiaTheme="minorEastAsia"/>
                <w:b/>
                <w:bCs/>
                <w:color w:val="000000"/>
                <w:sz w:val="20"/>
                <w:szCs w:val="20"/>
              </w:rPr>
            </w:pPr>
            <w:r>
              <w:rPr>
                <w:b/>
                <w:color w:val="000000"/>
                <w:sz w:val="20"/>
              </w:rPr>
              <w:t>Référence</w:t>
            </w:r>
          </w:p>
        </w:tc>
      </w:tr>
      <w:tr w:rsidR="009F1217" w:rsidRPr="009F1217" w14:paraId="59BBC058" w14:textId="77777777" w:rsidTr="00825E3B">
        <w:tc>
          <w:tcPr>
            <w:tcW w:w="5000" w:type="pct"/>
            <w:gridSpan w:val="8"/>
            <w:tcBorders>
              <w:top w:val="nil"/>
              <w:left w:val="single" w:sz="4" w:space="0" w:color="auto"/>
              <w:bottom w:val="single" w:sz="4" w:space="0" w:color="auto"/>
              <w:right w:val="single" w:sz="4" w:space="0" w:color="auto"/>
            </w:tcBorders>
          </w:tcPr>
          <w:p w14:paraId="595CD748" w14:textId="77777777" w:rsidR="009F1217" w:rsidRPr="009F1217" w:rsidRDefault="009F1217" w:rsidP="009F1217">
            <w:pPr>
              <w:keepNext/>
              <w:ind w:left="98"/>
              <w:jc w:val="left"/>
              <w:rPr>
                <w:rFonts w:eastAsiaTheme="minorEastAsia"/>
                <w:b/>
                <w:bCs/>
                <w:color w:val="000000"/>
                <w:sz w:val="20"/>
                <w:szCs w:val="20"/>
              </w:rPr>
            </w:pPr>
            <w:r>
              <w:rPr>
                <w:b/>
                <w:color w:val="000000"/>
                <w:sz w:val="20"/>
              </w:rPr>
              <w:t>Tonnes métriques (tm)</w:t>
            </w:r>
          </w:p>
        </w:tc>
      </w:tr>
      <w:tr w:rsidR="009F1217" w:rsidRPr="009F1217" w14:paraId="2721C9A3" w14:textId="77777777" w:rsidTr="00825E3B">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CECBFC" w14:textId="77777777" w:rsidR="009F1217" w:rsidRPr="009F1217" w:rsidRDefault="009F1217" w:rsidP="009F1217">
            <w:pPr>
              <w:ind w:left="98"/>
              <w:jc w:val="left"/>
              <w:rPr>
                <w:rFonts w:eastAsiaTheme="minorEastAsia"/>
                <w:color w:val="000000"/>
                <w:sz w:val="20"/>
                <w:szCs w:val="20"/>
              </w:rPr>
            </w:pPr>
            <w:r>
              <w:rPr>
                <w:color w:val="000000"/>
                <w:sz w:val="20"/>
              </w:rPr>
              <w:t>HCFC-22</w:t>
            </w:r>
          </w:p>
        </w:tc>
        <w:tc>
          <w:tcPr>
            <w:tcW w:w="550" w:type="pct"/>
            <w:tcBorders>
              <w:top w:val="nil"/>
              <w:left w:val="nil"/>
              <w:bottom w:val="single" w:sz="4" w:space="0" w:color="auto"/>
              <w:right w:val="single" w:sz="4" w:space="0" w:color="auto"/>
            </w:tcBorders>
            <w:shd w:val="clear" w:color="auto" w:fill="auto"/>
            <w:noWrap/>
          </w:tcPr>
          <w:p w14:paraId="2274381F" w14:textId="77777777" w:rsidR="009F1217" w:rsidRPr="009F1217" w:rsidRDefault="009F1217" w:rsidP="009F1217">
            <w:pPr>
              <w:tabs>
                <w:tab w:val="left" w:pos="430"/>
              </w:tabs>
              <w:ind w:left="-137" w:right="63"/>
              <w:jc w:val="right"/>
              <w:rPr>
                <w:rFonts w:eastAsiaTheme="minorEastAsia"/>
                <w:sz w:val="20"/>
                <w:szCs w:val="20"/>
              </w:rPr>
            </w:pPr>
            <w:r>
              <w:rPr>
                <w:sz w:val="20"/>
              </w:rPr>
              <w:t>9 988,45</w:t>
            </w:r>
          </w:p>
        </w:tc>
        <w:tc>
          <w:tcPr>
            <w:tcW w:w="550" w:type="pct"/>
            <w:tcBorders>
              <w:top w:val="nil"/>
              <w:left w:val="nil"/>
              <w:bottom w:val="single" w:sz="4" w:space="0" w:color="auto"/>
              <w:right w:val="single" w:sz="4" w:space="0" w:color="auto"/>
            </w:tcBorders>
            <w:shd w:val="clear" w:color="auto" w:fill="auto"/>
            <w:noWrap/>
          </w:tcPr>
          <w:p w14:paraId="5F99D23B" w14:textId="77777777" w:rsidR="009F1217" w:rsidRPr="009F1217" w:rsidRDefault="009F1217" w:rsidP="009F1217">
            <w:pPr>
              <w:tabs>
                <w:tab w:val="left" w:pos="430"/>
              </w:tabs>
              <w:ind w:left="-137" w:right="63"/>
              <w:jc w:val="right"/>
              <w:rPr>
                <w:rFonts w:eastAsiaTheme="minorEastAsia"/>
                <w:sz w:val="20"/>
                <w:szCs w:val="20"/>
              </w:rPr>
            </w:pPr>
            <w:r>
              <w:rPr>
                <w:sz w:val="20"/>
              </w:rPr>
              <w:t>5 404,19</w:t>
            </w:r>
          </w:p>
        </w:tc>
        <w:tc>
          <w:tcPr>
            <w:tcW w:w="551" w:type="pct"/>
            <w:tcBorders>
              <w:top w:val="nil"/>
              <w:left w:val="nil"/>
              <w:bottom w:val="single" w:sz="4" w:space="0" w:color="auto"/>
              <w:right w:val="single" w:sz="4" w:space="0" w:color="auto"/>
            </w:tcBorders>
            <w:shd w:val="clear" w:color="auto" w:fill="auto"/>
            <w:noWrap/>
          </w:tcPr>
          <w:p w14:paraId="2B22FA86" w14:textId="77777777" w:rsidR="009F1217" w:rsidRPr="009F1217" w:rsidRDefault="009F1217" w:rsidP="009F1217">
            <w:pPr>
              <w:tabs>
                <w:tab w:val="left" w:pos="430"/>
              </w:tabs>
              <w:ind w:left="-137" w:right="63"/>
              <w:jc w:val="right"/>
              <w:rPr>
                <w:rFonts w:eastAsiaTheme="minorEastAsia"/>
                <w:color w:val="000000"/>
                <w:sz w:val="20"/>
                <w:szCs w:val="20"/>
              </w:rPr>
            </w:pPr>
            <w:r>
              <w:rPr>
                <w:color w:val="000000"/>
                <w:sz w:val="20"/>
              </w:rPr>
              <w:t>4 278,99</w:t>
            </w:r>
          </w:p>
        </w:tc>
        <w:tc>
          <w:tcPr>
            <w:tcW w:w="550" w:type="pct"/>
            <w:tcBorders>
              <w:top w:val="single" w:sz="4" w:space="0" w:color="auto"/>
              <w:left w:val="nil"/>
              <w:bottom w:val="single" w:sz="4" w:space="0" w:color="auto"/>
              <w:right w:val="single" w:sz="4" w:space="0" w:color="auto"/>
            </w:tcBorders>
          </w:tcPr>
          <w:p w14:paraId="77F1BF64" w14:textId="77777777" w:rsidR="009F1217" w:rsidRPr="009F1217" w:rsidRDefault="009F1217" w:rsidP="009F1217">
            <w:pPr>
              <w:tabs>
                <w:tab w:val="left" w:pos="430"/>
              </w:tabs>
              <w:ind w:left="-137" w:right="63"/>
              <w:jc w:val="right"/>
              <w:rPr>
                <w:rFonts w:eastAsiaTheme="minorEastAsia"/>
                <w:color w:val="000000"/>
                <w:sz w:val="20"/>
                <w:szCs w:val="20"/>
              </w:rPr>
            </w:pPr>
            <w:r>
              <w:rPr>
                <w:color w:val="000000"/>
                <w:sz w:val="20"/>
              </w:rPr>
              <w:t>6 220,55</w:t>
            </w:r>
          </w:p>
        </w:tc>
        <w:tc>
          <w:tcPr>
            <w:tcW w:w="550" w:type="pct"/>
            <w:tcBorders>
              <w:top w:val="single" w:sz="4" w:space="0" w:color="auto"/>
              <w:left w:val="single" w:sz="4" w:space="0" w:color="auto"/>
              <w:bottom w:val="single" w:sz="4" w:space="0" w:color="auto"/>
              <w:right w:val="single" w:sz="4" w:space="0" w:color="auto"/>
            </w:tcBorders>
          </w:tcPr>
          <w:p w14:paraId="104861EE" w14:textId="77777777" w:rsidR="009F1217" w:rsidRPr="009F1217" w:rsidRDefault="009F1217" w:rsidP="009F1217">
            <w:pPr>
              <w:tabs>
                <w:tab w:val="left" w:pos="430"/>
              </w:tabs>
              <w:ind w:left="-137" w:right="63"/>
              <w:jc w:val="right"/>
              <w:rPr>
                <w:rFonts w:eastAsiaTheme="minorEastAsia"/>
                <w:color w:val="000000"/>
                <w:sz w:val="20"/>
                <w:szCs w:val="20"/>
              </w:rPr>
            </w:pPr>
            <w:r>
              <w:rPr>
                <w:color w:val="000000"/>
                <w:sz w:val="20"/>
              </w:rPr>
              <w:t>5 819,05</w:t>
            </w:r>
          </w:p>
        </w:tc>
        <w:tc>
          <w:tcPr>
            <w:tcW w:w="551" w:type="pct"/>
            <w:tcBorders>
              <w:top w:val="nil"/>
              <w:left w:val="single" w:sz="4" w:space="0" w:color="auto"/>
              <w:bottom w:val="single" w:sz="4" w:space="0" w:color="auto"/>
              <w:right w:val="single" w:sz="4" w:space="0" w:color="auto"/>
            </w:tcBorders>
          </w:tcPr>
          <w:p w14:paraId="43E1B204" w14:textId="77777777" w:rsidR="009F1217" w:rsidRPr="009F1217" w:rsidRDefault="009F1217" w:rsidP="009F1217">
            <w:pPr>
              <w:tabs>
                <w:tab w:val="left" w:pos="430"/>
              </w:tabs>
              <w:ind w:left="-137" w:right="184"/>
              <w:jc w:val="right"/>
              <w:rPr>
                <w:rFonts w:eastAsiaTheme="minorEastAsia"/>
                <w:color w:val="000000"/>
                <w:sz w:val="20"/>
                <w:szCs w:val="20"/>
                <w:lang w:eastAsia="zh-CN"/>
              </w:rPr>
            </w:pPr>
          </w:p>
        </w:tc>
        <w:tc>
          <w:tcPr>
            <w:tcW w:w="647" w:type="pct"/>
            <w:tcBorders>
              <w:top w:val="nil"/>
              <w:left w:val="single" w:sz="4" w:space="0" w:color="auto"/>
              <w:bottom w:val="single" w:sz="4" w:space="0" w:color="auto"/>
              <w:right w:val="single" w:sz="4" w:space="0" w:color="auto"/>
            </w:tcBorders>
            <w:shd w:val="clear" w:color="auto" w:fill="auto"/>
            <w:noWrap/>
            <w:tcMar>
              <w:left w:w="28" w:type="dxa"/>
            </w:tcMar>
          </w:tcPr>
          <w:p w14:paraId="44771307" w14:textId="77777777" w:rsidR="009F1217" w:rsidRPr="009F1217" w:rsidRDefault="009F1217" w:rsidP="009F1217">
            <w:pPr>
              <w:tabs>
                <w:tab w:val="left" w:pos="430"/>
              </w:tabs>
              <w:ind w:left="-137" w:right="254"/>
              <w:jc w:val="right"/>
              <w:rPr>
                <w:rFonts w:eastAsiaTheme="minorEastAsia"/>
                <w:color w:val="000000"/>
                <w:sz w:val="20"/>
                <w:szCs w:val="20"/>
              </w:rPr>
            </w:pPr>
            <w:r>
              <w:rPr>
                <w:color w:val="000000"/>
                <w:sz w:val="20"/>
              </w:rPr>
              <w:t>10 944,7</w:t>
            </w:r>
          </w:p>
        </w:tc>
      </w:tr>
      <w:tr w:rsidR="009F1217" w:rsidRPr="009F1217" w14:paraId="0959DDC3" w14:textId="77777777" w:rsidTr="00825E3B">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4140BD" w14:textId="77777777" w:rsidR="009F1217" w:rsidRPr="009F1217" w:rsidRDefault="009F1217" w:rsidP="009F1217">
            <w:pPr>
              <w:ind w:left="98"/>
              <w:jc w:val="left"/>
              <w:rPr>
                <w:rFonts w:eastAsiaTheme="minorEastAsia"/>
                <w:color w:val="000000"/>
                <w:sz w:val="20"/>
                <w:szCs w:val="20"/>
              </w:rPr>
            </w:pPr>
            <w:r>
              <w:rPr>
                <w:color w:val="000000"/>
                <w:sz w:val="20"/>
              </w:rPr>
              <w:t>HCFC-123</w:t>
            </w:r>
          </w:p>
        </w:tc>
        <w:tc>
          <w:tcPr>
            <w:tcW w:w="550" w:type="pct"/>
            <w:tcBorders>
              <w:top w:val="nil"/>
              <w:left w:val="nil"/>
              <w:bottom w:val="single" w:sz="4" w:space="0" w:color="auto"/>
              <w:right w:val="single" w:sz="4" w:space="0" w:color="auto"/>
            </w:tcBorders>
            <w:shd w:val="clear" w:color="auto" w:fill="auto"/>
            <w:noWrap/>
          </w:tcPr>
          <w:p w14:paraId="205D7A4A" w14:textId="77777777" w:rsidR="009F1217" w:rsidRPr="009F1217" w:rsidRDefault="009F1217" w:rsidP="009F1217">
            <w:pPr>
              <w:tabs>
                <w:tab w:val="left" w:pos="430"/>
              </w:tabs>
              <w:ind w:left="-137" w:right="63"/>
              <w:jc w:val="right"/>
              <w:rPr>
                <w:rFonts w:eastAsiaTheme="minorEastAsia"/>
                <w:sz w:val="20"/>
                <w:szCs w:val="20"/>
              </w:rPr>
            </w:pPr>
            <w:r>
              <w:rPr>
                <w:sz w:val="20"/>
              </w:rPr>
              <w:t>77,48</w:t>
            </w:r>
          </w:p>
        </w:tc>
        <w:tc>
          <w:tcPr>
            <w:tcW w:w="550" w:type="pct"/>
            <w:tcBorders>
              <w:top w:val="nil"/>
              <w:left w:val="nil"/>
              <w:bottom w:val="single" w:sz="4" w:space="0" w:color="auto"/>
              <w:right w:val="single" w:sz="4" w:space="0" w:color="auto"/>
            </w:tcBorders>
            <w:shd w:val="clear" w:color="auto" w:fill="auto"/>
            <w:noWrap/>
          </w:tcPr>
          <w:p w14:paraId="3D292460" w14:textId="77777777" w:rsidR="009F1217" w:rsidRPr="009F1217" w:rsidRDefault="009F1217" w:rsidP="009F1217">
            <w:pPr>
              <w:tabs>
                <w:tab w:val="left" w:pos="430"/>
              </w:tabs>
              <w:ind w:left="-137" w:right="63"/>
              <w:jc w:val="right"/>
              <w:rPr>
                <w:rFonts w:eastAsiaTheme="minorEastAsia"/>
                <w:sz w:val="20"/>
                <w:szCs w:val="20"/>
              </w:rPr>
            </w:pPr>
            <w:r>
              <w:rPr>
                <w:sz w:val="20"/>
              </w:rPr>
              <w:t>12,99</w:t>
            </w:r>
          </w:p>
        </w:tc>
        <w:tc>
          <w:tcPr>
            <w:tcW w:w="551" w:type="pct"/>
            <w:tcBorders>
              <w:top w:val="nil"/>
              <w:left w:val="nil"/>
              <w:bottom w:val="single" w:sz="4" w:space="0" w:color="auto"/>
              <w:right w:val="single" w:sz="4" w:space="0" w:color="auto"/>
            </w:tcBorders>
            <w:shd w:val="clear" w:color="auto" w:fill="auto"/>
            <w:noWrap/>
          </w:tcPr>
          <w:p w14:paraId="6E655941" w14:textId="77777777" w:rsidR="009F1217" w:rsidRPr="009F1217" w:rsidRDefault="009F1217" w:rsidP="009F1217">
            <w:pPr>
              <w:tabs>
                <w:tab w:val="left" w:pos="430"/>
              </w:tabs>
              <w:ind w:left="-137" w:right="63"/>
              <w:jc w:val="right"/>
              <w:rPr>
                <w:rFonts w:eastAsiaTheme="minorEastAsia"/>
                <w:color w:val="000000"/>
                <w:sz w:val="20"/>
                <w:szCs w:val="20"/>
              </w:rPr>
            </w:pPr>
            <w:r>
              <w:rPr>
                <w:color w:val="000000"/>
                <w:sz w:val="20"/>
              </w:rPr>
              <w:t>47,19</w:t>
            </w:r>
          </w:p>
        </w:tc>
        <w:tc>
          <w:tcPr>
            <w:tcW w:w="550" w:type="pct"/>
            <w:tcBorders>
              <w:top w:val="single" w:sz="4" w:space="0" w:color="auto"/>
              <w:left w:val="nil"/>
              <w:bottom w:val="single" w:sz="4" w:space="0" w:color="auto"/>
              <w:right w:val="single" w:sz="4" w:space="0" w:color="auto"/>
            </w:tcBorders>
          </w:tcPr>
          <w:p w14:paraId="411DFF69" w14:textId="77777777" w:rsidR="009F1217" w:rsidRPr="009F1217" w:rsidRDefault="009F1217" w:rsidP="009F1217">
            <w:pPr>
              <w:tabs>
                <w:tab w:val="left" w:pos="430"/>
              </w:tabs>
              <w:ind w:left="-137" w:right="63"/>
              <w:jc w:val="right"/>
              <w:rPr>
                <w:rFonts w:eastAsiaTheme="minorEastAsia"/>
                <w:color w:val="000000"/>
                <w:sz w:val="20"/>
                <w:szCs w:val="20"/>
              </w:rPr>
            </w:pPr>
            <w:r>
              <w:rPr>
                <w:color w:val="000000"/>
                <w:sz w:val="20"/>
              </w:rPr>
              <w:t>173,38</w:t>
            </w:r>
          </w:p>
        </w:tc>
        <w:tc>
          <w:tcPr>
            <w:tcW w:w="550" w:type="pct"/>
            <w:tcBorders>
              <w:top w:val="single" w:sz="4" w:space="0" w:color="auto"/>
              <w:left w:val="single" w:sz="4" w:space="0" w:color="auto"/>
              <w:bottom w:val="single" w:sz="4" w:space="0" w:color="auto"/>
              <w:right w:val="single" w:sz="4" w:space="0" w:color="auto"/>
            </w:tcBorders>
          </w:tcPr>
          <w:p w14:paraId="36DC2F18" w14:textId="77777777" w:rsidR="009F1217" w:rsidRPr="009F1217" w:rsidRDefault="009F1217" w:rsidP="009F1217">
            <w:pPr>
              <w:tabs>
                <w:tab w:val="left" w:pos="430"/>
              </w:tabs>
              <w:ind w:left="-137" w:right="63"/>
              <w:jc w:val="right"/>
              <w:rPr>
                <w:rFonts w:eastAsiaTheme="minorEastAsia"/>
                <w:color w:val="000000"/>
                <w:sz w:val="20"/>
                <w:szCs w:val="20"/>
              </w:rPr>
            </w:pPr>
            <w:r>
              <w:rPr>
                <w:color w:val="000000"/>
                <w:sz w:val="20"/>
              </w:rPr>
              <w:t>84,38</w:t>
            </w:r>
          </w:p>
        </w:tc>
        <w:tc>
          <w:tcPr>
            <w:tcW w:w="551" w:type="pct"/>
            <w:tcBorders>
              <w:top w:val="nil"/>
              <w:left w:val="single" w:sz="4" w:space="0" w:color="auto"/>
              <w:bottom w:val="single" w:sz="4" w:space="0" w:color="auto"/>
              <w:right w:val="single" w:sz="4" w:space="0" w:color="auto"/>
            </w:tcBorders>
          </w:tcPr>
          <w:p w14:paraId="38077E4A" w14:textId="77777777" w:rsidR="009F1217" w:rsidRPr="009F1217" w:rsidRDefault="009F1217" w:rsidP="009F1217">
            <w:pPr>
              <w:tabs>
                <w:tab w:val="left" w:pos="430"/>
              </w:tabs>
              <w:ind w:left="-137" w:right="184"/>
              <w:jc w:val="right"/>
              <w:rPr>
                <w:rFonts w:eastAsiaTheme="minorEastAsia"/>
                <w:color w:val="000000"/>
                <w:sz w:val="20"/>
                <w:szCs w:val="20"/>
                <w:lang w:eastAsia="zh-CN"/>
              </w:rPr>
            </w:pPr>
          </w:p>
        </w:tc>
        <w:tc>
          <w:tcPr>
            <w:tcW w:w="647" w:type="pct"/>
            <w:tcBorders>
              <w:top w:val="nil"/>
              <w:left w:val="single" w:sz="4" w:space="0" w:color="auto"/>
              <w:bottom w:val="single" w:sz="4" w:space="0" w:color="auto"/>
              <w:right w:val="single" w:sz="4" w:space="0" w:color="auto"/>
            </w:tcBorders>
            <w:shd w:val="clear" w:color="auto" w:fill="auto"/>
            <w:noWrap/>
            <w:tcMar>
              <w:left w:w="28" w:type="dxa"/>
            </w:tcMar>
          </w:tcPr>
          <w:p w14:paraId="1284BD2B" w14:textId="77777777" w:rsidR="009F1217" w:rsidRPr="009F1217" w:rsidRDefault="009F1217" w:rsidP="009F1217">
            <w:pPr>
              <w:tabs>
                <w:tab w:val="left" w:pos="430"/>
              </w:tabs>
              <w:ind w:left="-137" w:right="254"/>
              <w:jc w:val="right"/>
              <w:rPr>
                <w:rFonts w:eastAsiaTheme="minorEastAsia"/>
                <w:color w:val="000000"/>
                <w:sz w:val="20"/>
                <w:szCs w:val="20"/>
              </w:rPr>
            </w:pPr>
            <w:r>
              <w:rPr>
                <w:color w:val="000000"/>
                <w:sz w:val="20"/>
              </w:rPr>
              <w:t>176,5</w:t>
            </w:r>
          </w:p>
        </w:tc>
      </w:tr>
      <w:tr w:rsidR="009F1217" w:rsidRPr="009F1217" w14:paraId="5D5A2AC4" w14:textId="77777777" w:rsidTr="00825E3B">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9D2BB9" w14:textId="77777777" w:rsidR="009F1217" w:rsidRPr="009F1217" w:rsidRDefault="009F1217" w:rsidP="009F1217">
            <w:pPr>
              <w:ind w:left="98"/>
              <w:jc w:val="left"/>
              <w:rPr>
                <w:rFonts w:eastAsiaTheme="minorEastAsia"/>
                <w:color w:val="000000"/>
                <w:sz w:val="20"/>
                <w:szCs w:val="20"/>
              </w:rPr>
            </w:pPr>
            <w:r>
              <w:rPr>
                <w:color w:val="000000"/>
                <w:sz w:val="20"/>
              </w:rPr>
              <w:t>HCFC-141b</w:t>
            </w:r>
          </w:p>
        </w:tc>
        <w:tc>
          <w:tcPr>
            <w:tcW w:w="550" w:type="pct"/>
            <w:tcBorders>
              <w:top w:val="nil"/>
              <w:left w:val="nil"/>
              <w:bottom w:val="single" w:sz="4" w:space="0" w:color="auto"/>
              <w:right w:val="single" w:sz="4" w:space="0" w:color="auto"/>
            </w:tcBorders>
            <w:shd w:val="clear" w:color="auto" w:fill="auto"/>
            <w:noWrap/>
          </w:tcPr>
          <w:p w14:paraId="43A346A7" w14:textId="77777777" w:rsidR="009F1217" w:rsidRPr="009F1217" w:rsidRDefault="009F1217" w:rsidP="009F1217">
            <w:pPr>
              <w:tabs>
                <w:tab w:val="left" w:pos="430"/>
              </w:tabs>
              <w:ind w:left="-137" w:right="63"/>
              <w:jc w:val="right"/>
              <w:rPr>
                <w:rFonts w:eastAsiaTheme="minorEastAsia"/>
                <w:sz w:val="20"/>
                <w:szCs w:val="20"/>
              </w:rPr>
            </w:pPr>
            <w:r>
              <w:rPr>
                <w:sz w:val="20"/>
              </w:rPr>
              <w:t>3 494,18</w:t>
            </w:r>
          </w:p>
        </w:tc>
        <w:tc>
          <w:tcPr>
            <w:tcW w:w="550" w:type="pct"/>
            <w:tcBorders>
              <w:top w:val="nil"/>
              <w:left w:val="nil"/>
              <w:bottom w:val="single" w:sz="4" w:space="0" w:color="auto"/>
              <w:right w:val="single" w:sz="4" w:space="0" w:color="auto"/>
            </w:tcBorders>
            <w:shd w:val="clear" w:color="auto" w:fill="auto"/>
            <w:noWrap/>
          </w:tcPr>
          <w:p w14:paraId="69DA4477" w14:textId="77777777" w:rsidR="009F1217" w:rsidRPr="009F1217" w:rsidRDefault="009F1217" w:rsidP="009F1217">
            <w:pPr>
              <w:tabs>
                <w:tab w:val="left" w:pos="430"/>
              </w:tabs>
              <w:ind w:left="-137" w:right="63"/>
              <w:jc w:val="right"/>
              <w:rPr>
                <w:rFonts w:eastAsiaTheme="minorEastAsia"/>
                <w:sz w:val="20"/>
                <w:szCs w:val="20"/>
              </w:rPr>
            </w:pPr>
            <w:r>
              <w:rPr>
                <w:sz w:val="20"/>
              </w:rPr>
              <w:t>0,00</w:t>
            </w:r>
          </w:p>
        </w:tc>
        <w:tc>
          <w:tcPr>
            <w:tcW w:w="551" w:type="pct"/>
            <w:tcBorders>
              <w:top w:val="nil"/>
              <w:left w:val="nil"/>
              <w:bottom w:val="single" w:sz="4" w:space="0" w:color="auto"/>
              <w:right w:val="single" w:sz="4" w:space="0" w:color="auto"/>
            </w:tcBorders>
            <w:shd w:val="clear" w:color="auto" w:fill="auto"/>
            <w:noWrap/>
          </w:tcPr>
          <w:p w14:paraId="7581743A" w14:textId="77777777" w:rsidR="009F1217" w:rsidRPr="009F1217" w:rsidRDefault="009F1217" w:rsidP="009F1217">
            <w:pPr>
              <w:tabs>
                <w:tab w:val="left" w:pos="430"/>
              </w:tabs>
              <w:ind w:left="-137" w:right="63"/>
              <w:jc w:val="right"/>
              <w:rPr>
                <w:rFonts w:eastAsiaTheme="minorEastAsia"/>
                <w:color w:val="000000"/>
                <w:sz w:val="20"/>
                <w:szCs w:val="20"/>
              </w:rPr>
            </w:pPr>
            <w:r>
              <w:rPr>
                <w:color w:val="000000"/>
                <w:sz w:val="20"/>
              </w:rPr>
              <w:t>0,00</w:t>
            </w:r>
          </w:p>
        </w:tc>
        <w:tc>
          <w:tcPr>
            <w:tcW w:w="550" w:type="pct"/>
            <w:tcBorders>
              <w:top w:val="single" w:sz="4" w:space="0" w:color="auto"/>
              <w:left w:val="nil"/>
              <w:bottom w:val="single" w:sz="4" w:space="0" w:color="auto"/>
              <w:right w:val="single" w:sz="4" w:space="0" w:color="auto"/>
            </w:tcBorders>
          </w:tcPr>
          <w:p w14:paraId="0254BD99" w14:textId="77777777" w:rsidR="009F1217" w:rsidRPr="009F1217" w:rsidRDefault="009F1217" w:rsidP="009F1217">
            <w:pPr>
              <w:tabs>
                <w:tab w:val="left" w:pos="430"/>
              </w:tabs>
              <w:ind w:left="-137" w:right="63"/>
              <w:jc w:val="right"/>
              <w:rPr>
                <w:rFonts w:eastAsiaTheme="minorEastAsia"/>
                <w:color w:val="000000"/>
                <w:sz w:val="20"/>
                <w:szCs w:val="20"/>
              </w:rPr>
            </w:pPr>
            <w:r>
              <w:rPr>
                <w:color w:val="000000"/>
                <w:sz w:val="20"/>
              </w:rPr>
              <w:t>0,00</w:t>
            </w:r>
          </w:p>
        </w:tc>
        <w:tc>
          <w:tcPr>
            <w:tcW w:w="550" w:type="pct"/>
            <w:tcBorders>
              <w:top w:val="single" w:sz="4" w:space="0" w:color="auto"/>
              <w:left w:val="single" w:sz="4" w:space="0" w:color="auto"/>
              <w:bottom w:val="single" w:sz="4" w:space="0" w:color="auto"/>
              <w:right w:val="single" w:sz="4" w:space="0" w:color="auto"/>
            </w:tcBorders>
          </w:tcPr>
          <w:p w14:paraId="07FA590C" w14:textId="77777777" w:rsidR="009F1217" w:rsidRPr="009F1217" w:rsidRDefault="009F1217" w:rsidP="009F1217">
            <w:pPr>
              <w:tabs>
                <w:tab w:val="left" w:pos="430"/>
              </w:tabs>
              <w:ind w:left="-137" w:right="63"/>
              <w:jc w:val="right"/>
              <w:rPr>
                <w:rFonts w:eastAsiaTheme="minorEastAsia"/>
                <w:color w:val="000000"/>
                <w:sz w:val="20"/>
                <w:szCs w:val="20"/>
              </w:rPr>
            </w:pPr>
            <w:r>
              <w:rPr>
                <w:color w:val="000000"/>
                <w:sz w:val="20"/>
              </w:rPr>
              <w:t>0,00</w:t>
            </w:r>
          </w:p>
        </w:tc>
        <w:tc>
          <w:tcPr>
            <w:tcW w:w="551" w:type="pct"/>
            <w:tcBorders>
              <w:top w:val="nil"/>
              <w:left w:val="single" w:sz="4" w:space="0" w:color="auto"/>
              <w:bottom w:val="single" w:sz="4" w:space="0" w:color="auto"/>
              <w:right w:val="single" w:sz="4" w:space="0" w:color="auto"/>
            </w:tcBorders>
          </w:tcPr>
          <w:p w14:paraId="2A36D943" w14:textId="77777777" w:rsidR="009F1217" w:rsidRPr="009F1217" w:rsidRDefault="009F1217" w:rsidP="009F1217">
            <w:pPr>
              <w:tabs>
                <w:tab w:val="left" w:pos="430"/>
              </w:tabs>
              <w:ind w:left="-137" w:right="184"/>
              <w:jc w:val="right"/>
              <w:rPr>
                <w:rFonts w:eastAsiaTheme="minorEastAsia"/>
                <w:color w:val="000000"/>
                <w:sz w:val="20"/>
                <w:szCs w:val="20"/>
                <w:lang w:eastAsia="zh-CN"/>
              </w:rPr>
            </w:pPr>
          </w:p>
        </w:tc>
        <w:tc>
          <w:tcPr>
            <w:tcW w:w="647" w:type="pct"/>
            <w:tcBorders>
              <w:top w:val="nil"/>
              <w:left w:val="single" w:sz="4" w:space="0" w:color="auto"/>
              <w:bottom w:val="single" w:sz="4" w:space="0" w:color="auto"/>
              <w:right w:val="single" w:sz="4" w:space="0" w:color="auto"/>
            </w:tcBorders>
            <w:shd w:val="clear" w:color="auto" w:fill="auto"/>
            <w:noWrap/>
            <w:tcMar>
              <w:left w:w="28" w:type="dxa"/>
            </w:tcMar>
          </w:tcPr>
          <w:p w14:paraId="153996C8" w14:textId="77777777" w:rsidR="009F1217" w:rsidRPr="009F1217" w:rsidRDefault="009F1217" w:rsidP="009F1217">
            <w:pPr>
              <w:tabs>
                <w:tab w:val="left" w:pos="430"/>
              </w:tabs>
              <w:ind w:left="-137" w:right="254"/>
              <w:jc w:val="right"/>
              <w:rPr>
                <w:rFonts w:eastAsiaTheme="minorEastAsia"/>
                <w:color w:val="000000"/>
                <w:sz w:val="20"/>
                <w:szCs w:val="20"/>
              </w:rPr>
            </w:pPr>
            <w:r>
              <w:rPr>
                <w:color w:val="000000"/>
                <w:sz w:val="20"/>
              </w:rPr>
              <w:t>7 868,4</w:t>
            </w:r>
          </w:p>
        </w:tc>
      </w:tr>
      <w:tr w:rsidR="009F1217" w:rsidRPr="009F1217" w14:paraId="541FE493" w14:textId="77777777" w:rsidTr="00825E3B">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279AEC" w14:textId="77777777" w:rsidR="009F1217" w:rsidRPr="009F1217" w:rsidRDefault="009F1217" w:rsidP="009F1217">
            <w:pPr>
              <w:ind w:left="98"/>
              <w:jc w:val="left"/>
              <w:rPr>
                <w:rFonts w:eastAsiaTheme="minorEastAsia"/>
                <w:color w:val="000000"/>
                <w:sz w:val="20"/>
                <w:szCs w:val="20"/>
              </w:rPr>
            </w:pPr>
            <w:r>
              <w:rPr>
                <w:color w:val="000000"/>
                <w:sz w:val="20"/>
              </w:rPr>
              <w:t>HCFC-225**</w:t>
            </w:r>
          </w:p>
        </w:tc>
        <w:tc>
          <w:tcPr>
            <w:tcW w:w="550" w:type="pct"/>
            <w:tcBorders>
              <w:top w:val="nil"/>
              <w:left w:val="nil"/>
              <w:bottom w:val="single" w:sz="4" w:space="0" w:color="auto"/>
              <w:right w:val="single" w:sz="4" w:space="0" w:color="auto"/>
            </w:tcBorders>
            <w:shd w:val="clear" w:color="auto" w:fill="auto"/>
            <w:noWrap/>
          </w:tcPr>
          <w:p w14:paraId="756F3FAD" w14:textId="77777777" w:rsidR="009F1217" w:rsidRPr="009F1217" w:rsidRDefault="009F1217" w:rsidP="009F1217">
            <w:pPr>
              <w:tabs>
                <w:tab w:val="left" w:pos="430"/>
              </w:tabs>
              <w:ind w:left="-137" w:right="63"/>
              <w:jc w:val="right"/>
              <w:rPr>
                <w:rFonts w:eastAsiaTheme="minorEastAsia"/>
                <w:sz w:val="20"/>
                <w:szCs w:val="20"/>
              </w:rPr>
            </w:pPr>
            <w:r>
              <w:rPr>
                <w:sz w:val="20"/>
              </w:rPr>
              <w:t>55,50</w:t>
            </w:r>
          </w:p>
        </w:tc>
        <w:tc>
          <w:tcPr>
            <w:tcW w:w="550" w:type="pct"/>
            <w:tcBorders>
              <w:top w:val="nil"/>
              <w:left w:val="nil"/>
              <w:bottom w:val="single" w:sz="4" w:space="0" w:color="auto"/>
              <w:right w:val="single" w:sz="4" w:space="0" w:color="auto"/>
            </w:tcBorders>
            <w:shd w:val="clear" w:color="auto" w:fill="auto"/>
            <w:noWrap/>
          </w:tcPr>
          <w:p w14:paraId="47EAB7EC" w14:textId="77777777" w:rsidR="009F1217" w:rsidRPr="009F1217" w:rsidRDefault="009F1217" w:rsidP="009F1217">
            <w:pPr>
              <w:tabs>
                <w:tab w:val="left" w:pos="430"/>
              </w:tabs>
              <w:ind w:left="-137" w:right="63"/>
              <w:jc w:val="right"/>
              <w:rPr>
                <w:rFonts w:eastAsiaTheme="minorEastAsia"/>
                <w:sz w:val="20"/>
                <w:szCs w:val="20"/>
              </w:rPr>
            </w:pPr>
            <w:r>
              <w:rPr>
                <w:sz w:val="20"/>
              </w:rPr>
              <w:t>0,00</w:t>
            </w:r>
          </w:p>
        </w:tc>
        <w:tc>
          <w:tcPr>
            <w:tcW w:w="551" w:type="pct"/>
            <w:tcBorders>
              <w:top w:val="nil"/>
              <w:left w:val="nil"/>
              <w:bottom w:val="single" w:sz="4" w:space="0" w:color="auto"/>
              <w:right w:val="single" w:sz="4" w:space="0" w:color="auto"/>
            </w:tcBorders>
            <w:shd w:val="clear" w:color="auto" w:fill="auto"/>
            <w:noWrap/>
          </w:tcPr>
          <w:p w14:paraId="129EBE1E" w14:textId="77777777" w:rsidR="009F1217" w:rsidRPr="009F1217" w:rsidRDefault="009F1217" w:rsidP="009F1217">
            <w:pPr>
              <w:tabs>
                <w:tab w:val="left" w:pos="430"/>
              </w:tabs>
              <w:ind w:left="-137" w:right="63"/>
              <w:jc w:val="right"/>
              <w:rPr>
                <w:rFonts w:eastAsiaTheme="minorEastAsia"/>
                <w:color w:val="000000"/>
                <w:sz w:val="20"/>
                <w:szCs w:val="20"/>
              </w:rPr>
            </w:pPr>
            <w:r>
              <w:rPr>
                <w:sz w:val="20"/>
              </w:rPr>
              <w:t>-254,49</w:t>
            </w:r>
          </w:p>
        </w:tc>
        <w:tc>
          <w:tcPr>
            <w:tcW w:w="550" w:type="pct"/>
            <w:tcBorders>
              <w:top w:val="single" w:sz="4" w:space="0" w:color="auto"/>
              <w:left w:val="nil"/>
              <w:bottom w:val="single" w:sz="4" w:space="0" w:color="auto"/>
              <w:right w:val="single" w:sz="4" w:space="0" w:color="auto"/>
            </w:tcBorders>
          </w:tcPr>
          <w:p w14:paraId="6EF02F28" w14:textId="77777777" w:rsidR="009F1217" w:rsidRPr="009F1217" w:rsidRDefault="009F1217" w:rsidP="009F1217">
            <w:pPr>
              <w:tabs>
                <w:tab w:val="left" w:pos="430"/>
              </w:tabs>
              <w:ind w:left="-137" w:right="63"/>
              <w:jc w:val="right"/>
              <w:rPr>
                <w:rFonts w:eastAsiaTheme="minorEastAsia"/>
                <w:color w:val="000000"/>
                <w:sz w:val="20"/>
                <w:szCs w:val="20"/>
              </w:rPr>
            </w:pPr>
            <w:r>
              <w:rPr>
                <w:color w:val="000000"/>
                <w:sz w:val="20"/>
              </w:rPr>
              <w:t>-44,26</w:t>
            </w:r>
          </w:p>
        </w:tc>
        <w:tc>
          <w:tcPr>
            <w:tcW w:w="550" w:type="pct"/>
            <w:tcBorders>
              <w:top w:val="single" w:sz="4" w:space="0" w:color="auto"/>
              <w:left w:val="single" w:sz="4" w:space="0" w:color="auto"/>
              <w:bottom w:val="single" w:sz="4" w:space="0" w:color="auto"/>
              <w:right w:val="single" w:sz="4" w:space="0" w:color="auto"/>
            </w:tcBorders>
          </w:tcPr>
          <w:p w14:paraId="0F4DFC75" w14:textId="77777777" w:rsidR="009F1217" w:rsidRPr="009F1217" w:rsidRDefault="009F1217" w:rsidP="009F1217">
            <w:pPr>
              <w:tabs>
                <w:tab w:val="left" w:pos="430"/>
              </w:tabs>
              <w:ind w:left="-137" w:right="63"/>
              <w:jc w:val="right"/>
              <w:rPr>
                <w:rFonts w:eastAsiaTheme="minorEastAsia"/>
                <w:color w:val="000000"/>
                <w:sz w:val="20"/>
                <w:szCs w:val="20"/>
              </w:rPr>
            </w:pPr>
            <w:r>
              <w:rPr>
                <w:color w:val="000000"/>
                <w:sz w:val="20"/>
              </w:rPr>
              <w:t>10,09</w:t>
            </w:r>
          </w:p>
        </w:tc>
        <w:tc>
          <w:tcPr>
            <w:tcW w:w="551" w:type="pct"/>
            <w:tcBorders>
              <w:top w:val="nil"/>
              <w:left w:val="single" w:sz="4" w:space="0" w:color="auto"/>
              <w:bottom w:val="single" w:sz="4" w:space="0" w:color="auto"/>
              <w:right w:val="single" w:sz="4" w:space="0" w:color="auto"/>
            </w:tcBorders>
          </w:tcPr>
          <w:p w14:paraId="3DDACFC6" w14:textId="77777777" w:rsidR="009F1217" w:rsidRPr="009F1217" w:rsidRDefault="009F1217" w:rsidP="009F1217">
            <w:pPr>
              <w:tabs>
                <w:tab w:val="left" w:pos="430"/>
              </w:tabs>
              <w:ind w:left="-137" w:right="184"/>
              <w:jc w:val="right"/>
              <w:rPr>
                <w:rFonts w:eastAsiaTheme="minorEastAsia"/>
                <w:color w:val="000000"/>
                <w:sz w:val="20"/>
                <w:szCs w:val="20"/>
                <w:lang w:eastAsia="zh-CN"/>
              </w:rPr>
            </w:pPr>
          </w:p>
        </w:tc>
        <w:tc>
          <w:tcPr>
            <w:tcW w:w="647" w:type="pct"/>
            <w:tcBorders>
              <w:top w:val="nil"/>
              <w:left w:val="single" w:sz="4" w:space="0" w:color="auto"/>
              <w:bottom w:val="single" w:sz="4" w:space="0" w:color="auto"/>
              <w:right w:val="single" w:sz="4" w:space="0" w:color="auto"/>
            </w:tcBorders>
            <w:shd w:val="clear" w:color="auto" w:fill="auto"/>
            <w:noWrap/>
            <w:tcMar>
              <w:left w:w="28" w:type="dxa"/>
            </w:tcMar>
          </w:tcPr>
          <w:p w14:paraId="0E61AC69" w14:textId="77777777" w:rsidR="009F1217" w:rsidRPr="009F1217" w:rsidRDefault="009F1217" w:rsidP="009F1217">
            <w:pPr>
              <w:tabs>
                <w:tab w:val="left" w:pos="430"/>
              </w:tabs>
              <w:ind w:left="-137" w:right="254"/>
              <w:jc w:val="right"/>
              <w:rPr>
                <w:rFonts w:eastAsiaTheme="minorEastAsia"/>
                <w:color w:val="000000"/>
                <w:sz w:val="20"/>
                <w:szCs w:val="20"/>
              </w:rPr>
            </w:pPr>
            <w:r>
              <w:rPr>
                <w:color w:val="000000"/>
                <w:sz w:val="20"/>
              </w:rPr>
              <w:t>-</w:t>
            </w:r>
          </w:p>
        </w:tc>
      </w:tr>
      <w:tr w:rsidR="009F1217" w:rsidRPr="009F1217" w14:paraId="48FAB4A0" w14:textId="77777777" w:rsidTr="00825E3B">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690D097" w14:textId="77777777" w:rsidR="009F1217" w:rsidRPr="009F1217" w:rsidRDefault="009F1217" w:rsidP="009F1217">
            <w:pPr>
              <w:ind w:left="98"/>
              <w:jc w:val="left"/>
              <w:rPr>
                <w:rFonts w:eastAsiaTheme="minorHAnsi"/>
                <w:b/>
                <w:color w:val="000000"/>
                <w:sz w:val="20"/>
                <w:szCs w:val="20"/>
              </w:rPr>
            </w:pPr>
            <w:r>
              <w:rPr>
                <w:b/>
                <w:color w:val="000000"/>
                <w:sz w:val="20"/>
              </w:rPr>
              <w:t>Total (tm)</w:t>
            </w:r>
          </w:p>
        </w:tc>
        <w:tc>
          <w:tcPr>
            <w:tcW w:w="550" w:type="pct"/>
            <w:tcBorders>
              <w:top w:val="nil"/>
              <w:left w:val="nil"/>
              <w:bottom w:val="single" w:sz="4" w:space="0" w:color="auto"/>
              <w:right w:val="single" w:sz="4" w:space="0" w:color="auto"/>
            </w:tcBorders>
            <w:shd w:val="clear" w:color="auto" w:fill="auto"/>
            <w:noWrap/>
          </w:tcPr>
          <w:p w14:paraId="5C9F0DFD" w14:textId="77777777" w:rsidR="009F1217" w:rsidRPr="009F1217" w:rsidRDefault="009F1217" w:rsidP="009F1217">
            <w:pPr>
              <w:tabs>
                <w:tab w:val="left" w:pos="430"/>
              </w:tabs>
              <w:ind w:left="-137" w:right="63"/>
              <w:jc w:val="right"/>
              <w:rPr>
                <w:rFonts w:eastAsiaTheme="minorEastAsia"/>
                <w:b/>
                <w:color w:val="000000"/>
                <w:sz w:val="20"/>
                <w:szCs w:val="20"/>
              </w:rPr>
            </w:pPr>
            <w:r>
              <w:rPr>
                <w:b/>
                <w:color w:val="000000"/>
                <w:sz w:val="20"/>
              </w:rPr>
              <w:t>13 615,61</w:t>
            </w:r>
          </w:p>
        </w:tc>
        <w:tc>
          <w:tcPr>
            <w:tcW w:w="550" w:type="pct"/>
            <w:tcBorders>
              <w:top w:val="nil"/>
              <w:left w:val="nil"/>
              <w:bottom w:val="single" w:sz="4" w:space="0" w:color="auto"/>
              <w:right w:val="single" w:sz="4" w:space="0" w:color="auto"/>
            </w:tcBorders>
            <w:shd w:val="clear" w:color="auto" w:fill="auto"/>
            <w:noWrap/>
          </w:tcPr>
          <w:p w14:paraId="5CE89AA5" w14:textId="77777777" w:rsidR="009F1217" w:rsidRPr="009F1217" w:rsidRDefault="009F1217" w:rsidP="009F1217">
            <w:pPr>
              <w:tabs>
                <w:tab w:val="left" w:pos="430"/>
              </w:tabs>
              <w:ind w:left="-137" w:right="63"/>
              <w:jc w:val="right"/>
              <w:rPr>
                <w:rFonts w:eastAsiaTheme="minorEastAsia"/>
                <w:b/>
                <w:color w:val="000000"/>
                <w:sz w:val="20"/>
                <w:szCs w:val="20"/>
              </w:rPr>
            </w:pPr>
            <w:r>
              <w:rPr>
                <w:b/>
                <w:color w:val="000000"/>
                <w:sz w:val="20"/>
              </w:rPr>
              <w:t>5 417,18</w:t>
            </w:r>
          </w:p>
        </w:tc>
        <w:tc>
          <w:tcPr>
            <w:tcW w:w="551" w:type="pct"/>
            <w:tcBorders>
              <w:top w:val="nil"/>
              <w:left w:val="nil"/>
              <w:bottom w:val="single" w:sz="4" w:space="0" w:color="auto"/>
              <w:right w:val="single" w:sz="4" w:space="0" w:color="auto"/>
            </w:tcBorders>
            <w:shd w:val="clear" w:color="auto" w:fill="auto"/>
            <w:noWrap/>
          </w:tcPr>
          <w:p w14:paraId="62818FD2" w14:textId="77777777" w:rsidR="009F1217" w:rsidRPr="009F1217" w:rsidRDefault="009F1217" w:rsidP="009F1217">
            <w:pPr>
              <w:tabs>
                <w:tab w:val="left" w:pos="430"/>
              </w:tabs>
              <w:ind w:left="-137" w:right="63"/>
              <w:jc w:val="right"/>
              <w:rPr>
                <w:rFonts w:eastAsiaTheme="minorEastAsia"/>
                <w:b/>
                <w:color w:val="000000"/>
                <w:sz w:val="20"/>
                <w:szCs w:val="20"/>
              </w:rPr>
            </w:pPr>
            <w:r>
              <w:rPr>
                <w:b/>
                <w:color w:val="000000"/>
                <w:sz w:val="20"/>
              </w:rPr>
              <w:t>4 071,69</w:t>
            </w:r>
          </w:p>
        </w:tc>
        <w:tc>
          <w:tcPr>
            <w:tcW w:w="550" w:type="pct"/>
            <w:tcBorders>
              <w:top w:val="single" w:sz="4" w:space="0" w:color="auto"/>
              <w:left w:val="nil"/>
              <w:bottom w:val="single" w:sz="4" w:space="0" w:color="auto"/>
              <w:right w:val="single" w:sz="4" w:space="0" w:color="auto"/>
            </w:tcBorders>
          </w:tcPr>
          <w:p w14:paraId="1F774A00" w14:textId="77777777" w:rsidR="009F1217" w:rsidRPr="009F1217" w:rsidRDefault="009F1217" w:rsidP="009F1217">
            <w:pPr>
              <w:tabs>
                <w:tab w:val="left" w:pos="430"/>
              </w:tabs>
              <w:ind w:left="-137" w:right="63"/>
              <w:jc w:val="right"/>
              <w:rPr>
                <w:rFonts w:eastAsiaTheme="minorEastAsia"/>
                <w:b/>
                <w:color w:val="000000"/>
                <w:sz w:val="20"/>
                <w:szCs w:val="20"/>
              </w:rPr>
            </w:pPr>
            <w:r>
              <w:rPr>
                <w:b/>
                <w:color w:val="000000"/>
                <w:sz w:val="20"/>
              </w:rPr>
              <w:t>6 349,67</w:t>
            </w:r>
          </w:p>
        </w:tc>
        <w:tc>
          <w:tcPr>
            <w:tcW w:w="550" w:type="pct"/>
            <w:tcBorders>
              <w:top w:val="single" w:sz="4" w:space="0" w:color="auto"/>
              <w:left w:val="single" w:sz="4" w:space="0" w:color="auto"/>
              <w:bottom w:val="single" w:sz="4" w:space="0" w:color="auto"/>
              <w:right w:val="single" w:sz="4" w:space="0" w:color="auto"/>
            </w:tcBorders>
          </w:tcPr>
          <w:p w14:paraId="3E5EAC41" w14:textId="77777777" w:rsidR="009F1217" w:rsidRPr="009F1217" w:rsidRDefault="009F1217" w:rsidP="009F1217">
            <w:pPr>
              <w:tabs>
                <w:tab w:val="left" w:pos="430"/>
              </w:tabs>
              <w:ind w:left="-137" w:right="63"/>
              <w:jc w:val="right"/>
              <w:rPr>
                <w:rFonts w:eastAsiaTheme="minorEastAsia"/>
                <w:b/>
                <w:bCs/>
                <w:color w:val="000000"/>
                <w:sz w:val="20"/>
                <w:szCs w:val="20"/>
              </w:rPr>
            </w:pPr>
            <w:r>
              <w:rPr>
                <w:b/>
                <w:color w:val="000000"/>
                <w:sz w:val="20"/>
              </w:rPr>
              <w:t>5 913,51</w:t>
            </w:r>
          </w:p>
        </w:tc>
        <w:tc>
          <w:tcPr>
            <w:tcW w:w="551" w:type="pct"/>
            <w:tcBorders>
              <w:top w:val="nil"/>
              <w:left w:val="single" w:sz="4" w:space="0" w:color="auto"/>
              <w:bottom w:val="single" w:sz="4" w:space="0" w:color="auto"/>
              <w:right w:val="single" w:sz="4" w:space="0" w:color="auto"/>
            </w:tcBorders>
          </w:tcPr>
          <w:p w14:paraId="510313AD" w14:textId="77777777" w:rsidR="009F1217" w:rsidRPr="009F1217" w:rsidRDefault="009F1217" w:rsidP="009F1217">
            <w:pPr>
              <w:tabs>
                <w:tab w:val="left" w:pos="430"/>
              </w:tabs>
              <w:ind w:left="-137" w:right="-15"/>
              <w:jc w:val="right"/>
              <w:rPr>
                <w:rFonts w:eastAsiaTheme="minorEastAsia"/>
                <w:b/>
                <w:color w:val="000000"/>
                <w:sz w:val="20"/>
                <w:szCs w:val="20"/>
                <w:lang w:eastAsia="zh-CN"/>
              </w:rPr>
            </w:pPr>
          </w:p>
        </w:tc>
        <w:tc>
          <w:tcPr>
            <w:tcW w:w="647" w:type="pct"/>
            <w:tcBorders>
              <w:top w:val="nil"/>
              <w:left w:val="single" w:sz="4" w:space="0" w:color="auto"/>
              <w:bottom w:val="single" w:sz="4" w:space="0" w:color="auto"/>
              <w:right w:val="single" w:sz="4" w:space="0" w:color="auto"/>
            </w:tcBorders>
            <w:shd w:val="clear" w:color="auto" w:fill="auto"/>
            <w:noWrap/>
          </w:tcPr>
          <w:p w14:paraId="7E16BA6C" w14:textId="77777777" w:rsidR="009F1217" w:rsidRPr="009F1217" w:rsidRDefault="009F1217" w:rsidP="009F1217">
            <w:pPr>
              <w:tabs>
                <w:tab w:val="left" w:pos="430"/>
              </w:tabs>
              <w:ind w:left="-137" w:right="-40"/>
              <w:jc w:val="right"/>
              <w:rPr>
                <w:rFonts w:eastAsiaTheme="minorEastAsia"/>
                <w:b/>
                <w:color w:val="000000"/>
                <w:sz w:val="20"/>
                <w:szCs w:val="20"/>
              </w:rPr>
            </w:pPr>
            <w:r>
              <w:rPr>
                <w:b/>
                <w:color w:val="000000"/>
                <w:sz w:val="20"/>
              </w:rPr>
              <w:t>21 504,4***</w:t>
            </w:r>
          </w:p>
        </w:tc>
      </w:tr>
      <w:tr w:rsidR="009F1217" w:rsidRPr="009F1217" w14:paraId="1D0D6283" w14:textId="77777777" w:rsidTr="00825E3B">
        <w:tc>
          <w:tcPr>
            <w:tcW w:w="5000" w:type="pct"/>
            <w:gridSpan w:val="8"/>
            <w:tcBorders>
              <w:top w:val="single" w:sz="4" w:space="0" w:color="auto"/>
              <w:left w:val="single" w:sz="4" w:space="0" w:color="auto"/>
              <w:bottom w:val="single" w:sz="4" w:space="0" w:color="auto"/>
              <w:right w:val="single" w:sz="4" w:space="0" w:color="auto"/>
            </w:tcBorders>
          </w:tcPr>
          <w:p w14:paraId="54F02D79" w14:textId="77777777" w:rsidR="009F1217" w:rsidRPr="009F1217" w:rsidRDefault="009F1217" w:rsidP="009F1217">
            <w:pPr>
              <w:keepNext/>
              <w:ind w:left="98"/>
              <w:jc w:val="left"/>
              <w:rPr>
                <w:rFonts w:eastAsiaTheme="minorEastAsia"/>
                <w:color w:val="000000"/>
                <w:sz w:val="20"/>
                <w:szCs w:val="20"/>
              </w:rPr>
            </w:pPr>
            <w:r>
              <w:rPr>
                <w:b/>
                <w:color w:val="000000"/>
                <w:sz w:val="20"/>
              </w:rPr>
              <w:t>Tonnes PAO</w:t>
            </w:r>
          </w:p>
        </w:tc>
      </w:tr>
      <w:tr w:rsidR="009F1217" w:rsidRPr="009F1217" w14:paraId="13DFE729" w14:textId="77777777" w:rsidTr="00825E3B">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88F01E" w14:textId="77777777" w:rsidR="009F1217" w:rsidRPr="009F1217" w:rsidRDefault="009F1217" w:rsidP="009F1217">
            <w:pPr>
              <w:ind w:left="98"/>
              <w:jc w:val="left"/>
              <w:rPr>
                <w:rFonts w:eastAsiaTheme="minorEastAsia"/>
                <w:color w:val="000000"/>
                <w:sz w:val="20"/>
                <w:szCs w:val="20"/>
              </w:rPr>
            </w:pPr>
            <w:r>
              <w:rPr>
                <w:color w:val="000000"/>
                <w:sz w:val="20"/>
              </w:rPr>
              <w:t>HCFC-22</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11706F0A" w14:textId="77777777" w:rsidR="009F1217" w:rsidRPr="009F1217" w:rsidRDefault="009F1217" w:rsidP="009F1217">
            <w:pPr>
              <w:ind w:left="-279" w:right="63"/>
              <w:jc w:val="right"/>
              <w:rPr>
                <w:rFonts w:eastAsiaTheme="minorEastAsia"/>
                <w:color w:val="000000"/>
                <w:sz w:val="20"/>
                <w:szCs w:val="20"/>
              </w:rPr>
            </w:pPr>
            <w:r>
              <w:rPr>
                <w:color w:val="000000"/>
                <w:sz w:val="20"/>
              </w:rPr>
              <w:t>549,36</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16098B1" w14:textId="77777777" w:rsidR="009F1217" w:rsidRPr="009F1217" w:rsidRDefault="009F1217" w:rsidP="009F1217">
            <w:pPr>
              <w:ind w:left="-279" w:right="63"/>
              <w:jc w:val="right"/>
              <w:rPr>
                <w:rFonts w:eastAsiaTheme="minorEastAsia"/>
                <w:color w:val="000000"/>
                <w:sz w:val="20"/>
                <w:szCs w:val="20"/>
              </w:rPr>
            </w:pPr>
            <w:r>
              <w:rPr>
                <w:color w:val="000000"/>
                <w:sz w:val="20"/>
              </w:rPr>
              <w:t>297,23</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11CE91C6" w14:textId="77777777" w:rsidR="009F1217" w:rsidRPr="009F1217" w:rsidRDefault="009F1217" w:rsidP="009F1217">
            <w:pPr>
              <w:ind w:left="-279" w:right="63"/>
              <w:jc w:val="right"/>
              <w:rPr>
                <w:rFonts w:eastAsiaTheme="minorEastAsia"/>
                <w:color w:val="000000"/>
                <w:sz w:val="20"/>
                <w:szCs w:val="20"/>
              </w:rPr>
            </w:pPr>
            <w:r>
              <w:rPr>
                <w:color w:val="000000"/>
                <w:sz w:val="20"/>
              </w:rPr>
              <w:t>235,34</w:t>
            </w:r>
          </w:p>
        </w:tc>
        <w:tc>
          <w:tcPr>
            <w:tcW w:w="550" w:type="pct"/>
            <w:tcBorders>
              <w:top w:val="single" w:sz="4" w:space="0" w:color="auto"/>
              <w:left w:val="single" w:sz="4" w:space="0" w:color="auto"/>
              <w:bottom w:val="single" w:sz="4" w:space="0" w:color="auto"/>
              <w:right w:val="single" w:sz="4" w:space="0" w:color="auto"/>
            </w:tcBorders>
          </w:tcPr>
          <w:p w14:paraId="3CBB19BE" w14:textId="77777777" w:rsidR="009F1217" w:rsidRPr="009F1217" w:rsidRDefault="009F1217" w:rsidP="009F1217">
            <w:pPr>
              <w:ind w:left="-279" w:right="63"/>
              <w:jc w:val="right"/>
              <w:rPr>
                <w:rFonts w:eastAsiaTheme="minorEastAsia"/>
                <w:color w:val="000000"/>
                <w:sz w:val="20"/>
                <w:szCs w:val="20"/>
              </w:rPr>
            </w:pPr>
            <w:r>
              <w:rPr>
                <w:color w:val="000000"/>
                <w:sz w:val="20"/>
              </w:rPr>
              <w:t>342,13</w:t>
            </w:r>
          </w:p>
        </w:tc>
        <w:tc>
          <w:tcPr>
            <w:tcW w:w="550" w:type="pct"/>
            <w:tcBorders>
              <w:top w:val="single" w:sz="4" w:space="0" w:color="auto"/>
              <w:left w:val="single" w:sz="4" w:space="0" w:color="auto"/>
              <w:bottom w:val="single" w:sz="4" w:space="0" w:color="auto"/>
              <w:right w:val="single" w:sz="4" w:space="0" w:color="auto"/>
            </w:tcBorders>
          </w:tcPr>
          <w:p w14:paraId="70D76C6E" w14:textId="77777777" w:rsidR="009F1217" w:rsidRPr="009F1217" w:rsidRDefault="009F1217" w:rsidP="009F1217">
            <w:pPr>
              <w:ind w:left="-279" w:right="63"/>
              <w:jc w:val="right"/>
              <w:rPr>
                <w:rFonts w:eastAsiaTheme="minorEastAsia"/>
                <w:color w:val="000000"/>
                <w:sz w:val="20"/>
                <w:szCs w:val="20"/>
              </w:rPr>
            </w:pPr>
            <w:r>
              <w:rPr>
                <w:color w:val="000000"/>
                <w:sz w:val="20"/>
              </w:rPr>
              <w:t>320,05</w:t>
            </w:r>
          </w:p>
        </w:tc>
        <w:tc>
          <w:tcPr>
            <w:tcW w:w="551" w:type="pct"/>
            <w:tcBorders>
              <w:top w:val="single" w:sz="4" w:space="0" w:color="auto"/>
              <w:left w:val="single" w:sz="4" w:space="0" w:color="auto"/>
              <w:bottom w:val="single" w:sz="4" w:space="0" w:color="auto"/>
              <w:right w:val="single" w:sz="4" w:space="0" w:color="auto"/>
            </w:tcBorders>
          </w:tcPr>
          <w:p w14:paraId="1367B312" w14:textId="77777777" w:rsidR="009F1217" w:rsidRPr="009F1217" w:rsidRDefault="009F1217" w:rsidP="009F1217">
            <w:pPr>
              <w:ind w:left="-279" w:right="184"/>
              <w:jc w:val="right"/>
              <w:rPr>
                <w:rFonts w:eastAsiaTheme="minorEastAsia"/>
                <w:color w:val="000000"/>
                <w:sz w:val="20"/>
                <w:szCs w:val="20"/>
                <w:lang w:eastAsia="zh-CN"/>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0C4D7DCD" w14:textId="77777777" w:rsidR="009F1217" w:rsidRPr="009F1217" w:rsidRDefault="009F1217" w:rsidP="009F1217">
            <w:pPr>
              <w:ind w:left="-279" w:right="254"/>
              <w:jc w:val="right"/>
              <w:rPr>
                <w:rFonts w:eastAsiaTheme="minorEastAsia"/>
                <w:color w:val="000000"/>
                <w:sz w:val="20"/>
                <w:szCs w:val="20"/>
              </w:rPr>
            </w:pPr>
            <w:r>
              <w:rPr>
                <w:color w:val="000000"/>
                <w:sz w:val="20"/>
              </w:rPr>
              <w:t>602,0</w:t>
            </w:r>
          </w:p>
        </w:tc>
      </w:tr>
      <w:tr w:rsidR="009F1217" w:rsidRPr="009F1217" w14:paraId="129408C4" w14:textId="77777777" w:rsidTr="00825E3B">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B3C087" w14:textId="77777777" w:rsidR="009F1217" w:rsidRPr="009F1217" w:rsidRDefault="009F1217" w:rsidP="009F1217">
            <w:pPr>
              <w:ind w:left="98"/>
              <w:jc w:val="left"/>
              <w:rPr>
                <w:rFonts w:eastAsiaTheme="minorEastAsia"/>
                <w:color w:val="000000"/>
                <w:sz w:val="20"/>
                <w:szCs w:val="20"/>
              </w:rPr>
            </w:pPr>
            <w:r>
              <w:rPr>
                <w:color w:val="000000"/>
                <w:sz w:val="20"/>
              </w:rPr>
              <w:t>HCFC-123</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7DEDAA18" w14:textId="77777777" w:rsidR="009F1217" w:rsidRPr="009F1217" w:rsidRDefault="009F1217" w:rsidP="009F1217">
            <w:pPr>
              <w:ind w:left="-279" w:right="63"/>
              <w:jc w:val="right"/>
              <w:rPr>
                <w:rFonts w:eastAsiaTheme="minorEastAsia"/>
                <w:color w:val="000000"/>
                <w:sz w:val="20"/>
                <w:szCs w:val="20"/>
              </w:rPr>
            </w:pPr>
            <w:r>
              <w:rPr>
                <w:color w:val="000000"/>
                <w:sz w:val="20"/>
              </w:rPr>
              <w:t>1,55</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1A35D9F" w14:textId="77777777" w:rsidR="009F1217" w:rsidRPr="009F1217" w:rsidRDefault="009F1217" w:rsidP="009F1217">
            <w:pPr>
              <w:ind w:left="-279" w:right="63"/>
              <w:jc w:val="right"/>
              <w:rPr>
                <w:rFonts w:eastAsiaTheme="minorEastAsia"/>
                <w:color w:val="000000"/>
                <w:sz w:val="20"/>
                <w:szCs w:val="20"/>
              </w:rPr>
            </w:pPr>
            <w:r>
              <w:rPr>
                <w:color w:val="000000"/>
                <w:sz w:val="20"/>
              </w:rPr>
              <w:t>0,26</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134B5CD4" w14:textId="77777777" w:rsidR="009F1217" w:rsidRPr="009F1217" w:rsidRDefault="009F1217" w:rsidP="009F1217">
            <w:pPr>
              <w:ind w:left="-279" w:right="63"/>
              <w:jc w:val="right"/>
              <w:rPr>
                <w:rFonts w:eastAsiaTheme="minorEastAsia"/>
                <w:color w:val="000000"/>
                <w:sz w:val="20"/>
                <w:szCs w:val="20"/>
              </w:rPr>
            </w:pPr>
            <w:r>
              <w:rPr>
                <w:color w:val="000000"/>
                <w:sz w:val="20"/>
              </w:rPr>
              <w:t>0,94</w:t>
            </w:r>
          </w:p>
        </w:tc>
        <w:tc>
          <w:tcPr>
            <w:tcW w:w="550" w:type="pct"/>
            <w:tcBorders>
              <w:top w:val="single" w:sz="4" w:space="0" w:color="auto"/>
              <w:left w:val="single" w:sz="4" w:space="0" w:color="auto"/>
              <w:bottom w:val="single" w:sz="4" w:space="0" w:color="auto"/>
              <w:right w:val="single" w:sz="4" w:space="0" w:color="auto"/>
            </w:tcBorders>
          </w:tcPr>
          <w:p w14:paraId="4D34F01B" w14:textId="77777777" w:rsidR="009F1217" w:rsidRPr="009F1217" w:rsidRDefault="009F1217" w:rsidP="009F1217">
            <w:pPr>
              <w:ind w:left="-279" w:right="63"/>
              <w:jc w:val="right"/>
              <w:rPr>
                <w:rFonts w:eastAsiaTheme="minorEastAsia"/>
                <w:color w:val="000000"/>
                <w:sz w:val="20"/>
                <w:szCs w:val="20"/>
              </w:rPr>
            </w:pPr>
            <w:r>
              <w:rPr>
                <w:color w:val="000000"/>
                <w:sz w:val="20"/>
              </w:rPr>
              <w:t>3,47</w:t>
            </w:r>
          </w:p>
        </w:tc>
        <w:tc>
          <w:tcPr>
            <w:tcW w:w="550" w:type="pct"/>
            <w:tcBorders>
              <w:top w:val="single" w:sz="4" w:space="0" w:color="auto"/>
              <w:left w:val="single" w:sz="4" w:space="0" w:color="auto"/>
              <w:bottom w:val="single" w:sz="4" w:space="0" w:color="auto"/>
              <w:right w:val="single" w:sz="4" w:space="0" w:color="auto"/>
            </w:tcBorders>
          </w:tcPr>
          <w:p w14:paraId="02EC1367" w14:textId="77777777" w:rsidR="009F1217" w:rsidRPr="009F1217" w:rsidRDefault="009F1217" w:rsidP="009F1217">
            <w:pPr>
              <w:ind w:left="-279" w:right="63"/>
              <w:jc w:val="right"/>
              <w:rPr>
                <w:rFonts w:eastAsiaTheme="minorEastAsia"/>
                <w:color w:val="000000"/>
                <w:sz w:val="20"/>
                <w:szCs w:val="20"/>
              </w:rPr>
            </w:pPr>
            <w:r>
              <w:rPr>
                <w:color w:val="000000"/>
                <w:sz w:val="20"/>
              </w:rPr>
              <w:t>1,69</w:t>
            </w:r>
          </w:p>
        </w:tc>
        <w:tc>
          <w:tcPr>
            <w:tcW w:w="551" w:type="pct"/>
            <w:tcBorders>
              <w:top w:val="single" w:sz="4" w:space="0" w:color="auto"/>
              <w:left w:val="single" w:sz="4" w:space="0" w:color="auto"/>
              <w:bottom w:val="single" w:sz="4" w:space="0" w:color="auto"/>
              <w:right w:val="single" w:sz="4" w:space="0" w:color="auto"/>
            </w:tcBorders>
          </w:tcPr>
          <w:p w14:paraId="35B116DB" w14:textId="77777777" w:rsidR="009F1217" w:rsidRPr="009F1217" w:rsidRDefault="009F1217" w:rsidP="009F1217">
            <w:pPr>
              <w:ind w:left="-279" w:right="184"/>
              <w:jc w:val="right"/>
              <w:rPr>
                <w:rFonts w:eastAsiaTheme="minorEastAsia"/>
                <w:color w:val="000000"/>
                <w:sz w:val="20"/>
                <w:szCs w:val="20"/>
                <w:lang w:eastAsia="zh-CN"/>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65C6B17D" w14:textId="77777777" w:rsidR="009F1217" w:rsidRPr="009F1217" w:rsidRDefault="009F1217" w:rsidP="009F1217">
            <w:pPr>
              <w:ind w:left="-279" w:right="254"/>
              <w:jc w:val="right"/>
              <w:rPr>
                <w:rFonts w:eastAsiaTheme="minorEastAsia"/>
                <w:color w:val="000000"/>
                <w:sz w:val="20"/>
                <w:szCs w:val="20"/>
              </w:rPr>
            </w:pPr>
            <w:r>
              <w:rPr>
                <w:color w:val="000000"/>
                <w:sz w:val="20"/>
              </w:rPr>
              <w:t>3,5</w:t>
            </w:r>
          </w:p>
        </w:tc>
      </w:tr>
      <w:tr w:rsidR="009F1217" w:rsidRPr="009F1217" w14:paraId="752B56B8" w14:textId="77777777" w:rsidTr="00825E3B">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210073" w14:textId="77777777" w:rsidR="009F1217" w:rsidRPr="009F1217" w:rsidRDefault="009F1217" w:rsidP="009F1217">
            <w:pPr>
              <w:ind w:left="98"/>
              <w:jc w:val="left"/>
              <w:rPr>
                <w:rFonts w:eastAsiaTheme="minorEastAsia"/>
                <w:color w:val="000000"/>
                <w:sz w:val="20"/>
                <w:szCs w:val="20"/>
              </w:rPr>
            </w:pPr>
            <w:r>
              <w:rPr>
                <w:color w:val="000000"/>
                <w:sz w:val="20"/>
              </w:rPr>
              <w:t>HCFC-141b</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111B0CEE" w14:textId="77777777" w:rsidR="009F1217" w:rsidRPr="009F1217" w:rsidRDefault="009F1217" w:rsidP="009F1217">
            <w:pPr>
              <w:ind w:left="-279" w:right="63"/>
              <w:jc w:val="right"/>
              <w:rPr>
                <w:rFonts w:eastAsiaTheme="minorEastAsia"/>
                <w:color w:val="000000"/>
                <w:sz w:val="20"/>
                <w:szCs w:val="20"/>
              </w:rPr>
            </w:pPr>
            <w:r>
              <w:rPr>
                <w:color w:val="000000"/>
                <w:sz w:val="20"/>
              </w:rPr>
              <w:t>384,36</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55CBAF12" w14:textId="77777777" w:rsidR="009F1217" w:rsidRPr="009F1217" w:rsidRDefault="009F1217" w:rsidP="009F1217">
            <w:pPr>
              <w:ind w:left="-279" w:right="63"/>
              <w:jc w:val="right"/>
              <w:rPr>
                <w:rFonts w:eastAsiaTheme="minorEastAsia"/>
                <w:color w:val="000000"/>
                <w:sz w:val="20"/>
                <w:szCs w:val="20"/>
              </w:rPr>
            </w:pPr>
            <w:r>
              <w:rPr>
                <w:color w:val="000000"/>
                <w:sz w:val="20"/>
              </w:rPr>
              <w:t>0,00</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0208309E" w14:textId="77777777" w:rsidR="009F1217" w:rsidRPr="009F1217" w:rsidRDefault="009F1217" w:rsidP="009F1217">
            <w:pPr>
              <w:ind w:left="-279" w:right="63"/>
              <w:jc w:val="right"/>
              <w:rPr>
                <w:rFonts w:eastAsiaTheme="minorEastAsia"/>
                <w:color w:val="000000"/>
                <w:sz w:val="20"/>
                <w:szCs w:val="20"/>
              </w:rPr>
            </w:pPr>
            <w:r>
              <w:rPr>
                <w:color w:val="000000"/>
                <w:sz w:val="20"/>
              </w:rPr>
              <w:t>0,00</w:t>
            </w:r>
          </w:p>
        </w:tc>
        <w:tc>
          <w:tcPr>
            <w:tcW w:w="550" w:type="pct"/>
            <w:tcBorders>
              <w:top w:val="single" w:sz="4" w:space="0" w:color="auto"/>
              <w:left w:val="single" w:sz="4" w:space="0" w:color="auto"/>
              <w:bottom w:val="single" w:sz="4" w:space="0" w:color="auto"/>
              <w:right w:val="single" w:sz="4" w:space="0" w:color="auto"/>
            </w:tcBorders>
          </w:tcPr>
          <w:p w14:paraId="0F3DC02B" w14:textId="77777777" w:rsidR="009F1217" w:rsidRPr="009F1217" w:rsidRDefault="009F1217" w:rsidP="009F1217">
            <w:pPr>
              <w:ind w:left="-279" w:right="63"/>
              <w:jc w:val="right"/>
              <w:rPr>
                <w:rFonts w:eastAsiaTheme="minorEastAsia"/>
                <w:color w:val="000000"/>
                <w:sz w:val="20"/>
                <w:szCs w:val="20"/>
              </w:rPr>
            </w:pPr>
            <w:r>
              <w:rPr>
                <w:color w:val="000000"/>
                <w:sz w:val="20"/>
              </w:rPr>
              <w:t>0,00</w:t>
            </w:r>
          </w:p>
        </w:tc>
        <w:tc>
          <w:tcPr>
            <w:tcW w:w="550" w:type="pct"/>
            <w:tcBorders>
              <w:top w:val="single" w:sz="4" w:space="0" w:color="auto"/>
              <w:left w:val="single" w:sz="4" w:space="0" w:color="auto"/>
              <w:bottom w:val="single" w:sz="4" w:space="0" w:color="auto"/>
              <w:right w:val="single" w:sz="4" w:space="0" w:color="auto"/>
            </w:tcBorders>
          </w:tcPr>
          <w:p w14:paraId="4F01EFE3" w14:textId="77777777" w:rsidR="009F1217" w:rsidRPr="009F1217" w:rsidRDefault="009F1217" w:rsidP="009F1217">
            <w:pPr>
              <w:ind w:left="-279" w:right="63"/>
              <w:jc w:val="right"/>
              <w:rPr>
                <w:rFonts w:eastAsiaTheme="minorEastAsia"/>
                <w:color w:val="000000"/>
                <w:sz w:val="20"/>
                <w:szCs w:val="20"/>
              </w:rPr>
            </w:pPr>
            <w:r>
              <w:rPr>
                <w:color w:val="000000"/>
                <w:sz w:val="20"/>
              </w:rPr>
              <w:t>0,00</w:t>
            </w:r>
          </w:p>
        </w:tc>
        <w:tc>
          <w:tcPr>
            <w:tcW w:w="551" w:type="pct"/>
            <w:tcBorders>
              <w:top w:val="single" w:sz="4" w:space="0" w:color="auto"/>
              <w:left w:val="single" w:sz="4" w:space="0" w:color="auto"/>
              <w:bottom w:val="single" w:sz="4" w:space="0" w:color="auto"/>
              <w:right w:val="single" w:sz="4" w:space="0" w:color="auto"/>
            </w:tcBorders>
          </w:tcPr>
          <w:p w14:paraId="185CC623" w14:textId="77777777" w:rsidR="009F1217" w:rsidRPr="009F1217" w:rsidRDefault="009F1217" w:rsidP="009F1217">
            <w:pPr>
              <w:ind w:left="-279" w:right="184"/>
              <w:jc w:val="right"/>
              <w:rPr>
                <w:rFonts w:eastAsiaTheme="minorEastAsia"/>
                <w:color w:val="000000"/>
                <w:sz w:val="20"/>
                <w:szCs w:val="20"/>
                <w:lang w:eastAsia="zh-CN"/>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3A29EB0E" w14:textId="77777777" w:rsidR="009F1217" w:rsidRPr="009F1217" w:rsidRDefault="009F1217" w:rsidP="009F1217">
            <w:pPr>
              <w:ind w:left="-279" w:right="254"/>
              <w:jc w:val="right"/>
              <w:rPr>
                <w:rFonts w:eastAsiaTheme="minorEastAsia"/>
                <w:color w:val="000000"/>
                <w:sz w:val="20"/>
                <w:szCs w:val="20"/>
              </w:rPr>
            </w:pPr>
            <w:r>
              <w:rPr>
                <w:color w:val="000000"/>
                <w:sz w:val="20"/>
              </w:rPr>
              <w:t>865,5</w:t>
            </w:r>
          </w:p>
        </w:tc>
      </w:tr>
      <w:tr w:rsidR="009F1217" w:rsidRPr="009F1217" w14:paraId="6C8C5D0A" w14:textId="77777777" w:rsidTr="00825E3B">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AABA7F" w14:textId="77777777" w:rsidR="009F1217" w:rsidRPr="009F1217" w:rsidRDefault="009F1217" w:rsidP="009F1217">
            <w:pPr>
              <w:ind w:left="98"/>
              <w:jc w:val="left"/>
              <w:rPr>
                <w:rFonts w:eastAsiaTheme="minorEastAsia"/>
                <w:color w:val="000000"/>
                <w:sz w:val="20"/>
                <w:szCs w:val="20"/>
              </w:rPr>
            </w:pPr>
            <w:r>
              <w:rPr>
                <w:color w:val="000000"/>
                <w:sz w:val="20"/>
              </w:rPr>
              <w:t>HCFC-225**</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2C1521C" w14:textId="77777777" w:rsidR="009F1217" w:rsidRPr="009F1217" w:rsidRDefault="009F1217" w:rsidP="009F1217">
            <w:pPr>
              <w:ind w:left="-279" w:right="63"/>
              <w:jc w:val="right"/>
              <w:rPr>
                <w:rFonts w:eastAsiaTheme="minorEastAsia"/>
                <w:color w:val="000000"/>
                <w:sz w:val="20"/>
                <w:szCs w:val="20"/>
              </w:rPr>
            </w:pPr>
            <w:r>
              <w:rPr>
                <w:color w:val="000000"/>
                <w:sz w:val="20"/>
              </w:rPr>
              <w:t>3,88</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6D77C9F2" w14:textId="77777777" w:rsidR="009F1217" w:rsidRPr="009F1217" w:rsidRDefault="009F1217" w:rsidP="009F1217">
            <w:pPr>
              <w:ind w:left="-279" w:right="63"/>
              <w:jc w:val="right"/>
              <w:rPr>
                <w:rFonts w:eastAsiaTheme="minorEastAsia"/>
                <w:color w:val="000000"/>
                <w:sz w:val="20"/>
                <w:szCs w:val="20"/>
              </w:rPr>
            </w:pPr>
            <w:r>
              <w:rPr>
                <w:color w:val="000000"/>
                <w:sz w:val="20"/>
              </w:rPr>
              <w:t>0,00</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278B3796" w14:textId="77777777" w:rsidR="009F1217" w:rsidRPr="009F1217" w:rsidRDefault="009F1217" w:rsidP="009F1217">
            <w:pPr>
              <w:ind w:left="-279" w:right="63"/>
              <w:jc w:val="right"/>
              <w:rPr>
                <w:rFonts w:eastAsiaTheme="minorEastAsia"/>
                <w:color w:val="000000"/>
                <w:sz w:val="20"/>
                <w:szCs w:val="20"/>
              </w:rPr>
            </w:pPr>
            <w:r>
              <w:rPr>
                <w:color w:val="000000"/>
                <w:sz w:val="20"/>
              </w:rPr>
              <w:t>-17,81</w:t>
            </w:r>
          </w:p>
        </w:tc>
        <w:tc>
          <w:tcPr>
            <w:tcW w:w="550" w:type="pct"/>
            <w:tcBorders>
              <w:top w:val="single" w:sz="4" w:space="0" w:color="auto"/>
              <w:left w:val="single" w:sz="4" w:space="0" w:color="auto"/>
              <w:bottom w:val="single" w:sz="4" w:space="0" w:color="auto"/>
              <w:right w:val="single" w:sz="4" w:space="0" w:color="auto"/>
            </w:tcBorders>
          </w:tcPr>
          <w:p w14:paraId="22E033E9" w14:textId="77777777" w:rsidR="009F1217" w:rsidRPr="009F1217" w:rsidRDefault="009F1217" w:rsidP="009F1217">
            <w:pPr>
              <w:ind w:left="-279" w:right="63"/>
              <w:jc w:val="right"/>
              <w:rPr>
                <w:rFonts w:eastAsiaTheme="minorEastAsia"/>
                <w:color w:val="000000"/>
                <w:sz w:val="20"/>
                <w:szCs w:val="20"/>
              </w:rPr>
            </w:pPr>
            <w:r>
              <w:rPr>
                <w:color w:val="000000"/>
                <w:sz w:val="20"/>
              </w:rPr>
              <w:t>-3,10</w:t>
            </w:r>
          </w:p>
        </w:tc>
        <w:tc>
          <w:tcPr>
            <w:tcW w:w="550" w:type="pct"/>
            <w:tcBorders>
              <w:top w:val="single" w:sz="4" w:space="0" w:color="auto"/>
              <w:left w:val="single" w:sz="4" w:space="0" w:color="auto"/>
              <w:bottom w:val="single" w:sz="4" w:space="0" w:color="auto"/>
              <w:right w:val="single" w:sz="4" w:space="0" w:color="auto"/>
            </w:tcBorders>
          </w:tcPr>
          <w:p w14:paraId="0E3430E3" w14:textId="77777777" w:rsidR="009F1217" w:rsidRPr="009F1217" w:rsidRDefault="009F1217" w:rsidP="009F1217">
            <w:pPr>
              <w:ind w:left="-279" w:right="63"/>
              <w:jc w:val="right"/>
              <w:rPr>
                <w:rFonts w:eastAsiaTheme="minorEastAsia"/>
                <w:color w:val="000000"/>
                <w:sz w:val="20"/>
                <w:szCs w:val="20"/>
              </w:rPr>
            </w:pPr>
            <w:r>
              <w:rPr>
                <w:color w:val="000000"/>
                <w:sz w:val="20"/>
              </w:rPr>
              <w:t>0,71</w:t>
            </w:r>
          </w:p>
        </w:tc>
        <w:tc>
          <w:tcPr>
            <w:tcW w:w="551" w:type="pct"/>
            <w:tcBorders>
              <w:top w:val="single" w:sz="4" w:space="0" w:color="auto"/>
              <w:left w:val="single" w:sz="4" w:space="0" w:color="auto"/>
              <w:bottom w:val="single" w:sz="4" w:space="0" w:color="auto"/>
              <w:right w:val="single" w:sz="4" w:space="0" w:color="auto"/>
            </w:tcBorders>
          </w:tcPr>
          <w:p w14:paraId="034433A2" w14:textId="77777777" w:rsidR="009F1217" w:rsidRPr="009F1217" w:rsidRDefault="009F1217" w:rsidP="009F1217">
            <w:pPr>
              <w:ind w:left="-279" w:right="184"/>
              <w:jc w:val="right"/>
              <w:rPr>
                <w:rFonts w:eastAsiaTheme="minorEastAsia"/>
                <w:color w:val="000000"/>
                <w:sz w:val="20"/>
                <w:szCs w:val="20"/>
                <w:lang w:eastAsia="zh-CN"/>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6A7D860C" w14:textId="77777777" w:rsidR="009F1217" w:rsidRPr="009F1217" w:rsidRDefault="009F1217" w:rsidP="009F1217">
            <w:pPr>
              <w:ind w:left="-279" w:right="254"/>
              <w:jc w:val="right"/>
              <w:rPr>
                <w:rFonts w:eastAsiaTheme="minorEastAsia"/>
                <w:color w:val="000000"/>
                <w:sz w:val="20"/>
                <w:szCs w:val="20"/>
              </w:rPr>
            </w:pPr>
            <w:r>
              <w:rPr>
                <w:color w:val="000000"/>
                <w:sz w:val="20"/>
              </w:rPr>
              <w:t>-</w:t>
            </w:r>
          </w:p>
        </w:tc>
      </w:tr>
      <w:tr w:rsidR="009F1217" w:rsidRPr="009F1217" w14:paraId="1820A46D" w14:textId="77777777" w:rsidTr="00825E3B">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FDA41F1" w14:textId="77777777" w:rsidR="009F1217" w:rsidRPr="009F1217" w:rsidRDefault="009F1217" w:rsidP="009F1217">
            <w:pPr>
              <w:ind w:left="98"/>
              <w:jc w:val="left"/>
              <w:rPr>
                <w:rFonts w:eastAsiaTheme="minorHAnsi"/>
                <w:b/>
                <w:sz w:val="20"/>
                <w:szCs w:val="20"/>
              </w:rPr>
            </w:pPr>
            <w:r>
              <w:rPr>
                <w:b/>
                <w:sz w:val="20"/>
              </w:rPr>
              <w:t>Total (tonnes PAO)</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53209763" w14:textId="77777777" w:rsidR="009F1217" w:rsidRPr="009F1217" w:rsidRDefault="009F1217" w:rsidP="009F1217">
            <w:pPr>
              <w:ind w:left="-279" w:right="63"/>
              <w:jc w:val="right"/>
              <w:rPr>
                <w:rFonts w:eastAsiaTheme="minorEastAsia"/>
                <w:b/>
                <w:color w:val="000000"/>
                <w:sz w:val="20"/>
                <w:szCs w:val="20"/>
              </w:rPr>
            </w:pPr>
            <w:r>
              <w:rPr>
                <w:b/>
                <w:color w:val="000000"/>
                <w:sz w:val="20"/>
              </w:rPr>
              <w:t>939,16</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45C8CD4" w14:textId="77777777" w:rsidR="009F1217" w:rsidRPr="009F1217" w:rsidRDefault="009F1217" w:rsidP="009F1217">
            <w:pPr>
              <w:ind w:left="-279" w:right="63"/>
              <w:jc w:val="right"/>
              <w:rPr>
                <w:rFonts w:eastAsiaTheme="minorEastAsia"/>
                <w:b/>
                <w:color w:val="000000"/>
                <w:sz w:val="20"/>
                <w:szCs w:val="20"/>
              </w:rPr>
            </w:pPr>
            <w:r>
              <w:rPr>
                <w:b/>
                <w:color w:val="000000"/>
                <w:sz w:val="20"/>
              </w:rPr>
              <w:t>297,49</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0D936F05" w14:textId="77777777" w:rsidR="009F1217" w:rsidRPr="009F1217" w:rsidRDefault="009F1217" w:rsidP="009F1217">
            <w:pPr>
              <w:ind w:left="-279" w:right="63"/>
              <w:jc w:val="right"/>
              <w:rPr>
                <w:rFonts w:eastAsiaTheme="minorEastAsia"/>
                <w:b/>
                <w:color w:val="000000"/>
                <w:sz w:val="20"/>
                <w:szCs w:val="20"/>
              </w:rPr>
            </w:pPr>
            <w:r>
              <w:rPr>
                <w:b/>
                <w:color w:val="000000"/>
                <w:sz w:val="20"/>
              </w:rPr>
              <w:t>218,47</w:t>
            </w:r>
          </w:p>
        </w:tc>
        <w:tc>
          <w:tcPr>
            <w:tcW w:w="550" w:type="pct"/>
            <w:tcBorders>
              <w:top w:val="single" w:sz="4" w:space="0" w:color="auto"/>
              <w:left w:val="single" w:sz="4" w:space="0" w:color="auto"/>
              <w:bottom w:val="single" w:sz="4" w:space="0" w:color="auto"/>
              <w:right w:val="single" w:sz="4" w:space="0" w:color="auto"/>
            </w:tcBorders>
          </w:tcPr>
          <w:p w14:paraId="6C16C9A9" w14:textId="77777777" w:rsidR="009F1217" w:rsidRPr="009F1217" w:rsidRDefault="009F1217" w:rsidP="009F1217">
            <w:pPr>
              <w:tabs>
                <w:tab w:val="left" w:pos="430"/>
              </w:tabs>
              <w:ind w:left="-137" w:right="63"/>
              <w:jc w:val="right"/>
              <w:rPr>
                <w:rFonts w:eastAsiaTheme="minorEastAsia"/>
                <w:b/>
                <w:color w:val="000000"/>
                <w:sz w:val="20"/>
                <w:szCs w:val="20"/>
              </w:rPr>
            </w:pPr>
            <w:r>
              <w:rPr>
                <w:b/>
                <w:color w:val="000000"/>
                <w:sz w:val="20"/>
              </w:rPr>
              <w:t>342,50</w:t>
            </w:r>
          </w:p>
        </w:tc>
        <w:tc>
          <w:tcPr>
            <w:tcW w:w="550" w:type="pct"/>
            <w:tcBorders>
              <w:top w:val="single" w:sz="4" w:space="0" w:color="auto"/>
              <w:left w:val="single" w:sz="4" w:space="0" w:color="auto"/>
              <w:bottom w:val="single" w:sz="4" w:space="0" w:color="auto"/>
              <w:right w:val="single" w:sz="4" w:space="0" w:color="auto"/>
            </w:tcBorders>
          </w:tcPr>
          <w:p w14:paraId="41435719" w14:textId="77777777" w:rsidR="009F1217" w:rsidRPr="009F1217" w:rsidRDefault="009F1217" w:rsidP="009F1217">
            <w:pPr>
              <w:ind w:left="-279" w:right="63"/>
              <w:jc w:val="right"/>
              <w:rPr>
                <w:rFonts w:eastAsiaTheme="minorEastAsia"/>
                <w:b/>
                <w:color w:val="000000"/>
                <w:sz w:val="20"/>
                <w:szCs w:val="20"/>
              </w:rPr>
            </w:pPr>
            <w:r>
              <w:rPr>
                <w:b/>
                <w:color w:val="000000"/>
                <w:sz w:val="20"/>
              </w:rPr>
              <w:t>322,44</w:t>
            </w:r>
          </w:p>
        </w:tc>
        <w:tc>
          <w:tcPr>
            <w:tcW w:w="551" w:type="pct"/>
            <w:tcBorders>
              <w:top w:val="single" w:sz="4" w:space="0" w:color="auto"/>
              <w:left w:val="single" w:sz="4" w:space="0" w:color="auto"/>
              <w:bottom w:val="single" w:sz="4" w:space="0" w:color="auto"/>
              <w:right w:val="single" w:sz="4" w:space="0" w:color="auto"/>
            </w:tcBorders>
          </w:tcPr>
          <w:p w14:paraId="4F7139EA" w14:textId="77777777" w:rsidR="009F1217" w:rsidRPr="009F1217" w:rsidRDefault="009F1217" w:rsidP="009F1217">
            <w:pPr>
              <w:ind w:left="-279" w:right="63"/>
              <w:jc w:val="right"/>
              <w:rPr>
                <w:rFonts w:eastAsiaTheme="minorEastAsia"/>
                <w:b/>
                <w:color w:val="000000"/>
                <w:sz w:val="20"/>
                <w:szCs w:val="20"/>
              </w:rPr>
            </w:pPr>
            <w:r>
              <w:rPr>
                <w:b/>
                <w:color w:val="000000"/>
                <w:sz w:val="20"/>
              </w:rPr>
              <w:t>464,33</w:t>
            </w:r>
          </w:p>
        </w:tc>
        <w:tc>
          <w:tcPr>
            <w:tcW w:w="647" w:type="pct"/>
            <w:tcBorders>
              <w:top w:val="single" w:sz="4" w:space="0" w:color="auto"/>
              <w:left w:val="single" w:sz="4" w:space="0" w:color="auto"/>
              <w:bottom w:val="single" w:sz="4" w:space="0" w:color="auto"/>
              <w:right w:val="single" w:sz="4" w:space="0" w:color="auto"/>
            </w:tcBorders>
            <w:shd w:val="clear" w:color="auto" w:fill="auto"/>
            <w:noWrap/>
          </w:tcPr>
          <w:p w14:paraId="45C7AC0F" w14:textId="77777777" w:rsidR="009F1217" w:rsidRPr="009F1217" w:rsidRDefault="009F1217" w:rsidP="009F1217">
            <w:pPr>
              <w:ind w:left="-279" w:right="-40"/>
              <w:jc w:val="right"/>
              <w:rPr>
                <w:rFonts w:eastAsiaTheme="minorHAnsi"/>
                <w:b/>
                <w:color w:val="000000"/>
                <w:sz w:val="20"/>
                <w:szCs w:val="20"/>
              </w:rPr>
            </w:pPr>
            <w:r>
              <w:rPr>
                <w:b/>
                <w:color w:val="000000"/>
                <w:sz w:val="20"/>
              </w:rPr>
              <w:t>1 608,2***</w:t>
            </w:r>
          </w:p>
        </w:tc>
      </w:tr>
      <w:tr w:rsidR="009F1217" w:rsidRPr="009F1217" w14:paraId="75C881D7" w14:textId="77777777" w:rsidTr="00825E3B">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750AF6F" w14:textId="77777777" w:rsidR="009F1217" w:rsidRPr="009F1217" w:rsidRDefault="009F1217" w:rsidP="007065D6">
            <w:pPr>
              <w:keepNext/>
              <w:keepLines/>
              <w:ind w:left="98"/>
              <w:jc w:val="left"/>
              <w:rPr>
                <w:rFonts w:eastAsiaTheme="minorEastAsia"/>
                <w:b/>
                <w:sz w:val="20"/>
                <w:szCs w:val="20"/>
              </w:rPr>
            </w:pPr>
            <w:r>
              <w:rPr>
                <w:b/>
                <w:sz w:val="20"/>
              </w:rPr>
              <w:t>Consommation maximale admissible</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D66F3E4" w14:textId="77777777" w:rsidR="009F1217" w:rsidRPr="009F1217" w:rsidRDefault="009F1217" w:rsidP="007065D6">
            <w:pPr>
              <w:keepNext/>
              <w:keepLines/>
              <w:ind w:left="-279" w:right="63"/>
              <w:jc w:val="right"/>
              <w:rPr>
                <w:rFonts w:eastAsiaTheme="minorEastAsia"/>
                <w:b/>
                <w:color w:val="000000"/>
                <w:sz w:val="20"/>
                <w:szCs w:val="20"/>
              </w:rPr>
            </w:pPr>
            <w:r>
              <w:rPr>
                <w:b/>
                <w:color w:val="000000"/>
                <w:sz w:val="20"/>
              </w:rPr>
              <w:t>1 103,85</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61A73F01" w14:textId="77777777" w:rsidR="009F1217" w:rsidRPr="009F1217" w:rsidRDefault="009F1217" w:rsidP="007065D6">
            <w:pPr>
              <w:keepNext/>
              <w:keepLines/>
              <w:ind w:left="-279" w:right="63"/>
              <w:jc w:val="right"/>
              <w:rPr>
                <w:rFonts w:eastAsiaTheme="minorEastAsia"/>
                <w:b/>
                <w:color w:val="000000"/>
                <w:sz w:val="20"/>
                <w:szCs w:val="20"/>
              </w:rPr>
            </w:pPr>
            <w:r>
              <w:rPr>
                <w:b/>
                <w:color w:val="000000"/>
                <w:sz w:val="20"/>
              </w:rPr>
              <w:t>832,32</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6828E6A6" w14:textId="77777777" w:rsidR="009F1217" w:rsidRPr="009F1217" w:rsidRDefault="009F1217" w:rsidP="007065D6">
            <w:pPr>
              <w:keepNext/>
              <w:keepLines/>
              <w:ind w:left="-279" w:right="63"/>
              <w:jc w:val="right"/>
              <w:rPr>
                <w:rFonts w:eastAsiaTheme="minorEastAsia"/>
                <w:b/>
                <w:color w:val="000000"/>
                <w:sz w:val="20"/>
                <w:szCs w:val="20"/>
              </w:rPr>
            </w:pPr>
            <w:r>
              <w:rPr>
                <w:b/>
                <w:color w:val="000000"/>
                <w:sz w:val="20"/>
              </w:rPr>
              <w:t>799,76</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04254D9E" w14:textId="77777777" w:rsidR="009F1217" w:rsidRPr="009F1217" w:rsidRDefault="009F1217" w:rsidP="007065D6">
            <w:pPr>
              <w:keepNext/>
              <w:keepLines/>
              <w:tabs>
                <w:tab w:val="left" w:pos="430"/>
              </w:tabs>
              <w:ind w:left="-137" w:right="63"/>
              <w:jc w:val="right"/>
              <w:rPr>
                <w:rFonts w:eastAsiaTheme="minorEastAsia"/>
                <w:b/>
                <w:color w:val="000000"/>
                <w:sz w:val="20"/>
                <w:szCs w:val="20"/>
              </w:rPr>
            </w:pPr>
            <w:r>
              <w:rPr>
                <w:b/>
                <w:color w:val="000000"/>
                <w:sz w:val="20"/>
              </w:rPr>
              <w:t>698,82</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261F5BAD" w14:textId="77777777" w:rsidR="009F1217" w:rsidRPr="009F1217" w:rsidRDefault="009F1217" w:rsidP="007065D6">
            <w:pPr>
              <w:keepNext/>
              <w:keepLines/>
              <w:ind w:left="-279" w:right="63"/>
              <w:jc w:val="right"/>
              <w:rPr>
                <w:rFonts w:eastAsiaTheme="minorEastAsia"/>
                <w:b/>
                <w:color w:val="000000"/>
                <w:sz w:val="20"/>
                <w:szCs w:val="20"/>
              </w:rPr>
            </w:pPr>
            <w:r>
              <w:rPr>
                <w:b/>
                <w:color w:val="000000"/>
                <w:sz w:val="20"/>
              </w:rPr>
              <w:t>643,28</w:t>
            </w:r>
          </w:p>
        </w:tc>
        <w:tc>
          <w:tcPr>
            <w:tcW w:w="551" w:type="pct"/>
            <w:tcBorders>
              <w:top w:val="single" w:sz="4" w:space="0" w:color="auto"/>
              <w:left w:val="single" w:sz="4" w:space="0" w:color="auto"/>
              <w:bottom w:val="single" w:sz="4" w:space="0" w:color="auto"/>
              <w:right w:val="single" w:sz="4" w:space="0" w:color="auto"/>
            </w:tcBorders>
          </w:tcPr>
          <w:p w14:paraId="1C0CB4F2" w14:textId="77777777" w:rsidR="009F1217" w:rsidRPr="009F1217" w:rsidRDefault="009F1217" w:rsidP="007065D6">
            <w:pPr>
              <w:keepNext/>
              <w:keepLines/>
              <w:ind w:left="-279" w:right="63"/>
              <w:jc w:val="right"/>
              <w:rPr>
                <w:rFonts w:eastAsiaTheme="minorEastAsia"/>
                <w:b/>
                <w:color w:val="000000"/>
                <w:sz w:val="20"/>
                <w:szCs w:val="20"/>
              </w:rPr>
            </w:pPr>
            <w:r>
              <w:rPr>
                <w:b/>
                <w:color w:val="000000"/>
                <w:sz w:val="20"/>
              </w:rPr>
              <w:t>643,28</w:t>
            </w:r>
          </w:p>
        </w:tc>
        <w:tc>
          <w:tcPr>
            <w:tcW w:w="647" w:type="pct"/>
            <w:tcBorders>
              <w:top w:val="single" w:sz="4" w:space="0" w:color="auto"/>
              <w:left w:val="single" w:sz="4" w:space="0" w:color="auto"/>
              <w:bottom w:val="single" w:sz="4" w:space="0" w:color="auto"/>
              <w:right w:val="single" w:sz="4" w:space="0" w:color="auto"/>
            </w:tcBorders>
            <w:shd w:val="clear" w:color="auto" w:fill="auto"/>
            <w:noWrap/>
          </w:tcPr>
          <w:p w14:paraId="2E866B20" w14:textId="77777777" w:rsidR="009F1217" w:rsidRPr="009F1217" w:rsidRDefault="009F1217" w:rsidP="007065D6">
            <w:pPr>
              <w:keepNext/>
              <w:keepLines/>
              <w:ind w:left="-279" w:right="254"/>
              <w:jc w:val="right"/>
              <w:rPr>
                <w:rFonts w:eastAsiaTheme="minorEastAsia"/>
                <w:b/>
                <w:bCs/>
                <w:color w:val="000000"/>
                <w:sz w:val="20"/>
                <w:szCs w:val="20"/>
              </w:rPr>
            </w:pPr>
            <w:r>
              <w:rPr>
                <w:b/>
                <w:color w:val="000000"/>
                <w:sz w:val="20"/>
              </w:rPr>
              <w:t>s.o.</w:t>
            </w:r>
          </w:p>
        </w:tc>
      </w:tr>
    </w:tbl>
    <w:p w14:paraId="2829FF6E" w14:textId="77777777" w:rsidR="009F1217" w:rsidRPr="009F1217" w:rsidRDefault="009F1217" w:rsidP="007065D6">
      <w:pPr>
        <w:keepNext/>
        <w:keepLines/>
        <w:rPr>
          <w:rFonts w:eastAsiaTheme="minorEastAsia"/>
          <w:sz w:val="18"/>
          <w:szCs w:val="18"/>
        </w:rPr>
      </w:pPr>
      <w:r>
        <w:rPr>
          <w:sz w:val="18"/>
        </w:rPr>
        <w:t>* Estimation préliminaire.</w:t>
      </w:r>
    </w:p>
    <w:p w14:paraId="6E38EF35" w14:textId="77777777" w:rsidR="009F1217" w:rsidRPr="009F1217" w:rsidRDefault="009F1217" w:rsidP="007065D6">
      <w:pPr>
        <w:keepNext/>
        <w:keepLines/>
        <w:rPr>
          <w:rFonts w:eastAsiaTheme="minorEastAsia"/>
          <w:sz w:val="18"/>
          <w:szCs w:val="18"/>
        </w:rPr>
      </w:pPr>
      <w:r>
        <w:rPr>
          <w:sz w:val="18"/>
        </w:rPr>
        <w:t>** L’Inde a produit du HCFC-225 en 2019, 2022 et 2023 pour des utilisations comme matière première. Les exportations de HCFC-225 en 2021 et en 2022 concernaient la matière première et ont été produites partiellement en 2022 et au cours des années précédentes.</w:t>
      </w:r>
    </w:p>
    <w:p w14:paraId="193DB2B3" w14:textId="77777777" w:rsidR="009F1217" w:rsidRPr="009F1217" w:rsidRDefault="009F1217" w:rsidP="007065D6">
      <w:pPr>
        <w:keepNext/>
        <w:keepLines/>
        <w:rPr>
          <w:rFonts w:eastAsiaTheme="minorEastAsia"/>
          <w:sz w:val="18"/>
          <w:szCs w:val="18"/>
        </w:rPr>
      </w:pPr>
      <w:r>
        <w:rPr>
          <w:sz w:val="18"/>
        </w:rPr>
        <w:t>*** La valeur de référence totale comprend 13,5 tonnes PAO de HCFC-124 et 123,7 tonnes PAO de HCFC</w:t>
      </w:r>
      <w:r>
        <w:rPr>
          <w:sz w:val="18"/>
        </w:rPr>
        <w:noBreakHyphen/>
        <w:t>142b, dont aucune consommation n’a eu lieu depuis 2012 et 2017.</w:t>
      </w:r>
    </w:p>
    <w:p w14:paraId="6EFD4CF9" w14:textId="77777777" w:rsidR="009F1217" w:rsidRPr="009F1217" w:rsidRDefault="009F1217" w:rsidP="009F1217">
      <w:pPr>
        <w:numPr>
          <w:ilvl w:val="0"/>
          <w:numId w:val="1"/>
        </w:numPr>
        <w:spacing w:before="240" w:after="240"/>
        <w:outlineLvl w:val="0"/>
        <w:rPr>
          <w:rFonts w:eastAsiaTheme="minorEastAsia"/>
        </w:rPr>
      </w:pPr>
      <w:r>
        <w:t>Le Gouvernement de l’Inde a communiqué des données sectorielles sur la consommation de HCFC dans son rapport sur la mise en œuvre du programme du pays de 2023 conformes aux données déclarées en vertu de l’article 7 du Protocole de Montréal.</w:t>
      </w:r>
    </w:p>
    <w:p w14:paraId="067EE565" w14:textId="77777777" w:rsidR="009F1217" w:rsidRPr="009F1217" w:rsidRDefault="009F1217" w:rsidP="009F1217">
      <w:pPr>
        <w:keepNext/>
        <w:spacing w:after="240"/>
        <w:outlineLvl w:val="0"/>
        <w:rPr>
          <w:rFonts w:eastAsiaTheme="minorEastAsia"/>
          <w:b/>
          <w:bCs/>
        </w:rPr>
      </w:pPr>
      <w:r>
        <w:rPr>
          <w:b/>
        </w:rPr>
        <w:t>Rapport périodique</w:t>
      </w:r>
    </w:p>
    <w:p w14:paraId="4D330DC3" w14:textId="28A70894" w:rsidR="009F1217" w:rsidRPr="009F1217" w:rsidRDefault="009F1217" w:rsidP="009F1217">
      <w:pPr>
        <w:keepNext/>
        <w:keepLines/>
        <w:numPr>
          <w:ilvl w:val="0"/>
          <w:numId w:val="1"/>
        </w:numPr>
        <w:spacing w:after="240"/>
        <w:outlineLvl w:val="0"/>
        <w:rPr>
          <w:rFonts w:eastAsiaTheme="minorEastAsia"/>
        </w:rPr>
      </w:pPr>
      <w:r>
        <w:t>Au nom du Gouvernement de l’Inde, le PNUD a présenté un rapport fournissant une mise à jour des progrès réalisés sur les activités restantes dans le secteur de l’entretien de l’équipement de réfrigération, dont :</w:t>
      </w:r>
    </w:p>
    <w:p w14:paraId="3AA3C2EA" w14:textId="77777777" w:rsidR="009F1217" w:rsidRPr="009F1217" w:rsidRDefault="009F1217" w:rsidP="009F1217">
      <w:pPr>
        <w:numPr>
          <w:ilvl w:val="1"/>
          <w:numId w:val="1"/>
        </w:numPr>
        <w:spacing w:after="240"/>
        <w:outlineLvl w:val="1"/>
        <w:rPr>
          <w:rFonts w:eastAsiaTheme="minorEastAsia"/>
        </w:rPr>
      </w:pPr>
      <w:r>
        <w:rPr>
          <w:i/>
        </w:rPr>
        <w:t>Fabrication des mousses de polyuréthane (PU) (PNUD)</w:t>
      </w:r>
      <w:r>
        <w:t> : la reconversion des entreprises de fabrication des mousses de PU restantes à des solutions de remplacement à faible PRP a été achevée, avec une vérification physique des sites confirmant que 158 entreprises au total ont éliminé 2 624,70 tm de HCFC</w:t>
      </w:r>
      <w:r>
        <w:noBreakHyphen/>
        <w:t xml:space="preserve">141b au titre de la phase II, conformément à </w:t>
      </w:r>
      <w:r>
        <w:lastRenderedPageBreak/>
        <w:t>l’interdiction de son importation en vigueur depuis janvier 2020 ; le PNUD restituera le solde de 1 302 782 $US à la 97</w:t>
      </w:r>
      <w:r>
        <w:rPr>
          <w:vertAlign w:val="superscript"/>
        </w:rPr>
        <w:t>e</w:t>
      </w:r>
      <w:r>
        <w:t> réunion, correspondant aux fonds qui n’ont pas été réclamés par les 13 entreprises reconverties ou intégralement décaissés pour celles-ci ;</w:t>
      </w:r>
    </w:p>
    <w:p w14:paraId="37795304" w14:textId="77777777" w:rsidR="009F1217" w:rsidRPr="009F1217" w:rsidRDefault="009F1217" w:rsidP="009F1217">
      <w:pPr>
        <w:numPr>
          <w:ilvl w:val="1"/>
          <w:numId w:val="1"/>
        </w:numPr>
        <w:spacing w:after="240"/>
        <w:outlineLvl w:val="1"/>
        <w:rPr>
          <w:rFonts w:eastAsiaTheme="minorEastAsia"/>
        </w:rPr>
      </w:pPr>
      <w:r>
        <w:rPr>
          <w:i/>
        </w:rPr>
        <w:t>Fabrication de climatiseurs (PNUD)</w:t>
      </w:r>
      <w:r>
        <w:t> : les six entreprises participant au titre de la phase II ont achevé leurs reconversions, éliminé un total de 1 197,63 tm (65,87 tonnes PAO) de HCFC-22 et fournissent des climatiseurs au HFC</w:t>
      </w:r>
      <w:r>
        <w:noBreakHyphen/>
        <w:t xml:space="preserve">32 au marché local. </w:t>
      </w:r>
      <w:r>
        <w:rPr>
          <w:shd w:val="clear" w:color="auto" w:fill="FFFFFF"/>
        </w:rPr>
        <w:t>Le gouvernement a interdit l’importation et la fabrication d’équipements de réfrigération et de climatisation à base de HCFC à partir du 1</w:t>
      </w:r>
      <w:r>
        <w:rPr>
          <w:shd w:val="clear" w:color="auto" w:fill="FFFFFF"/>
          <w:vertAlign w:val="superscript"/>
        </w:rPr>
        <w:t>er</w:t>
      </w:r>
      <w:r>
        <w:rPr>
          <w:shd w:val="clear" w:color="auto" w:fill="FFFFFF"/>
        </w:rPr>
        <w:t> janvier 2025 ;</w:t>
      </w:r>
    </w:p>
    <w:p w14:paraId="44728949" w14:textId="77777777" w:rsidR="009F1217" w:rsidRPr="009F1217" w:rsidRDefault="009F1217" w:rsidP="009F1217">
      <w:pPr>
        <w:numPr>
          <w:ilvl w:val="1"/>
          <w:numId w:val="1"/>
        </w:numPr>
        <w:spacing w:after="240"/>
        <w:outlineLvl w:val="1"/>
        <w:rPr>
          <w:rFonts w:eastAsiaTheme="minorEastAsia"/>
        </w:rPr>
      </w:pPr>
      <w:r>
        <w:rPr>
          <w:i/>
        </w:rPr>
        <w:t>Secteur de l’entretien de l’équipement de réfrigération et de climatisation (Allemagne)</w:t>
      </w:r>
      <w:r>
        <w:t> : 4 348 techniciens de réfrigération et climatisation ont été formés au titre de la quatrième tranche, pour un total de 17 000 techniciens formés au titre de la phase II ; six ateliers supplémentaires ont été tenus pour 95 techniciens dans des instituts de formation industrielle aux bonnes pratiques d’entretien et à l’installation de climatiseurs, y compris ceux utilisant des frigorigènes inflammables ; et une installation de formation existante a été renforcée par l’amélioration de l’installation et de ses équipements, dont des unités de formation à la réfrigération et la climatisation et des outils associés, 25 stations de travail pour la formation aux frigorigènes inflammables, et aux lignes directrices de stockage et de sécurité des bouteilles ;</w:t>
      </w:r>
    </w:p>
    <w:p w14:paraId="79097E46" w14:textId="77777777" w:rsidR="009F1217" w:rsidRPr="009F1217" w:rsidRDefault="009F1217" w:rsidP="009F1217">
      <w:pPr>
        <w:numPr>
          <w:ilvl w:val="1"/>
          <w:numId w:val="1"/>
        </w:numPr>
        <w:spacing w:after="240"/>
        <w:outlineLvl w:val="1"/>
        <w:rPr>
          <w:rFonts w:eastAsiaTheme="minorEastAsia"/>
        </w:rPr>
      </w:pPr>
      <w:r>
        <w:rPr>
          <w:i/>
        </w:rPr>
        <w:t>Activités de facilitation dans le secteur de l’entretien (PNUE)</w:t>
      </w:r>
      <w:r>
        <w:t> : deux ateliers ont été tenus pour former 99 agents des douanes à l’application du Protocole de Montréal et au contrôle des HCFC ; un dialogue aux frontières avec des pays voisins a été mené pour discuter du commerce des SAO ; trois études supplémentaires pour le secteur de la construction et des lignes directrices pour le secteur de la chaîne du froid ont été achevées </w:t>
      </w:r>
      <w:r w:rsidRPr="009F1217">
        <w:rPr>
          <w:rFonts w:eastAsiaTheme="minorEastAsia"/>
          <w:vertAlign w:val="superscript"/>
          <w:lang w:eastAsia="zh-CN"/>
        </w:rPr>
        <w:footnoteReference w:id="11"/>
      </w:r>
      <w:r>
        <w:t> ; toutes les études</w:t>
      </w:r>
      <w:bookmarkStart w:id="3" w:name="_Hlk116750581"/>
      <w:r>
        <w:t xml:space="preserve"> ont été diffusées au public et les découvertes ont fait l’objet de discussions avec diverses parties prenantes pour promouvoir les politiques d’approvisionnement de solutions de remplacement sans HCFC et l’élimination des HCFC dans les secteurs de la construction et de la chaîne du froid ; diverses activités </w:t>
      </w:r>
      <w:bookmarkEnd w:id="3"/>
      <w:r>
        <w:t>de sensibilisation et de renforcement de la capacité ont été menées, dont la diffusion de produits de connaissance ; et la mise à jour régulière du site Web de la cellule Ozone avec des documents du PGEH s’est poursuivie ; et</w:t>
      </w:r>
    </w:p>
    <w:p w14:paraId="7C3E2B94" w14:textId="77777777" w:rsidR="009F1217" w:rsidRPr="009F1217" w:rsidRDefault="009F1217" w:rsidP="009F1217">
      <w:pPr>
        <w:numPr>
          <w:ilvl w:val="1"/>
          <w:numId w:val="1"/>
        </w:numPr>
        <w:spacing w:after="240"/>
        <w:outlineLvl w:val="1"/>
        <w:rPr>
          <w:rFonts w:eastAsiaTheme="minorEastAsia"/>
        </w:rPr>
      </w:pPr>
      <w:r>
        <w:rPr>
          <w:i/>
        </w:rPr>
        <w:t>Unité de mise en œuvre et de suivi du projet (PMU)(PNUD)</w:t>
      </w:r>
      <w:r>
        <w:t> : le PMU a continué la vérification tierce de l’admissibilité des entreprises et des jalons de la mise en œuvre par des visites sur site ; géré la mise en œuvre de projets d’investissement ; organisé des missions, des réunions et des visites techniques d’entreprises ; et préparé des rapports périodiques et financiers pour la présentation au Comité directeur du projet, à la cellule Ozone et au PNUD ; le PMU mettra en œuvre toutes les activités de clôture du projet restantes d’ici décembre 2025.</w:t>
      </w:r>
    </w:p>
    <w:p w14:paraId="781AB92F" w14:textId="77777777" w:rsidR="009F1217" w:rsidRPr="009F1217" w:rsidRDefault="009F1217" w:rsidP="009F1217">
      <w:pPr>
        <w:numPr>
          <w:ilvl w:val="0"/>
          <w:numId w:val="1"/>
        </w:numPr>
        <w:spacing w:after="240"/>
        <w:outlineLvl w:val="0"/>
        <w:rPr>
          <w:rFonts w:eastAsiaTheme="minorEastAsia"/>
        </w:rPr>
      </w:pPr>
      <w:r>
        <w:t>En mars 2025, des 37 847 454 $US approuvés pour la phase II (31 847 454 $US pour le PNUD, 900 000 $US pour le PNUE et 5 100 000 $US pour le Gouvernement de l’Allemagne), 34 934 514 $US avaient été décaissés, 316 837 $US avaient déjà été restitués au Fonds et 1 293 321 $US finalisaient le paiement des activités du projet (attendu d’ici septembre 2025). Le solde de 1 302 782 $US sera restitué à la 97</w:t>
      </w:r>
      <w:r>
        <w:rPr>
          <w:vertAlign w:val="superscript"/>
        </w:rPr>
        <w:t>e</w:t>
      </w:r>
      <w:r>
        <w:t> réunion.</w:t>
      </w:r>
    </w:p>
    <w:p w14:paraId="343F39FC" w14:textId="77777777" w:rsidR="009F1217" w:rsidRPr="009F1217" w:rsidRDefault="009F1217" w:rsidP="009F1217">
      <w:pPr>
        <w:keepNext/>
        <w:spacing w:after="240"/>
        <w:rPr>
          <w:rFonts w:eastAsiaTheme="minorEastAsia"/>
          <w:b/>
          <w:bCs/>
        </w:rPr>
      </w:pPr>
      <w:r>
        <w:rPr>
          <w:b/>
        </w:rPr>
        <w:lastRenderedPageBreak/>
        <w:t>Observations du secrétariat</w:t>
      </w:r>
    </w:p>
    <w:p w14:paraId="78A04066" w14:textId="2B00E185" w:rsidR="009F1217" w:rsidRPr="009F1217" w:rsidRDefault="009F1217" w:rsidP="009F1217">
      <w:pPr>
        <w:numPr>
          <w:ilvl w:val="0"/>
          <w:numId w:val="1"/>
        </w:numPr>
        <w:spacing w:after="240"/>
        <w:outlineLvl w:val="0"/>
        <w:rPr>
          <w:rFonts w:eastAsiaTheme="minorEastAsia"/>
        </w:rPr>
      </w:pPr>
      <w:r>
        <w:t>Le PNUD a confirmé que la phase II du PGEH était opérationnellement achevée au 31 décembre 2024, comme établi au paragraphe 14 de l’Accord et indiqué à la 95</w:t>
      </w:r>
      <w:r>
        <w:rPr>
          <w:vertAlign w:val="superscript"/>
        </w:rPr>
        <w:t>e</w:t>
      </w:r>
      <w:r>
        <w:t> réunion du Comité exécutif, à l’exception de quatre ateliers de formation qui avaient été retardés et ont eu lieu avant mars 2025.</w:t>
      </w:r>
    </w:p>
    <w:p w14:paraId="36D390AD" w14:textId="77777777" w:rsidR="009F1217" w:rsidRPr="009F1217" w:rsidRDefault="009F1217" w:rsidP="009F1217">
      <w:pPr>
        <w:numPr>
          <w:ilvl w:val="0"/>
          <w:numId w:val="1"/>
        </w:numPr>
        <w:spacing w:after="240"/>
        <w:outlineLvl w:val="0"/>
        <w:rPr>
          <w:rFonts w:eastAsiaTheme="minorEastAsia"/>
        </w:rPr>
      </w:pPr>
      <w:r>
        <w:t>Lors de l’examen de la liste finale des entreprises de fabrication de mousses de PU financées figurant dans le rapport, le secrétariat prend note qu’un total de 158 entreprises ont éliminé 2 624,70 tm (288,72 tonnes PAO) de HCFC-141b pour un coût final de 18 571 277 $US et un rapport coût-efficacité de 7,08 $US/kg, qui est inférieur au niveau maximal de 7,58 $US/kg convenus pour le projet dans la décision 77/43 d) ii).</w:t>
      </w:r>
    </w:p>
    <w:p w14:paraId="6D620DFE" w14:textId="77777777" w:rsidR="009F1217" w:rsidRPr="009F1217" w:rsidRDefault="009F1217" w:rsidP="009F1217">
      <w:pPr>
        <w:numPr>
          <w:ilvl w:val="0"/>
          <w:numId w:val="1"/>
        </w:numPr>
        <w:spacing w:after="240"/>
        <w:outlineLvl w:val="0"/>
        <w:rPr>
          <w:rFonts w:eastAsiaTheme="minorEastAsia"/>
        </w:rPr>
      </w:pPr>
      <w:r>
        <w:t>Après la reconversion des entreprises de fabrication de climatiseurs au HFC-32, le PNUD a indiqué que les entreprises participantes n’avaient pas fait état de difficultés à vendre des climatiseurs au HFC-32 sur le marché local.</w:t>
      </w:r>
    </w:p>
    <w:p w14:paraId="65BFBE9C" w14:textId="5BD8774B" w:rsidR="009F1217" w:rsidRPr="009F1217" w:rsidRDefault="009F1217" w:rsidP="009F1217">
      <w:pPr>
        <w:numPr>
          <w:ilvl w:val="0"/>
          <w:numId w:val="1"/>
        </w:numPr>
        <w:spacing w:after="240"/>
        <w:outlineLvl w:val="0"/>
        <w:rPr>
          <w:rFonts w:eastAsiaTheme="minorEastAsia"/>
        </w:rPr>
      </w:pPr>
      <w:r>
        <w:t>Le décaissement financier pour la phase est de 92 pour cent, la finalisation des paiements finaux du projet est prévue d’ici septembre 2025 et l’achèvement financier du projet, d’ici décembre 2025. Le pays a confirmé que la consommation pour 2024 et les quotas combinés d’importation/production/exportation pour 2025 sont conformes à la consommation maximale admissible dans les Accords avec le Comité exécutif pour les phases II et III du PGEH. Globalement, les activités d’investissement et ne portant pas sur des investissements au titre de la phase II ont été mises en œuvre avec succès, créant ainsi une base solide pour la poursuite des activités au titre de la phase III.</w:t>
      </w:r>
    </w:p>
    <w:p w14:paraId="080051E6" w14:textId="77777777" w:rsidR="009F1217" w:rsidRPr="009F1217" w:rsidRDefault="009F1217" w:rsidP="009F1217">
      <w:pPr>
        <w:spacing w:after="240"/>
        <w:rPr>
          <w:rFonts w:eastAsiaTheme="minorEastAsia"/>
          <w:b/>
          <w:bCs/>
        </w:rPr>
      </w:pPr>
      <w:r>
        <w:rPr>
          <w:b/>
        </w:rPr>
        <w:t>Recommandation</w:t>
      </w:r>
    </w:p>
    <w:p w14:paraId="0F529543" w14:textId="77777777" w:rsidR="009F1217" w:rsidRPr="009F1217" w:rsidRDefault="009F1217" w:rsidP="009F1217">
      <w:pPr>
        <w:numPr>
          <w:ilvl w:val="0"/>
          <w:numId w:val="1"/>
        </w:numPr>
        <w:spacing w:after="240"/>
        <w:outlineLvl w:val="0"/>
        <w:rPr>
          <w:rFonts w:eastAsiaTheme="minorEastAsia"/>
        </w:rPr>
      </w:pPr>
      <w:r>
        <w:t>Le Comité exécutif pourrait souhaiter prendre note du rapport périodique sur la mise en œuvre du programme de travail de la quatrième et dernière tranche de la phase I du plan de gestion de l’élimination des HCFC (PGEH) pour l’Inde, fourni par le PNUD et présenté dans le document UNEP/OzL.Pro/ExCom/96/11.</w:t>
      </w:r>
    </w:p>
    <w:p w14:paraId="67EBEB9B" w14:textId="77777777" w:rsidR="006B7793" w:rsidRPr="009D0BEF" w:rsidRDefault="006B7793" w:rsidP="006B7793">
      <w:pPr>
        <w:spacing w:after="240"/>
        <w:ind w:left="720"/>
        <w:rPr>
          <w:b/>
          <w:bCs/>
        </w:rPr>
      </w:pPr>
      <w:r>
        <w:rPr>
          <w:b/>
          <w:u w:val="single"/>
        </w:rPr>
        <w:t>Indonésie : Plan de gestion de l’élimination des HCFC (phase II – rapport périodique sur la mise en œuvre du programme de travail associé à la quatrième et dernière tranche)</w:t>
      </w:r>
      <w:r>
        <w:rPr>
          <w:b/>
        </w:rPr>
        <w:t xml:space="preserve"> (PNUD et Banque mondiale)</w:t>
      </w:r>
    </w:p>
    <w:p w14:paraId="60BA868D" w14:textId="77777777" w:rsidR="006B7793" w:rsidRPr="0064689B" w:rsidRDefault="006B7793" w:rsidP="006B7793">
      <w:pPr>
        <w:spacing w:after="240"/>
        <w:rPr>
          <w:b/>
          <w:bCs/>
        </w:rPr>
      </w:pPr>
      <w:r>
        <w:rPr>
          <w:b/>
        </w:rPr>
        <w:t>Contexte</w:t>
      </w:r>
    </w:p>
    <w:p w14:paraId="6EC8C8FB" w14:textId="77777777" w:rsidR="006B7793" w:rsidRDefault="006B7793" w:rsidP="00957E6D">
      <w:pPr>
        <w:pStyle w:val="Heading1"/>
      </w:pPr>
      <w:r>
        <w:t>À sa 92</w:t>
      </w:r>
      <w:r>
        <w:rPr>
          <w:vertAlign w:val="superscript"/>
        </w:rPr>
        <w:t>e</w:t>
      </w:r>
      <w:r>
        <w:t> réunion, en approuvant la quatrième et dernière tranche de la phase II du plan de gestion de l’élimination de HCFC (PGEH) pour l’Indonésie, le Comité exécutif a prié le Gouvernement de l’Indonésie, le PNUD et la Banque mondiale de soumettre un rapport périodique sur la mise en œuvre du programme de travail associé à la tranche finale de la phase II du PGEH à la première réunion du Comité exécutif en 2025 et le rapport d’achèvement des projets à la seconde réunion du Comité exécutif en 2025 (décision 92/24 a)).</w:t>
      </w:r>
    </w:p>
    <w:p w14:paraId="27D32565" w14:textId="1CFC6C48" w:rsidR="006B7793" w:rsidRDefault="006B7793" w:rsidP="00957E6D">
      <w:pPr>
        <w:pStyle w:val="Heading1"/>
      </w:pPr>
      <w:r>
        <w:t>Le Gouvernement de l’Indonésie a déclaré, en vertu du rapport sur la mise en œuvre du programme du pays, une consommation de 130,95 tonnes PAO de HCFC en 2024, soit 68 pour cent de moins que la valeur de référence des HCFC aux fins de conformité. Les données de l’article 7 pour 2024 n’ont pas encore été déclarées. Le tableau 5 indique la consommation de HCFC pour la période 2020–2024.</w:t>
      </w:r>
    </w:p>
    <w:p w14:paraId="6A4E4FDB" w14:textId="57773E7E" w:rsidR="006B7793" w:rsidRPr="0034371D" w:rsidRDefault="006B7793" w:rsidP="006B7793">
      <w:pPr>
        <w:keepNext/>
        <w:rPr>
          <w:b/>
        </w:rPr>
      </w:pPr>
      <w:r>
        <w:rPr>
          <w:b/>
        </w:rPr>
        <w:t>Tableau 5. Consommation de HCFC en Indonésie (données de l’article 7 pour 2020–2024)</w:t>
      </w:r>
    </w:p>
    <w:tbl>
      <w:tblPr>
        <w:tblW w:w="5000" w:type="pct"/>
        <w:tblLayout w:type="fixed"/>
        <w:tblLook w:val="04A0" w:firstRow="1" w:lastRow="0" w:firstColumn="1" w:lastColumn="0" w:noHBand="0" w:noVBand="1"/>
      </w:tblPr>
      <w:tblGrid>
        <w:gridCol w:w="2102"/>
        <w:gridCol w:w="1208"/>
        <w:gridCol w:w="1208"/>
        <w:gridCol w:w="1208"/>
        <w:gridCol w:w="1208"/>
        <w:gridCol w:w="1208"/>
        <w:gridCol w:w="1208"/>
      </w:tblGrid>
      <w:tr w:rsidR="006B7793" w:rsidRPr="0034371D" w14:paraId="2EE9C2CC" w14:textId="77777777" w:rsidTr="008B2851">
        <w:trPr>
          <w:tblHeader/>
        </w:trPr>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5A7F4A" w14:textId="77777777" w:rsidR="006B7793" w:rsidRPr="0034371D" w:rsidRDefault="006B7793" w:rsidP="008B2851">
            <w:pPr>
              <w:keepNext/>
              <w:jc w:val="center"/>
              <w:rPr>
                <w:b/>
                <w:bCs/>
                <w:color w:val="000000"/>
                <w:sz w:val="20"/>
                <w:szCs w:val="20"/>
              </w:rPr>
            </w:pPr>
            <w:r>
              <w:rPr>
                <w:b/>
                <w:color w:val="000000"/>
                <w:sz w:val="20"/>
              </w:rPr>
              <w:t>HCFC</w:t>
            </w:r>
          </w:p>
        </w:tc>
        <w:tc>
          <w:tcPr>
            <w:tcW w:w="646" w:type="pct"/>
            <w:tcBorders>
              <w:top w:val="single" w:sz="4" w:space="0" w:color="auto"/>
              <w:left w:val="nil"/>
              <w:bottom w:val="single" w:sz="4" w:space="0" w:color="auto"/>
              <w:right w:val="single" w:sz="4" w:space="0" w:color="auto"/>
            </w:tcBorders>
            <w:shd w:val="clear" w:color="auto" w:fill="auto"/>
            <w:noWrap/>
            <w:vAlign w:val="center"/>
            <w:hideMark/>
          </w:tcPr>
          <w:p w14:paraId="7FD227F3" w14:textId="77777777" w:rsidR="006B7793" w:rsidRPr="0034371D" w:rsidRDefault="006B7793" w:rsidP="008B2851">
            <w:pPr>
              <w:keepNext/>
              <w:jc w:val="center"/>
              <w:rPr>
                <w:b/>
                <w:bCs/>
                <w:color w:val="000000"/>
                <w:sz w:val="20"/>
                <w:szCs w:val="20"/>
              </w:rPr>
            </w:pPr>
            <w:r>
              <w:rPr>
                <w:b/>
                <w:color w:val="000000"/>
                <w:sz w:val="20"/>
              </w:rPr>
              <w:t>2020</w:t>
            </w:r>
          </w:p>
        </w:tc>
        <w:tc>
          <w:tcPr>
            <w:tcW w:w="646" w:type="pct"/>
            <w:tcBorders>
              <w:top w:val="single" w:sz="4" w:space="0" w:color="auto"/>
              <w:left w:val="nil"/>
              <w:bottom w:val="single" w:sz="4" w:space="0" w:color="auto"/>
              <w:right w:val="single" w:sz="4" w:space="0" w:color="auto"/>
            </w:tcBorders>
            <w:shd w:val="clear" w:color="auto" w:fill="auto"/>
            <w:noWrap/>
            <w:vAlign w:val="center"/>
            <w:hideMark/>
          </w:tcPr>
          <w:p w14:paraId="3C538EF6" w14:textId="77777777" w:rsidR="006B7793" w:rsidRPr="0034371D" w:rsidRDefault="006B7793" w:rsidP="008B2851">
            <w:pPr>
              <w:keepNext/>
              <w:jc w:val="center"/>
              <w:rPr>
                <w:b/>
                <w:bCs/>
                <w:color w:val="000000"/>
                <w:sz w:val="20"/>
                <w:szCs w:val="20"/>
              </w:rPr>
            </w:pPr>
            <w:r>
              <w:rPr>
                <w:b/>
                <w:color w:val="000000"/>
                <w:sz w:val="20"/>
              </w:rPr>
              <w:t>2021</w:t>
            </w:r>
          </w:p>
        </w:tc>
        <w:tc>
          <w:tcPr>
            <w:tcW w:w="646" w:type="pct"/>
            <w:tcBorders>
              <w:top w:val="single" w:sz="4" w:space="0" w:color="auto"/>
              <w:left w:val="nil"/>
              <w:bottom w:val="single" w:sz="4" w:space="0" w:color="auto"/>
              <w:right w:val="single" w:sz="4" w:space="0" w:color="auto"/>
            </w:tcBorders>
          </w:tcPr>
          <w:p w14:paraId="6CA04C9B" w14:textId="77777777" w:rsidR="006B7793" w:rsidRPr="0034371D" w:rsidRDefault="006B7793" w:rsidP="008B2851">
            <w:pPr>
              <w:keepNext/>
              <w:jc w:val="center"/>
              <w:rPr>
                <w:b/>
                <w:bCs/>
                <w:color w:val="000000"/>
                <w:sz w:val="20"/>
                <w:szCs w:val="20"/>
              </w:rPr>
            </w:pPr>
            <w:r>
              <w:rPr>
                <w:b/>
                <w:color w:val="000000"/>
                <w:sz w:val="20"/>
              </w:rPr>
              <w:t>2022</w:t>
            </w:r>
          </w:p>
        </w:tc>
        <w:tc>
          <w:tcPr>
            <w:tcW w:w="646" w:type="pct"/>
            <w:tcBorders>
              <w:top w:val="single" w:sz="4" w:space="0" w:color="auto"/>
              <w:left w:val="single" w:sz="4" w:space="0" w:color="auto"/>
              <w:bottom w:val="single" w:sz="4" w:space="0" w:color="auto"/>
              <w:right w:val="single" w:sz="4" w:space="0" w:color="auto"/>
            </w:tcBorders>
          </w:tcPr>
          <w:p w14:paraId="5CA7BCF5" w14:textId="77777777" w:rsidR="006B7793" w:rsidRPr="0034371D" w:rsidRDefault="006B7793" w:rsidP="008B2851">
            <w:pPr>
              <w:keepNext/>
              <w:jc w:val="center"/>
              <w:rPr>
                <w:b/>
                <w:bCs/>
                <w:color w:val="000000"/>
                <w:sz w:val="20"/>
                <w:szCs w:val="20"/>
              </w:rPr>
            </w:pPr>
            <w:r>
              <w:rPr>
                <w:b/>
                <w:color w:val="000000"/>
                <w:sz w:val="20"/>
              </w:rPr>
              <w:t>2023</w:t>
            </w:r>
          </w:p>
        </w:tc>
        <w:tc>
          <w:tcPr>
            <w:tcW w:w="646" w:type="pct"/>
            <w:tcBorders>
              <w:top w:val="single" w:sz="4" w:space="0" w:color="auto"/>
              <w:left w:val="single" w:sz="4" w:space="0" w:color="auto"/>
              <w:bottom w:val="single" w:sz="4" w:space="0" w:color="auto"/>
              <w:right w:val="single" w:sz="4" w:space="0" w:color="auto"/>
            </w:tcBorders>
          </w:tcPr>
          <w:p w14:paraId="2A08FD83" w14:textId="77777777" w:rsidR="006B7793" w:rsidRPr="0034371D" w:rsidRDefault="006B7793" w:rsidP="008B2851">
            <w:pPr>
              <w:keepNext/>
              <w:jc w:val="center"/>
              <w:rPr>
                <w:b/>
                <w:bCs/>
                <w:color w:val="000000"/>
                <w:sz w:val="20"/>
                <w:szCs w:val="20"/>
              </w:rPr>
            </w:pPr>
            <w:r>
              <w:rPr>
                <w:b/>
                <w:color w:val="000000"/>
                <w:sz w:val="20"/>
              </w:rPr>
              <w:t>2024*</w:t>
            </w:r>
          </w:p>
        </w:tc>
        <w:tc>
          <w:tcPr>
            <w:tcW w:w="6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263C1" w14:textId="77777777" w:rsidR="006B7793" w:rsidRPr="0034371D" w:rsidRDefault="006B7793" w:rsidP="008B2851">
            <w:pPr>
              <w:keepNext/>
              <w:jc w:val="center"/>
              <w:rPr>
                <w:b/>
                <w:bCs/>
                <w:color w:val="000000"/>
                <w:sz w:val="20"/>
                <w:szCs w:val="20"/>
              </w:rPr>
            </w:pPr>
            <w:r>
              <w:rPr>
                <w:b/>
                <w:color w:val="000000"/>
                <w:sz w:val="20"/>
              </w:rPr>
              <w:t>Référence</w:t>
            </w:r>
          </w:p>
        </w:tc>
      </w:tr>
      <w:tr w:rsidR="006B7793" w:rsidRPr="00152C75" w14:paraId="135A4FED" w14:textId="77777777" w:rsidTr="008B2851">
        <w:tc>
          <w:tcPr>
            <w:tcW w:w="5000" w:type="pct"/>
            <w:gridSpan w:val="7"/>
            <w:tcBorders>
              <w:top w:val="nil"/>
              <w:left w:val="single" w:sz="4" w:space="0" w:color="auto"/>
              <w:bottom w:val="single" w:sz="4" w:space="0" w:color="auto"/>
              <w:right w:val="single" w:sz="4" w:space="0" w:color="auto"/>
            </w:tcBorders>
          </w:tcPr>
          <w:p w14:paraId="58E2E439" w14:textId="77777777" w:rsidR="006B7793" w:rsidRPr="00152C75" w:rsidRDefault="006B7793" w:rsidP="008B2851">
            <w:pPr>
              <w:keepNext/>
              <w:ind w:left="22"/>
              <w:jc w:val="left"/>
              <w:rPr>
                <w:b/>
                <w:bCs/>
                <w:color w:val="000000"/>
                <w:sz w:val="20"/>
                <w:szCs w:val="20"/>
              </w:rPr>
            </w:pPr>
            <w:r>
              <w:rPr>
                <w:b/>
                <w:color w:val="000000"/>
                <w:sz w:val="20"/>
              </w:rPr>
              <w:t>Tonnes métriques (tm)</w:t>
            </w:r>
          </w:p>
        </w:tc>
      </w:tr>
      <w:tr w:rsidR="006B7793" w:rsidRPr="00152C75" w14:paraId="07628566"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B8FC2F" w14:textId="77777777" w:rsidR="006B7793" w:rsidRPr="00152C75" w:rsidRDefault="006B7793" w:rsidP="008B2851">
            <w:pPr>
              <w:ind w:left="98"/>
              <w:jc w:val="left"/>
              <w:rPr>
                <w:color w:val="000000"/>
                <w:sz w:val="20"/>
                <w:szCs w:val="20"/>
              </w:rPr>
            </w:pPr>
            <w:r>
              <w:rPr>
                <w:color w:val="000000"/>
                <w:sz w:val="20"/>
              </w:rPr>
              <w:t>HCFC-22</w:t>
            </w:r>
          </w:p>
        </w:tc>
        <w:tc>
          <w:tcPr>
            <w:tcW w:w="646" w:type="pct"/>
            <w:tcBorders>
              <w:top w:val="single" w:sz="4" w:space="0" w:color="auto"/>
              <w:left w:val="nil"/>
              <w:bottom w:val="single" w:sz="4" w:space="0" w:color="auto"/>
              <w:right w:val="single" w:sz="4" w:space="0" w:color="auto"/>
            </w:tcBorders>
            <w:shd w:val="clear" w:color="auto" w:fill="auto"/>
            <w:noWrap/>
          </w:tcPr>
          <w:p w14:paraId="75AF5CAE" w14:textId="77777777" w:rsidR="006B7793" w:rsidRPr="00730471" w:rsidRDefault="006B7793" w:rsidP="008B2851">
            <w:pPr>
              <w:tabs>
                <w:tab w:val="left" w:pos="430"/>
              </w:tabs>
              <w:ind w:left="-137" w:right="63"/>
              <w:jc w:val="right"/>
              <w:rPr>
                <w:color w:val="000000"/>
                <w:sz w:val="20"/>
                <w:szCs w:val="20"/>
              </w:rPr>
            </w:pPr>
            <w:r>
              <w:rPr>
                <w:color w:val="000000"/>
                <w:sz w:val="20"/>
              </w:rPr>
              <w:t>2 952,60</w:t>
            </w:r>
          </w:p>
        </w:tc>
        <w:tc>
          <w:tcPr>
            <w:tcW w:w="646" w:type="pct"/>
            <w:tcBorders>
              <w:top w:val="nil"/>
              <w:left w:val="nil"/>
              <w:bottom w:val="single" w:sz="4" w:space="0" w:color="auto"/>
              <w:right w:val="single" w:sz="4" w:space="0" w:color="auto"/>
            </w:tcBorders>
            <w:shd w:val="clear" w:color="auto" w:fill="auto"/>
            <w:noWrap/>
          </w:tcPr>
          <w:p w14:paraId="63837599" w14:textId="77777777" w:rsidR="006B7793" w:rsidRPr="001B5CAF" w:rsidRDefault="006B7793" w:rsidP="008B2851">
            <w:pPr>
              <w:tabs>
                <w:tab w:val="left" w:pos="430"/>
              </w:tabs>
              <w:ind w:left="-137" w:right="63"/>
              <w:jc w:val="right"/>
              <w:rPr>
                <w:color w:val="000000"/>
                <w:sz w:val="20"/>
                <w:szCs w:val="20"/>
              </w:rPr>
            </w:pPr>
            <w:r>
              <w:rPr>
                <w:color w:val="000000"/>
                <w:sz w:val="20"/>
              </w:rPr>
              <w:t>2 922,30</w:t>
            </w:r>
          </w:p>
        </w:tc>
        <w:tc>
          <w:tcPr>
            <w:tcW w:w="646" w:type="pct"/>
            <w:tcBorders>
              <w:top w:val="single" w:sz="4" w:space="0" w:color="auto"/>
              <w:left w:val="nil"/>
              <w:bottom w:val="single" w:sz="4" w:space="0" w:color="auto"/>
              <w:right w:val="single" w:sz="4" w:space="0" w:color="auto"/>
            </w:tcBorders>
          </w:tcPr>
          <w:p w14:paraId="4543481F" w14:textId="77777777" w:rsidR="006B7793" w:rsidRPr="00152C75" w:rsidRDefault="006B7793" w:rsidP="008B2851">
            <w:pPr>
              <w:tabs>
                <w:tab w:val="left" w:pos="430"/>
              </w:tabs>
              <w:ind w:left="-137" w:right="63"/>
              <w:jc w:val="right"/>
              <w:rPr>
                <w:color w:val="000000"/>
                <w:sz w:val="20"/>
                <w:szCs w:val="20"/>
              </w:rPr>
            </w:pPr>
            <w:r>
              <w:rPr>
                <w:color w:val="000000"/>
                <w:sz w:val="20"/>
              </w:rPr>
              <w:t>2 483,68</w:t>
            </w:r>
          </w:p>
        </w:tc>
        <w:tc>
          <w:tcPr>
            <w:tcW w:w="646" w:type="pct"/>
            <w:tcBorders>
              <w:top w:val="single" w:sz="4" w:space="0" w:color="auto"/>
              <w:left w:val="single" w:sz="4" w:space="0" w:color="auto"/>
              <w:bottom w:val="single" w:sz="4" w:space="0" w:color="auto"/>
              <w:right w:val="single" w:sz="4" w:space="0" w:color="auto"/>
            </w:tcBorders>
          </w:tcPr>
          <w:p w14:paraId="4132A96C" w14:textId="77777777" w:rsidR="006B7793" w:rsidRPr="00152C75" w:rsidRDefault="006B7793" w:rsidP="008B2851">
            <w:pPr>
              <w:tabs>
                <w:tab w:val="left" w:pos="430"/>
              </w:tabs>
              <w:ind w:left="-137" w:right="63"/>
              <w:jc w:val="right"/>
              <w:rPr>
                <w:color w:val="000000"/>
                <w:sz w:val="20"/>
                <w:szCs w:val="20"/>
              </w:rPr>
            </w:pPr>
            <w:r>
              <w:rPr>
                <w:color w:val="000000"/>
                <w:sz w:val="20"/>
              </w:rPr>
              <w:t>2 707,34</w:t>
            </w:r>
          </w:p>
        </w:tc>
        <w:tc>
          <w:tcPr>
            <w:tcW w:w="646" w:type="pct"/>
            <w:tcBorders>
              <w:top w:val="nil"/>
              <w:left w:val="single" w:sz="4" w:space="0" w:color="auto"/>
              <w:bottom w:val="single" w:sz="4" w:space="0" w:color="auto"/>
              <w:right w:val="single" w:sz="4" w:space="0" w:color="auto"/>
            </w:tcBorders>
          </w:tcPr>
          <w:p w14:paraId="4F9A7E1C" w14:textId="77777777" w:rsidR="006B7793" w:rsidRPr="00152C75" w:rsidRDefault="006B7793" w:rsidP="008B2851">
            <w:pPr>
              <w:tabs>
                <w:tab w:val="left" w:pos="430"/>
              </w:tabs>
              <w:ind w:left="-137" w:right="63"/>
              <w:jc w:val="right"/>
              <w:rPr>
                <w:color w:val="000000"/>
                <w:sz w:val="20"/>
                <w:szCs w:val="20"/>
              </w:rPr>
            </w:pPr>
            <w:r>
              <w:rPr>
                <w:color w:val="000000"/>
                <w:sz w:val="20"/>
              </w:rPr>
              <w:t>2 358,05</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74E4C4E5" w14:textId="77777777" w:rsidR="006B7793" w:rsidRPr="00152C75" w:rsidRDefault="006B7793" w:rsidP="008B2851">
            <w:pPr>
              <w:tabs>
                <w:tab w:val="left" w:pos="430"/>
              </w:tabs>
              <w:ind w:left="-137" w:right="63"/>
              <w:jc w:val="right"/>
              <w:rPr>
                <w:color w:val="000000"/>
                <w:sz w:val="20"/>
                <w:szCs w:val="20"/>
              </w:rPr>
            </w:pPr>
            <w:r>
              <w:rPr>
                <w:color w:val="000000"/>
                <w:sz w:val="20"/>
              </w:rPr>
              <w:t>4 861,9</w:t>
            </w:r>
          </w:p>
        </w:tc>
      </w:tr>
      <w:tr w:rsidR="006B7793" w:rsidRPr="00152C75" w14:paraId="19BA8DDF"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A44570" w14:textId="77777777" w:rsidR="006B7793" w:rsidRPr="00152C75" w:rsidRDefault="006B7793" w:rsidP="008B2851">
            <w:pPr>
              <w:ind w:left="98"/>
              <w:jc w:val="left"/>
              <w:rPr>
                <w:color w:val="000000"/>
                <w:sz w:val="20"/>
                <w:szCs w:val="20"/>
              </w:rPr>
            </w:pPr>
            <w:r>
              <w:rPr>
                <w:color w:val="000000"/>
                <w:sz w:val="20"/>
              </w:rPr>
              <w:t>HCFC-123</w:t>
            </w:r>
          </w:p>
        </w:tc>
        <w:tc>
          <w:tcPr>
            <w:tcW w:w="646" w:type="pct"/>
            <w:tcBorders>
              <w:top w:val="single" w:sz="4" w:space="0" w:color="auto"/>
              <w:left w:val="nil"/>
              <w:bottom w:val="single" w:sz="4" w:space="0" w:color="auto"/>
              <w:right w:val="single" w:sz="4" w:space="0" w:color="auto"/>
            </w:tcBorders>
            <w:shd w:val="clear" w:color="auto" w:fill="auto"/>
            <w:noWrap/>
          </w:tcPr>
          <w:p w14:paraId="5E08BA0B" w14:textId="77777777" w:rsidR="006B7793" w:rsidRPr="00730471" w:rsidRDefault="006B7793" w:rsidP="008B2851">
            <w:pPr>
              <w:tabs>
                <w:tab w:val="left" w:pos="430"/>
              </w:tabs>
              <w:ind w:left="-137" w:right="63"/>
              <w:jc w:val="right"/>
              <w:rPr>
                <w:color w:val="000000"/>
                <w:sz w:val="20"/>
                <w:szCs w:val="20"/>
              </w:rPr>
            </w:pPr>
            <w:r>
              <w:rPr>
                <w:color w:val="000000"/>
                <w:sz w:val="20"/>
              </w:rPr>
              <w:t>90,98</w:t>
            </w:r>
          </w:p>
        </w:tc>
        <w:tc>
          <w:tcPr>
            <w:tcW w:w="646" w:type="pct"/>
            <w:tcBorders>
              <w:top w:val="nil"/>
              <w:left w:val="nil"/>
              <w:bottom w:val="single" w:sz="4" w:space="0" w:color="auto"/>
              <w:right w:val="single" w:sz="4" w:space="0" w:color="auto"/>
            </w:tcBorders>
            <w:shd w:val="clear" w:color="auto" w:fill="auto"/>
            <w:noWrap/>
          </w:tcPr>
          <w:p w14:paraId="0FD62877" w14:textId="77777777" w:rsidR="006B7793" w:rsidRPr="001B5CAF" w:rsidRDefault="006B7793" w:rsidP="008B2851">
            <w:pPr>
              <w:tabs>
                <w:tab w:val="left" w:pos="430"/>
              </w:tabs>
              <w:ind w:left="-137" w:right="63"/>
              <w:jc w:val="right"/>
              <w:rPr>
                <w:color w:val="000000"/>
                <w:sz w:val="20"/>
                <w:szCs w:val="20"/>
              </w:rPr>
            </w:pPr>
            <w:r>
              <w:rPr>
                <w:color w:val="000000"/>
                <w:sz w:val="20"/>
              </w:rPr>
              <w:t>34,52</w:t>
            </w:r>
          </w:p>
        </w:tc>
        <w:tc>
          <w:tcPr>
            <w:tcW w:w="646" w:type="pct"/>
            <w:tcBorders>
              <w:top w:val="single" w:sz="4" w:space="0" w:color="auto"/>
              <w:left w:val="nil"/>
              <w:bottom w:val="single" w:sz="4" w:space="0" w:color="auto"/>
              <w:right w:val="single" w:sz="4" w:space="0" w:color="auto"/>
            </w:tcBorders>
          </w:tcPr>
          <w:p w14:paraId="25DB295C" w14:textId="77777777" w:rsidR="006B7793" w:rsidRPr="00152C75" w:rsidRDefault="006B7793" w:rsidP="008B2851">
            <w:pPr>
              <w:tabs>
                <w:tab w:val="left" w:pos="430"/>
              </w:tabs>
              <w:ind w:left="-137" w:right="63"/>
              <w:jc w:val="right"/>
              <w:rPr>
                <w:color w:val="000000"/>
                <w:sz w:val="20"/>
                <w:szCs w:val="20"/>
              </w:rPr>
            </w:pPr>
            <w:r>
              <w:rPr>
                <w:color w:val="000000"/>
                <w:sz w:val="20"/>
              </w:rPr>
              <w:t>60,98</w:t>
            </w:r>
          </w:p>
        </w:tc>
        <w:tc>
          <w:tcPr>
            <w:tcW w:w="646" w:type="pct"/>
            <w:tcBorders>
              <w:top w:val="single" w:sz="4" w:space="0" w:color="auto"/>
              <w:left w:val="single" w:sz="4" w:space="0" w:color="auto"/>
              <w:bottom w:val="single" w:sz="4" w:space="0" w:color="auto"/>
              <w:right w:val="single" w:sz="4" w:space="0" w:color="auto"/>
            </w:tcBorders>
          </w:tcPr>
          <w:p w14:paraId="63CE76E0" w14:textId="77777777" w:rsidR="006B7793" w:rsidRPr="00D5060B" w:rsidRDefault="006B7793" w:rsidP="008B2851">
            <w:pPr>
              <w:tabs>
                <w:tab w:val="left" w:pos="430"/>
              </w:tabs>
              <w:ind w:left="-137" w:right="63"/>
              <w:jc w:val="right"/>
              <w:rPr>
                <w:color w:val="000000"/>
                <w:sz w:val="20"/>
                <w:szCs w:val="20"/>
              </w:rPr>
            </w:pPr>
            <w:r>
              <w:rPr>
                <w:color w:val="000000"/>
                <w:sz w:val="20"/>
              </w:rPr>
              <w:t>26,00</w:t>
            </w:r>
          </w:p>
        </w:tc>
        <w:tc>
          <w:tcPr>
            <w:tcW w:w="646" w:type="pct"/>
            <w:tcBorders>
              <w:top w:val="nil"/>
              <w:left w:val="single" w:sz="4" w:space="0" w:color="auto"/>
              <w:bottom w:val="single" w:sz="4" w:space="0" w:color="auto"/>
              <w:right w:val="single" w:sz="4" w:space="0" w:color="auto"/>
            </w:tcBorders>
          </w:tcPr>
          <w:p w14:paraId="02B36205" w14:textId="77777777" w:rsidR="006B7793" w:rsidRPr="00152C75" w:rsidRDefault="006B7793" w:rsidP="008B2851">
            <w:pPr>
              <w:tabs>
                <w:tab w:val="left" w:pos="430"/>
              </w:tabs>
              <w:ind w:left="-137" w:right="63"/>
              <w:jc w:val="right"/>
              <w:rPr>
                <w:color w:val="000000"/>
                <w:sz w:val="20"/>
                <w:szCs w:val="20"/>
              </w:rPr>
            </w:pPr>
            <w:r>
              <w:rPr>
                <w:color w:val="000000"/>
                <w:sz w:val="20"/>
              </w:rPr>
              <w:t>62,99</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36C409D9" w14:textId="77777777" w:rsidR="006B7793" w:rsidRPr="00152C75" w:rsidRDefault="006B7793" w:rsidP="008B2851">
            <w:pPr>
              <w:tabs>
                <w:tab w:val="left" w:pos="430"/>
              </w:tabs>
              <w:ind w:left="-137" w:right="63"/>
              <w:jc w:val="right"/>
              <w:rPr>
                <w:color w:val="000000"/>
                <w:sz w:val="20"/>
                <w:szCs w:val="20"/>
              </w:rPr>
            </w:pPr>
            <w:r>
              <w:rPr>
                <w:color w:val="000000"/>
                <w:sz w:val="20"/>
              </w:rPr>
              <w:t>192,2</w:t>
            </w:r>
          </w:p>
        </w:tc>
      </w:tr>
      <w:tr w:rsidR="006B7793" w:rsidRPr="00152C75" w14:paraId="2383FBD3"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4E16BCC" w14:textId="77777777" w:rsidR="006B7793" w:rsidRPr="0020480F" w:rsidRDefault="006B7793" w:rsidP="008B2851">
            <w:pPr>
              <w:ind w:left="98"/>
              <w:jc w:val="left"/>
              <w:rPr>
                <w:color w:val="000000"/>
                <w:sz w:val="20"/>
                <w:szCs w:val="20"/>
              </w:rPr>
            </w:pPr>
            <w:r>
              <w:rPr>
                <w:color w:val="000000"/>
                <w:sz w:val="20"/>
              </w:rPr>
              <w:t>HCFC-124</w:t>
            </w:r>
          </w:p>
        </w:tc>
        <w:tc>
          <w:tcPr>
            <w:tcW w:w="646" w:type="pct"/>
            <w:tcBorders>
              <w:top w:val="single" w:sz="4" w:space="0" w:color="auto"/>
              <w:left w:val="nil"/>
              <w:bottom w:val="single" w:sz="4" w:space="0" w:color="auto"/>
              <w:right w:val="single" w:sz="4" w:space="0" w:color="auto"/>
            </w:tcBorders>
            <w:shd w:val="clear" w:color="auto" w:fill="auto"/>
            <w:noWrap/>
          </w:tcPr>
          <w:p w14:paraId="76F12508" w14:textId="77777777" w:rsidR="006B7793" w:rsidRPr="0020480F" w:rsidRDefault="006B7793" w:rsidP="008B2851">
            <w:pPr>
              <w:tabs>
                <w:tab w:val="left" w:pos="430"/>
              </w:tabs>
              <w:ind w:left="-137" w:right="63"/>
              <w:jc w:val="right"/>
              <w:rPr>
                <w:color w:val="000000"/>
                <w:sz w:val="20"/>
                <w:szCs w:val="20"/>
              </w:rPr>
            </w:pPr>
            <w:r>
              <w:rPr>
                <w:color w:val="000000"/>
                <w:sz w:val="20"/>
              </w:rPr>
              <w:t>0,00</w:t>
            </w:r>
          </w:p>
        </w:tc>
        <w:tc>
          <w:tcPr>
            <w:tcW w:w="646" w:type="pct"/>
            <w:tcBorders>
              <w:top w:val="nil"/>
              <w:left w:val="nil"/>
              <w:bottom w:val="single" w:sz="4" w:space="0" w:color="auto"/>
              <w:right w:val="single" w:sz="4" w:space="0" w:color="auto"/>
            </w:tcBorders>
            <w:shd w:val="clear" w:color="auto" w:fill="auto"/>
            <w:noWrap/>
          </w:tcPr>
          <w:p w14:paraId="1C269F64" w14:textId="77777777" w:rsidR="006B7793" w:rsidRPr="0020480F" w:rsidRDefault="006B7793" w:rsidP="008B2851">
            <w:pPr>
              <w:tabs>
                <w:tab w:val="left" w:pos="430"/>
              </w:tabs>
              <w:ind w:left="-137" w:right="63"/>
              <w:jc w:val="right"/>
              <w:rPr>
                <w:color w:val="000000"/>
                <w:sz w:val="20"/>
                <w:szCs w:val="20"/>
              </w:rPr>
            </w:pPr>
            <w:r>
              <w:rPr>
                <w:color w:val="000000"/>
                <w:sz w:val="20"/>
              </w:rPr>
              <w:t>0,00</w:t>
            </w:r>
          </w:p>
        </w:tc>
        <w:tc>
          <w:tcPr>
            <w:tcW w:w="646" w:type="pct"/>
            <w:tcBorders>
              <w:top w:val="single" w:sz="4" w:space="0" w:color="auto"/>
              <w:left w:val="nil"/>
              <w:bottom w:val="single" w:sz="4" w:space="0" w:color="auto"/>
              <w:right w:val="single" w:sz="4" w:space="0" w:color="auto"/>
            </w:tcBorders>
          </w:tcPr>
          <w:p w14:paraId="10BD7FFF" w14:textId="77777777" w:rsidR="006B7793" w:rsidRPr="0020480F" w:rsidRDefault="006B7793" w:rsidP="008B2851">
            <w:pPr>
              <w:tabs>
                <w:tab w:val="left" w:pos="430"/>
              </w:tabs>
              <w:ind w:left="-137"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tcPr>
          <w:p w14:paraId="50E403BF" w14:textId="77777777" w:rsidR="006B7793" w:rsidRPr="0020480F" w:rsidRDefault="006B7793" w:rsidP="008B2851">
            <w:pPr>
              <w:tabs>
                <w:tab w:val="left" w:pos="430"/>
              </w:tabs>
              <w:ind w:left="-137" w:right="63"/>
              <w:jc w:val="right"/>
              <w:rPr>
                <w:color w:val="000000"/>
                <w:sz w:val="20"/>
                <w:szCs w:val="20"/>
              </w:rPr>
            </w:pPr>
            <w:r>
              <w:rPr>
                <w:color w:val="000000"/>
                <w:sz w:val="20"/>
              </w:rPr>
              <w:t>0,00</w:t>
            </w:r>
          </w:p>
        </w:tc>
        <w:tc>
          <w:tcPr>
            <w:tcW w:w="646" w:type="pct"/>
            <w:tcBorders>
              <w:top w:val="nil"/>
              <w:left w:val="single" w:sz="4" w:space="0" w:color="auto"/>
              <w:bottom w:val="single" w:sz="4" w:space="0" w:color="auto"/>
              <w:right w:val="single" w:sz="4" w:space="0" w:color="auto"/>
            </w:tcBorders>
          </w:tcPr>
          <w:p w14:paraId="5670935F" w14:textId="77777777" w:rsidR="006B7793" w:rsidRPr="0020480F" w:rsidRDefault="006B7793" w:rsidP="008B2851">
            <w:pPr>
              <w:tabs>
                <w:tab w:val="left" w:pos="430"/>
              </w:tabs>
              <w:ind w:left="-137" w:right="63"/>
              <w:jc w:val="right"/>
              <w:rPr>
                <w:color w:val="000000"/>
                <w:sz w:val="20"/>
                <w:szCs w:val="20"/>
              </w:rPr>
            </w:pPr>
            <w:r>
              <w:rPr>
                <w:color w:val="000000"/>
                <w:sz w:val="20"/>
              </w:rPr>
              <w:t>0,00</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37D28D50" w14:textId="77777777" w:rsidR="006B7793" w:rsidRPr="0020480F" w:rsidRDefault="006B7793" w:rsidP="008B2851">
            <w:pPr>
              <w:tabs>
                <w:tab w:val="left" w:pos="430"/>
              </w:tabs>
              <w:ind w:left="-137" w:right="63"/>
              <w:jc w:val="right"/>
              <w:rPr>
                <w:color w:val="000000"/>
                <w:sz w:val="20"/>
                <w:szCs w:val="20"/>
              </w:rPr>
            </w:pPr>
            <w:r>
              <w:rPr>
                <w:color w:val="000000"/>
                <w:sz w:val="20"/>
              </w:rPr>
              <w:t>0,1</w:t>
            </w:r>
          </w:p>
        </w:tc>
      </w:tr>
      <w:tr w:rsidR="006B7793" w:rsidRPr="00152C75" w14:paraId="30921AE3"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9608540" w14:textId="77777777" w:rsidR="006B7793" w:rsidRPr="00152C75" w:rsidRDefault="006B7793" w:rsidP="008B2851">
            <w:pPr>
              <w:ind w:left="98"/>
              <w:jc w:val="left"/>
              <w:rPr>
                <w:color w:val="000000"/>
                <w:sz w:val="20"/>
                <w:szCs w:val="20"/>
              </w:rPr>
            </w:pPr>
            <w:r>
              <w:rPr>
                <w:color w:val="000000"/>
                <w:sz w:val="20"/>
              </w:rPr>
              <w:lastRenderedPageBreak/>
              <w:t>HCFC-141b</w:t>
            </w:r>
          </w:p>
        </w:tc>
        <w:tc>
          <w:tcPr>
            <w:tcW w:w="646" w:type="pct"/>
            <w:tcBorders>
              <w:top w:val="single" w:sz="4" w:space="0" w:color="auto"/>
              <w:left w:val="nil"/>
              <w:bottom w:val="single" w:sz="4" w:space="0" w:color="auto"/>
              <w:right w:val="single" w:sz="4" w:space="0" w:color="auto"/>
            </w:tcBorders>
            <w:shd w:val="clear" w:color="auto" w:fill="auto"/>
            <w:noWrap/>
          </w:tcPr>
          <w:p w14:paraId="26E4B98D" w14:textId="77777777" w:rsidR="006B7793" w:rsidRPr="00730471" w:rsidRDefault="006B7793" w:rsidP="008B2851">
            <w:pPr>
              <w:tabs>
                <w:tab w:val="left" w:pos="430"/>
              </w:tabs>
              <w:ind w:left="-137" w:right="63"/>
              <w:jc w:val="right"/>
              <w:rPr>
                <w:color w:val="000000"/>
                <w:sz w:val="20"/>
                <w:szCs w:val="20"/>
              </w:rPr>
            </w:pPr>
            <w:r>
              <w:rPr>
                <w:color w:val="000000"/>
                <w:sz w:val="20"/>
              </w:rPr>
              <w:t>220,00</w:t>
            </w:r>
          </w:p>
        </w:tc>
        <w:tc>
          <w:tcPr>
            <w:tcW w:w="646" w:type="pct"/>
            <w:tcBorders>
              <w:top w:val="nil"/>
              <w:left w:val="nil"/>
              <w:bottom w:val="single" w:sz="4" w:space="0" w:color="auto"/>
              <w:right w:val="single" w:sz="4" w:space="0" w:color="auto"/>
            </w:tcBorders>
            <w:shd w:val="clear" w:color="auto" w:fill="auto"/>
            <w:noWrap/>
          </w:tcPr>
          <w:p w14:paraId="2FAF0CC6" w14:textId="77777777" w:rsidR="006B7793" w:rsidRPr="001B5CAF" w:rsidRDefault="006B7793" w:rsidP="008B2851">
            <w:pPr>
              <w:tabs>
                <w:tab w:val="left" w:pos="430"/>
              </w:tabs>
              <w:ind w:left="-137" w:right="63"/>
              <w:jc w:val="right"/>
              <w:rPr>
                <w:color w:val="000000"/>
                <w:sz w:val="20"/>
                <w:szCs w:val="20"/>
              </w:rPr>
            </w:pPr>
            <w:r>
              <w:rPr>
                <w:color w:val="000000"/>
                <w:sz w:val="20"/>
              </w:rPr>
              <w:t>100,00</w:t>
            </w:r>
          </w:p>
        </w:tc>
        <w:tc>
          <w:tcPr>
            <w:tcW w:w="646" w:type="pct"/>
            <w:tcBorders>
              <w:top w:val="single" w:sz="4" w:space="0" w:color="auto"/>
              <w:left w:val="nil"/>
              <w:bottom w:val="single" w:sz="4" w:space="0" w:color="auto"/>
              <w:right w:val="single" w:sz="4" w:space="0" w:color="auto"/>
            </w:tcBorders>
          </w:tcPr>
          <w:p w14:paraId="6989C465" w14:textId="77777777" w:rsidR="006B7793" w:rsidRPr="00152C75" w:rsidRDefault="006B7793" w:rsidP="008B2851">
            <w:pPr>
              <w:tabs>
                <w:tab w:val="left" w:pos="430"/>
              </w:tabs>
              <w:ind w:left="-137"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tcPr>
          <w:p w14:paraId="654046EF" w14:textId="77777777" w:rsidR="006B7793" w:rsidRPr="00D5060B" w:rsidRDefault="006B7793" w:rsidP="008B2851">
            <w:pPr>
              <w:tabs>
                <w:tab w:val="left" w:pos="430"/>
              </w:tabs>
              <w:ind w:left="-137" w:right="63"/>
              <w:jc w:val="right"/>
              <w:rPr>
                <w:color w:val="000000"/>
                <w:sz w:val="20"/>
                <w:szCs w:val="20"/>
              </w:rPr>
            </w:pPr>
            <w:r>
              <w:rPr>
                <w:color w:val="000000"/>
                <w:sz w:val="20"/>
              </w:rPr>
              <w:t>0,00</w:t>
            </w:r>
          </w:p>
        </w:tc>
        <w:tc>
          <w:tcPr>
            <w:tcW w:w="646" w:type="pct"/>
            <w:tcBorders>
              <w:top w:val="nil"/>
              <w:left w:val="single" w:sz="4" w:space="0" w:color="auto"/>
              <w:bottom w:val="single" w:sz="4" w:space="0" w:color="auto"/>
              <w:right w:val="single" w:sz="4" w:space="0" w:color="auto"/>
            </w:tcBorders>
          </w:tcPr>
          <w:p w14:paraId="6DEE1C68" w14:textId="77777777" w:rsidR="006B7793" w:rsidRPr="00152C75" w:rsidRDefault="006B7793" w:rsidP="008B2851">
            <w:pPr>
              <w:tabs>
                <w:tab w:val="left" w:pos="430"/>
              </w:tabs>
              <w:ind w:left="-137" w:right="63"/>
              <w:jc w:val="right"/>
              <w:rPr>
                <w:color w:val="000000"/>
                <w:sz w:val="20"/>
                <w:szCs w:val="20"/>
              </w:rPr>
            </w:pPr>
            <w:r>
              <w:rPr>
                <w:color w:val="000000"/>
                <w:sz w:val="20"/>
              </w:rPr>
              <w:t>0,00</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62C4BCF6" w14:textId="77777777" w:rsidR="006B7793" w:rsidRPr="00152C75" w:rsidRDefault="006B7793" w:rsidP="008B2851">
            <w:pPr>
              <w:tabs>
                <w:tab w:val="left" w:pos="430"/>
              </w:tabs>
              <w:ind w:left="-137" w:right="63"/>
              <w:jc w:val="right"/>
              <w:rPr>
                <w:color w:val="000000"/>
                <w:sz w:val="20"/>
                <w:szCs w:val="20"/>
              </w:rPr>
            </w:pPr>
            <w:r>
              <w:rPr>
                <w:color w:val="000000"/>
                <w:sz w:val="20"/>
              </w:rPr>
              <w:t>1 205,9</w:t>
            </w:r>
          </w:p>
        </w:tc>
      </w:tr>
      <w:tr w:rsidR="006B7793" w:rsidRPr="00152C75" w14:paraId="10182B85"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1E310E" w14:textId="77777777" w:rsidR="006B7793" w:rsidRPr="00152C75" w:rsidRDefault="006B7793" w:rsidP="008B2851">
            <w:pPr>
              <w:ind w:left="98"/>
              <w:jc w:val="left"/>
              <w:rPr>
                <w:color w:val="000000"/>
                <w:sz w:val="20"/>
                <w:szCs w:val="20"/>
              </w:rPr>
            </w:pPr>
            <w:r>
              <w:rPr>
                <w:color w:val="000000"/>
                <w:sz w:val="20"/>
              </w:rPr>
              <w:t>HCFC-142b</w:t>
            </w:r>
          </w:p>
        </w:tc>
        <w:tc>
          <w:tcPr>
            <w:tcW w:w="646" w:type="pct"/>
            <w:tcBorders>
              <w:top w:val="single" w:sz="4" w:space="0" w:color="auto"/>
              <w:left w:val="nil"/>
              <w:bottom w:val="single" w:sz="4" w:space="0" w:color="auto"/>
              <w:right w:val="single" w:sz="4" w:space="0" w:color="auto"/>
            </w:tcBorders>
            <w:shd w:val="clear" w:color="auto" w:fill="auto"/>
            <w:noWrap/>
          </w:tcPr>
          <w:p w14:paraId="514CE7F0" w14:textId="77777777" w:rsidR="006B7793" w:rsidRPr="00730471" w:rsidRDefault="006B7793" w:rsidP="008B2851">
            <w:pPr>
              <w:tabs>
                <w:tab w:val="left" w:pos="430"/>
              </w:tabs>
              <w:ind w:left="-137" w:right="63"/>
              <w:jc w:val="right"/>
              <w:rPr>
                <w:color w:val="000000"/>
                <w:sz w:val="20"/>
                <w:szCs w:val="20"/>
              </w:rPr>
            </w:pPr>
            <w:r>
              <w:rPr>
                <w:color w:val="000000"/>
                <w:sz w:val="20"/>
              </w:rPr>
              <w:t>0,00</w:t>
            </w:r>
          </w:p>
        </w:tc>
        <w:tc>
          <w:tcPr>
            <w:tcW w:w="646" w:type="pct"/>
            <w:tcBorders>
              <w:top w:val="nil"/>
              <w:left w:val="nil"/>
              <w:bottom w:val="single" w:sz="4" w:space="0" w:color="auto"/>
              <w:right w:val="single" w:sz="4" w:space="0" w:color="auto"/>
            </w:tcBorders>
            <w:shd w:val="clear" w:color="auto" w:fill="auto"/>
            <w:noWrap/>
          </w:tcPr>
          <w:p w14:paraId="0E6AB3CA" w14:textId="77777777" w:rsidR="006B7793" w:rsidRPr="001B5CAF" w:rsidRDefault="006B7793" w:rsidP="008B2851">
            <w:pPr>
              <w:tabs>
                <w:tab w:val="left" w:pos="430"/>
              </w:tabs>
              <w:ind w:left="-137" w:right="63"/>
              <w:jc w:val="right"/>
              <w:rPr>
                <w:color w:val="000000"/>
                <w:sz w:val="20"/>
                <w:szCs w:val="20"/>
              </w:rPr>
            </w:pPr>
            <w:r>
              <w:rPr>
                <w:color w:val="000000"/>
                <w:sz w:val="20"/>
              </w:rPr>
              <w:t>6,41</w:t>
            </w:r>
          </w:p>
        </w:tc>
        <w:tc>
          <w:tcPr>
            <w:tcW w:w="646" w:type="pct"/>
            <w:tcBorders>
              <w:top w:val="single" w:sz="4" w:space="0" w:color="auto"/>
              <w:left w:val="nil"/>
              <w:bottom w:val="single" w:sz="4" w:space="0" w:color="auto"/>
              <w:right w:val="single" w:sz="4" w:space="0" w:color="auto"/>
            </w:tcBorders>
          </w:tcPr>
          <w:p w14:paraId="2E7FF871" w14:textId="77777777" w:rsidR="006B7793" w:rsidRPr="00152C75" w:rsidRDefault="006B7793" w:rsidP="008B2851">
            <w:pPr>
              <w:tabs>
                <w:tab w:val="left" w:pos="430"/>
              </w:tabs>
              <w:ind w:left="-137"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tcPr>
          <w:p w14:paraId="7E6AD965" w14:textId="77777777" w:rsidR="006B7793" w:rsidRPr="00152C75" w:rsidRDefault="006B7793" w:rsidP="008B2851">
            <w:pPr>
              <w:tabs>
                <w:tab w:val="left" w:pos="430"/>
              </w:tabs>
              <w:ind w:left="-137" w:right="63"/>
              <w:jc w:val="right"/>
              <w:rPr>
                <w:color w:val="000000"/>
                <w:sz w:val="20"/>
                <w:szCs w:val="20"/>
              </w:rPr>
            </w:pPr>
            <w:r>
              <w:rPr>
                <w:color w:val="000000"/>
                <w:sz w:val="20"/>
              </w:rPr>
              <w:t>0,00</w:t>
            </w:r>
          </w:p>
        </w:tc>
        <w:tc>
          <w:tcPr>
            <w:tcW w:w="646" w:type="pct"/>
            <w:tcBorders>
              <w:top w:val="nil"/>
              <w:left w:val="single" w:sz="4" w:space="0" w:color="auto"/>
              <w:bottom w:val="single" w:sz="4" w:space="0" w:color="auto"/>
              <w:right w:val="single" w:sz="4" w:space="0" w:color="auto"/>
            </w:tcBorders>
          </w:tcPr>
          <w:p w14:paraId="6422E96E" w14:textId="77777777" w:rsidR="006B7793" w:rsidRPr="00152C75" w:rsidRDefault="006B7793" w:rsidP="008B2851">
            <w:pPr>
              <w:tabs>
                <w:tab w:val="left" w:pos="430"/>
              </w:tabs>
              <w:ind w:left="-137" w:right="63"/>
              <w:jc w:val="right"/>
              <w:rPr>
                <w:color w:val="000000"/>
                <w:sz w:val="20"/>
                <w:szCs w:val="20"/>
              </w:rPr>
            </w:pPr>
            <w:r>
              <w:rPr>
                <w:color w:val="000000"/>
                <w:sz w:val="20"/>
              </w:rPr>
              <w:t>0,00</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2A6216FA" w14:textId="77777777" w:rsidR="006B7793" w:rsidRPr="00152C75" w:rsidRDefault="006B7793" w:rsidP="008B2851">
            <w:pPr>
              <w:tabs>
                <w:tab w:val="left" w:pos="430"/>
              </w:tabs>
              <w:ind w:left="-137" w:right="63"/>
              <w:jc w:val="right"/>
              <w:rPr>
                <w:color w:val="000000"/>
                <w:sz w:val="20"/>
                <w:szCs w:val="20"/>
              </w:rPr>
            </w:pPr>
            <w:r>
              <w:rPr>
                <w:color w:val="000000"/>
                <w:sz w:val="20"/>
              </w:rPr>
              <w:t>0,0</w:t>
            </w:r>
          </w:p>
        </w:tc>
      </w:tr>
      <w:tr w:rsidR="006B7793" w:rsidRPr="00152C75" w14:paraId="3D42D587"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4A57B9" w14:textId="77777777" w:rsidR="006B7793" w:rsidRPr="00152C75" w:rsidRDefault="006B7793" w:rsidP="008B2851">
            <w:pPr>
              <w:ind w:left="98"/>
              <w:jc w:val="left"/>
              <w:rPr>
                <w:color w:val="000000"/>
                <w:sz w:val="20"/>
                <w:szCs w:val="20"/>
              </w:rPr>
            </w:pPr>
            <w:r>
              <w:rPr>
                <w:color w:val="000000"/>
                <w:sz w:val="20"/>
              </w:rPr>
              <w:t>HCFC-225</w:t>
            </w:r>
          </w:p>
        </w:tc>
        <w:tc>
          <w:tcPr>
            <w:tcW w:w="646" w:type="pct"/>
            <w:tcBorders>
              <w:top w:val="single" w:sz="4" w:space="0" w:color="auto"/>
              <w:left w:val="nil"/>
              <w:bottom w:val="single" w:sz="4" w:space="0" w:color="auto"/>
              <w:right w:val="single" w:sz="4" w:space="0" w:color="auto"/>
            </w:tcBorders>
            <w:shd w:val="clear" w:color="auto" w:fill="auto"/>
            <w:noWrap/>
          </w:tcPr>
          <w:p w14:paraId="611415D8" w14:textId="77777777" w:rsidR="006B7793" w:rsidRPr="00730471" w:rsidRDefault="006B7793" w:rsidP="008B2851">
            <w:pPr>
              <w:tabs>
                <w:tab w:val="left" w:pos="430"/>
              </w:tabs>
              <w:ind w:left="-137" w:right="63"/>
              <w:jc w:val="right"/>
              <w:rPr>
                <w:color w:val="000000"/>
                <w:sz w:val="20"/>
                <w:szCs w:val="20"/>
              </w:rPr>
            </w:pPr>
            <w:r>
              <w:rPr>
                <w:color w:val="000000"/>
                <w:sz w:val="20"/>
              </w:rPr>
              <w:t>0,00</w:t>
            </w:r>
          </w:p>
        </w:tc>
        <w:tc>
          <w:tcPr>
            <w:tcW w:w="646" w:type="pct"/>
            <w:tcBorders>
              <w:top w:val="nil"/>
              <w:left w:val="nil"/>
              <w:bottom w:val="single" w:sz="4" w:space="0" w:color="auto"/>
              <w:right w:val="single" w:sz="4" w:space="0" w:color="auto"/>
            </w:tcBorders>
            <w:shd w:val="clear" w:color="auto" w:fill="auto"/>
            <w:noWrap/>
          </w:tcPr>
          <w:p w14:paraId="5A96DDCD" w14:textId="77777777" w:rsidR="006B7793" w:rsidRPr="001B5CAF" w:rsidRDefault="006B7793" w:rsidP="008B2851">
            <w:pPr>
              <w:tabs>
                <w:tab w:val="left" w:pos="430"/>
              </w:tabs>
              <w:ind w:left="-137" w:right="63"/>
              <w:jc w:val="right"/>
              <w:rPr>
                <w:color w:val="000000"/>
                <w:sz w:val="20"/>
                <w:szCs w:val="20"/>
              </w:rPr>
            </w:pPr>
            <w:r>
              <w:rPr>
                <w:color w:val="000000"/>
                <w:sz w:val="20"/>
              </w:rPr>
              <w:t>0,00</w:t>
            </w:r>
          </w:p>
        </w:tc>
        <w:tc>
          <w:tcPr>
            <w:tcW w:w="646" w:type="pct"/>
            <w:tcBorders>
              <w:top w:val="single" w:sz="4" w:space="0" w:color="auto"/>
              <w:left w:val="nil"/>
              <w:bottom w:val="single" w:sz="4" w:space="0" w:color="auto"/>
              <w:right w:val="single" w:sz="4" w:space="0" w:color="auto"/>
            </w:tcBorders>
          </w:tcPr>
          <w:p w14:paraId="68C7F59C" w14:textId="77777777" w:rsidR="006B7793" w:rsidRPr="00152C75" w:rsidRDefault="006B7793" w:rsidP="008B2851">
            <w:pPr>
              <w:tabs>
                <w:tab w:val="left" w:pos="430"/>
              </w:tabs>
              <w:ind w:left="-137"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tcPr>
          <w:p w14:paraId="5A265057" w14:textId="77777777" w:rsidR="006B7793" w:rsidRPr="00152C75" w:rsidRDefault="006B7793" w:rsidP="008B2851">
            <w:pPr>
              <w:tabs>
                <w:tab w:val="left" w:pos="430"/>
              </w:tabs>
              <w:ind w:left="-137" w:right="63"/>
              <w:jc w:val="right"/>
              <w:rPr>
                <w:color w:val="000000"/>
                <w:sz w:val="20"/>
                <w:szCs w:val="20"/>
              </w:rPr>
            </w:pPr>
            <w:r>
              <w:rPr>
                <w:color w:val="000000"/>
                <w:sz w:val="20"/>
              </w:rPr>
              <w:t>0,00</w:t>
            </w:r>
          </w:p>
        </w:tc>
        <w:tc>
          <w:tcPr>
            <w:tcW w:w="646" w:type="pct"/>
            <w:tcBorders>
              <w:top w:val="nil"/>
              <w:left w:val="single" w:sz="4" w:space="0" w:color="auto"/>
              <w:bottom w:val="single" w:sz="4" w:space="0" w:color="auto"/>
              <w:right w:val="single" w:sz="4" w:space="0" w:color="auto"/>
            </w:tcBorders>
          </w:tcPr>
          <w:p w14:paraId="0AE4FE50" w14:textId="77777777" w:rsidR="006B7793" w:rsidRDefault="006B7793" w:rsidP="008B2851">
            <w:pPr>
              <w:tabs>
                <w:tab w:val="left" w:pos="430"/>
              </w:tabs>
              <w:ind w:left="-137" w:right="63"/>
              <w:jc w:val="right"/>
              <w:rPr>
                <w:color w:val="000000"/>
                <w:sz w:val="20"/>
                <w:szCs w:val="20"/>
              </w:rPr>
            </w:pPr>
            <w:r>
              <w:rPr>
                <w:color w:val="000000"/>
                <w:sz w:val="20"/>
              </w:rPr>
              <w:t>0,00</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0DFCFB56" w14:textId="77777777" w:rsidR="006B7793" w:rsidRPr="00152C75" w:rsidRDefault="006B7793" w:rsidP="008B2851">
            <w:pPr>
              <w:tabs>
                <w:tab w:val="left" w:pos="430"/>
              </w:tabs>
              <w:ind w:left="-137" w:right="63"/>
              <w:jc w:val="right"/>
              <w:rPr>
                <w:color w:val="000000"/>
                <w:sz w:val="20"/>
                <w:szCs w:val="20"/>
              </w:rPr>
            </w:pPr>
            <w:r>
              <w:rPr>
                <w:color w:val="000000"/>
                <w:sz w:val="20"/>
              </w:rPr>
              <w:t>0,3</w:t>
            </w:r>
          </w:p>
        </w:tc>
      </w:tr>
      <w:tr w:rsidR="006B7793" w:rsidRPr="00152C75" w14:paraId="4D7B0DC1"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8067A3A" w14:textId="77777777" w:rsidR="006B7793" w:rsidRPr="00152C75" w:rsidRDefault="006B7793" w:rsidP="008B2851">
            <w:pPr>
              <w:ind w:left="98"/>
              <w:jc w:val="left"/>
              <w:rPr>
                <w:rFonts w:eastAsiaTheme="minorHAnsi"/>
                <w:b/>
                <w:color w:val="000000"/>
                <w:sz w:val="20"/>
                <w:szCs w:val="20"/>
              </w:rPr>
            </w:pPr>
            <w:r>
              <w:rPr>
                <w:b/>
                <w:color w:val="000000"/>
                <w:sz w:val="20"/>
              </w:rPr>
              <w:t>Total (tm)</w:t>
            </w:r>
          </w:p>
        </w:tc>
        <w:tc>
          <w:tcPr>
            <w:tcW w:w="646" w:type="pct"/>
            <w:tcBorders>
              <w:top w:val="nil"/>
              <w:left w:val="nil"/>
              <w:bottom w:val="single" w:sz="4" w:space="0" w:color="auto"/>
              <w:right w:val="single" w:sz="4" w:space="0" w:color="auto"/>
            </w:tcBorders>
            <w:shd w:val="clear" w:color="auto" w:fill="auto"/>
            <w:noWrap/>
          </w:tcPr>
          <w:p w14:paraId="3B8BE946" w14:textId="77777777" w:rsidR="006B7793" w:rsidRPr="00152C75" w:rsidRDefault="006B7793" w:rsidP="008B2851">
            <w:pPr>
              <w:tabs>
                <w:tab w:val="left" w:pos="430"/>
              </w:tabs>
              <w:ind w:left="-137" w:right="63"/>
              <w:jc w:val="right"/>
              <w:rPr>
                <w:b/>
                <w:color w:val="000000"/>
                <w:sz w:val="20"/>
                <w:szCs w:val="20"/>
              </w:rPr>
            </w:pPr>
            <w:r>
              <w:rPr>
                <w:b/>
                <w:color w:val="000000"/>
                <w:sz w:val="20"/>
              </w:rPr>
              <w:t>3 263,58</w:t>
            </w:r>
          </w:p>
        </w:tc>
        <w:tc>
          <w:tcPr>
            <w:tcW w:w="646" w:type="pct"/>
            <w:tcBorders>
              <w:top w:val="nil"/>
              <w:left w:val="nil"/>
              <w:bottom w:val="single" w:sz="4" w:space="0" w:color="auto"/>
              <w:right w:val="single" w:sz="4" w:space="0" w:color="auto"/>
            </w:tcBorders>
            <w:shd w:val="clear" w:color="auto" w:fill="auto"/>
            <w:noWrap/>
          </w:tcPr>
          <w:p w14:paraId="0180F2FB" w14:textId="77777777" w:rsidR="006B7793" w:rsidRPr="001B5CAF" w:rsidRDefault="006B7793" w:rsidP="008B2851">
            <w:pPr>
              <w:tabs>
                <w:tab w:val="left" w:pos="430"/>
              </w:tabs>
              <w:ind w:left="-137" w:right="63"/>
              <w:jc w:val="right"/>
              <w:rPr>
                <w:b/>
                <w:color w:val="000000"/>
                <w:sz w:val="20"/>
                <w:szCs w:val="20"/>
              </w:rPr>
            </w:pPr>
            <w:r>
              <w:rPr>
                <w:b/>
                <w:color w:val="000000"/>
                <w:sz w:val="20"/>
              </w:rPr>
              <w:t>3 063,23</w:t>
            </w:r>
          </w:p>
        </w:tc>
        <w:tc>
          <w:tcPr>
            <w:tcW w:w="646" w:type="pct"/>
            <w:tcBorders>
              <w:top w:val="single" w:sz="4" w:space="0" w:color="auto"/>
              <w:left w:val="nil"/>
              <w:bottom w:val="single" w:sz="4" w:space="0" w:color="auto"/>
              <w:right w:val="single" w:sz="4" w:space="0" w:color="auto"/>
            </w:tcBorders>
          </w:tcPr>
          <w:p w14:paraId="4AF644C6" w14:textId="77777777" w:rsidR="006B7793" w:rsidRPr="00152C75" w:rsidRDefault="006B7793" w:rsidP="008B2851">
            <w:pPr>
              <w:tabs>
                <w:tab w:val="left" w:pos="430"/>
              </w:tabs>
              <w:ind w:left="-137" w:right="63"/>
              <w:jc w:val="right"/>
              <w:rPr>
                <w:b/>
                <w:color w:val="000000"/>
                <w:sz w:val="20"/>
                <w:szCs w:val="20"/>
              </w:rPr>
            </w:pPr>
            <w:r>
              <w:rPr>
                <w:b/>
                <w:color w:val="000000"/>
                <w:sz w:val="20"/>
              </w:rPr>
              <w:t>2 544,66</w:t>
            </w:r>
          </w:p>
        </w:tc>
        <w:tc>
          <w:tcPr>
            <w:tcW w:w="646" w:type="pct"/>
            <w:tcBorders>
              <w:top w:val="single" w:sz="4" w:space="0" w:color="auto"/>
              <w:left w:val="single" w:sz="4" w:space="0" w:color="auto"/>
              <w:bottom w:val="single" w:sz="4" w:space="0" w:color="auto"/>
              <w:right w:val="single" w:sz="4" w:space="0" w:color="auto"/>
            </w:tcBorders>
          </w:tcPr>
          <w:p w14:paraId="64B9459B" w14:textId="77777777" w:rsidR="006B7793" w:rsidRPr="00A61F3E" w:rsidRDefault="006B7793" w:rsidP="008B2851">
            <w:pPr>
              <w:tabs>
                <w:tab w:val="left" w:pos="430"/>
              </w:tabs>
              <w:ind w:left="-137" w:right="63"/>
              <w:jc w:val="right"/>
              <w:rPr>
                <w:b/>
                <w:bCs/>
                <w:color w:val="000000"/>
                <w:sz w:val="20"/>
                <w:szCs w:val="20"/>
              </w:rPr>
            </w:pPr>
            <w:r>
              <w:rPr>
                <w:b/>
                <w:color w:val="000000"/>
                <w:sz w:val="20"/>
              </w:rPr>
              <w:t>2 733,34</w:t>
            </w:r>
          </w:p>
        </w:tc>
        <w:tc>
          <w:tcPr>
            <w:tcW w:w="646" w:type="pct"/>
            <w:tcBorders>
              <w:top w:val="nil"/>
              <w:left w:val="single" w:sz="4" w:space="0" w:color="auto"/>
              <w:bottom w:val="single" w:sz="4" w:space="0" w:color="auto"/>
              <w:right w:val="single" w:sz="4" w:space="0" w:color="auto"/>
            </w:tcBorders>
          </w:tcPr>
          <w:p w14:paraId="32B04345" w14:textId="77777777" w:rsidR="006B7793" w:rsidRPr="00A63094" w:rsidRDefault="006B7793" w:rsidP="008B2851">
            <w:pPr>
              <w:tabs>
                <w:tab w:val="left" w:pos="430"/>
              </w:tabs>
              <w:ind w:left="-137" w:right="63"/>
              <w:jc w:val="right"/>
              <w:rPr>
                <w:b/>
                <w:bCs/>
                <w:color w:val="000000"/>
                <w:sz w:val="20"/>
                <w:szCs w:val="20"/>
              </w:rPr>
            </w:pPr>
            <w:r>
              <w:rPr>
                <w:b/>
                <w:color w:val="000000"/>
                <w:sz w:val="20"/>
              </w:rPr>
              <w:t>2 421,04</w:t>
            </w:r>
          </w:p>
        </w:tc>
        <w:tc>
          <w:tcPr>
            <w:tcW w:w="646" w:type="pct"/>
            <w:tcBorders>
              <w:top w:val="nil"/>
              <w:left w:val="single" w:sz="4" w:space="0" w:color="auto"/>
              <w:bottom w:val="single" w:sz="4" w:space="0" w:color="auto"/>
              <w:right w:val="single" w:sz="4" w:space="0" w:color="auto"/>
            </w:tcBorders>
            <w:shd w:val="clear" w:color="auto" w:fill="auto"/>
            <w:noWrap/>
          </w:tcPr>
          <w:p w14:paraId="2F11807D" w14:textId="77777777" w:rsidR="006B7793" w:rsidRPr="00A63094" w:rsidRDefault="006B7793" w:rsidP="008B2851">
            <w:pPr>
              <w:tabs>
                <w:tab w:val="left" w:pos="430"/>
              </w:tabs>
              <w:ind w:left="-137" w:right="63"/>
              <w:jc w:val="right"/>
              <w:rPr>
                <w:b/>
                <w:bCs/>
                <w:color w:val="000000"/>
                <w:sz w:val="20"/>
                <w:szCs w:val="20"/>
              </w:rPr>
            </w:pPr>
            <w:r>
              <w:rPr>
                <w:b/>
                <w:color w:val="000000"/>
                <w:sz w:val="20"/>
              </w:rPr>
              <w:t>6 260,4</w:t>
            </w:r>
          </w:p>
        </w:tc>
      </w:tr>
      <w:tr w:rsidR="006B7793" w:rsidRPr="00152C75" w14:paraId="11671F10" w14:textId="77777777" w:rsidTr="008B2851">
        <w:tc>
          <w:tcPr>
            <w:tcW w:w="5000" w:type="pct"/>
            <w:gridSpan w:val="7"/>
            <w:tcBorders>
              <w:top w:val="single" w:sz="4" w:space="0" w:color="auto"/>
              <w:left w:val="single" w:sz="4" w:space="0" w:color="auto"/>
              <w:bottom w:val="single" w:sz="4" w:space="0" w:color="auto"/>
              <w:right w:val="single" w:sz="4" w:space="0" w:color="auto"/>
            </w:tcBorders>
          </w:tcPr>
          <w:p w14:paraId="04CB96DC" w14:textId="77777777" w:rsidR="006B7793" w:rsidRPr="001B5CAF" w:rsidRDefault="006B7793" w:rsidP="008B2851">
            <w:pPr>
              <w:keepNext/>
              <w:ind w:left="22"/>
              <w:jc w:val="left"/>
              <w:rPr>
                <w:color w:val="000000"/>
                <w:sz w:val="20"/>
                <w:szCs w:val="20"/>
              </w:rPr>
            </w:pPr>
            <w:r>
              <w:rPr>
                <w:b/>
                <w:color w:val="000000"/>
                <w:sz w:val="20"/>
              </w:rPr>
              <w:t>Tonnes PAO</w:t>
            </w:r>
          </w:p>
        </w:tc>
      </w:tr>
      <w:tr w:rsidR="006B7793" w:rsidRPr="00152C75" w14:paraId="073BFD7A"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1F5193" w14:textId="77777777" w:rsidR="006B7793" w:rsidRPr="00152C75" w:rsidRDefault="006B7793" w:rsidP="008B2851">
            <w:pPr>
              <w:ind w:left="98"/>
              <w:jc w:val="left"/>
              <w:rPr>
                <w:color w:val="000000"/>
                <w:sz w:val="20"/>
                <w:szCs w:val="20"/>
              </w:rPr>
            </w:pPr>
            <w:r>
              <w:rPr>
                <w:color w:val="000000"/>
                <w:sz w:val="20"/>
              </w:rPr>
              <w:t>HCFC-22</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1889470D" w14:textId="77777777" w:rsidR="006B7793" w:rsidRPr="00152C75" w:rsidRDefault="006B7793" w:rsidP="008B2851">
            <w:pPr>
              <w:tabs>
                <w:tab w:val="left" w:pos="430"/>
              </w:tabs>
              <w:ind w:left="-137" w:right="63"/>
              <w:jc w:val="right"/>
              <w:rPr>
                <w:color w:val="000000"/>
                <w:sz w:val="20"/>
                <w:szCs w:val="20"/>
              </w:rPr>
            </w:pPr>
            <w:r>
              <w:rPr>
                <w:color w:val="000000"/>
                <w:sz w:val="20"/>
              </w:rPr>
              <w:t>162,39</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65777E9C" w14:textId="77777777" w:rsidR="006B7793" w:rsidRPr="001B5CAF" w:rsidRDefault="006B7793" w:rsidP="008B2851">
            <w:pPr>
              <w:ind w:left="-279" w:right="63"/>
              <w:jc w:val="right"/>
              <w:rPr>
                <w:color w:val="000000"/>
                <w:sz w:val="20"/>
                <w:szCs w:val="20"/>
              </w:rPr>
            </w:pPr>
            <w:r>
              <w:rPr>
                <w:sz w:val="20"/>
              </w:rPr>
              <w:t>160,73</w:t>
            </w:r>
          </w:p>
        </w:tc>
        <w:tc>
          <w:tcPr>
            <w:tcW w:w="646" w:type="pct"/>
            <w:tcBorders>
              <w:top w:val="single" w:sz="4" w:space="0" w:color="auto"/>
              <w:left w:val="single" w:sz="4" w:space="0" w:color="auto"/>
              <w:bottom w:val="single" w:sz="4" w:space="0" w:color="auto"/>
              <w:right w:val="single" w:sz="4" w:space="0" w:color="auto"/>
            </w:tcBorders>
          </w:tcPr>
          <w:p w14:paraId="34410C0D" w14:textId="77777777" w:rsidR="006B7793" w:rsidRPr="00152C75" w:rsidRDefault="006B7793" w:rsidP="008B2851">
            <w:pPr>
              <w:ind w:left="-279" w:right="63"/>
              <w:jc w:val="right"/>
              <w:rPr>
                <w:color w:val="000000"/>
                <w:sz w:val="20"/>
                <w:szCs w:val="20"/>
              </w:rPr>
            </w:pPr>
            <w:r>
              <w:rPr>
                <w:color w:val="000000"/>
                <w:sz w:val="20"/>
              </w:rPr>
              <w:t>136,60</w:t>
            </w:r>
          </w:p>
        </w:tc>
        <w:tc>
          <w:tcPr>
            <w:tcW w:w="646" w:type="pct"/>
            <w:tcBorders>
              <w:top w:val="single" w:sz="4" w:space="0" w:color="auto"/>
              <w:left w:val="single" w:sz="4" w:space="0" w:color="auto"/>
              <w:bottom w:val="single" w:sz="4" w:space="0" w:color="auto"/>
              <w:right w:val="single" w:sz="4" w:space="0" w:color="auto"/>
            </w:tcBorders>
          </w:tcPr>
          <w:p w14:paraId="3E781F59" w14:textId="77777777" w:rsidR="006B7793" w:rsidRPr="00D5060B" w:rsidRDefault="006B7793" w:rsidP="008B2851">
            <w:pPr>
              <w:ind w:left="-279" w:right="63"/>
              <w:jc w:val="right"/>
              <w:rPr>
                <w:color w:val="000000"/>
                <w:sz w:val="20"/>
                <w:szCs w:val="20"/>
              </w:rPr>
            </w:pPr>
            <w:r>
              <w:rPr>
                <w:color w:val="000000"/>
                <w:sz w:val="20"/>
              </w:rPr>
              <w:t>148,90</w:t>
            </w:r>
          </w:p>
        </w:tc>
        <w:tc>
          <w:tcPr>
            <w:tcW w:w="646" w:type="pct"/>
            <w:tcBorders>
              <w:top w:val="single" w:sz="4" w:space="0" w:color="auto"/>
              <w:left w:val="single" w:sz="4" w:space="0" w:color="auto"/>
              <w:bottom w:val="single" w:sz="4" w:space="0" w:color="auto"/>
              <w:right w:val="single" w:sz="4" w:space="0" w:color="auto"/>
            </w:tcBorders>
          </w:tcPr>
          <w:p w14:paraId="21575DE5" w14:textId="77777777" w:rsidR="006B7793" w:rsidRPr="00152C75" w:rsidRDefault="006B7793" w:rsidP="008B2851">
            <w:pPr>
              <w:ind w:left="-279" w:right="63"/>
              <w:jc w:val="right"/>
              <w:rPr>
                <w:color w:val="000000"/>
                <w:sz w:val="20"/>
                <w:szCs w:val="20"/>
              </w:rPr>
            </w:pPr>
            <w:r>
              <w:rPr>
                <w:color w:val="000000"/>
                <w:sz w:val="20"/>
              </w:rPr>
              <w:t>129,69</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2FB9D563" w14:textId="77777777" w:rsidR="006B7793" w:rsidRPr="00152C75" w:rsidRDefault="006B7793" w:rsidP="008B2851">
            <w:pPr>
              <w:tabs>
                <w:tab w:val="left" w:pos="430"/>
              </w:tabs>
              <w:ind w:left="-137" w:right="63"/>
              <w:jc w:val="right"/>
              <w:rPr>
                <w:color w:val="000000"/>
                <w:sz w:val="20"/>
                <w:szCs w:val="20"/>
              </w:rPr>
            </w:pPr>
            <w:r>
              <w:rPr>
                <w:color w:val="000000"/>
                <w:sz w:val="20"/>
              </w:rPr>
              <w:t>267,4</w:t>
            </w:r>
          </w:p>
        </w:tc>
      </w:tr>
      <w:tr w:rsidR="006B7793" w:rsidRPr="00152C75" w14:paraId="65006E02"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77E1E0" w14:textId="77777777" w:rsidR="006B7793" w:rsidRPr="00152C75" w:rsidRDefault="006B7793" w:rsidP="008B2851">
            <w:pPr>
              <w:ind w:left="98"/>
              <w:jc w:val="left"/>
              <w:rPr>
                <w:color w:val="000000"/>
                <w:sz w:val="20"/>
                <w:szCs w:val="20"/>
              </w:rPr>
            </w:pPr>
            <w:r>
              <w:rPr>
                <w:color w:val="000000"/>
                <w:sz w:val="20"/>
              </w:rPr>
              <w:t>HCFC-123</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49211CD3" w14:textId="77777777" w:rsidR="006B7793" w:rsidRPr="00152C75" w:rsidRDefault="006B7793" w:rsidP="008B2851">
            <w:pPr>
              <w:tabs>
                <w:tab w:val="left" w:pos="430"/>
              </w:tabs>
              <w:ind w:left="-137" w:right="63"/>
              <w:jc w:val="right"/>
              <w:rPr>
                <w:color w:val="000000"/>
                <w:sz w:val="20"/>
                <w:szCs w:val="20"/>
              </w:rPr>
            </w:pPr>
            <w:r>
              <w:rPr>
                <w:color w:val="000000"/>
                <w:sz w:val="20"/>
              </w:rPr>
              <w:t>1,82</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165BAB50" w14:textId="77777777" w:rsidR="006B7793" w:rsidRPr="001B5CAF" w:rsidRDefault="006B7793" w:rsidP="008B2851">
            <w:pPr>
              <w:ind w:left="-279" w:right="63"/>
              <w:jc w:val="right"/>
              <w:rPr>
                <w:color w:val="000000"/>
                <w:sz w:val="20"/>
                <w:szCs w:val="20"/>
              </w:rPr>
            </w:pPr>
            <w:r>
              <w:rPr>
                <w:color w:val="000000" w:themeColor="text1"/>
                <w:sz w:val="20"/>
              </w:rPr>
              <w:t>0,69</w:t>
            </w:r>
          </w:p>
        </w:tc>
        <w:tc>
          <w:tcPr>
            <w:tcW w:w="646" w:type="pct"/>
            <w:tcBorders>
              <w:top w:val="single" w:sz="4" w:space="0" w:color="auto"/>
              <w:left w:val="single" w:sz="4" w:space="0" w:color="auto"/>
              <w:bottom w:val="single" w:sz="4" w:space="0" w:color="auto"/>
              <w:right w:val="single" w:sz="4" w:space="0" w:color="auto"/>
            </w:tcBorders>
          </w:tcPr>
          <w:p w14:paraId="55C7DBAD" w14:textId="77777777" w:rsidR="006B7793" w:rsidRPr="00152C75" w:rsidRDefault="006B7793" w:rsidP="008B2851">
            <w:pPr>
              <w:ind w:left="-279" w:right="63"/>
              <w:jc w:val="right"/>
              <w:rPr>
                <w:color w:val="000000"/>
                <w:sz w:val="20"/>
                <w:szCs w:val="20"/>
              </w:rPr>
            </w:pPr>
            <w:r>
              <w:rPr>
                <w:color w:val="000000"/>
                <w:sz w:val="20"/>
              </w:rPr>
              <w:t>1,22</w:t>
            </w:r>
          </w:p>
        </w:tc>
        <w:tc>
          <w:tcPr>
            <w:tcW w:w="646" w:type="pct"/>
            <w:tcBorders>
              <w:top w:val="single" w:sz="4" w:space="0" w:color="auto"/>
              <w:left w:val="single" w:sz="4" w:space="0" w:color="auto"/>
              <w:bottom w:val="single" w:sz="4" w:space="0" w:color="auto"/>
              <w:right w:val="single" w:sz="4" w:space="0" w:color="auto"/>
            </w:tcBorders>
          </w:tcPr>
          <w:p w14:paraId="6F435DDA" w14:textId="77777777" w:rsidR="006B7793" w:rsidRPr="00D5060B" w:rsidRDefault="006B7793" w:rsidP="008B2851">
            <w:pPr>
              <w:ind w:left="-279" w:right="63"/>
              <w:jc w:val="right"/>
              <w:rPr>
                <w:color w:val="000000"/>
                <w:sz w:val="20"/>
                <w:szCs w:val="20"/>
              </w:rPr>
            </w:pPr>
            <w:r>
              <w:rPr>
                <w:color w:val="000000"/>
                <w:sz w:val="20"/>
              </w:rPr>
              <w:t>0,52</w:t>
            </w:r>
          </w:p>
        </w:tc>
        <w:tc>
          <w:tcPr>
            <w:tcW w:w="646" w:type="pct"/>
            <w:tcBorders>
              <w:top w:val="single" w:sz="4" w:space="0" w:color="auto"/>
              <w:left w:val="single" w:sz="4" w:space="0" w:color="auto"/>
              <w:bottom w:val="single" w:sz="4" w:space="0" w:color="auto"/>
              <w:right w:val="single" w:sz="4" w:space="0" w:color="auto"/>
            </w:tcBorders>
          </w:tcPr>
          <w:p w14:paraId="06746484" w14:textId="77777777" w:rsidR="006B7793" w:rsidRPr="00152C75" w:rsidRDefault="006B7793" w:rsidP="008B2851">
            <w:pPr>
              <w:ind w:left="-279" w:right="63"/>
              <w:jc w:val="right"/>
              <w:rPr>
                <w:color w:val="000000"/>
                <w:sz w:val="20"/>
                <w:szCs w:val="20"/>
              </w:rPr>
            </w:pPr>
            <w:r>
              <w:rPr>
                <w:color w:val="000000"/>
                <w:sz w:val="20"/>
              </w:rPr>
              <w:t>1,26</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3A40DA38" w14:textId="77777777" w:rsidR="006B7793" w:rsidRPr="00152C75" w:rsidRDefault="006B7793" w:rsidP="008B2851">
            <w:pPr>
              <w:tabs>
                <w:tab w:val="left" w:pos="430"/>
              </w:tabs>
              <w:ind w:left="-137" w:right="63"/>
              <w:jc w:val="right"/>
              <w:rPr>
                <w:color w:val="000000"/>
                <w:sz w:val="20"/>
                <w:szCs w:val="20"/>
              </w:rPr>
            </w:pPr>
            <w:r>
              <w:rPr>
                <w:color w:val="000000"/>
                <w:sz w:val="20"/>
              </w:rPr>
              <w:t>3,9</w:t>
            </w:r>
          </w:p>
        </w:tc>
      </w:tr>
      <w:tr w:rsidR="006B7793" w:rsidRPr="00152C75" w14:paraId="47629240"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C89307F" w14:textId="77777777" w:rsidR="006B7793" w:rsidRPr="00152C75" w:rsidRDefault="006B7793" w:rsidP="008B2851">
            <w:pPr>
              <w:ind w:left="98"/>
              <w:jc w:val="left"/>
              <w:rPr>
                <w:color w:val="000000"/>
                <w:sz w:val="20"/>
                <w:szCs w:val="20"/>
              </w:rPr>
            </w:pPr>
            <w:r>
              <w:rPr>
                <w:color w:val="000000"/>
                <w:sz w:val="20"/>
              </w:rPr>
              <w:t>HCFC-124</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161655F3" w14:textId="77777777" w:rsidR="006B7793" w:rsidRPr="00152C75" w:rsidRDefault="006B7793" w:rsidP="008B2851">
            <w:pPr>
              <w:tabs>
                <w:tab w:val="left" w:pos="430"/>
              </w:tabs>
              <w:ind w:left="-137"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71EC0EA3" w14:textId="77777777" w:rsidR="006B7793" w:rsidRPr="001B5CAF" w:rsidRDefault="006B7793" w:rsidP="008B2851">
            <w:pPr>
              <w:ind w:left="-279"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tcPr>
          <w:p w14:paraId="07FA685F" w14:textId="77777777" w:rsidR="006B7793" w:rsidRPr="00152C75" w:rsidRDefault="006B7793" w:rsidP="008B2851">
            <w:pPr>
              <w:ind w:left="-279"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tcPr>
          <w:p w14:paraId="2C82C062" w14:textId="77777777" w:rsidR="006B7793" w:rsidRPr="00D5060B" w:rsidRDefault="006B7793" w:rsidP="008B2851">
            <w:pPr>
              <w:ind w:left="-279"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tcPr>
          <w:p w14:paraId="2F1B2819" w14:textId="77777777" w:rsidR="006B7793" w:rsidRPr="00152C75" w:rsidRDefault="006B7793" w:rsidP="008B2851">
            <w:pPr>
              <w:ind w:left="-279"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3FDE1F46" w14:textId="77777777" w:rsidR="006B7793" w:rsidRPr="00152C75" w:rsidRDefault="006B7793" w:rsidP="008B2851">
            <w:pPr>
              <w:tabs>
                <w:tab w:val="left" w:pos="430"/>
              </w:tabs>
              <w:ind w:left="-137" w:right="63"/>
              <w:jc w:val="right"/>
              <w:rPr>
                <w:color w:val="000000"/>
                <w:sz w:val="20"/>
                <w:szCs w:val="20"/>
              </w:rPr>
            </w:pPr>
            <w:r>
              <w:rPr>
                <w:color w:val="000000"/>
                <w:sz w:val="20"/>
              </w:rPr>
              <w:t>0,0</w:t>
            </w:r>
          </w:p>
        </w:tc>
      </w:tr>
      <w:tr w:rsidR="006B7793" w:rsidRPr="00152C75" w14:paraId="5366B544"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B918894" w14:textId="77777777" w:rsidR="006B7793" w:rsidRPr="00152C75" w:rsidRDefault="006B7793" w:rsidP="008B2851">
            <w:pPr>
              <w:ind w:left="98"/>
              <w:jc w:val="left"/>
              <w:rPr>
                <w:color w:val="000000"/>
                <w:sz w:val="20"/>
                <w:szCs w:val="20"/>
              </w:rPr>
            </w:pPr>
            <w:r>
              <w:rPr>
                <w:color w:val="000000"/>
                <w:sz w:val="20"/>
              </w:rPr>
              <w:t>HCFC-141b</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09315BC1" w14:textId="77777777" w:rsidR="006B7793" w:rsidRPr="00152C75" w:rsidRDefault="006B7793" w:rsidP="008B2851">
            <w:pPr>
              <w:tabs>
                <w:tab w:val="left" w:pos="430"/>
              </w:tabs>
              <w:ind w:left="-137" w:right="63"/>
              <w:jc w:val="right"/>
              <w:rPr>
                <w:color w:val="000000"/>
                <w:sz w:val="20"/>
                <w:szCs w:val="20"/>
              </w:rPr>
            </w:pPr>
            <w:r>
              <w:rPr>
                <w:color w:val="000000"/>
                <w:sz w:val="20"/>
              </w:rPr>
              <w:t>24,20</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4599A140" w14:textId="77777777" w:rsidR="006B7793" w:rsidRPr="001B5CAF" w:rsidRDefault="006B7793" w:rsidP="008B2851">
            <w:pPr>
              <w:ind w:left="-279" w:right="63"/>
              <w:jc w:val="right"/>
              <w:rPr>
                <w:color w:val="000000"/>
                <w:sz w:val="20"/>
                <w:szCs w:val="20"/>
              </w:rPr>
            </w:pPr>
            <w:r>
              <w:rPr>
                <w:color w:val="000000" w:themeColor="text1"/>
                <w:sz w:val="20"/>
              </w:rPr>
              <w:t>11,00</w:t>
            </w:r>
          </w:p>
        </w:tc>
        <w:tc>
          <w:tcPr>
            <w:tcW w:w="646" w:type="pct"/>
            <w:tcBorders>
              <w:top w:val="single" w:sz="4" w:space="0" w:color="auto"/>
              <w:left w:val="single" w:sz="4" w:space="0" w:color="auto"/>
              <w:bottom w:val="single" w:sz="4" w:space="0" w:color="auto"/>
              <w:right w:val="single" w:sz="4" w:space="0" w:color="auto"/>
            </w:tcBorders>
          </w:tcPr>
          <w:p w14:paraId="31CBFF8C" w14:textId="77777777" w:rsidR="006B7793" w:rsidRPr="00152C75" w:rsidRDefault="006B7793" w:rsidP="008B2851">
            <w:pPr>
              <w:ind w:left="-279"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tcPr>
          <w:p w14:paraId="7A177BE4" w14:textId="77777777" w:rsidR="006B7793" w:rsidRPr="00152C75" w:rsidRDefault="006B7793" w:rsidP="008B2851">
            <w:pPr>
              <w:ind w:left="-279"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tcPr>
          <w:p w14:paraId="71F8D874" w14:textId="77777777" w:rsidR="006B7793" w:rsidRPr="00152C75" w:rsidRDefault="006B7793" w:rsidP="008B2851">
            <w:pPr>
              <w:ind w:left="-279"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7294D971" w14:textId="77777777" w:rsidR="006B7793" w:rsidRPr="00152C75" w:rsidRDefault="006B7793" w:rsidP="008B2851">
            <w:pPr>
              <w:tabs>
                <w:tab w:val="left" w:pos="430"/>
              </w:tabs>
              <w:ind w:left="-137" w:right="63"/>
              <w:jc w:val="right"/>
              <w:rPr>
                <w:color w:val="000000"/>
                <w:sz w:val="20"/>
                <w:szCs w:val="20"/>
              </w:rPr>
            </w:pPr>
            <w:r>
              <w:rPr>
                <w:color w:val="000000"/>
                <w:sz w:val="20"/>
              </w:rPr>
              <w:t>132,6</w:t>
            </w:r>
          </w:p>
        </w:tc>
      </w:tr>
      <w:tr w:rsidR="006B7793" w:rsidRPr="00152C75" w14:paraId="73582EA8"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44DD3A" w14:textId="77777777" w:rsidR="006B7793" w:rsidRPr="00152C75" w:rsidRDefault="006B7793" w:rsidP="008B2851">
            <w:pPr>
              <w:ind w:left="98"/>
              <w:jc w:val="left"/>
              <w:rPr>
                <w:color w:val="000000"/>
                <w:sz w:val="20"/>
                <w:szCs w:val="20"/>
              </w:rPr>
            </w:pPr>
            <w:r>
              <w:rPr>
                <w:color w:val="000000"/>
                <w:sz w:val="20"/>
              </w:rPr>
              <w:t>HCFC-142b</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3AE7C6A6" w14:textId="77777777" w:rsidR="006B7793" w:rsidRPr="00152C75" w:rsidRDefault="006B7793" w:rsidP="008B2851">
            <w:pPr>
              <w:tabs>
                <w:tab w:val="left" w:pos="430"/>
              </w:tabs>
              <w:ind w:left="-137"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68BC9A34" w14:textId="77777777" w:rsidR="006B7793" w:rsidRPr="001B5CAF" w:rsidRDefault="006B7793" w:rsidP="008B2851">
            <w:pPr>
              <w:ind w:left="-279" w:right="63"/>
              <w:jc w:val="right"/>
              <w:rPr>
                <w:color w:val="000000"/>
                <w:sz w:val="20"/>
                <w:szCs w:val="20"/>
              </w:rPr>
            </w:pPr>
            <w:r>
              <w:rPr>
                <w:color w:val="000000" w:themeColor="text1"/>
                <w:sz w:val="20"/>
              </w:rPr>
              <w:t>0,42</w:t>
            </w:r>
          </w:p>
        </w:tc>
        <w:tc>
          <w:tcPr>
            <w:tcW w:w="646" w:type="pct"/>
            <w:tcBorders>
              <w:top w:val="single" w:sz="4" w:space="0" w:color="auto"/>
              <w:left w:val="single" w:sz="4" w:space="0" w:color="auto"/>
              <w:bottom w:val="single" w:sz="4" w:space="0" w:color="auto"/>
              <w:right w:val="single" w:sz="4" w:space="0" w:color="auto"/>
            </w:tcBorders>
          </w:tcPr>
          <w:p w14:paraId="2674BD2B" w14:textId="77777777" w:rsidR="006B7793" w:rsidRPr="00152C75" w:rsidRDefault="006B7793" w:rsidP="008B2851">
            <w:pPr>
              <w:ind w:left="-279"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tcPr>
          <w:p w14:paraId="6789F342" w14:textId="77777777" w:rsidR="006B7793" w:rsidRPr="00152C75" w:rsidRDefault="006B7793" w:rsidP="008B2851">
            <w:pPr>
              <w:ind w:left="-279"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tcPr>
          <w:p w14:paraId="3246269C" w14:textId="77777777" w:rsidR="006B7793" w:rsidRPr="00152C75" w:rsidRDefault="006B7793" w:rsidP="008B2851">
            <w:pPr>
              <w:ind w:left="-279"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4843FD45" w14:textId="77777777" w:rsidR="006B7793" w:rsidRPr="00152C75" w:rsidRDefault="006B7793" w:rsidP="008B2851">
            <w:pPr>
              <w:tabs>
                <w:tab w:val="left" w:pos="430"/>
              </w:tabs>
              <w:ind w:left="-137" w:right="63"/>
              <w:jc w:val="right"/>
              <w:rPr>
                <w:color w:val="000000"/>
                <w:sz w:val="20"/>
                <w:szCs w:val="20"/>
              </w:rPr>
            </w:pPr>
            <w:r>
              <w:rPr>
                <w:color w:val="000000"/>
                <w:sz w:val="20"/>
              </w:rPr>
              <w:t>0,0</w:t>
            </w:r>
          </w:p>
        </w:tc>
      </w:tr>
      <w:tr w:rsidR="006B7793" w:rsidRPr="00152C75" w14:paraId="3F90357C"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02E722" w14:textId="77777777" w:rsidR="006B7793" w:rsidRPr="00152C75" w:rsidRDefault="006B7793" w:rsidP="008B2851">
            <w:pPr>
              <w:ind w:left="98"/>
              <w:jc w:val="left"/>
              <w:rPr>
                <w:color w:val="000000"/>
                <w:sz w:val="20"/>
                <w:szCs w:val="20"/>
              </w:rPr>
            </w:pPr>
            <w:r>
              <w:rPr>
                <w:color w:val="000000"/>
                <w:sz w:val="20"/>
              </w:rPr>
              <w:t>HCFC-225</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1F69BFD2" w14:textId="77777777" w:rsidR="006B7793" w:rsidRPr="00152C75" w:rsidRDefault="006B7793" w:rsidP="008B2851">
            <w:pPr>
              <w:tabs>
                <w:tab w:val="left" w:pos="430"/>
              </w:tabs>
              <w:ind w:left="-137"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36F0A52B" w14:textId="77777777" w:rsidR="006B7793" w:rsidRPr="001B5CAF" w:rsidRDefault="006B7793" w:rsidP="008B2851">
            <w:pPr>
              <w:ind w:left="-279"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tcPr>
          <w:p w14:paraId="48FD4035" w14:textId="77777777" w:rsidR="006B7793" w:rsidRPr="00152C75" w:rsidRDefault="006B7793" w:rsidP="008B2851">
            <w:pPr>
              <w:ind w:left="-279"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tcPr>
          <w:p w14:paraId="36950613" w14:textId="77777777" w:rsidR="006B7793" w:rsidRPr="00152C75" w:rsidRDefault="006B7793" w:rsidP="008B2851">
            <w:pPr>
              <w:ind w:left="-279"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tcPr>
          <w:p w14:paraId="0E16D20F" w14:textId="77777777" w:rsidR="006B7793" w:rsidRDefault="006B7793" w:rsidP="008B2851">
            <w:pPr>
              <w:ind w:left="-279" w:right="63"/>
              <w:jc w:val="right"/>
              <w:rPr>
                <w:color w:val="000000"/>
                <w:sz w:val="20"/>
                <w:szCs w:val="20"/>
              </w:rPr>
            </w:pPr>
            <w:r>
              <w:rPr>
                <w:color w:val="000000"/>
                <w:sz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1C85440C" w14:textId="77777777" w:rsidR="006B7793" w:rsidRPr="00152C75" w:rsidRDefault="006B7793" w:rsidP="008B2851">
            <w:pPr>
              <w:tabs>
                <w:tab w:val="left" w:pos="430"/>
              </w:tabs>
              <w:ind w:left="-137" w:right="63"/>
              <w:jc w:val="right"/>
              <w:rPr>
                <w:color w:val="000000"/>
                <w:sz w:val="20"/>
                <w:szCs w:val="20"/>
              </w:rPr>
            </w:pPr>
            <w:r>
              <w:rPr>
                <w:color w:val="000000"/>
                <w:sz w:val="20"/>
              </w:rPr>
              <w:t>0,0</w:t>
            </w:r>
          </w:p>
        </w:tc>
      </w:tr>
      <w:tr w:rsidR="006B7793" w:rsidRPr="00152C75" w14:paraId="1AD9AD91"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A60A792" w14:textId="77777777" w:rsidR="006B7793" w:rsidRPr="00152C75" w:rsidRDefault="006B7793" w:rsidP="008B2851">
            <w:pPr>
              <w:ind w:left="98"/>
              <w:jc w:val="left"/>
              <w:rPr>
                <w:rFonts w:eastAsiaTheme="minorHAnsi"/>
                <w:b/>
                <w:sz w:val="20"/>
                <w:szCs w:val="20"/>
              </w:rPr>
            </w:pPr>
            <w:r>
              <w:rPr>
                <w:b/>
                <w:sz w:val="20"/>
              </w:rPr>
              <w:t>Total (tonnes PAO)</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0909577F" w14:textId="77777777" w:rsidR="006B7793" w:rsidRPr="00152C75" w:rsidRDefault="006B7793" w:rsidP="008B2851">
            <w:pPr>
              <w:ind w:left="-279" w:right="63"/>
              <w:jc w:val="right"/>
              <w:rPr>
                <w:b/>
                <w:color w:val="000000"/>
                <w:sz w:val="20"/>
                <w:szCs w:val="20"/>
              </w:rPr>
            </w:pPr>
            <w:r>
              <w:rPr>
                <w:b/>
                <w:color w:val="000000"/>
                <w:sz w:val="20"/>
              </w:rPr>
              <w:t>188,41</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466E533E" w14:textId="77777777" w:rsidR="006B7793" w:rsidRPr="001B5CAF" w:rsidRDefault="006B7793" w:rsidP="008B2851">
            <w:pPr>
              <w:ind w:left="-279" w:right="63"/>
              <w:jc w:val="right"/>
              <w:rPr>
                <w:b/>
                <w:color w:val="000000"/>
                <w:sz w:val="20"/>
                <w:szCs w:val="20"/>
              </w:rPr>
            </w:pPr>
            <w:r>
              <w:rPr>
                <w:b/>
                <w:color w:val="000000"/>
                <w:sz w:val="20"/>
              </w:rPr>
              <w:t>172,83</w:t>
            </w:r>
          </w:p>
        </w:tc>
        <w:tc>
          <w:tcPr>
            <w:tcW w:w="646" w:type="pct"/>
            <w:tcBorders>
              <w:top w:val="single" w:sz="4" w:space="0" w:color="auto"/>
              <w:left w:val="single" w:sz="4" w:space="0" w:color="auto"/>
              <w:bottom w:val="single" w:sz="4" w:space="0" w:color="auto"/>
              <w:right w:val="single" w:sz="4" w:space="0" w:color="auto"/>
            </w:tcBorders>
          </w:tcPr>
          <w:p w14:paraId="117C3C88" w14:textId="77777777" w:rsidR="006B7793" w:rsidRPr="00152C75" w:rsidRDefault="006B7793" w:rsidP="008B2851">
            <w:pPr>
              <w:tabs>
                <w:tab w:val="left" w:pos="430"/>
              </w:tabs>
              <w:ind w:left="-137" w:right="63"/>
              <w:jc w:val="right"/>
              <w:rPr>
                <w:b/>
                <w:color w:val="000000"/>
                <w:sz w:val="20"/>
                <w:szCs w:val="20"/>
              </w:rPr>
            </w:pPr>
            <w:r>
              <w:rPr>
                <w:b/>
                <w:color w:val="000000"/>
                <w:sz w:val="20"/>
              </w:rPr>
              <w:t>137,82</w:t>
            </w:r>
          </w:p>
        </w:tc>
        <w:tc>
          <w:tcPr>
            <w:tcW w:w="646" w:type="pct"/>
            <w:tcBorders>
              <w:top w:val="single" w:sz="4" w:space="0" w:color="auto"/>
              <w:left w:val="single" w:sz="4" w:space="0" w:color="auto"/>
              <w:bottom w:val="single" w:sz="4" w:space="0" w:color="auto"/>
              <w:right w:val="single" w:sz="4" w:space="0" w:color="auto"/>
            </w:tcBorders>
          </w:tcPr>
          <w:p w14:paraId="662ADA10" w14:textId="77777777" w:rsidR="006B7793" w:rsidRPr="00152C75" w:rsidRDefault="006B7793" w:rsidP="008B2851">
            <w:pPr>
              <w:ind w:left="-279" w:right="63"/>
              <w:jc w:val="right"/>
              <w:rPr>
                <w:b/>
                <w:color w:val="000000"/>
                <w:sz w:val="20"/>
                <w:szCs w:val="20"/>
              </w:rPr>
            </w:pPr>
            <w:r>
              <w:rPr>
                <w:b/>
                <w:color w:val="000000"/>
                <w:sz w:val="20"/>
              </w:rPr>
              <w:t>149,42</w:t>
            </w:r>
          </w:p>
        </w:tc>
        <w:tc>
          <w:tcPr>
            <w:tcW w:w="646" w:type="pct"/>
            <w:tcBorders>
              <w:top w:val="single" w:sz="4" w:space="0" w:color="auto"/>
              <w:left w:val="single" w:sz="4" w:space="0" w:color="auto"/>
              <w:bottom w:val="single" w:sz="4" w:space="0" w:color="auto"/>
              <w:right w:val="single" w:sz="4" w:space="0" w:color="auto"/>
            </w:tcBorders>
          </w:tcPr>
          <w:p w14:paraId="14FC7B8C" w14:textId="77777777" w:rsidR="006B7793" w:rsidRPr="00E85094" w:rsidRDefault="006B7793" w:rsidP="008B2851">
            <w:pPr>
              <w:ind w:left="-279" w:right="63"/>
              <w:jc w:val="right"/>
              <w:rPr>
                <w:b/>
                <w:bCs/>
                <w:color w:val="000000"/>
                <w:sz w:val="20"/>
                <w:szCs w:val="20"/>
              </w:rPr>
            </w:pPr>
            <w:r>
              <w:rPr>
                <w:b/>
                <w:color w:val="000000"/>
                <w:sz w:val="20"/>
              </w:rPr>
              <w:t>130,95</w:t>
            </w:r>
          </w:p>
        </w:tc>
        <w:tc>
          <w:tcPr>
            <w:tcW w:w="64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1C5445" w14:textId="77777777" w:rsidR="006B7793" w:rsidRPr="00E85094" w:rsidRDefault="006B7793" w:rsidP="008B2851">
            <w:pPr>
              <w:tabs>
                <w:tab w:val="left" w:pos="430"/>
              </w:tabs>
              <w:ind w:left="-137" w:right="63"/>
              <w:jc w:val="right"/>
              <w:rPr>
                <w:b/>
                <w:bCs/>
                <w:color w:val="000000"/>
                <w:sz w:val="20"/>
                <w:szCs w:val="20"/>
              </w:rPr>
            </w:pPr>
            <w:r>
              <w:rPr>
                <w:b/>
                <w:color w:val="000000"/>
                <w:sz w:val="20"/>
              </w:rPr>
              <w:t>403,9</w:t>
            </w:r>
          </w:p>
        </w:tc>
      </w:tr>
      <w:tr w:rsidR="006B7793" w:rsidRPr="00BA0CE0" w14:paraId="147FD4AA"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BE446A1" w14:textId="77777777" w:rsidR="006B7793" w:rsidRPr="00C4386C" w:rsidRDefault="006B7793" w:rsidP="008B2851">
            <w:pPr>
              <w:ind w:left="98"/>
              <w:jc w:val="left"/>
              <w:rPr>
                <w:b/>
                <w:sz w:val="20"/>
                <w:szCs w:val="20"/>
              </w:rPr>
            </w:pPr>
            <w:r>
              <w:rPr>
                <w:b/>
                <w:sz w:val="20"/>
              </w:rPr>
              <w:t>Consommation maximale admissible</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6F7655BE" w14:textId="77777777" w:rsidR="006B7793" w:rsidRPr="00C4386C" w:rsidRDefault="006B7793" w:rsidP="008B2851">
            <w:pPr>
              <w:ind w:left="-279" w:right="63"/>
              <w:jc w:val="right"/>
              <w:rPr>
                <w:b/>
                <w:color w:val="000000"/>
                <w:sz w:val="20"/>
                <w:szCs w:val="20"/>
              </w:rPr>
            </w:pPr>
            <w:r>
              <w:rPr>
                <w:b/>
                <w:color w:val="000000"/>
                <w:sz w:val="20"/>
              </w:rPr>
              <w:t>252,44</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29C45043" w14:textId="77777777" w:rsidR="006B7793" w:rsidRPr="00C4386C" w:rsidRDefault="006B7793" w:rsidP="008B2851">
            <w:pPr>
              <w:ind w:left="-279" w:right="63"/>
              <w:jc w:val="right"/>
              <w:rPr>
                <w:b/>
                <w:color w:val="000000"/>
                <w:sz w:val="20"/>
                <w:szCs w:val="20"/>
              </w:rPr>
            </w:pPr>
            <w:r>
              <w:rPr>
                <w:b/>
                <w:color w:val="000000"/>
                <w:sz w:val="20"/>
              </w:rPr>
              <w:t>252,44</w:t>
            </w:r>
          </w:p>
        </w:tc>
        <w:tc>
          <w:tcPr>
            <w:tcW w:w="646" w:type="pct"/>
            <w:tcBorders>
              <w:top w:val="single" w:sz="4" w:space="0" w:color="auto"/>
              <w:left w:val="single" w:sz="4" w:space="0" w:color="auto"/>
              <w:bottom w:val="single" w:sz="4" w:space="0" w:color="auto"/>
              <w:right w:val="single" w:sz="4" w:space="0" w:color="auto"/>
            </w:tcBorders>
            <w:shd w:val="clear" w:color="auto" w:fill="auto"/>
          </w:tcPr>
          <w:p w14:paraId="6B47E617" w14:textId="77777777" w:rsidR="006B7793" w:rsidRPr="00C4386C" w:rsidRDefault="006B7793" w:rsidP="008B2851">
            <w:pPr>
              <w:tabs>
                <w:tab w:val="left" w:pos="430"/>
              </w:tabs>
              <w:ind w:left="-137" w:right="63"/>
              <w:jc w:val="right"/>
              <w:rPr>
                <w:b/>
                <w:color w:val="000000"/>
                <w:sz w:val="20"/>
                <w:szCs w:val="20"/>
              </w:rPr>
            </w:pPr>
            <w:r>
              <w:rPr>
                <w:b/>
                <w:color w:val="000000"/>
                <w:sz w:val="20"/>
              </w:rPr>
              <w:t>252,44</w:t>
            </w:r>
          </w:p>
        </w:tc>
        <w:tc>
          <w:tcPr>
            <w:tcW w:w="646" w:type="pct"/>
            <w:tcBorders>
              <w:top w:val="single" w:sz="4" w:space="0" w:color="auto"/>
              <w:left w:val="single" w:sz="4" w:space="0" w:color="auto"/>
              <w:bottom w:val="single" w:sz="4" w:space="0" w:color="auto"/>
              <w:right w:val="single" w:sz="4" w:space="0" w:color="auto"/>
            </w:tcBorders>
            <w:shd w:val="clear" w:color="auto" w:fill="auto"/>
          </w:tcPr>
          <w:p w14:paraId="4052F2B2" w14:textId="77777777" w:rsidR="006B7793" w:rsidRPr="00C4386C" w:rsidRDefault="006B7793" w:rsidP="008B2851">
            <w:pPr>
              <w:ind w:left="-279" w:right="63"/>
              <w:jc w:val="right"/>
              <w:rPr>
                <w:b/>
                <w:color w:val="000000"/>
                <w:sz w:val="20"/>
                <w:szCs w:val="20"/>
              </w:rPr>
            </w:pPr>
            <w:r>
              <w:rPr>
                <w:b/>
                <w:color w:val="000000"/>
                <w:sz w:val="20"/>
              </w:rPr>
              <w:t>181,76</w:t>
            </w:r>
          </w:p>
        </w:tc>
        <w:tc>
          <w:tcPr>
            <w:tcW w:w="646" w:type="pct"/>
            <w:tcBorders>
              <w:top w:val="single" w:sz="4" w:space="0" w:color="auto"/>
              <w:left w:val="single" w:sz="4" w:space="0" w:color="auto"/>
              <w:bottom w:val="single" w:sz="4" w:space="0" w:color="auto"/>
              <w:right w:val="single" w:sz="4" w:space="0" w:color="auto"/>
            </w:tcBorders>
          </w:tcPr>
          <w:p w14:paraId="493577B2" w14:textId="77777777" w:rsidR="006B7793" w:rsidRPr="002A2D9C" w:rsidRDefault="006B7793" w:rsidP="008B2851">
            <w:pPr>
              <w:ind w:left="-279" w:right="63"/>
              <w:jc w:val="right"/>
              <w:rPr>
                <w:b/>
                <w:color w:val="000000"/>
                <w:sz w:val="20"/>
                <w:szCs w:val="20"/>
              </w:rPr>
            </w:pPr>
            <w:r>
              <w:rPr>
                <w:b/>
                <w:color w:val="000000"/>
                <w:sz w:val="20"/>
              </w:rPr>
              <w:t>181,76</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233DCA1F" w14:textId="77777777" w:rsidR="006B7793" w:rsidRPr="00E85094" w:rsidRDefault="006B7793" w:rsidP="008B2851">
            <w:pPr>
              <w:tabs>
                <w:tab w:val="left" w:pos="430"/>
              </w:tabs>
              <w:ind w:left="-137" w:right="63"/>
              <w:jc w:val="right"/>
              <w:rPr>
                <w:b/>
                <w:bCs/>
                <w:color w:val="000000"/>
                <w:sz w:val="20"/>
                <w:szCs w:val="20"/>
              </w:rPr>
            </w:pPr>
            <w:r>
              <w:rPr>
                <w:b/>
                <w:color w:val="000000"/>
                <w:sz w:val="20"/>
              </w:rPr>
              <w:t>s.o.</w:t>
            </w:r>
          </w:p>
        </w:tc>
      </w:tr>
    </w:tbl>
    <w:p w14:paraId="070E4997" w14:textId="77777777" w:rsidR="006B7793" w:rsidRDefault="006B7793" w:rsidP="006B7793">
      <w:pPr>
        <w:rPr>
          <w:sz w:val="18"/>
          <w:szCs w:val="18"/>
        </w:rPr>
      </w:pPr>
      <w:r>
        <w:rPr>
          <w:sz w:val="18"/>
        </w:rPr>
        <w:t>* Données du programme du pays</w:t>
      </w:r>
    </w:p>
    <w:p w14:paraId="4A29D270" w14:textId="77777777" w:rsidR="006B7793" w:rsidRPr="00837290" w:rsidRDefault="006B7793" w:rsidP="006B7793">
      <w:pPr>
        <w:pStyle w:val="Heading1"/>
        <w:spacing w:before="240"/>
      </w:pPr>
      <w:r>
        <w:t>Du HCFC-22 a été consommé exclusivement pour l’entretien après l’interdiction de 2015 de son utilisation dans la fabrication et le montage d’équipements de réfrigération et de climatisation. La consommation de HCFC</w:t>
      </w:r>
      <w:r>
        <w:noBreakHyphen/>
        <w:t>141b a été éliminée après l’interdiction de ses importations en janvier 2022. Du HCFC</w:t>
      </w:r>
      <w:r>
        <w:noBreakHyphen/>
        <w:t>123 est consommé pour l’installation et l’entretien des refroidisseurs et est traité dans la phase III du PGEH. La consommation globale diminue en raison de la mise en œuvre des activités au titre du PGEH, telles que des pratiques d’entretien améliorées, l’utilisation de frigorigènes de remplacement et des restrictions d’importation.</w:t>
      </w:r>
    </w:p>
    <w:p w14:paraId="417AEF73" w14:textId="77777777" w:rsidR="006B7793" w:rsidRPr="00E86E81" w:rsidRDefault="006B7793" w:rsidP="006B7793">
      <w:pPr>
        <w:pStyle w:val="Heading1"/>
        <w:spacing w:before="240"/>
      </w:pPr>
      <w:r>
        <w:t>Le Gouvernement de l’Indonésie a communiqué des données du secteur de la consommation des HCFC dans le cadre du rapport de mise en œuvre du PP de 2023, et ces données correspondent aux données déclarées en vertu de l’article 7 du Protocole de Montréal.</w:t>
      </w:r>
    </w:p>
    <w:p w14:paraId="2440E3AC" w14:textId="77777777" w:rsidR="006B7793" w:rsidRPr="00E86E81" w:rsidRDefault="006B7793" w:rsidP="006B7793">
      <w:pPr>
        <w:pStyle w:val="Heading1"/>
        <w:keepNext/>
        <w:numPr>
          <w:ilvl w:val="0"/>
          <w:numId w:val="0"/>
        </w:numPr>
        <w:rPr>
          <w:b/>
          <w:bCs/>
        </w:rPr>
      </w:pPr>
      <w:r>
        <w:rPr>
          <w:b/>
        </w:rPr>
        <w:t>Rapport périodique</w:t>
      </w:r>
    </w:p>
    <w:p w14:paraId="686B0F9B" w14:textId="1A655922" w:rsidR="006B7793" w:rsidRDefault="006B7793" w:rsidP="006B7793">
      <w:pPr>
        <w:pStyle w:val="Heading1"/>
        <w:spacing w:before="240"/>
      </w:pPr>
      <w:r>
        <w:t>Au nom du Gouvernement de l’Indonésie, le PNUD a présenté, conformément à la décision 92/24 a), un rapport périodique sur la mise en œuvre du programme de travail associé à la quatrième et dernière tranche de la phase II </w:t>
      </w:r>
      <w:r w:rsidRPr="008B5A60">
        <w:rPr>
          <w:rStyle w:val="FootnoteReference"/>
        </w:rPr>
        <w:footnoteReference w:id="12"/>
      </w:r>
      <w:r>
        <w:t>. Le rapport fournit une mise à jour des progrès réalisés sur les activités restantes dans le secteur de l’entretien de l’équipement de réfrigération, dont :</w:t>
      </w:r>
    </w:p>
    <w:p w14:paraId="6E428A24" w14:textId="77777777" w:rsidR="006B7793" w:rsidRPr="00603C45" w:rsidRDefault="006B7793" w:rsidP="006B7793">
      <w:pPr>
        <w:pStyle w:val="Heading2"/>
      </w:pPr>
      <w:r>
        <w:t>la formation de 249 agents des douanes sur le suivi et la prévention du commerce illicite des HCFC et sur l’identification et la manipulation des SAO, pour un total de 915 agents formés au titre de la phase II ;</w:t>
      </w:r>
    </w:p>
    <w:p w14:paraId="09BA894F" w14:textId="3D191B82" w:rsidR="006B7793" w:rsidRPr="00E74336" w:rsidRDefault="006B7793" w:rsidP="00C628DA">
      <w:pPr>
        <w:pStyle w:val="Heading2"/>
        <w:widowControl/>
      </w:pPr>
      <w:r>
        <w:t>la formation de 20 formateurs à la formation basée sur le programme aux bonnes pratiques en réfrigération et climatisation, comprenant la fourniture de matériel de formation, pour un total de 174 formateurs formés au titre de la phase II ; 74 de ces formateurs ont été certifiés pour tenir le rôle d’évaluateurs dans la certification basée sur les compétences des techniciens pour l’équipement de réfrigération et de climatisation domestique et font maintenant partie du personnel éducatif permanent des centres de formation ;</w:t>
      </w:r>
    </w:p>
    <w:p w14:paraId="5432437C" w14:textId="77777777" w:rsidR="006B7793" w:rsidRDefault="006B7793" w:rsidP="00E2193B">
      <w:pPr>
        <w:pStyle w:val="Heading2"/>
        <w:widowControl/>
      </w:pPr>
      <w:r>
        <w:t xml:space="preserve">la formation de 1 324 techniciens aux bonnes pratiques d’entretien et à la manipulation sûre de frigorigènes de remplacement, pour un total de 2 632 formés au titre de la phase II ; la certification de 600 techniciens, pour un total de 1 274 certifiés au titre de la phase II ; et la production et la diffusion d’une vidéo à l’association de réfrigération et de </w:t>
      </w:r>
      <w:r>
        <w:lastRenderedPageBreak/>
        <w:t>climatisation promouvant les bonnes pratiques d’entretien pour des techniciens résidentiels ;</w:t>
      </w:r>
    </w:p>
    <w:p w14:paraId="2753D732" w14:textId="07411FE0" w:rsidR="006B7793" w:rsidRPr="002C7826" w:rsidRDefault="006B7793" w:rsidP="006B7793">
      <w:pPr>
        <w:pStyle w:val="Heading2"/>
      </w:pPr>
      <w:r>
        <w:t>les 151 kits d’outils fournis au titre de la troisième tranche ont été livrés aux ateliers et aux techniciens ; et quatre centres de régénération ont été établis par la fourniture d’équipement (unité de régénération, pompes à vide, bouteilles de frigorigène, balance, identificateur portable), avec livraison de six identificateurs retardée jusqu’à octobre 2025 ;</w:t>
      </w:r>
    </w:p>
    <w:p w14:paraId="56736943" w14:textId="77777777" w:rsidR="006B7793" w:rsidRPr="00D730C6" w:rsidRDefault="006B7793" w:rsidP="006B7793">
      <w:pPr>
        <w:pStyle w:val="Heading2"/>
      </w:pPr>
      <w:r>
        <w:t>la coopération avec cinq unités techniques du Ministère de l’environnement pour mener une campagne de sensibilisation du public atteignant 1 157 personnes, pour un total de 4 135 au titre de la phase II, à l’élimination des HCFC, aux solutions de remplacement des HCFC et à l’utilisation de techniciens certifiés ; et</w:t>
      </w:r>
    </w:p>
    <w:p w14:paraId="249A0FD9" w14:textId="77777777" w:rsidR="006B7793" w:rsidRPr="00D730C6" w:rsidRDefault="006B7793" w:rsidP="006B7793">
      <w:pPr>
        <w:pStyle w:val="Heading2"/>
      </w:pPr>
      <w:r>
        <w:t>le suivi de projet au montant de 44 500 $US pour le personnel et les consultants (25 767 $US), les déplacements (5 008 $US), les ateliers et les réunions (3 813 $US), le suivi (8 546 $US) et des coûts divers (1 366 $US).</w:t>
      </w:r>
    </w:p>
    <w:p w14:paraId="455ECFDF" w14:textId="77777777" w:rsidR="006B7793" w:rsidRPr="006A20D7" w:rsidRDefault="006B7793" w:rsidP="006B7793">
      <w:pPr>
        <w:pStyle w:val="Heading1"/>
      </w:pPr>
      <w:r>
        <w:t>En mars 2025, des 8 302 163 $US approuvés pour la phase II (4 047 000 $US pour le PNUD et 4 255 163 $US pour la Banque mondiale), 8 212 464 $US avaient été décaissés. Le solde estimé à 89 699 $US (75 070 $US pour le PNUD et 14 629 $US pour la Banque mondiale) sera restitué au Fonds après la finalisation des paiements et au plus tard le 31 décembre 2025.</w:t>
      </w:r>
    </w:p>
    <w:p w14:paraId="61598842" w14:textId="77777777" w:rsidR="006B7793" w:rsidRPr="00C67065" w:rsidRDefault="006B7793" w:rsidP="006B7793">
      <w:pPr>
        <w:keepNext/>
        <w:spacing w:after="240"/>
        <w:rPr>
          <w:b/>
          <w:bCs/>
        </w:rPr>
      </w:pPr>
      <w:r>
        <w:rPr>
          <w:b/>
        </w:rPr>
        <w:t>Observations du secrétariat</w:t>
      </w:r>
    </w:p>
    <w:p w14:paraId="42CD3B8C" w14:textId="77777777" w:rsidR="006B7793" w:rsidRPr="00DB1EB0" w:rsidRDefault="006B7793" w:rsidP="006B7793">
      <w:pPr>
        <w:pStyle w:val="Heading1"/>
      </w:pPr>
      <w:r>
        <w:t>Dans la fabrication de mousses de polyuréthane, une assistance a été fournie à quatre grandes (consommation supérieure à 20 tm) et huit moyennes (consommation comprise entre 5 et 20 tm) entreprises, deux sociétés de formulation et 201 petites entreprises au titre de la phase II, et un total de 455,62 tm de HCFC</w:t>
      </w:r>
      <w:r>
        <w:noBreakHyphen/>
        <w:t>141b a été éliminé. Aucune autre petite entreprise n’a été signalée comme ayant été reconvertie pendant la prolongation du système de pièces justificatives. Le rapport périodique a fourni la confirmation de l’équipement de référence détruit/rendu inutilisable dans les 12 grandes et moyennes entreprises. L’interdiction des importations de HCFC</w:t>
      </w:r>
      <w:r>
        <w:noBreakHyphen/>
        <w:t>141b a été adoptée en janvier 2022 et la consommation de cette substance n’a pas été communiquée depuis cette date.</w:t>
      </w:r>
    </w:p>
    <w:p w14:paraId="56722F18" w14:textId="77777777" w:rsidR="006B7793" w:rsidRPr="00ED096E" w:rsidRDefault="006B7793" w:rsidP="006B7793">
      <w:pPr>
        <w:pStyle w:val="Heading1"/>
      </w:pPr>
      <w:r>
        <w:t>L’établissement de cinq centres de régénération au titre de la phase II avait été retardé en raison de l’interruption de la chaîne d’approvisionnement et des difficultés associées à la pandémie de COVID-19 et, en conséquence, le PNUD et le gouvernement avaient mis en œuvre une stratégie d’atténuation des risques pour garantir la poursuite de la mise en œuvre du projet. Les cinq centres ont maintenant été établis à l’exception des six identificateurs restants, dont la livraison est prévue en octobre 2025 et la distribution locale l’est dans le cadre de la mise en œuvre de la phase III. Le secrétariat a recherché d’autres informations sur l’état des opérations et la quantité des substances régulées régénérées dans les centres. Le PNUD a expliqué que l’un des centres de régénération, établi en 2021, bien qu’opérationnel, est à ce jour seulement utilisé en interne et pour piloter les activités publiques de régénération et ne fournit pas encore de régénération commerciale. Les activités doivent commencer après l’élaboration des autorisations nécessaires de rejet résiduel et des procédures standard d’exploitation pour les activités de régénération commerciale, prévues au titre de la phase III. Les quatre centres restants n’ont pas encore commencé leurs activités de régénération en raison de retards dans la mise en œuvre. Le PNUD inclura une mise à jour de l’état des cinq centres de régénération, comprenant une mise à jour de la livraison et la distribution des six identificateurs de frigorigènes, l’état des opérations de régénération et la quantité de substances réglementées régénérées, dans le cadre du rapport périodique sur la mise en œuvre de la première tranche de la phase III du PGEH, dont la communication est prévue pour la 97</w:t>
      </w:r>
      <w:r>
        <w:rPr>
          <w:vertAlign w:val="superscript"/>
        </w:rPr>
        <w:t>e</w:t>
      </w:r>
      <w:r>
        <w:t> réunion.</w:t>
      </w:r>
    </w:p>
    <w:p w14:paraId="75857F43" w14:textId="77777777" w:rsidR="006B7793" w:rsidRPr="00234C6C" w:rsidRDefault="006B7793" w:rsidP="006B7793">
      <w:pPr>
        <w:pStyle w:val="Heading1"/>
      </w:pPr>
      <w:r>
        <w:t>Le PNUD a confirmé que la phase II du PGEH était opérationnellement achevée au 31 décembre 2024, comme établi au paragraphe 14 de l’Accord, et que tout solde serait restitué au Fonds d’ici au 31 décembre 2025.</w:t>
      </w:r>
    </w:p>
    <w:p w14:paraId="1D701B7D" w14:textId="77777777" w:rsidR="006B7793" w:rsidRPr="007E0055" w:rsidRDefault="006B7793" w:rsidP="006B7793">
      <w:pPr>
        <w:spacing w:after="240"/>
        <w:rPr>
          <w:b/>
          <w:bCs/>
        </w:rPr>
      </w:pPr>
      <w:r>
        <w:rPr>
          <w:b/>
        </w:rPr>
        <w:lastRenderedPageBreak/>
        <w:t>Recommandation</w:t>
      </w:r>
    </w:p>
    <w:p w14:paraId="70DB3E7C" w14:textId="77777777" w:rsidR="006B7793" w:rsidRDefault="006B7793" w:rsidP="006B7793">
      <w:pPr>
        <w:pStyle w:val="Heading1"/>
      </w:pPr>
      <w:r>
        <w:t>Le Comité exécutif pourrait souhaiter prendre note du rapport périodique sur la mise en œuvre du programme de travail de la quatrième et dernière tranche de la phase II du plan de gestion de l’élimination des HCFC (PGEH) pour l’Indonésie, fourni par le PNUD et présenté dans le document UNEP/OzL.Pro/ExCom/96/11.</w:t>
      </w:r>
    </w:p>
    <w:p w14:paraId="5C8E5BCA" w14:textId="02009084" w:rsidR="001E3B0B" w:rsidRDefault="009E053A" w:rsidP="00B02CE7">
      <w:pPr>
        <w:ind w:left="709"/>
        <w:textAlignment w:val="baseline"/>
        <w:rPr>
          <w:b/>
          <w:bCs/>
          <w:u w:val="single"/>
        </w:rPr>
      </w:pPr>
      <w:r>
        <w:rPr>
          <w:b/>
          <w:u w:val="single"/>
        </w:rPr>
        <w:t>Iraq : Plan de gestion de l’élimination des HCFC (phase II – achèvement de la phase I, plan national d’élimination, et projet de remplacement du CFC-12 par de l’isobutane et du CFC-11 par du cyclopentane dans la fabrication d’équipement de réfrigération domestique chez Light Industries)</w:t>
      </w:r>
      <w:r>
        <w:rPr>
          <w:b/>
        </w:rPr>
        <w:t xml:space="preserve"> (PNUE et ONUDI)</w:t>
      </w:r>
    </w:p>
    <w:p w14:paraId="2B889B5E" w14:textId="77777777" w:rsidR="00950EC2" w:rsidRPr="00950EC2" w:rsidRDefault="00950EC2" w:rsidP="00950EC2">
      <w:pPr>
        <w:spacing w:before="240" w:after="240"/>
        <w:outlineLvl w:val="0"/>
        <w:rPr>
          <w:rFonts w:eastAsiaTheme="minorHAnsi"/>
          <w:b/>
          <w:bCs/>
        </w:rPr>
      </w:pPr>
      <w:r>
        <w:rPr>
          <w:b/>
        </w:rPr>
        <w:t>Contexte</w:t>
      </w:r>
    </w:p>
    <w:p w14:paraId="32BD20A5" w14:textId="77777777" w:rsidR="00950EC2" w:rsidRPr="00950EC2" w:rsidRDefault="00950EC2" w:rsidP="00950EC2">
      <w:pPr>
        <w:numPr>
          <w:ilvl w:val="0"/>
          <w:numId w:val="1"/>
        </w:numPr>
        <w:spacing w:after="240"/>
        <w:outlineLvl w:val="0"/>
        <w:rPr>
          <w:rFonts w:eastAsiaTheme="minorHAnsi"/>
        </w:rPr>
      </w:pPr>
      <w:r>
        <w:t>À sa 87</w:t>
      </w:r>
      <w:r>
        <w:rPr>
          <w:vertAlign w:val="superscript"/>
        </w:rPr>
        <w:t>e</w:t>
      </w:r>
      <w:r>
        <w:t> réunion, le Comité exécutif a approuvé la phase II du plan de gestion de l’élimination des HCFC (PGEH) pour l’Iraq, prenant note que sa deuxième tranche ne pourrait être examinée qu’après achèvement de la phase I du PGEH (IRQ/PHA/74/INV/23), du plan national d’élimination (PNE) (IRQ/PHA/58/INV/09) et du projet de remplacement du CFC-12 utilisé comme frigorigène par de l’isobutane et du CFC-11 utilisé comme de l’agent de gonflage par du cyclopentane dans la fabrication des réfrigérateurs domestiques et des congélateurs coffres chez Light Industries Company (IRQ/REF/57/INV/07) (décision 87/40 c)). Au moment de la présentation de la deuxième tranche à la 95</w:t>
      </w:r>
      <w:r>
        <w:rPr>
          <w:vertAlign w:val="superscript"/>
        </w:rPr>
        <w:t>e</w:t>
      </w:r>
      <w:r>
        <w:t> réunion, les projets indiqués ci-dessus n’étaient pas achevés par l’ONUDI ; en conséquence, la tranche a été approuvée uniquement pour le PNUE, en prenant note qu’aucun financement supplémentaire ne serait examiné pour l’ONUDI tant que la condition ne serait pas remplie. En outre, de manière exceptionnelle, les dates d’achèvement de la phase I du PGEH et des projets IRQ/REF/57/INV/07 et IRQ/PHA/58/INV/09 ont été reportées au 31 décembre 2025, étant entendu que l’ONUDI corrigerait l’état de la mise en œuvre des deux projets en cours (ONG) dans son rapport annuel et financier de 2024, et présenterait à la 96</w:t>
      </w:r>
      <w:r>
        <w:rPr>
          <w:vertAlign w:val="superscript"/>
        </w:rPr>
        <w:t>e</w:t>
      </w:r>
      <w:r>
        <w:t> réunion un rapport sur l’avancement réalisé dans la mise en œuvre des trois projets (décision 95/52).</w:t>
      </w:r>
    </w:p>
    <w:p w14:paraId="1C9A15F6" w14:textId="77777777" w:rsidR="00950EC2" w:rsidRPr="00950EC2" w:rsidRDefault="00950EC2" w:rsidP="00332272">
      <w:pPr>
        <w:keepNext/>
        <w:spacing w:before="240" w:after="240"/>
        <w:rPr>
          <w:rFonts w:eastAsiaTheme="minorHAnsi"/>
          <w:b/>
          <w:bCs/>
        </w:rPr>
      </w:pPr>
      <w:r>
        <w:rPr>
          <w:b/>
        </w:rPr>
        <w:t>Rapport périodique</w:t>
      </w:r>
    </w:p>
    <w:p w14:paraId="5E4944CC" w14:textId="77777777" w:rsidR="00950EC2" w:rsidRPr="00950EC2" w:rsidRDefault="00950EC2" w:rsidP="00950EC2">
      <w:pPr>
        <w:numPr>
          <w:ilvl w:val="0"/>
          <w:numId w:val="1"/>
        </w:numPr>
        <w:spacing w:after="240"/>
        <w:outlineLvl w:val="0"/>
        <w:rPr>
          <w:rFonts w:eastAsiaTheme="minorHAnsi"/>
        </w:rPr>
      </w:pPr>
      <w:r>
        <w:t>Au nom du Gouvernement de l’Iraq, l’ONUDI a fourni un rapport périodique pour les projets suivants :</w:t>
      </w:r>
    </w:p>
    <w:p w14:paraId="3BE13C6C" w14:textId="77777777" w:rsidR="00950EC2" w:rsidRPr="00B55562" w:rsidRDefault="00950EC2" w:rsidP="00950EC2">
      <w:pPr>
        <w:widowControl w:val="0"/>
        <w:numPr>
          <w:ilvl w:val="1"/>
          <w:numId w:val="1"/>
        </w:numPr>
        <w:spacing w:after="240"/>
        <w:outlineLvl w:val="1"/>
        <w:rPr>
          <w:rFonts w:eastAsiaTheme="minorHAnsi"/>
        </w:rPr>
      </w:pPr>
      <w:r>
        <w:rPr>
          <w:i/>
        </w:rPr>
        <w:t xml:space="preserve">PGEH (phase I, deuxième tranche) (assistance technique pour le secteur de l’entretien) : </w:t>
      </w:r>
      <w:r>
        <w:t>l’ONUDI et l’unité nationale de l’ozone (UNO) ont discuté de la réaffectation des fonds identifiés pour l’approvisionnement prévu de 40 identificateurs de frigorigène à l’approvisionnement d’autres outils essentiels pour les techniciens </w:t>
      </w:r>
      <w:r w:rsidRPr="00B55562">
        <w:rPr>
          <w:rFonts w:eastAsiaTheme="minorHAnsi"/>
          <w:vertAlign w:val="superscript"/>
        </w:rPr>
        <w:footnoteReference w:id="13"/>
      </w:r>
      <w:r>
        <w:t> ;</w:t>
      </w:r>
    </w:p>
    <w:p w14:paraId="4AD7CDCE" w14:textId="77777777" w:rsidR="00950EC2" w:rsidRPr="00950EC2" w:rsidRDefault="00950EC2" w:rsidP="00950EC2">
      <w:pPr>
        <w:widowControl w:val="0"/>
        <w:numPr>
          <w:ilvl w:val="1"/>
          <w:numId w:val="1"/>
        </w:numPr>
        <w:spacing w:after="240"/>
        <w:outlineLvl w:val="1"/>
        <w:rPr>
          <w:rFonts w:eastAsiaTheme="minorHAnsi"/>
        </w:rPr>
      </w:pPr>
      <w:r>
        <w:rPr>
          <w:i/>
        </w:rPr>
        <w:t>PNE (reconversion du CFC</w:t>
      </w:r>
      <w:r>
        <w:rPr>
          <w:i/>
        </w:rPr>
        <w:noBreakHyphen/>
        <w:t>11 au cyclopentane chez deux fabricants de mousses de polyuréthane)</w:t>
      </w:r>
      <w:r>
        <w:t> : Nassr State Company a élaboré le mandat pour l’installation et la mise en service de l’équipement, sélectionné un entrepreneur local, reçu des produits chimiques pour les besoins de formation, réalisé les travaux de génie civil et commencé la mise en service, l’installation et les essais de l’équipement ; Iraqi Steel a accueilli une visite sur site, achevé le mandat pour l’installation et la mise en service de l’équipement et le processus d’appel d’offre qui s’en est suivi, et a prévu d’attribuer le contrat résultant d’ici la fin avril 2025 ; et</w:t>
      </w:r>
    </w:p>
    <w:p w14:paraId="53FF381E" w14:textId="77777777" w:rsidR="00950EC2" w:rsidRPr="00950EC2" w:rsidRDefault="00950EC2" w:rsidP="00950EC2">
      <w:pPr>
        <w:numPr>
          <w:ilvl w:val="1"/>
          <w:numId w:val="1"/>
        </w:numPr>
        <w:spacing w:before="240" w:after="240"/>
        <w:outlineLvl w:val="1"/>
        <w:rPr>
          <w:rFonts w:eastAsiaTheme="minorHAnsi"/>
          <w:u w:val="single"/>
        </w:rPr>
      </w:pPr>
      <w:r>
        <w:rPr>
          <w:i/>
        </w:rPr>
        <w:t>Projet de remplacement du CFC-12 par de l’isobutane et du CFC-11 par du cyclopentane dans la fabrication de réfrigérateurs domestiques chez Light Industries</w:t>
      </w:r>
      <w:r>
        <w:t xml:space="preserve"> : le mandat pour </w:t>
      </w:r>
      <w:r>
        <w:lastRenderedPageBreak/>
        <w:t>l’installation et la mise en service de l’équipement, et le processus d’appel d’offre qui s’en est suivi ont été achevés, avec l’attribution du contrat prévue d’ici la fin avril 2025.</w:t>
      </w:r>
    </w:p>
    <w:p w14:paraId="0118C067" w14:textId="77777777" w:rsidR="00950EC2" w:rsidRPr="00950EC2" w:rsidRDefault="00950EC2" w:rsidP="00950EC2">
      <w:pPr>
        <w:keepNext/>
        <w:spacing w:before="240" w:after="240"/>
        <w:outlineLvl w:val="1"/>
        <w:rPr>
          <w:rFonts w:eastAsiaTheme="minorHAnsi"/>
          <w:u w:val="single"/>
        </w:rPr>
      </w:pPr>
      <w:r>
        <w:rPr>
          <w:u w:val="single"/>
        </w:rPr>
        <w:t>Niveau de décaissement des fonds</w:t>
      </w:r>
    </w:p>
    <w:p w14:paraId="2D99D94E" w14:textId="7763E637" w:rsidR="00950EC2" w:rsidRPr="00B55562" w:rsidRDefault="00950EC2" w:rsidP="00950EC2">
      <w:pPr>
        <w:numPr>
          <w:ilvl w:val="0"/>
          <w:numId w:val="1"/>
        </w:numPr>
        <w:spacing w:after="240"/>
        <w:outlineLvl w:val="0"/>
      </w:pPr>
      <w:r>
        <w:t>En mars 2025, le décaissement des fonds pour la deuxième tranche de la phase I du PGEH et pour le PNE a atteint respectivement 29,1 et 93,6 pour cent ; et le montant total de 2 161 581 $US approuvé pour le projet de reconversion chez Light Industries avait été décaissé, comme indiqué dans le tableau 6. Le solde restant sera décaissé d’ici décembre 2025.</w:t>
      </w:r>
    </w:p>
    <w:p w14:paraId="02324D6C" w14:textId="077693AE" w:rsidR="00950EC2" w:rsidRPr="00950EC2" w:rsidRDefault="00950EC2" w:rsidP="00473B75">
      <w:pPr>
        <w:keepNext/>
        <w:rPr>
          <w:b/>
        </w:rPr>
      </w:pPr>
      <w:r>
        <w:rPr>
          <w:b/>
        </w:rPr>
        <w:t>Tableau 6. Rapport financier des projets à achever pour l’Iraq</w:t>
      </w:r>
      <w:r>
        <w:t xml:space="preserve"> </w:t>
      </w:r>
      <w:r>
        <w:rPr>
          <w:b/>
        </w:rPr>
        <w:t>($US)</w:t>
      </w:r>
    </w:p>
    <w:tbl>
      <w:tblPr>
        <w:tblW w:w="5000" w:type="pct"/>
        <w:tblLayout w:type="fixed"/>
        <w:tblLook w:val="04A0" w:firstRow="1" w:lastRow="0" w:firstColumn="1" w:lastColumn="0" w:noHBand="0" w:noVBand="1"/>
      </w:tblPr>
      <w:tblGrid>
        <w:gridCol w:w="4007"/>
        <w:gridCol w:w="1158"/>
        <w:gridCol w:w="1337"/>
        <w:gridCol w:w="1604"/>
        <w:gridCol w:w="1244"/>
      </w:tblGrid>
      <w:tr w:rsidR="00950EC2" w:rsidRPr="00950EC2" w14:paraId="486D2365" w14:textId="77777777" w:rsidTr="00C303E0">
        <w:trPr>
          <w:tblHeader/>
        </w:trPr>
        <w:tc>
          <w:tcPr>
            <w:tcW w:w="21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5ED0DD2B" w14:textId="77777777" w:rsidR="00950EC2" w:rsidRPr="00950EC2" w:rsidRDefault="00950EC2" w:rsidP="00950EC2">
            <w:pPr>
              <w:widowControl w:val="0"/>
              <w:jc w:val="center"/>
              <w:rPr>
                <w:b/>
                <w:color w:val="000000"/>
                <w:sz w:val="20"/>
                <w:szCs w:val="20"/>
              </w:rPr>
            </w:pPr>
            <w:r>
              <w:rPr>
                <w:b/>
                <w:color w:val="000000"/>
                <w:sz w:val="20"/>
              </w:rPr>
              <w:t>Projets</w:t>
            </w:r>
          </w:p>
        </w:tc>
        <w:tc>
          <w:tcPr>
            <w:tcW w:w="619"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DC1B446" w14:textId="77777777" w:rsidR="00950EC2" w:rsidRPr="00950EC2" w:rsidRDefault="00950EC2" w:rsidP="00950EC2">
            <w:pPr>
              <w:widowControl w:val="0"/>
              <w:jc w:val="center"/>
              <w:rPr>
                <w:b/>
                <w:color w:val="000000"/>
                <w:sz w:val="20"/>
                <w:szCs w:val="20"/>
              </w:rPr>
            </w:pPr>
            <w:r>
              <w:rPr>
                <w:b/>
                <w:color w:val="000000"/>
                <w:sz w:val="20"/>
              </w:rPr>
              <w:t>Financement approuvé</w:t>
            </w:r>
          </w:p>
        </w:tc>
        <w:tc>
          <w:tcPr>
            <w:tcW w:w="71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B2D949B" w14:textId="77777777" w:rsidR="00950EC2" w:rsidRPr="00950EC2" w:rsidRDefault="00950EC2" w:rsidP="00950EC2">
            <w:pPr>
              <w:widowControl w:val="0"/>
              <w:jc w:val="center"/>
              <w:rPr>
                <w:b/>
                <w:color w:val="000000"/>
                <w:sz w:val="20"/>
                <w:szCs w:val="20"/>
              </w:rPr>
            </w:pPr>
            <w:r>
              <w:rPr>
                <w:b/>
                <w:color w:val="000000"/>
                <w:sz w:val="20"/>
              </w:rPr>
              <w:t>Montant décaissé</w:t>
            </w:r>
          </w:p>
        </w:tc>
        <w:tc>
          <w:tcPr>
            <w:tcW w:w="858"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EAADA78" w14:textId="77777777" w:rsidR="00950EC2" w:rsidRPr="00950EC2" w:rsidRDefault="00950EC2" w:rsidP="00950EC2">
            <w:pPr>
              <w:widowControl w:val="0"/>
              <w:jc w:val="center"/>
              <w:rPr>
                <w:b/>
                <w:color w:val="000000"/>
                <w:sz w:val="20"/>
                <w:szCs w:val="20"/>
              </w:rPr>
            </w:pPr>
            <w:r>
              <w:rPr>
                <w:b/>
                <w:color w:val="000000"/>
                <w:sz w:val="20"/>
              </w:rPr>
              <w:t>Taux de décaissement (%)</w:t>
            </w:r>
          </w:p>
        </w:tc>
        <w:tc>
          <w:tcPr>
            <w:tcW w:w="665" w:type="pct"/>
            <w:tcBorders>
              <w:top w:val="single" w:sz="4" w:space="0" w:color="auto"/>
              <w:left w:val="nil"/>
              <w:bottom w:val="single" w:sz="4" w:space="0" w:color="auto"/>
              <w:right w:val="single" w:sz="4" w:space="0" w:color="auto"/>
            </w:tcBorders>
            <w:shd w:val="clear" w:color="auto" w:fill="auto"/>
          </w:tcPr>
          <w:p w14:paraId="7B8C1777" w14:textId="77777777" w:rsidR="00950EC2" w:rsidRPr="00950EC2" w:rsidRDefault="00950EC2" w:rsidP="00950EC2">
            <w:pPr>
              <w:widowControl w:val="0"/>
              <w:jc w:val="center"/>
              <w:rPr>
                <w:b/>
                <w:color w:val="000000"/>
                <w:sz w:val="20"/>
                <w:szCs w:val="20"/>
              </w:rPr>
            </w:pPr>
            <w:r>
              <w:rPr>
                <w:b/>
                <w:color w:val="000000"/>
                <w:sz w:val="20"/>
              </w:rPr>
              <w:t>Solde du financement</w:t>
            </w:r>
          </w:p>
        </w:tc>
      </w:tr>
      <w:tr w:rsidR="00950EC2" w:rsidRPr="00950EC2" w14:paraId="33CD9B1E" w14:textId="77777777" w:rsidTr="00575853">
        <w:tc>
          <w:tcPr>
            <w:tcW w:w="2142"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1DF3BA93" w14:textId="77777777" w:rsidR="00950EC2" w:rsidRPr="0009649B" w:rsidRDefault="00950EC2" w:rsidP="00950EC2">
            <w:pPr>
              <w:widowControl w:val="0"/>
              <w:jc w:val="left"/>
              <w:rPr>
                <w:color w:val="000000"/>
                <w:sz w:val="20"/>
                <w:szCs w:val="20"/>
                <w:lang w:val="en-US"/>
              </w:rPr>
            </w:pPr>
            <w:r w:rsidRPr="0009649B">
              <w:rPr>
                <w:color w:val="000000"/>
                <w:sz w:val="20"/>
                <w:lang w:val="en-US"/>
              </w:rPr>
              <w:t>PGEH (phase I, 2</w:t>
            </w:r>
            <w:r w:rsidRPr="0009649B">
              <w:rPr>
                <w:color w:val="000000"/>
                <w:sz w:val="20"/>
                <w:vertAlign w:val="superscript"/>
                <w:lang w:val="en-US"/>
              </w:rPr>
              <w:t>e</w:t>
            </w:r>
            <w:r w:rsidRPr="0009649B">
              <w:rPr>
                <w:color w:val="000000"/>
                <w:sz w:val="20"/>
                <w:lang w:val="en-US"/>
              </w:rPr>
              <w:t> tranche)</w:t>
            </w:r>
          </w:p>
        </w:tc>
        <w:tc>
          <w:tcPr>
            <w:tcW w:w="619"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2A496DEC" w14:textId="77777777" w:rsidR="00950EC2" w:rsidRPr="00950EC2" w:rsidRDefault="00950EC2" w:rsidP="00950EC2">
            <w:pPr>
              <w:widowControl w:val="0"/>
              <w:jc w:val="right"/>
              <w:rPr>
                <w:color w:val="000000"/>
                <w:sz w:val="20"/>
                <w:szCs w:val="20"/>
              </w:rPr>
            </w:pPr>
            <w:r>
              <w:rPr>
                <w:color w:val="000000"/>
                <w:sz w:val="20"/>
              </w:rPr>
              <w:t>230 000</w:t>
            </w:r>
          </w:p>
        </w:tc>
        <w:tc>
          <w:tcPr>
            <w:tcW w:w="71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5E0ACC60" w14:textId="77777777" w:rsidR="00950EC2" w:rsidRPr="00950EC2" w:rsidRDefault="00950EC2" w:rsidP="00950EC2">
            <w:pPr>
              <w:widowControl w:val="0"/>
              <w:jc w:val="right"/>
              <w:rPr>
                <w:color w:val="000000"/>
                <w:sz w:val="20"/>
                <w:szCs w:val="20"/>
              </w:rPr>
            </w:pPr>
            <w:r>
              <w:rPr>
                <w:color w:val="000000"/>
                <w:sz w:val="20"/>
              </w:rPr>
              <w:t>66 856</w:t>
            </w:r>
          </w:p>
        </w:tc>
        <w:tc>
          <w:tcPr>
            <w:tcW w:w="858" w:type="pct"/>
            <w:tcBorders>
              <w:top w:val="nil"/>
              <w:left w:val="nil"/>
              <w:bottom w:val="single" w:sz="4" w:space="0" w:color="auto"/>
              <w:right w:val="single" w:sz="4" w:space="0" w:color="auto"/>
            </w:tcBorders>
            <w:shd w:val="clear" w:color="auto" w:fill="auto"/>
            <w:noWrap/>
            <w:tcMar>
              <w:left w:w="72" w:type="dxa"/>
              <w:right w:w="72" w:type="dxa"/>
            </w:tcMar>
            <w:vAlign w:val="bottom"/>
          </w:tcPr>
          <w:p w14:paraId="5F4F7051" w14:textId="77777777" w:rsidR="00950EC2" w:rsidRPr="00950EC2" w:rsidRDefault="00950EC2" w:rsidP="00950EC2">
            <w:pPr>
              <w:widowControl w:val="0"/>
              <w:jc w:val="center"/>
              <w:rPr>
                <w:color w:val="000000"/>
                <w:sz w:val="20"/>
                <w:szCs w:val="20"/>
              </w:rPr>
            </w:pPr>
            <w:r>
              <w:rPr>
                <w:color w:val="000000"/>
                <w:sz w:val="20"/>
              </w:rPr>
              <w:t>29,1</w:t>
            </w:r>
          </w:p>
        </w:tc>
        <w:tc>
          <w:tcPr>
            <w:tcW w:w="665" w:type="pct"/>
            <w:tcBorders>
              <w:top w:val="nil"/>
              <w:left w:val="nil"/>
              <w:bottom w:val="single" w:sz="4" w:space="0" w:color="auto"/>
              <w:right w:val="single" w:sz="4" w:space="0" w:color="auto"/>
            </w:tcBorders>
            <w:shd w:val="clear" w:color="auto" w:fill="auto"/>
          </w:tcPr>
          <w:p w14:paraId="0594AD6B" w14:textId="77777777" w:rsidR="00950EC2" w:rsidRPr="00950EC2" w:rsidRDefault="00950EC2" w:rsidP="00950EC2">
            <w:pPr>
              <w:widowControl w:val="0"/>
              <w:jc w:val="right"/>
              <w:rPr>
                <w:color w:val="000000"/>
                <w:sz w:val="20"/>
                <w:szCs w:val="20"/>
              </w:rPr>
            </w:pPr>
            <w:r>
              <w:rPr>
                <w:color w:val="000000"/>
                <w:sz w:val="20"/>
              </w:rPr>
              <w:t>*163 144</w:t>
            </w:r>
          </w:p>
        </w:tc>
      </w:tr>
      <w:tr w:rsidR="00950EC2" w:rsidRPr="00950EC2" w14:paraId="53525A3C" w14:textId="77777777" w:rsidTr="00BC1BCF">
        <w:tc>
          <w:tcPr>
            <w:tcW w:w="2142"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1C49F0B" w14:textId="77777777" w:rsidR="00950EC2" w:rsidRPr="0009649B" w:rsidRDefault="00950EC2" w:rsidP="00950EC2">
            <w:pPr>
              <w:widowControl w:val="0"/>
              <w:jc w:val="left"/>
              <w:rPr>
                <w:color w:val="000000"/>
                <w:sz w:val="20"/>
                <w:szCs w:val="20"/>
                <w:lang w:val="en-US"/>
              </w:rPr>
            </w:pPr>
            <w:r w:rsidRPr="0009649B">
              <w:rPr>
                <w:color w:val="000000"/>
                <w:sz w:val="20"/>
                <w:lang w:val="en-US"/>
              </w:rPr>
              <w:t>PNE (Nassr State Company</w:t>
            </w:r>
            <w:r w:rsidRPr="0009649B">
              <w:rPr>
                <w:sz w:val="20"/>
                <w:lang w:val="en-US"/>
              </w:rPr>
              <w:t xml:space="preserve"> et </w:t>
            </w:r>
            <w:r w:rsidRPr="0009649B">
              <w:rPr>
                <w:color w:val="000000"/>
                <w:sz w:val="20"/>
                <w:lang w:val="en-US"/>
              </w:rPr>
              <w:t>Iraqi Steel)</w:t>
            </w:r>
          </w:p>
        </w:tc>
        <w:tc>
          <w:tcPr>
            <w:tcW w:w="619"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F165E56" w14:textId="77777777" w:rsidR="00950EC2" w:rsidRPr="00950EC2" w:rsidRDefault="00950EC2" w:rsidP="00950EC2">
            <w:pPr>
              <w:widowControl w:val="0"/>
              <w:jc w:val="right"/>
              <w:rPr>
                <w:color w:val="000000"/>
                <w:sz w:val="20"/>
                <w:szCs w:val="20"/>
              </w:rPr>
            </w:pPr>
            <w:r>
              <w:rPr>
                <w:color w:val="000000"/>
                <w:sz w:val="20"/>
              </w:rPr>
              <w:t>4 353 530</w:t>
            </w:r>
          </w:p>
        </w:tc>
        <w:tc>
          <w:tcPr>
            <w:tcW w:w="71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82DCE1A" w14:textId="77777777" w:rsidR="00950EC2" w:rsidRPr="00950EC2" w:rsidRDefault="00950EC2" w:rsidP="00950EC2">
            <w:pPr>
              <w:widowControl w:val="0"/>
              <w:jc w:val="right"/>
              <w:rPr>
                <w:color w:val="000000"/>
                <w:sz w:val="20"/>
                <w:szCs w:val="20"/>
              </w:rPr>
            </w:pPr>
            <w:r>
              <w:rPr>
                <w:color w:val="000000"/>
                <w:sz w:val="20"/>
              </w:rPr>
              <w:t>4 073 600</w:t>
            </w:r>
          </w:p>
        </w:tc>
        <w:tc>
          <w:tcPr>
            <w:tcW w:w="858"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489283" w14:textId="77777777" w:rsidR="00950EC2" w:rsidRPr="00950EC2" w:rsidRDefault="00950EC2" w:rsidP="00950EC2">
            <w:pPr>
              <w:widowControl w:val="0"/>
              <w:jc w:val="center"/>
              <w:rPr>
                <w:color w:val="000000"/>
                <w:sz w:val="20"/>
                <w:szCs w:val="20"/>
              </w:rPr>
            </w:pPr>
            <w:r>
              <w:rPr>
                <w:color w:val="000000"/>
                <w:sz w:val="20"/>
              </w:rPr>
              <w:t>93,6</w:t>
            </w:r>
          </w:p>
        </w:tc>
        <w:tc>
          <w:tcPr>
            <w:tcW w:w="665" w:type="pct"/>
            <w:tcBorders>
              <w:top w:val="nil"/>
              <w:left w:val="nil"/>
              <w:bottom w:val="single" w:sz="4" w:space="0" w:color="auto"/>
              <w:right w:val="single" w:sz="4" w:space="0" w:color="auto"/>
            </w:tcBorders>
            <w:shd w:val="clear" w:color="auto" w:fill="auto"/>
          </w:tcPr>
          <w:p w14:paraId="0B2987FB" w14:textId="77777777" w:rsidR="00950EC2" w:rsidRPr="00950EC2" w:rsidRDefault="00950EC2" w:rsidP="00950EC2">
            <w:pPr>
              <w:widowControl w:val="0"/>
              <w:jc w:val="right"/>
              <w:rPr>
                <w:color w:val="000000"/>
                <w:sz w:val="20"/>
                <w:szCs w:val="20"/>
              </w:rPr>
            </w:pPr>
            <w:r>
              <w:rPr>
                <w:color w:val="000000"/>
                <w:sz w:val="20"/>
              </w:rPr>
              <w:t>**279 930</w:t>
            </w:r>
          </w:p>
        </w:tc>
      </w:tr>
      <w:tr w:rsidR="00950EC2" w:rsidRPr="00950EC2" w14:paraId="619A08E3" w14:textId="77777777" w:rsidTr="00BC1BCF">
        <w:tc>
          <w:tcPr>
            <w:tcW w:w="21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tcPr>
          <w:p w14:paraId="195C9687" w14:textId="77777777" w:rsidR="00950EC2" w:rsidRPr="00950EC2" w:rsidRDefault="00950EC2" w:rsidP="00950EC2">
            <w:pPr>
              <w:widowControl w:val="0"/>
              <w:jc w:val="left"/>
              <w:rPr>
                <w:color w:val="000000"/>
                <w:sz w:val="20"/>
                <w:szCs w:val="20"/>
              </w:rPr>
            </w:pPr>
            <w:r>
              <w:rPr>
                <w:color w:val="000000"/>
                <w:sz w:val="20"/>
              </w:rPr>
              <w:t>Reconversion chez Light Industries</w:t>
            </w:r>
          </w:p>
        </w:tc>
        <w:tc>
          <w:tcPr>
            <w:tcW w:w="619" w:type="pct"/>
            <w:tcBorders>
              <w:top w:val="single" w:sz="4" w:space="0" w:color="auto"/>
              <w:left w:val="nil"/>
              <w:bottom w:val="single" w:sz="4" w:space="0" w:color="auto"/>
              <w:right w:val="single" w:sz="4" w:space="0" w:color="auto"/>
            </w:tcBorders>
            <w:shd w:val="clear" w:color="auto" w:fill="auto"/>
            <w:noWrap/>
            <w:tcMar>
              <w:left w:w="72" w:type="dxa"/>
              <w:right w:w="115" w:type="dxa"/>
            </w:tcMar>
            <w:vAlign w:val="center"/>
          </w:tcPr>
          <w:p w14:paraId="10076DA5" w14:textId="77777777" w:rsidR="00950EC2" w:rsidRPr="00950EC2" w:rsidRDefault="00950EC2" w:rsidP="00950EC2">
            <w:pPr>
              <w:widowControl w:val="0"/>
              <w:jc w:val="right"/>
              <w:rPr>
                <w:color w:val="000000"/>
                <w:sz w:val="20"/>
                <w:szCs w:val="20"/>
              </w:rPr>
            </w:pPr>
            <w:r>
              <w:rPr>
                <w:color w:val="000000"/>
                <w:sz w:val="20"/>
              </w:rPr>
              <w:t>2 161 581</w:t>
            </w:r>
          </w:p>
        </w:tc>
        <w:tc>
          <w:tcPr>
            <w:tcW w:w="715" w:type="pct"/>
            <w:tcBorders>
              <w:top w:val="single" w:sz="4" w:space="0" w:color="auto"/>
              <w:left w:val="nil"/>
              <w:bottom w:val="single" w:sz="4" w:space="0" w:color="auto"/>
              <w:right w:val="single" w:sz="4" w:space="0" w:color="auto"/>
            </w:tcBorders>
            <w:shd w:val="clear" w:color="auto" w:fill="auto"/>
            <w:noWrap/>
            <w:tcMar>
              <w:left w:w="72" w:type="dxa"/>
              <w:right w:w="115" w:type="dxa"/>
            </w:tcMar>
            <w:vAlign w:val="center"/>
          </w:tcPr>
          <w:p w14:paraId="08061A0D" w14:textId="77777777" w:rsidR="00950EC2" w:rsidRPr="00950EC2" w:rsidRDefault="00950EC2" w:rsidP="00950EC2">
            <w:pPr>
              <w:widowControl w:val="0"/>
              <w:jc w:val="right"/>
              <w:rPr>
                <w:color w:val="000000"/>
                <w:sz w:val="20"/>
                <w:szCs w:val="20"/>
              </w:rPr>
            </w:pPr>
            <w:r>
              <w:rPr>
                <w:color w:val="000000"/>
                <w:sz w:val="20"/>
              </w:rPr>
              <w:t>2 161 581</w:t>
            </w:r>
          </w:p>
        </w:tc>
        <w:tc>
          <w:tcPr>
            <w:tcW w:w="858"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6D2226A8" w14:textId="77777777" w:rsidR="00950EC2" w:rsidRPr="00950EC2" w:rsidRDefault="00950EC2" w:rsidP="00950EC2">
            <w:pPr>
              <w:widowControl w:val="0"/>
              <w:jc w:val="center"/>
              <w:rPr>
                <w:color w:val="000000"/>
                <w:sz w:val="20"/>
                <w:szCs w:val="20"/>
              </w:rPr>
            </w:pPr>
            <w:r>
              <w:rPr>
                <w:color w:val="000000"/>
                <w:sz w:val="20"/>
              </w:rPr>
              <w:t>100</w:t>
            </w:r>
          </w:p>
        </w:tc>
        <w:tc>
          <w:tcPr>
            <w:tcW w:w="665" w:type="pct"/>
            <w:tcBorders>
              <w:top w:val="single" w:sz="4" w:space="0" w:color="auto"/>
              <w:left w:val="nil"/>
              <w:bottom w:val="single" w:sz="4" w:space="0" w:color="auto"/>
              <w:right w:val="single" w:sz="4" w:space="0" w:color="auto"/>
            </w:tcBorders>
            <w:shd w:val="clear" w:color="auto" w:fill="auto"/>
          </w:tcPr>
          <w:p w14:paraId="5231F53D" w14:textId="77777777" w:rsidR="00950EC2" w:rsidRPr="00950EC2" w:rsidRDefault="00950EC2" w:rsidP="00950EC2">
            <w:pPr>
              <w:widowControl w:val="0"/>
              <w:jc w:val="right"/>
              <w:rPr>
                <w:color w:val="000000"/>
                <w:sz w:val="20"/>
                <w:szCs w:val="20"/>
              </w:rPr>
            </w:pPr>
            <w:r>
              <w:rPr>
                <w:color w:val="000000"/>
                <w:sz w:val="20"/>
              </w:rPr>
              <w:t>0</w:t>
            </w:r>
          </w:p>
        </w:tc>
      </w:tr>
    </w:tbl>
    <w:p w14:paraId="6D53E399" w14:textId="77777777" w:rsidR="00950EC2" w:rsidRPr="00950EC2" w:rsidRDefault="00950EC2" w:rsidP="00950EC2">
      <w:pPr>
        <w:widowControl w:val="0"/>
        <w:spacing w:after="240"/>
        <w:contextualSpacing/>
        <w:jc w:val="left"/>
        <w:rPr>
          <w:rFonts w:eastAsiaTheme="minorHAnsi"/>
          <w:sz w:val="18"/>
          <w:szCs w:val="18"/>
        </w:rPr>
      </w:pPr>
      <w:r>
        <w:rPr>
          <w:sz w:val="18"/>
        </w:rPr>
        <w:t>* Dont 155 080 $US engagés pour l’approvisionnement en outils et équipement pour les techniciens</w:t>
      </w:r>
    </w:p>
    <w:p w14:paraId="464F5D71" w14:textId="77777777" w:rsidR="00950EC2" w:rsidRDefault="00950EC2" w:rsidP="00C75A49">
      <w:pPr>
        <w:widowControl w:val="0"/>
        <w:spacing w:before="240" w:after="240"/>
        <w:contextualSpacing/>
        <w:jc w:val="left"/>
        <w:rPr>
          <w:rFonts w:eastAsiaTheme="minorHAnsi"/>
          <w:sz w:val="18"/>
          <w:szCs w:val="18"/>
        </w:rPr>
      </w:pPr>
      <w:r>
        <w:rPr>
          <w:sz w:val="18"/>
        </w:rPr>
        <w:t>** Dont 187 083 $US engagés pour les activités de reconversion d’entreprise en cours</w:t>
      </w:r>
    </w:p>
    <w:p w14:paraId="5361C19F" w14:textId="77777777" w:rsidR="00C75A49" w:rsidRPr="00950EC2" w:rsidRDefault="00C75A49" w:rsidP="00C75A49">
      <w:pPr>
        <w:widowControl w:val="0"/>
        <w:spacing w:before="240" w:after="240"/>
        <w:contextualSpacing/>
        <w:jc w:val="left"/>
        <w:rPr>
          <w:rFonts w:eastAsiaTheme="minorHAnsi"/>
          <w:sz w:val="18"/>
          <w:szCs w:val="18"/>
        </w:rPr>
      </w:pPr>
    </w:p>
    <w:p w14:paraId="6DC09170" w14:textId="77777777" w:rsidR="00950EC2" w:rsidRPr="00950EC2" w:rsidRDefault="00950EC2" w:rsidP="00C75A49">
      <w:pPr>
        <w:widowControl w:val="0"/>
        <w:spacing w:after="240"/>
        <w:rPr>
          <w:rFonts w:eastAsiaTheme="minorHAnsi"/>
          <w:b/>
          <w:bCs/>
        </w:rPr>
      </w:pPr>
      <w:r>
        <w:rPr>
          <w:b/>
        </w:rPr>
        <w:t>Observations du secrétariat</w:t>
      </w:r>
    </w:p>
    <w:p w14:paraId="0F986A47" w14:textId="77777777" w:rsidR="00950EC2" w:rsidRPr="00950EC2" w:rsidRDefault="00950EC2" w:rsidP="00950EC2">
      <w:pPr>
        <w:widowControl w:val="0"/>
        <w:numPr>
          <w:ilvl w:val="0"/>
          <w:numId w:val="1"/>
        </w:numPr>
        <w:spacing w:after="240"/>
        <w:outlineLvl w:val="0"/>
        <w:rPr>
          <w:rFonts w:eastAsiaTheme="minorHAnsi"/>
        </w:rPr>
      </w:pPr>
      <w:r>
        <w:t>En ce qui concerne l’activité en souffrance de la phase I du PGEH, le secrétariat a reconnu que la résolution des problèmes d’approvisionnement retardant l’approvisionnement en identificateurs de frigorigènes pendant des années dépassait le cadre du projet et a pris note de la proposition de l’ONUDI de plutôt acheter des outils et de l’équipement de remplacement pour un nombre estimé à 100 techniciens d’entretien. L’ONUDI a expliqué que les outils seraient choisis spécifiquement pour répondre au besoin immédiat de réduction des fuites dans l’équipement existant et de promotion de la prévention des fuites, de détection et de réparation de l’équipement, et que les identificateurs de frigorigènes seraient finalement achetés au titre de la phase II, avec d’autres outils pour les bonnes pratiques d’entretien, lorsque la situation de la disponibilité mondiale le permettrait. Prenant note que la réduction de la demande de HCFC-22 neuf en Iraq était cruciale, puisque la consommation de cette substance pour 2020–2024 restait de 66,39 tonnes PAO, soit seulement 0,01 tonne PAO sous le niveau de consommation maximale admissible ; que l’approvisionnement en équipement et outils et leur distribution aux techniciens figuraient dans le plan d’action pour la deuxième tranche de la phase I du PGEH </w:t>
      </w:r>
      <w:r w:rsidRPr="00B55562">
        <w:rPr>
          <w:rFonts w:eastAsiaTheme="minorHAnsi"/>
          <w:vertAlign w:val="superscript"/>
        </w:rPr>
        <w:footnoteReference w:id="14"/>
      </w:r>
      <w:r>
        <w:t> ; et que l’Accord pour la phase I offrait de la souplesse dans la gestion de besoins spécifiques survenant pendant la mise en œuvre des projets dans le secteur de l’entretien de l’équipement de réfrigération, le secrétariat a accepté la solution proposée.</w:t>
      </w:r>
    </w:p>
    <w:p w14:paraId="6531F18B" w14:textId="77777777" w:rsidR="00950EC2" w:rsidRPr="00950EC2" w:rsidRDefault="00950EC2" w:rsidP="00394535">
      <w:pPr>
        <w:widowControl w:val="0"/>
        <w:numPr>
          <w:ilvl w:val="0"/>
          <w:numId w:val="1"/>
        </w:numPr>
        <w:spacing w:after="240"/>
        <w:outlineLvl w:val="0"/>
        <w:rPr>
          <w:rFonts w:eastAsiaTheme="minorHAnsi"/>
        </w:rPr>
      </w:pPr>
      <w:r>
        <w:t>Au sujet de la mise en œuvre du projet de PNE chez Nassr State Company, l’ONUDI a confirmé qu’il lui avait été donné la priorité et qu’elle avait progressé plus vite que la reconversion des deux autres entreprises. Le processus en cours de mise en œuvre, d’installation et d’essai de l’équipement, prévu pour une durée de cinq à huit semaines, s’achèvera par la vérification sur site et l’inspection de sécurité. L’ONUDI a en outre expliqué que les enseignements tirés de la reconversion de Nassr ont servi à la préparation du mandat pour Iraqi Steel (NPP) et Light Industries, notamment à travers la demande de l’évaluation de l’état de préparation de l’entreprise et de son engagement pour l’achèvement du projet lors de visites de sites effectuées par le coordinateur du projet et l’UNO. Il est estimé que le processus de mise en service et d’installation de l’équipement chez les deux bénéficiaires, comprenant les composantes mécanique et électrique ainsi que les travaux de génie civil, dure de cinq à huit semaines, avec un achèvement du projet prévu d’ici septembre 2025.</w:t>
      </w:r>
    </w:p>
    <w:p w14:paraId="480C53D6" w14:textId="77777777" w:rsidR="00950EC2" w:rsidRPr="00950EC2" w:rsidRDefault="00950EC2" w:rsidP="00394535">
      <w:pPr>
        <w:numPr>
          <w:ilvl w:val="0"/>
          <w:numId w:val="1"/>
        </w:numPr>
        <w:spacing w:after="240"/>
        <w:outlineLvl w:val="0"/>
        <w:rPr>
          <w:rFonts w:eastAsiaTheme="minorHAnsi"/>
        </w:rPr>
      </w:pPr>
      <w:r>
        <w:t xml:space="preserve">L’ONUDI a confirmé qu’elle poursuivrait le suivi de la mise en œuvre et traiterait activement toute difficulté survenant pour garantir l’achèvement dans les temps de tous les projets en cours d’ici le </w:t>
      </w:r>
      <w:r>
        <w:lastRenderedPageBreak/>
        <w:t>31 décembre 2025, dont la livraison et la distribution d’outils aux bénéficiaires, et que des identificateurs de frigorigène seraient achetés pendant la phase II, une fois le problème d’approvisionnement résolu.</w:t>
      </w:r>
    </w:p>
    <w:p w14:paraId="1BF919A1" w14:textId="77777777" w:rsidR="00950EC2" w:rsidRPr="00950EC2" w:rsidRDefault="00950EC2" w:rsidP="00394535">
      <w:pPr>
        <w:keepNext/>
        <w:spacing w:before="240" w:after="240"/>
        <w:outlineLvl w:val="0"/>
        <w:rPr>
          <w:rFonts w:eastAsiaTheme="minorHAnsi"/>
        </w:rPr>
      </w:pPr>
      <w:r>
        <w:rPr>
          <w:b/>
        </w:rPr>
        <w:t>Recommandation</w:t>
      </w:r>
    </w:p>
    <w:p w14:paraId="3E58E3A5" w14:textId="77777777" w:rsidR="00950EC2" w:rsidRPr="00950EC2" w:rsidRDefault="00950EC2" w:rsidP="00394535">
      <w:pPr>
        <w:keepNext/>
        <w:numPr>
          <w:ilvl w:val="0"/>
          <w:numId w:val="1"/>
        </w:numPr>
        <w:spacing w:after="240"/>
        <w:outlineLvl w:val="0"/>
        <w:rPr>
          <w:rFonts w:eastAsiaTheme="minorHAnsi"/>
        </w:rPr>
      </w:pPr>
      <w:r>
        <w:t>Le Comité exécutif pourrait envisager :</w:t>
      </w:r>
    </w:p>
    <w:p w14:paraId="73220695" w14:textId="77777777" w:rsidR="00950EC2" w:rsidRPr="00950EC2" w:rsidRDefault="00950EC2" w:rsidP="00394535">
      <w:pPr>
        <w:keepNext/>
        <w:numPr>
          <w:ilvl w:val="1"/>
          <w:numId w:val="1"/>
        </w:numPr>
        <w:spacing w:after="240"/>
        <w:outlineLvl w:val="1"/>
        <w:rPr>
          <w:rFonts w:eastAsiaTheme="minorHAnsi"/>
        </w:rPr>
      </w:pPr>
      <w:r>
        <w:t>de prendre note des rapports sur les progrès effectués dans la réalisation de la phase I du plan de gestion de l’élimination des HCFC, du plan national d’élimination (première tranche) (IRQ/PHA/58/INV/09) et du projet pour remplacer le CFC-12 utilisé comme frigorigène par de l’isobutane et du CFC-11 utilisé comme agent de gonflage par du cyclopentane pour la fabrication de réfrigérateurs domestiques et de congélateurs coffres chez Light Industries Company en Iraq (IRQ/REF/57/INV/07), soumis par l’ONUDI et figurant dans le document UNEP/OzL.Pro/ExCom/96/11 ; et</w:t>
      </w:r>
    </w:p>
    <w:p w14:paraId="437C943D" w14:textId="44BF0B7A" w:rsidR="009E053A" w:rsidRPr="00950EC2" w:rsidRDefault="00950EC2" w:rsidP="001C78F5">
      <w:pPr>
        <w:numPr>
          <w:ilvl w:val="1"/>
          <w:numId w:val="1"/>
        </w:numPr>
        <w:spacing w:after="240"/>
        <w:outlineLvl w:val="1"/>
        <w:rPr>
          <w:rFonts w:eastAsiaTheme="minorHAnsi"/>
        </w:rPr>
      </w:pPr>
      <w:r>
        <w:t>de demander à l’ONUDI de présenter un rapport périodique de l’achèvement des projets mentionnés à l’alinéa a) ci-dessus, à la 97</w:t>
      </w:r>
      <w:r>
        <w:rPr>
          <w:vertAlign w:val="superscript"/>
        </w:rPr>
        <w:t>e</w:t>
      </w:r>
      <w:r>
        <w:t> réunion.</w:t>
      </w:r>
    </w:p>
    <w:p w14:paraId="14BFE38F" w14:textId="395244D2" w:rsidR="007628A9" w:rsidRPr="006E40C2" w:rsidRDefault="007628A9" w:rsidP="007628A9">
      <w:pPr>
        <w:ind w:left="720"/>
        <w:rPr>
          <w:b/>
          <w:bCs/>
          <w:u w:val="single"/>
        </w:rPr>
      </w:pPr>
      <w:r>
        <w:rPr>
          <w:b/>
          <w:u w:val="single"/>
        </w:rPr>
        <w:t>Kenya : Plan de gestion de l’élimination des HCFC (phase II – changement de technologie dans un supermarché (Woolmatt))</w:t>
      </w:r>
      <w:r>
        <w:rPr>
          <w:b/>
        </w:rPr>
        <w:t xml:space="preserve"> (Gouvernement de la France)</w:t>
      </w:r>
    </w:p>
    <w:p w14:paraId="20899847" w14:textId="77777777" w:rsidR="007628A9" w:rsidRPr="006E40C2" w:rsidRDefault="007628A9" w:rsidP="007628A9"/>
    <w:p w14:paraId="59A39F87" w14:textId="77777777" w:rsidR="007628A9" w:rsidRPr="006E40C2" w:rsidRDefault="007628A9" w:rsidP="007628A9">
      <w:pPr>
        <w:rPr>
          <w:b/>
          <w:bCs/>
        </w:rPr>
      </w:pPr>
      <w:r>
        <w:rPr>
          <w:b/>
        </w:rPr>
        <w:t>Contexte</w:t>
      </w:r>
    </w:p>
    <w:p w14:paraId="752BDFAC" w14:textId="77777777" w:rsidR="007628A9" w:rsidRPr="006E40C2" w:rsidRDefault="007628A9" w:rsidP="007628A9"/>
    <w:p w14:paraId="2F30BD53" w14:textId="77777777" w:rsidR="007628A9" w:rsidRPr="006E40C2" w:rsidRDefault="007628A9" w:rsidP="007628A9">
      <w:pPr>
        <w:pStyle w:val="Heading1"/>
      </w:pPr>
      <w:r>
        <w:t>À la 94</w:t>
      </w:r>
      <w:r>
        <w:rPr>
          <w:vertAlign w:val="superscript"/>
        </w:rPr>
        <w:t>e</w:t>
      </w:r>
      <w:r>
        <w:t> réunion, le Comité exécutif a décidé de reporter, à la 95</w:t>
      </w:r>
      <w:r>
        <w:rPr>
          <w:vertAlign w:val="superscript"/>
        </w:rPr>
        <w:t>e</w:t>
      </w:r>
      <w:r>
        <w:t> réunion, l’examen de la proposition révisée de programme d’incitation pour le secteur de la réfrigération commerciale au titre de la phase II du plan de gestion de l’élimination des HCFC (PGEH) pour le Kenya qui avait été présentée à la 94</w:t>
      </w:r>
      <w:r>
        <w:rPr>
          <w:vertAlign w:val="superscript"/>
        </w:rPr>
        <w:t>e</w:t>
      </w:r>
      <w:r>
        <w:t> réunion, étant entendu que les Gouvernements de la France et du Kenya présenteraient, à la 95</w:t>
      </w:r>
      <w:r>
        <w:rPr>
          <w:vertAlign w:val="superscript"/>
        </w:rPr>
        <w:t>e</w:t>
      </w:r>
      <w:r>
        <w:t> réunion, une proposition révisée supplémentaire de réaffectation de tout ou partie des fonds du projet à d’autres programmes d’incitation des utilisateurs finaux afin de promouvoir l’adoption de technologies à faible potentiel de réchauffement de la planète (PRP) dans le pays, et de réduction du niveau de soutien à la formation par rapport à la proposition présentée à la 94</w:t>
      </w:r>
      <w:r>
        <w:rPr>
          <w:vertAlign w:val="superscript"/>
        </w:rPr>
        <w:t>e</w:t>
      </w:r>
      <w:r>
        <w:t> réunion (décision 94/12).</w:t>
      </w:r>
    </w:p>
    <w:p w14:paraId="7BDBEC18" w14:textId="77777777" w:rsidR="007628A9" w:rsidRPr="006E40C2" w:rsidRDefault="007628A9" w:rsidP="007628A9">
      <w:pPr>
        <w:rPr>
          <w:b/>
          <w:bCs/>
        </w:rPr>
      </w:pPr>
      <w:r>
        <w:rPr>
          <w:b/>
        </w:rPr>
        <w:t>Proposition révisée</w:t>
      </w:r>
    </w:p>
    <w:p w14:paraId="3EFD57D8" w14:textId="77777777" w:rsidR="007628A9" w:rsidRPr="006E40C2" w:rsidRDefault="007628A9" w:rsidP="007628A9"/>
    <w:p w14:paraId="181FCE84" w14:textId="77777777" w:rsidR="007628A9" w:rsidRPr="006E40C2" w:rsidRDefault="007628A9" w:rsidP="007628A9">
      <w:pPr>
        <w:pStyle w:val="Heading1"/>
      </w:pPr>
      <w:r>
        <w:t>En réponse à cette décision, le Gouvernement de la France a fourni des informations actualisées sur la reconversion technologique comme suit :</w:t>
      </w:r>
    </w:p>
    <w:p w14:paraId="174257A7" w14:textId="77777777" w:rsidR="007628A9" w:rsidRPr="006E40C2" w:rsidRDefault="007628A9" w:rsidP="007628A9">
      <w:pPr>
        <w:pStyle w:val="Heading2"/>
        <w:numPr>
          <w:ilvl w:val="1"/>
          <w:numId w:val="2"/>
        </w:numPr>
      </w:pPr>
      <w:r>
        <w:t>un autre supermarché, Woolmatt, à Nakuru, a exprimé son intérêt à participer au projet en se reconvertissant à un système au CO</w:t>
      </w:r>
      <w:r>
        <w:rPr>
          <w:vertAlign w:val="subscript"/>
        </w:rPr>
        <w:t>2</w:t>
      </w:r>
      <w:r>
        <w:t xml:space="preserve"> transcritique. La reconversion est prévue pour une mise en œuvre dans la principale filiale du centre-ville de Nakuru et implique une capacité totale de refroidissement d’environ 40 kW. Ceci impliquera le remplacement de huit systèmes à plusieurs étages avec une charge totale de frigorigène de 28 kg de HCFC</w:t>
      </w:r>
      <w:r>
        <w:noBreakHyphen/>
        <w:t>22 par un système centralisé utilisant du CO</w:t>
      </w:r>
      <w:r>
        <w:rPr>
          <w:vertAlign w:val="subscript"/>
        </w:rPr>
        <w:t>2</w:t>
      </w:r>
      <w:r>
        <w:t xml:space="preserve"> transcritique, ainsi que l’intégration de congélateurs et de refroidisseurs pour disposer d’un système central global écoénergétique ;</w:t>
      </w:r>
    </w:p>
    <w:p w14:paraId="67294FE6" w14:textId="77777777" w:rsidR="007628A9" w:rsidRPr="006E40C2" w:rsidRDefault="007628A9" w:rsidP="007628A9">
      <w:pPr>
        <w:pStyle w:val="Heading2"/>
        <w:numPr>
          <w:ilvl w:val="1"/>
          <w:numId w:val="2"/>
        </w:numPr>
      </w:pPr>
      <w:r>
        <w:t>le budget total pour ce projet, comprenant la mise en œuvre, la formation et le suivi, est de 365 000 $US. Ceci comprend huit systèmes à plusieurs étages (120 000 $US), une armoire d’éjecteurs au CO</w:t>
      </w:r>
      <w:r>
        <w:rPr>
          <w:vertAlign w:val="subscript"/>
        </w:rPr>
        <w:t>2</w:t>
      </w:r>
      <w:r>
        <w:t xml:space="preserve"> transcritique, un panneau électrique et un refroidisseur de gaz (105 000 $US), d’autres accessoires et composants (30 000 $US), une formation à la mise en service et aux opérations par un expert international (15 000 $US), l’expédition, l’assurance et d’autres dépenses de dédouanement (50 000 $US), le soutien technique pour la conception, l’évaluation du processus d’approvisionnement (10 000 $US), le suivi de la consommation d’énergie avec des compteurs intelligents et un soutien technique </w:t>
      </w:r>
      <w:r>
        <w:lastRenderedPageBreak/>
        <w:t>(5 000 $US), et un soutien technique et opérationnel pour l’approvisionnement, l’expédition et l’installation (30 000 $US) ;</w:t>
      </w:r>
    </w:p>
    <w:p w14:paraId="36EB072B" w14:textId="77777777" w:rsidR="007628A9" w:rsidRPr="006E40C2" w:rsidRDefault="007628A9" w:rsidP="007628A9">
      <w:pPr>
        <w:pStyle w:val="Heading2"/>
        <w:numPr>
          <w:ilvl w:val="1"/>
          <w:numId w:val="2"/>
        </w:numPr>
      </w:pPr>
      <w:r>
        <w:t>l’équipement existant utilisant du HCFC-22 dans le supermarché sera détruit et le HCFC-22 récupéré de l’équipement sera réutilisé après récupération ;</w:t>
      </w:r>
    </w:p>
    <w:p w14:paraId="717EC393" w14:textId="77777777" w:rsidR="007628A9" w:rsidRPr="006E40C2" w:rsidRDefault="007628A9" w:rsidP="007628A9">
      <w:pPr>
        <w:pStyle w:val="Heading2"/>
        <w:numPr>
          <w:ilvl w:val="1"/>
          <w:numId w:val="2"/>
        </w:numPr>
      </w:pPr>
      <w:r>
        <w:t>en supposant une durée de vie restante de cinq ans qui comprend des niveaux d’émissions de fin de vie et un taux de fuite estimé de 50 pour cent, les économies totales d’émissions directes de PRP sur quatre ans sont estimées à 126,7 tonnes éq. CO</w:t>
      </w:r>
      <w:r>
        <w:rPr>
          <w:vertAlign w:val="subscript"/>
        </w:rPr>
        <w:t>2</w:t>
      </w:r>
      <w:r>
        <w:t> ;</w:t>
      </w:r>
    </w:p>
    <w:p w14:paraId="2721DF22" w14:textId="77777777" w:rsidR="007628A9" w:rsidRPr="006E40C2" w:rsidRDefault="007628A9" w:rsidP="007628A9">
      <w:pPr>
        <w:pStyle w:val="Heading2"/>
        <w:numPr>
          <w:ilvl w:val="1"/>
          <w:numId w:val="2"/>
        </w:numPr>
      </w:pPr>
      <w:r>
        <w:t>il est estimé que Woolmatt cofinance à hauteur de 35 000 $US qui comprennent les coûts pour la suppression et la mise au rebut de l’ancien système, l’installation du nouveau système au CO</w:t>
      </w:r>
      <w:r>
        <w:rPr>
          <w:vertAlign w:val="subscript"/>
        </w:rPr>
        <w:t>2</w:t>
      </w:r>
      <w:r>
        <w:t>, l’achat de deux chambres froides, dont la construction/installation, et le personnel/les techniciens d’entretien </w:t>
      </w:r>
      <w:r w:rsidRPr="006E40C2">
        <w:rPr>
          <w:rStyle w:val="FootnoteReference"/>
        </w:rPr>
        <w:footnoteReference w:id="15"/>
      </w:r>
      <w:r>
        <w:t>. De plus, au titre de la Green Cooling Initiative (GCI), financée par le Ministère fédéral allemand de l’environnement, la conservation de la nature, la sécurité nucléaire et la protection des consommateurs (BMUV), un éjecteur au CO</w:t>
      </w:r>
      <w:r>
        <w:rPr>
          <w:vertAlign w:val="subscript"/>
        </w:rPr>
        <w:t>2</w:t>
      </w:r>
      <w:r>
        <w:t xml:space="preserve"> transcritique et des outils ont été donnés à l’école polytechnique nationale de Nairobi (Nairobi National Polytechnic, NNP) pour la formation à la réfrigération et la climatisation ; et, avec le soutien de la GCI, des formateurs et des techniciens ont été formés en Allemagne et au Kenya, pour un coût estimé d’environ 80 000 $US. Ainsi, le coût total pour le cofinancement est estimé à 115 000 $US ; et</w:t>
      </w:r>
    </w:p>
    <w:p w14:paraId="5979D139" w14:textId="77777777" w:rsidR="007628A9" w:rsidRPr="006E40C2" w:rsidRDefault="007628A9" w:rsidP="007628A9">
      <w:pPr>
        <w:pStyle w:val="Heading2"/>
        <w:numPr>
          <w:ilvl w:val="1"/>
          <w:numId w:val="2"/>
        </w:numPr>
      </w:pPr>
      <w:r>
        <w:t>une formation aux opérations sans danger du système au CO</w:t>
      </w:r>
      <w:r>
        <w:rPr>
          <w:vertAlign w:val="subscript"/>
        </w:rPr>
        <w:t>2</w:t>
      </w:r>
      <w:r>
        <w:t xml:space="preserve"> transcritique serait dispensée aux opérateurs dans les supermarchés et aux techniciens d’entretien. La GCI a formé un formateur en Allemagne et un formateur international au Kenya. Quatre formateurs ont également été formés à l’exploitation et à l’entretien des systèmes au CO</w:t>
      </w:r>
      <w:r>
        <w:rPr>
          <w:vertAlign w:val="subscript"/>
        </w:rPr>
        <w:t>2</w:t>
      </w:r>
      <w:r>
        <w:t xml:space="preserve"> transcritique au Kenya. Pendant la reconversion du supermarché, un formateur international procédera à une formation détaillée pour les opérateurs et l’entreprise d’entretien de Nakuru. De plus, le fournisseur international de la technologie aura un accès à distance au système et sera disponible pour un service après-vente virtuel. Le contrat d’approvisionnement inclurait tous les matériaux et pièces de rechange pertinents (par exemple des vannes, des capteurs, des câbles électriques, des joints, des huiles, etc.) pour s’assurer que, en cas de panne, l’entreprise d’entretien puisse les remplacer immédiatement.</w:t>
      </w:r>
    </w:p>
    <w:p w14:paraId="315C688D" w14:textId="77777777" w:rsidR="007628A9" w:rsidRPr="006E40C2" w:rsidRDefault="007628A9" w:rsidP="007628A9">
      <w:pPr>
        <w:pStyle w:val="Heading1"/>
      </w:pPr>
      <w:r>
        <w:t>Conformément à la décision 84/84 d) </w:t>
      </w:r>
      <w:r w:rsidRPr="006E40C2">
        <w:rPr>
          <w:rStyle w:val="FootnoteReference"/>
          <w:rFonts w:asciiTheme="majorBidi" w:hAnsiTheme="majorBidi" w:cstheme="majorBidi"/>
        </w:rPr>
        <w:footnoteReference w:id="16"/>
      </w:r>
      <w:r>
        <w:t>, le Gouvernement de la France présenterait des rapports détaillés des résultats des projets pour utilisateurs finaux existants et futurs une fois les projets terminés, pour permettre au secrétariat d’élaborer des fiches techniques permettant d’éclairer les projets à venir.</w:t>
      </w:r>
    </w:p>
    <w:p w14:paraId="4123B1D4" w14:textId="77777777" w:rsidR="007628A9" w:rsidRPr="006E40C2" w:rsidRDefault="007628A9" w:rsidP="007628A9">
      <w:pPr>
        <w:pStyle w:val="ListParagraph"/>
        <w:keepNext/>
        <w:keepLines/>
        <w:ind w:left="0"/>
        <w:rPr>
          <w:rFonts w:asciiTheme="majorBidi" w:hAnsiTheme="majorBidi" w:cstheme="majorBidi"/>
          <w:b/>
          <w:bCs/>
        </w:rPr>
      </w:pPr>
      <w:r>
        <w:rPr>
          <w:rFonts w:asciiTheme="majorBidi" w:hAnsiTheme="majorBidi"/>
          <w:b/>
        </w:rPr>
        <w:t>Observations du secrétariat</w:t>
      </w:r>
    </w:p>
    <w:p w14:paraId="1169EC3C" w14:textId="77777777" w:rsidR="007628A9" w:rsidRPr="006E40C2" w:rsidRDefault="007628A9" w:rsidP="007628A9">
      <w:pPr>
        <w:keepNext/>
        <w:keepLines/>
        <w:rPr>
          <w:rFonts w:asciiTheme="majorBidi" w:hAnsiTheme="majorBidi" w:cstheme="majorBidi"/>
        </w:rPr>
      </w:pPr>
    </w:p>
    <w:p w14:paraId="27986196" w14:textId="68707916" w:rsidR="007628A9" w:rsidRPr="006E40C2" w:rsidRDefault="007628A9" w:rsidP="007628A9">
      <w:pPr>
        <w:pStyle w:val="Heading1"/>
      </w:pPr>
      <w:bookmarkStart w:id="4" w:name="_Hlk197363692"/>
      <w:r>
        <w:t>Le secrétariat a demandé des informations relatives au changement de technologie et à la raison du choix du supermarché des systèmes au CO</w:t>
      </w:r>
      <w:r>
        <w:rPr>
          <w:vertAlign w:val="subscript"/>
        </w:rPr>
        <w:t>2</w:t>
      </w:r>
      <w:r>
        <w:t xml:space="preserve"> transcritique. Le Gouvernement de la France a expliqué que le supermarché a opté pour un système au CO</w:t>
      </w:r>
      <w:r>
        <w:rPr>
          <w:vertAlign w:val="subscript"/>
        </w:rPr>
        <w:t>2</w:t>
      </w:r>
      <w:r>
        <w:t xml:space="preserve"> transcritique plutôt qu’au R-290 à cause de la taille et des exigences de tels systèmes de réfrigération pour leurs applications à basse et moyenne températures, des frais de fonctionnement inférieurs et de la possibilité d’entretien de cet équipement par des techniciens d’entretien formés. En termes de coûts d’investissement, il est estimé que la différence entre les deux systèmes au sein de l’entreprise n’est pas importante. De plus, il a été expliqué que le choix de technologie effectué par Woolmatt est conforme à la technologie approuvée initialement à la phase II du PGEH pour le Kenya.</w:t>
      </w:r>
    </w:p>
    <w:bookmarkEnd w:id="4"/>
    <w:p w14:paraId="1BE47C47" w14:textId="77777777" w:rsidR="007628A9" w:rsidRPr="006E40C2" w:rsidRDefault="007628A9" w:rsidP="007628A9">
      <w:pPr>
        <w:pStyle w:val="Heading1"/>
      </w:pPr>
      <w:r>
        <w:lastRenderedPageBreak/>
        <w:t>En ce qui concerne la sensibilisation aux technologies de remplacement et leur portée, le Gouvernement de la France a mentionné que des activités de sensibilisation aux performances des projets seront mises en œuvre par différentes activités de projet liées au refroidissement vert et à l’efficacité énergétique, comprenant la mise en place potentielle de lignes de crédit pour les supermarchés par les groupes bancaires/d’investissement allemands KfW ou DEG, la tenue d’ateliers pour les parties prenantes sur les supermarchés verts dans le cadre des activités du PGEH et du plan de mise en œuvre de l’Amendement de Kigali pour les HFC à venir, et l’organisation de présentations lors d’événements nationaux et internationaux, ainsi que de réunions du réseau régional. En outre, des informations sur la consommation d’énergie et les économies d’émissions à l’aide de cette technologie seront fournies à l’Autorité nationale de gestion de l’environnement et aux autorités réglementaires sur l’énergie.</w:t>
      </w:r>
    </w:p>
    <w:p w14:paraId="27807FE5" w14:textId="3DE24158" w:rsidR="007628A9" w:rsidRPr="006E40C2" w:rsidRDefault="007628A9" w:rsidP="007628A9">
      <w:pPr>
        <w:pStyle w:val="Heading1"/>
      </w:pPr>
      <w:r>
        <w:t>En ce qui concerne l’évolutivité du projet, le Gouvernement de la France a expliqué que, sur la base des performances de ce système, deux autres supermarchés/filiales de Woolmatt pourraient installer un système au CO</w:t>
      </w:r>
      <w:r>
        <w:rPr>
          <w:vertAlign w:val="subscript"/>
        </w:rPr>
        <w:t>2</w:t>
      </w:r>
      <w:r>
        <w:t xml:space="preserve"> transcritique. De plus, il est actuellement estimé que 500 supermarchés du Kenya (Naivas, Quickmart, Chandarana FoodPlus, Carrefour, etc.) pourraient également envisager d’utiliser des systèmes au CO</w:t>
      </w:r>
      <w:r>
        <w:rPr>
          <w:vertAlign w:val="subscript"/>
        </w:rPr>
        <w:t>2</w:t>
      </w:r>
      <w:r>
        <w:t xml:space="preserve"> à la place des systèmes utilisant des HFC existants. Sur la base de l’expérience de la mise en œuvre de projets similaires dans la région (par exemple, l’Afrique du Sud), on sait que, une fois la nouvelle technologie au CO</w:t>
      </w:r>
      <w:r>
        <w:rPr>
          <w:vertAlign w:val="subscript"/>
        </w:rPr>
        <w:t>2</w:t>
      </w:r>
      <w:r>
        <w:t xml:space="preserve"> mise en service et ses performances démontrées, d’autres utilisateurs seront intéressés par l’adoption de cette technologie.</w:t>
      </w:r>
    </w:p>
    <w:p w14:paraId="07B72E57" w14:textId="77777777" w:rsidR="007628A9" w:rsidRPr="006E40C2" w:rsidRDefault="007628A9" w:rsidP="007628A9">
      <w:pPr>
        <w:pStyle w:val="ListParagraph"/>
        <w:keepNext/>
        <w:keepLines/>
        <w:ind w:left="0"/>
        <w:rPr>
          <w:rFonts w:asciiTheme="majorBidi" w:hAnsiTheme="majorBidi" w:cstheme="majorBidi"/>
          <w:b/>
          <w:bCs/>
        </w:rPr>
      </w:pPr>
      <w:r>
        <w:rPr>
          <w:rFonts w:asciiTheme="majorBidi" w:hAnsiTheme="majorBidi"/>
          <w:b/>
        </w:rPr>
        <w:t>Recommandation</w:t>
      </w:r>
    </w:p>
    <w:p w14:paraId="19797149" w14:textId="77777777" w:rsidR="007628A9" w:rsidRPr="006E40C2" w:rsidRDefault="007628A9" w:rsidP="007628A9">
      <w:pPr>
        <w:keepNext/>
        <w:keepLines/>
        <w:rPr>
          <w:rFonts w:asciiTheme="majorBidi" w:hAnsiTheme="majorBidi" w:cstheme="majorBidi"/>
        </w:rPr>
      </w:pPr>
    </w:p>
    <w:p w14:paraId="62FBC167" w14:textId="77777777" w:rsidR="007628A9" w:rsidRPr="006E40C2" w:rsidRDefault="007628A9" w:rsidP="007628A9">
      <w:pPr>
        <w:pStyle w:val="Heading1"/>
        <w:keepNext/>
      </w:pPr>
      <w:r>
        <w:t>Le Comité exécutif pourrait envisager :</w:t>
      </w:r>
    </w:p>
    <w:p w14:paraId="6F377BFC" w14:textId="2BF1AC94" w:rsidR="007628A9" w:rsidRDefault="007628A9" w:rsidP="007628A9">
      <w:pPr>
        <w:pStyle w:val="Heading2"/>
        <w:numPr>
          <w:ilvl w:val="1"/>
          <w:numId w:val="2"/>
        </w:numPr>
      </w:pPr>
      <w:r>
        <w:t>de prendre note la proposition révisée de programme d’incitation pour le secteur de la réfrigération à usage commercial au titre de la phase II du plan de gestion de l’élimination des HCFC (PGEH) pour le Kenya, proposé par le Gouvernement de la France, comme contenu dans le document UNEP/OzL.Pro/ExCom/96/11 ;</w:t>
      </w:r>
    </w:p>
    <w:p w14:paraId="3E9C5E25" w14:textId="77777777" w:rsidR="007628A9" w:rsidRDefault="007628A9" w:rsidP="007628A9">
      <w:pPr>
        <w:pStyle w:val="Heading2"/>
        <w:numPr>
          <w:ilvl w:val="1"/>
          <w:numId w:val="2"/>
        </w:numPr>
      </w:pPr>
      <w:r>
        <w:t>d’approuver la proposition révisée dont il est question à l’alinéa a) ci-dessus, étant entendu qu’aucun coût supplémentaire pour la reconversion ne sera couvert par le Fonds multilatéral ; et</w:t>
      </w:r>
    </w:p>
    <w:p w14:paraId="0FD484FD" w14:textId="77777777" w:rsidR="007628A9" w:rsidRPr="006E40C2" w:rsidRDefault="007628A9" w:rsidP="007628A9">
      <w:pPr>
        <w:pStyle w:val="Heading2"/>
        <w:numPr>
          <w:ilvl w:val="1"/>
          <w:numId w:val="2"/>
        </w:numPr>
      </w:pPr>
      <w:r>
        <w:t>de prendre note que le Gouvernement de la France présenterait, conformément à la décision 84/84 d), des rapports détaillés des résultats des projets pour utilisateurs finaux existants et futurs une fois les projets terminés, pour permettre au secrétariat d’élaborer des fiches techniques permettant d’éclairer les projets à venir.</w:t>
      </w:r>
    </w:p>
    <w:p w14:paraId="39479DDF" w14:textId="77777777" w:rsidR="007A7AFA" w:rsidRPr="007A7AFA" w:rsidRDefault="007A7AFA" w:rsidP="007A7AFA">
      <w:pPr>
        <w:spacing w:before="240" w:after="240"/>
        <w:ind w:left="720"/>
        <w:rPr>
          <w:b/>
          <w:bCs/>
        </w:rPr>
      </w:pPr>
      <w:r>
        <w:rPr>
          <w:b/>
          <w:u w:val="single"/>
        </w:rPr>
        <w:t>Mali : Plan de gestion de l’élimination des HCFC (phase I, cinquième tranche – mise en œuvre du programme de travail associé à la dernière tranche)</w:t>
      </w:r>
      <w:r>
        <w:rPr>
          <w:b/>
        </w:rPr>
        <w:t xml:space="preserve"> (PNUE et PNUD)</w:t>
      </w:r>
    </w:p>
    <w:p w14:paraId="0B803760" w14:textId="77777777" w:rsidR="007A7AFA" w:rsidRPr="00993EC2" w:rsidRDefault="007A7AFA" w:rsidP="007A7AFA">
      <w:pPr>
        <w:spacing w:before="240" w:after="240"/>
        <w:jc w:val="left"/>
        <w:rPr>
          <w:b/>
          <w:bCs/>
        </w:rPr>
      </w:pPr>
      <w:r>
        <w:rPr>
          <w:b/>
        </w:rPr>
        <w:t>Contexte</w:t>
      </w:r>
    </w:p>
    <w:p w14:paraId="50D91CAA" w14:textId="77777777" w:rsidR="007A7AFA" w:rsidRDefault="007A7AFA" w:rsidP="007A7AFA">
      <w:pPr>
        <w:pStyle w:val="Heading1"/>
      </w:pPr>
      <w:r>
        <w:t>À sa 92</w:t>
      </w:r>
      <w:r>
        <w:rPr>
          <w:vertAlign w:val="superscript"/>
        </w:rPr>
        <w:t>e</w:t>
      </w:r>
      <w:r>
        <w:t> réunion, le Comité exécutif a approuvé le report de la phase I du plan de gestion de l’élimination des HCFC (PGEH) au 31 décembre 2024, étant entendu qu’aucun autre report ne serait demandé, et a demandé au Gouvernement du Mali, au PNUE et au PNUD de présenter un rapport périodique sur la mise en œuvre du programme de travail associé à la tranche finale à la première réunion en 2025. Les retards du projet étaient dus à plusieurs facteurs, principalement au fait que, depuis 2012, le pays a été affecté par des questions de politique et de sécurité ainsi que les mesures de réglementation de la pandémie de COVID-19. Malgré la situation difficile, le Mali a constamment mis en œuvre son PGEH et reste conforme au Protocole de Montréal.</w:t>
      </w:r>
    </w:p>
    <w:p w14:paraId="342D87D7" w14:textId="77777777" w:rsidR="007A7AFA" w:rsidRPr="004865B7" w:rsidRDefault="007A7AFA" w:rsidP="007A7AFA">
      <w:pPr>
        <w:spacing w:before="240" w:after="240"/>
        <w:outlineLvl w:val="0"/>
      </w:pPr>
      <w:r>
        <w:rPr>
          <w:b/>
        </w:rPr>
        <w:t>Rapport périodique</w:t>
      </w:r>
    </w:p>
    <w:p w14:paraId="51C11407" w14:textId="77777777" w:rsidR="007A7AFA" w:rsidRPr="004A1F16" w:rsidRDefault="007A7AFA" w:rsidP="007A7AFA">
      <w:pPr>
        <w:pStyle w:val="Heading1"/>
      </w:pPr>
      <w:r>
        <w:lastRenderedPageBreak/>
        <w:t>Conformément à la décision 92/8 b), au nom du Gouvernement du Mali, le PNUE, en qualité d’agence d’exécution principale, a soumis un rapport périodique sur la mise en œuvre du programme de travail associé à la tranche finale. En mai 2025, des 56 000 $US approuvés pour la dernière tranche, 28 000 $US avaient été décaissés par le PNUE, et bien qu’aucun décaissement n’ait été fait avant le 31 décembre 2024, 28 000 $US ont été attribués par le PNUD. Le solde de 28 000 $US sera décaissé par le PNUD à la fin mai 2025.</w:t>
      </w:r>
    </w:p>
    <w:p w14:paraId="772A30F9" w14:textId="77777777" w:rsidR="007A7AFA" w:rsidRPr="004865B7" w:rsidRDefault="007A7AFA" w:rsidP="007A7AFA">
      <w:pPr>
        <w:pStyle w:val="Heading1"/>
      </w:pPr>
      <w:r>
        <w:t>Au titre de la composante du PNUE, deux ateliers ont été tenus pour 62 agents des douanes et de l’environnement et d’autres agents d’exécution (dont 26 femmes) sur l’identification et le contrôle des HCFC et des équipements utilisant des HCFC, ainsi que sur l’application du système de quotas (contre 40 prévus) ; quatre ateliers ont été tenus pour 70 techniciens de réfrigération (dont 35 femmes) sur les bonnes pratiques dans l’entretien de l’équipement de climatisation, y compris la récupération et le recyclage des HCFC et la manipulation en toute sécurité des frigorigènes à base d’hydrocarbures (contre 50 prévus) ; et des activités de suivi de projet ont eu lieu. En raison de problèmes de sécurité dans le pays, l’unité nationale de l’ozone (UNO) a déplacé les agents d’exécution et les techniciens de réfrigération et climatisation à Bamako, la capitale, afin d’atténuer l’incertitude.</w:t>
      </w:r>
    </w:p>
    <w:p w14:paraId="28A5B7E5" w14:textId="77777777" w:rsidR="007A7AFA" w:rsidRPr="00F938B7" w:rsidRDefault="007A7AFA" w:rsidP="007A7AFA">
      <w:pPr>
        <w:pStyle w:val="Heading1"/>
      </w:pPr>
      <w:r>
        <w:t>La mise en œuvre de la composante de sensibilisation du PNUD pour les techniciens de réfrigération et climatisation et les agents des douanes a été retardée à cause de problèmes administratifs internes de l’agence. En 2024, le bureau du PNUD dans le pays a connu un défaut de personnel qui a eu une incidence sur le transfert de fonds du siège social au bureau du pays. Ces difficultés ont maintenant été résolues, avec du nouveau personnel dans le bureau du pays travaillant en étroite collaboration avec l’UNO et les autres partenaires concernés pour effectuer deux ateliers de formation d’ici la fin mai 2025.</w:t>
      </w:r>
    </w:p>
    <w:p w14:paraId="788C9458" w14:textId="77777777" w:rsidR="007A7AFA" w:rsidRDefault="007A7AFA" w:rsidP="007A7AFA">
      <w:pPr>
        <w:spacing w:before="240" w:after="240"/>
        <w:jc w:val="left"/>
        <w:outlineLvl w:val="0"/>
        <w:rPr>
          <w:b/>
          <w:bCs/>
        </w:rPr>
      </w:pPr>
      <w:r>
        <w:rPr>
          <w:b/>
        </w:rPr>
        <w:t>Observations du secrétariat</w:t>
      </w:r>
    </w:p>
    <w:p w14:paraId="4423F119" w14:textId="77777777" w:rsidR="007A7AFA" w:rsidRDefault="007A7AFA" w:rsidP="007A7AFA">
      <w:pPr>
        <w:pStyle w:val="Heading1"/>
        <w:spacing w:before="240"/>
      </w:pPr>
      <w:r>
        <w:t>Le secrétariat prend note du rapport de situation sur la mise en œuvre des activités de formation pour le personnel des douanes et d’exécution, des ateliers tenus pour les techniciens de réfrigération et des activités de sensibilisation pour les techniciens de réfrigération et climatisation et les agents des douanes. Le PNUE a informé le secrétariat que la nouvelle UNO du Mali avait mis en œuvre de manière dynamique et efficace le PGEH, et établi une étroite coopération avec les parties prenantes nationales, dont les agents des douanes et d’exécution et les techniciens de réfrigération et climatisation. Le secrétariat prend note que le pays a pu progresser dans ses activités malgré des circonstances difficiles et achever la composante du PNUE, bien que des problèmes administratifs internes au PNUD aient entravé le transfert de fonds pour la composante du PNUD. Une très courte prorogation permettrait au pays de bénéficier de l’obtention de l’assistance nécessaire, surtout pour les agents des douanes et d’exécution et les techniciens de réfrigération et climatisation.</w:t>
      </w:r>
    </w:p>
    <w:p w14:paraId="31E5331C" w14:textId="77777777" w:rsidR="007A7AFA" w:rsidRDefault="007A7AFA" w:rsidP="007A7AFA">
      <w:pPr>
        <w:keepNext/>
        <w:keepLines/>
        <w:spacing w:before="240" w:after="240"/>
        <w:outlineLvl w:val="0"/>
        <w:rPr>
          <w:b/>
          <w:bCs/>
        </w:rPr>
      </w:pPr>
      <w:r>
        <w:rPr>
          <w:b/>
        </w:rPr>
        <w:t>Recommandation</w:t>
      </w:r>
    </w:p>
    <w:p w14:paraId="40E689A5" w14:textId="77777777" w:rsidR="007A7AFA" w:rsidRDefault="007A7AFA" w:rsidP="007A7AFA">
      <w:pPr>
        <w:pStyle w:val="Heading1"/>
        <w:keepNext/>
        <w:keepLines/>
      </w:pPr>
      <w:r>
        <w:t>Le Comité exécutif pourrait envisager :</w:t>
      </w:r>
    </w:p>
    <w:p w14:paraId="673B5BED" w14:textId="77777777" w:rsidR="007A7AFA" w:rsidRDefault="007A7AFA" w:rsidP="007A7AFA">
      <w:pPr>
        <w:pStyle w:val="Heading2"/>
        <w:keepNext/>
        <w:keepLines/>
        <w:widowControl/>
      </w:pPr>
      <w:r>
        <w:t>de prendre note du rapport sur l’avancement de la mise en œuvre du programme de travail associé à la dernière tranche de la phase I du plan de gestion de l’élimination progressive des HCFC (PGEH) pour le Mali, tel que présenté par le PNUE et figurant dans le document UNEP/OzL.Pro/ExCom/96/11 ;</w:t>
      </w:r>
    </w:p>
    <w:p w14:paraId="6B427CE5" w14:textId="77777777" w:rsidR="007A7AFA" w:rsidRPr="000D1238" w:rsidRDefault="007A7AFA" w:rsidP="007A7AFA">
      <w:pPr>
        <w:pStyle w:val="Heading2"/>
      </w:pPr>
      <w:r>
        <w:t>d’approuver, à titre exceptionnel, le report au 30 juin 2025 de la date d’achèvement de la phase I du PGEH pour le Mali afin de permettre l’achèvement opérationnel de la composante du PNUD du projet (MLI/PHA/92/INV/46) ; et</w:t>
      </w:r>
    </w:p>
    <w:p w14:paraId="70BE494F" w14:textId="77777777" w:rsidR="007A7AFA" w:rsidRPr="005E3279" w:rsidRDefault="007A7AFA" w:rsidP="007A7AFA">
      <w:pPr>
        <w:pStyle w:val="Heading2"/>
      </w:pPr>
      <w:r>
        <w:t>de demander au Gouvernement du Mali, au PNUE et au PNUD de présenter le rapport d’achèvement des projets pour la phase I du PGEH dans les six mois suivant l’achèvement opérationnel des projets, conformément aux décisions 23/8 i) et 81/29.</w:t>
      </w:r>
    </w:p>
    <w:p w14:paraId="20BA3A87" w14:textId="563223A5" w:rsidR="00B02CE7" w:rsidRPr="00B02CE7" w:rsidRDefault="00B02CE7" w:rsidP="007A7AFA">
      <w:pPr>
        <w:keepNext/>
        <w:spacing w:after="240"/>
        <w:ind w:left="709"/>
        <w:textAlignment w:val="baseline"/>
        <w:rPr>
          <w:b/>
          <w:bCs/>
          <w:u w:val="single"/>
        </w:rPr>
      </w:pPr>
      <w:r>
        <w:rPr>
          <w:b/>
          <w:u w:val="single"/>
        </w:rPr>
        <w:lastRenderedPageBreak/>
        <w:t>Mexique : Plan de gestion de l’élimination des HCFC (phase II – rapport périodique sur la mise en œuvre des programmes de travail associés à la cinquième et dernière tranche)</w:t>
      </w:r>
      <w:r>
        <w:rPr>
          <w:b/>
        </w:rPr>
        <w:t xml:space="preserve"> (ONUDI)</w:t>
      </w:r>
    </w:p>
    <w:p w14:paraId="6B9FF9A5" w14:textId="6D596FFB" w:rsidR="004E7F9C" w:rsidRPr="005C670D" w:rsidRDefault="00355F14" w:rsidP="007A7AFA">
      <w:pPr>
        <w:keepNext/>
        <w:spacing w:after="240"/>
        <w:textAlignment w:val="baseline"/>
        <w:rPr>
          <w:b/>
        </w:rPr>
      </w:pPr>
      <w:r>
        <w:rPr>
          <w:b/>
        </w:rPr>
        <w:t>Contexte</w:t>
      </w:r>
    </w:p>
    <w:p w14:paraId="1F9C26D9" w14:textId="71767AE9" w:rsidR="003F6E3E" w:rsidRPr="003F6E3E" w:rsidRDefault="003F6E3E" w:rsidP="003F6E3E">
      <w:pPr>
        <w:numPr>
          <w:ilvl w:val="0"/>
          <w:numId w:val="1"/>
        </w:numPr>
        <w:spacing w:after="240"/>
        <w:outlineLvl w:val="0"/>
        <w:rPr>
          <w:rFonts w:eastAsiaTheme="minorEastAsia"/>
        </w:rPr>
      </w:pPr>
      <w:r>
        <w:t>À sa 92</w:t>
      </w:r>
      <w:r>
        <w:rPr>
          <w:vertAlign w:val="superscript"/>
        </w:rPr>
        <w:t>e</w:t>
      </w:r>
      <w:r>
        <w:t> réunion, en approuvant la cinquième et dernière tranche de la phase II du plan de gestion de l’élimination des HCFC (PGEH) pour le Mexique, le Comité exécutif a prié le Gouvernement du Mexique, l’ONUDI et les Gouvernements de l’Allemagne, l’Italie et l’Espagne de soumettre un rapport périodique sur la mise en œuvre des programmes de travail associés à la tranche finale à la première réunion du Comité exécutif en 2025, des rapports de vérification jusqu’à l’approbation de la phase III </w:t>
      </w:r>
      <w:r w:rsidRPr="003F6E3E">
        <w:rPr>
          <w:rFonts w:eastAsiaTheme="minorEastAsia"/>
          <w:vertAlign w:val="superscript"/>
          <w:lang w:eastAsia="zh-CN"/>
        </w:rPr>
        <w:footnoteReference w:id="17"/>
      </w:r>
      <w:r>
        <w:t>, et le rapport d’achèvement des projets à la seconde réunion du Comité exécutif en 2025 (décision 92/24 a)) </w:t>
      </w:r>
      <w:r w:rsidRPr="003F6E3E">
        <w:rPr>
          <w:rFonts w:eastAsiaTheme="minorEastAsia"/>
          <w:vertAlign w:val="superscript"/>
          <w:lang w:eastAsia="zh-CN"/>
        </w:rPr>
        <w:footnoteReference w:id="18"/>
      </w:r>
      <w:r>
        <w:t>.</w:t>
      </w:r>
    </w:p>
    <w:p w14:paraId="448B1571" w14:textId="695631FB" w:rsidR="003F6E3E" w:rsidRPr="003F6E3E" w:rsidRDefault="003F6E3E" w:rsidP="003F6E3E">
      <w:pPr>
        <w:numPr>
          <w:ilvl w:val="0"/>
          <w:numId w:val="1"/>
        </w:numPr>
        <w:spacing w:after="240"/>
        <w:outlineLvl w:val="0"/>
        <w:rPr>
          <w:rFonts w:eastAsiaTheme="minorEastAsia"/>
        </w:rPr>
      </w:pPr>
      <w:r>
        <w:t>Le Gouvernement du Mexique a déclaré une consommation de 168,23 tonnes PAO de HCFC en 2023 et une consommation estimative de 165,78 tonnes PAO de HCFC en 2024, ce qui est inférieur de 85,4 pour cent et de 85,6 pour cent à la valeur de référence des HCFC, respectivement, en ce qui a trait à la conformité </w:t>
      </w:r>
      <w:r w:rsidRPr="003F6E3E">
        <w:rPr>
          <w:rFonts w:eastAsiaTheme="minorEastAsia"/>
          <w:vertAlign w:val="superscript"/>
          <w:lang w:eastAsia="zh-CN"/>
        </w:rPr>
        <w:footnoteReference w:id="19"/>
      </w:r>
      <w:r>
        <w:t>. La consommation de HCFC en 2020–2024 au Mexique est reprise dans le tableau 7.</w:t>
      </w:r>
    </w:p>
    <w:p w14:paraId="26C27C40" w14:textId="5AD9BD6D" w:rsidR="003F6E3E" w:rsidRPr="003F6E3E" w:rsidRDefault="003F6E3E" w:rsidP="003F6E3E">
      <w:pPr>
        <w:rPr>
          <w:rFonts w:eastAsiaTheme="minorEastAsia"/>
          <w:highlight w:val="yellow"/>
        </w:rPr>
      </w:pPr>
      <w:r>
        <w:rPr>
          <w:b/>
        </w:rPr>
        <w:t>Tableau 7.</w:t>
      </w:r>
      <w:r>
        <w:t xml:space="preserve"> </w:t>
      </w:r>
      <w:r>
        <w:rPr>
          <w:b/>
        </w:rPr>
        <w:t>Consommation de HCFC au Mexique (Données de l’article 7 pour 2020–2024)</w:t>
      </w:r>
    </w:p>
    <w:tbl>
      <w:tblPr>
        <w:tblW w:w="5000" w:type="pct"/>
        <w:tblLayout w:type="fixed"/>
        <w:tblLook w:val="04A0" w:firstRow="1" w:lastRow="0" w:firstColumn="1" w:lastColumn="0" w:noHBand="0" w:noVBand="1"/>
      </w:tblPr>
      <w:tblGrid>
        <w:gridCol w:w="2380"/>
        <w:gridCol w:w="994"/>
        <w:gridCol w:w="997"/>
        <w:gridCol w:w="995"/>
        <w:gridCol w:w="1109"/>
        <w:gridCol w:w="1259"/>
        <w:gridCol w:w="1616"/>
      </w:tblGrid>
      <w:tr w:rsidR="003F6E3E" w:rsidRPr="003F6E3E" w14:paraId="14D3A949" w14:textId="77777777" w:rsidTr="004A5450">
        <w:trPr>
          <w:tblHeader/>
        </w:trPr>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2561D2" w14:textId="77777777" w:rsidR="003F6E3E" w:rsidRPr="003F6E3E" w:rsidRDefault="003F6E3E" w:rsidP="003F6E3E">
            <w:pPr>
              <w:keepNext/>
              <w:jc w:val="center"/>
              <w:rPr>
                <w:b/>
                <w:bCs/>
                <w:color w:val="000000"/>
                <w:sz w:val="20"/>
                <w:szCs w:val="20"/>
              </w:rPr>
            </w:pPr>
            <w:r>
              <w:rPr>
                <w:b/>
                <w:color w:val="000000"/>
                <w:sz w:val="20"/>
              </w:rPr>
              <w:t>HCFC</w:t>
            </w:r>
          </w:p>
        </w:tc>
        <w:tc>
          <w:tcPr>
            <w:tcW w:w="532" w:type="pct"/>
            <w:tcBorders>
              <w:top w:val="single" w:sz="4" w:space="0" w:color="auto"/>
              <w:left w:val="nil"/>
              <w:bottom w:val="single" w:sz="4" w:space="0" w:color="auto"/>
              <w:right w:val="single" w:sz="4" w:space="0" w:color="auto"/>
            </w:tcBorders>
            <w:shd w:val="clear" w:color="auto" w:fill="auto"/>
            <w:noWrap/>
            <w:vAlign w:val="center"/>
            <w:hideMark/>
          </w:tcPr>
          <w:p w14:paraId="4B265C1A" w14:textId="77777777" w:rsidR="003F6E3E" w:rsidRPr="003F6E3E" w:rsidRDefault="003F6E3E" w:rsidP="003F6E3E">
            <w:pPr>
              <w:keepNext/>
              <w:jc w:val="center"/>
              <w:rPr>
                <w:b/>
                <w:bCs/>
                <w:color w:val="000000"/>
                <w:sz w:val="20"/>
                <w:szCs w:val="20"/>
              </w:rPr>
            </w:pPr>
            <w:r>
              <w:rPr>
                <w:b/>
                <w:color w:val="000000"/>
                <w:sz w:val="20"/>
              </w:rPr>
              <w:t>2020</w:t>
            </w:r>
          </w:p>
        </w:tc>
        <w:tc>
          <w:tcPr>
            <w:tcW w:w="533" w:type="pct"/>
            <w:tcBorders>
              <w:top w:val="single" w:sz="4" w:space="0" w:color="auto"/>
              <w:left w:val="nil"/>
              <w:bottom w:val="single" w:sz="4" w:space="0" w:color="auto"/>
              <w:right w:val="single" w:sz="4" w:space="0" w:color="auto"/>
            </w:tcBorders>
            <w:shd w:val="clear" w:color="auto" w:fill="auto"/>
            <w:noWrap/>
            <w:vAlign w:val="center"/>
            <w:hideMark/>
          </w:tcPr>
          <w:p w14:paraId="19A82EBC" w14:textId="77777777" w:rsidR="003F6E3E" w:rsidRPr="003F6E3E" w:rsidRDefault="003F6E3E" w:rsidP="003F6E3E">
            <w:pPr>
              <w:keepNext/>
              <w:jc w:val="center"/>
              <w:rPr>
                <w:b/>
                <w:bCs/>
                <w:color w:val="000000"/>
                <w:sz w:val="20"/>
                <w:szCs w:val="20"/>
              </w:rPr>
            </w:pPr>
            <w:r>
              <w:rPr>
                <w:b/>
                <w:color w:val="000000"/>
                <w:sz w:val="20"/>
              </w:rPr>
              <w:t>2021</w:t>
            </w:r>
          </w:p>
        </w:tc>
        <w:tc>
          <w:tcPr>
            <w:tcW w:w="532" w:type="pct"/>
            <w:tcBorders>
              <w:top w:val="single" w:sz="4" w:space="0" w:color="auto"/>
              <w:left w:val="nil"/>
              <w:bottom w:val="single" w:sz="4" w:space="0" w:color="auto"/>
              <w:right w:val="single" w:sz="4" w:space="0" w:color="auto"/>
            </w:tcBorders>
          </w:tcPr>
          <w:p w14:paraId="64159B3E" w14:textId="77777777" w:rsidR="003F6E3E" w:rsidRPr="003F6E3E" w:rsidRDefault="003F6E3E" w:rsidP="003F6E3E">
            <w:pPr>
              <w:keepNext/>
              <w:jc w:val="center"/>
              <w:rPr>
                <w:b/>
                <w:bCs/>
                <w:color w:val="000000"/>
                <w:sz w:val="20"/>
                <w:szCs w:val="20"/>
              </w:rPr>
            </w:pPr>
            <w:r>
              <w:rPr>
                <w:b/>
                <w:color w:val="000000"/>
                <w:sz w:val="20"/>
              </w:rPr>
              <w:t>2022</w:t>
            </w:r>
          </w:p>
        </w:tc>
        <w:tc>
          <w:tcPr>
            <w:tcW w:w="593" w:type="pct"/>
            <w:tcBorders>
              <w:top w:val="single" w:sz="4" w:space="0" w:color="auto"/>
              <w:left w:val="single" w:sz="4" w:space="0" w:color="auto"/>
              <w:bottom w:val="single" w:sz="4" w:space="0" w:color="auto"/>
              <w:right w:val="single" w:sz="4" w:space="0" w:color="auto"/>
            </w:tcBorders>
          </w:tcPr>
          <w:p w14:paraId="2BF1752A" w14:textId="77777777" w:rsidR="003F6E3E" w:rsidRPr="003F6E3E" w:rsidRDefault="003F6E3E" w:rsidP="003F6E3E">
            <w:pPr>
              <w:keepNext/>
              <w:jc w:val="center"/>
              <w:rPr>
                <w:b/>
                <w:bCs/>
                <w:color w:val="000000"/>
                <w:sz w:val="20"/>
                <w:szCs w:val="20"/>
              </w:rPr>
            </w:pPr>
            <w:r>
              <w:rPr>
                <w:b/>
                <w:color w:val="000000"/>
                <w:sz w:val="20"/>
              </w:rPr>
              <w:t>2023</w:t>
            </w:r>
          </w:p>
        </w:tc>
        <w:tc>
          <w:tcPr>
            <w:tcW w:w="673" w:type="pct"/>
            <w:tcBorders>
              <w:top w:val="single" w:sz="4" w:space="0" w:color="auto"/>
              <w:left w:val="single" w:sz="4" w:space="0" w:color="auto"/>
              <w:bottom w:val="single" w:sz="4" w:space="0" w:color="auto"/>
              <w:right w:val="single" w:sz="4" w:space="0" w:color="auto"/>
            </w:tcBorders>
          </w:tcPr>
          <w:p w14:paraId="6928855A" w14:textId="77777777" w:rsidR="003F6E3E" w:rsidRPr="003F6E3E" w:rsidRDefault="003F6E3E" w:rsidP="003F6E3E">
            <w:pPr>
              <w:keepNext/>
              <w:jc w:val="center"/>
              <w:rPr>
                <w:b/>
                <w:bCs/>
                <w:color w:val="000000"/>
                <w:sz w:val="20"/>
                <w:szCs w:val="20"/>
              </w:rPr>
            </w:pPr>
            <w:r>
              <w:rPr>
                <w:b/>
                <w:color w:val="000000"/>
                <w:sz w:val="20"/>
              </w:rPr>
              <w:t>2024*</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90B745" w14:textId="77777777" w:rsidR="003F6E3E" w:rsidRPr="003F6E3E" w:rsidRDefault="003F6E3E" w:rsidP="003F6E3E">
            <w:pPr>
              <w:keepNext/>
              <w:jc w:val="center"/>
              <w:rPr>
                <w:b/>
                <w:bCs/>
                <w:color w:val="000000"/>
                <w:sz w:val="20"/>
                <w:szCs w:val="20"/>
              </w:rPr>
            </w:pPr>
            <w:r>
              <w:rPr>
                <w:b/>
                <w:color w:val="000000"/>
                <w:sz w:val="20"/>
              </w:rPr>
              <w:t>Référence</w:t>
            </w:r>
          </w:p>
        </w:tc>
      </w:tr>
      <w:tr w:rsidR="003F6E3E" w:rsidRPr="003F6E3E" w14:paraId="2C6853DC" w14:textId="77777777" w:rsidTr="004A5450">
        <w:tc>
          <w:tcPr>
            <w:tcW w:w="5000" w:type="pct"/>
            <w:gridSpan w:val="7"/>
            <w:tcBorders>
              <w:top w:val="nil"/>
              <w:left w:val="single" w:sz="4" w:space="0" w:color="auto"/>
              <w:bottom w:val="single" w:sz="4" w:space="0" w:color="auto"/>
              <w:right w:val="single" w:sz="4" w:space="0" w:color="auto"/>
            </w:tcBorders>
          </w:tcPr>
          <w:p w14:paraId="1712197B" w14:textId="77777777" w:rsidR="003F6E3E" w:rsidRPr="003F6E3E" w:rsidRDefault="003F6E3E" w:rsidP="003F6E3E">
            <w:pPr>
              <w:keepNext/>
              <w:ind w:left="98"/>
              <w:jc w:val="left"/>
              <w:rPr>
                <w:b/>
                <w:bCs/>
                <w:color w:val="000000"/>
                <w:sz w:val="20"/>
                <w:szCs w:val="20"/>
              </w:rPr>
            </w:pPr>
            <w:r>
              <w:rPr>
                <w:b/>
                <w:color w:val="000000"/>
                <w:sz w:val="20"/>
              </w:rPr>
              <w:t>Tonnes métriques (tm)</w:t>
            </w:r>
          </w:p>
        </w:tc>
      </w:tr>
      <w:tr w:rsidR="003F6E3E" w:rsidRPr="003F6E3E" w14:paraId="67F57A2E"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65E009" w14:textId="77777777" w:rsidR="003F6E3E" w:rsidRPr="003F6E3E" w:rsidRDefault="003F6E3E" w:rsidP="003F6E3E">
            <w:pPr>
              <w:widowControl w:val="0"/>
              <w:ind w:left="98"/>
              <w:jc w:val="left"/>
              <w:rPr>
                <w:color w:val="000000"/>
                <w:sz w:val="20"/>
                <w:szCs w:val="20"/>
              </w:rPr>
            </w:pPr>
            <w:r>
              <w:rPr>
                <w:color w:val="000000"/>
                <w:sz w:val="20"/>
              </w:rPr>
              <w:t>HCFC-22</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508D31" w14:textId="77777777" w:rsidR="003F6E3E" w:rsidRPr="003F6E3E" w:rsidRDefault="003F6E3E" w:rsidP="003F6E3E">
            <w:pPr>
              <w:widowControl w:val="0"/>
              <w:tabs>
                <w:tab w:val="left" w:pos="430"/>
              </w:tabs>
              <w:ind w:left="-137" w:right="63"/>
              <w:jc w:val="right"/>
              <w:rPr>
                <w:sz w:val="20"/>
                <w:szCs w:val="20"/>
              </w:rPr>
            </w:pPr>
            <w:r>
              <w:rPr>
                <w:color w:val="000000"/>
                <w:sz w:val="20"/>
              </w:rPr>
              <w:t>2 214,06</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45550F"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2 283,05</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BDD0C80"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3 796,08</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A353B47"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3 051,07</w:t>
            </w:r>
          </w:p>
        </w:tc>
        <w:tc>
          <w:tcPr>
            <w:tcW w:w="673" w:type="pct"/>
            <w:tcBorders>
              <w:top w:val="single" w:sz="4" w:space="0" w:color="auto"/>
              <w:left w:val="single" w:sz="4" w:space="0" w:color="auto"/>
              <w:bottom w:val="single" w:sz="4" w:space="0" w:color="auto"/>
              <w:right w:val="single" w:sz="4" w:space="0" w:color="auto"/>
            </w:tcBorders>
          </w:tcPr>
          <w:p w14:paraId="272FF626"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3 005,31</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02E419"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8 505,1</w:t>
            </w:r>
          </w:p>
        </w:tc>
      </w:tr>
      <w:tr w:rsidR="003F6E3E" w:rsidRPr="003F6E3E" w14:paraId="2D924723"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5D3484" w14:textId="77777777" w:rsidR="003F6E3E" w:rsidRPr="003F6E3E" w:rsidRDefault="003F6E3E" w:rsidP="003F6E3E">
            <w:pPr>
              <w:widowControl w:val="0"/>
              <w:ind w:left="98"/>
              <w:jc w:val="left"/>
              <w:rPr>
                <w:color w:val="000000"/>
                <w:sz w:val="20"/>
                <w:szCs w:val="20"/>
              </w:rPr>
            </w:pPr>
            <w:r>
              <w:rPr>
                <w:color w:val="000000"/>
                <w:sz w:val="20"/>
              </w:rPr>
              <w:t>HCFC-123</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B484D1" w14:textId="77777777" w:rsidR="003F6E3E" w:rsidRPr="003F6E3E" w:rsidRDefault="003F6E3E" w:rsidP="003F6E3E">
            <w:pPr>
              <w:widowControl w:val="0"/>
              <w:tabs>
                <w:tab w:val="left" w:pos="430"/>
              </w:tabs>
              <w:ind w:left="-137" w:right="63"/>
              <w:jc w:val="right"/>
              <w:rPr>
                <w:sz w:val="20"/>
                <w:szCs w:val="20"/>
              </w:rPr>
            </w:pPr>
            <w:r>
              <w:rPr>
                <w:sz w:val="20"/>
              </w:rPr>
              <w:t>-3,90</w:t>
            </w:r>
            <w:r>
              <w:rPr>
                <w:color w:val="000000"/>
                <w:sz w:val="20"/>
              </w:rPr>
              <w:t> </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58301A"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14,20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73A17B0"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-2,22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AAB5DED"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21,07 </w:t>
            </w:r>
          </w:p>
        </w:tc>
        <w:tc>
          <w:tcPr>
            <w:tcW w:w="673" w:type="pct"/>
            <w:tcBorders>
              <w:top w:val="single" w:sz="4" w:space="0" w:color="auto"/>
              <w:left w:val="single" w:sz="4" w:space="0" w:color="auto"/>
              <w:bottom w:val="single" w:sz="4" w:space="0" w:color="auto"/>
              <w:right w:val="single" w:sz="4" w:space="0" w:color="auto"/>
            </w:tcBorders>
          </w:tcPr>
          <w:p w14:paraId="7B3F46A1"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24,46</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858028"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73,10</w:t>
            </w:r>
          </w:p>
        </w:tc>
      </w:tr>
      <w:tr w:rsidR="003F6E3E" w:rsidRPr="003F6E3E" w14:paraId="68350AAB"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BFE3ED" w14:textId="77777777" w:rsidR="003F6E3E" w:rsidRPr="003F6E3E" w:rsidRDefault="003F6E3E" w:rsidP="003F6E3E">
            <w:pPr>
              <w:widowControl w:val="0"/>
              <w:ind w:left="98"/>
              <w:jc w:val="left"/>
              <w:rPr>
                <w:color w:val="000000"/>
                <w:sz w:val="20"/>
                <w:szCs w:val="20"/>
              </w:rPr>
            </w:pPr>
            <w:r>
              <w:rPr>
                <w:color w:val="000000"/>
                <w:sz w:val="20"/>
              </w:rPr>
              <w:t>HCFC-124</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97EF9C" w14:textId="77777777" w:rsidR="003F6E3E" w:rsidRPr="003F6E3E" w:rsidRDefault="003F6E3E" w:rsidP="003F6E3E">
            <w:pPr>
              <w:widowControl w:val="0"/>
              <w:tabs>
                <w:tab w:val="left" w:pos="430"/>
              </w:tabs>
              <w:ind w:left="-137" w:right="63"/>
              <w:jc w:val="right"/>
              <w:rPr>
                <w:sz w:val="20"/>
                <w:szCs w:val="20"/>
              </w:rPr>
            </w:pPr>
            <w:r>
              <w:rPr>
                <w:color w:val="000000"/>
                <w:sz w:val="20"/>
              </w:rPr>
              <w:t>0,00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D01ED1"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0,00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53B2E63"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0,00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A6F6C79"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0,00</w:t>
            </w:r>
          </w:p>
        </w:tc>
        <w:tc>
          <w:tcPr>
            <w:tcW w:w="673" w:type="pct"/>
            <w:tcBorders>
              <w:top w:val="single" w:sz="4" w:space="0" w:color="auto"/>
              <w:left w:val="single" w:sz="4" w:space="0" w:color="auto"/>
              <w:bottom w:val="single" w:sz="4" w:space="0" w:color="auto"/>
              <w:right w:val="single" w:sz="4" w:space="0" w:color="auto"/>
            </w:tcBorders>
          </w:tcPr>
          <w:p w14:paraId="0FA13600"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0,00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A161E3"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8,0</w:t>
            </w:r>
          </w:p>
        </w:tc>
      </w:tr>
      <w:tr w:rsidR="003F6E3E" w:rsidRPr="003F6E3E" w14:paraId="160C593C"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E72DB8" w14:textId="77777777" w:rsidR="003F6E3E" w:rsidRPr="003F6E3E" w:rsidRDefault="003F6E3E" w:rsidP="003F6E3E">
            <w:pPr>
              <w:widowControl w:val="0"/>
              <w:ind w:left="98"/>
              <w:jc w:val="left"/>
              <w:rPr>
                <w:color w:val="000000"/>
                <w:sz w:val="20"/>
                <w:szCs w:val="20"/>
              </w:rPr>
            </w:pPr>
            <w:r>
              <w:rPr>
                <w:color w:val="000000"/>
                <w:sz w:val="20"/>
              </w:rPr>
              <w:t>HCFC-141b</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D1BF64" w14:textId="77777777" w:rsidR="003F6E3E" w:rsidRPr="003F6E3E" w:rsidRDefault="003F6E3E" w:rsidP="003F6E3E">
            <w:pPr>
              <w:widowControl w:val="0"/>
              <w:tabs>
                <w:tab w:val="left" w:pos="430"/>
              </w:tabs>
              <w:ind w:left="-137" w:right="63"/>
              <w:jc w:val="right"/>
              <w:rPr>
                <w:sz w:val="20"/>
                <w:szCs w:val="20"/>
              </w:rPr>
            </w:pPr>
            <w:r>
              <w:rPr>
                <w:color w:val="000000"/>
                <w:sz w:val="20"/>
              </w:rPr>
              <w:t>316,10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A8271C"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41,05</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32F13776"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0,00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AE97EFC"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0,00</w:t>
            </w:r>
          </w:p>
        </w:tc>
        <w:tc>
          <w:tcPr>
            <w:tcW w:w="673" w:type="pct"/>
            <w:tcBorders>
              <w:top w:val="single" w:sz="4" w:space="0" w:color="auto"/>
              <w:left w:val="single" w:sz="4" w:space="0" w:color="auto"/>
              <w:bottom w:val="single" w:sz="4" w:space="0" w:color="auto"/>
              <w:right w:val="single" w:sz="4" w:space="0" w:color="auto"/>
            </w:tcBorders>
          </w:tcPr>
          <w:p w14:paraId="1AB97093"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0,00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2087F3"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6 123,9</w:t>
            </w:r>
          </w:p>
        </w:tc>
      </w:tr>
      <w:tr w:rsidR="003F6E3E" w:rsidRPr="003F6E3E" w14:paraId="2390F406"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C8121C" w14:textId="77777777" w:rsidR="003F6E3E" w:rsidRPr="003F6E3E" w:rsidRDefault="003F6E3E" w:rsidP="003F6E3E">
            <w:pPr>
              <w:widowControl w:val="0"/>
              <w:ind w:left="98"/>
              <w:jc w:val="left"/>
              <w:rPr>
                <w:color w:val="000000"/>
                <w:sz w:val="20"/>
                <w:szCs w:val="20"/>
              </w:rPr>
            </w:pPr>
            <w:r>
              <w:rPr>
                <w:color w:val="000000"/>
                <w:sz w:val="20"/>
              </w:rPr>
              <w:t>HCFC-142b</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6BA8AC" w14:textId="77777777" w:rsidR="003F6E3E" w:rsidRPr="003F6E3E" w:rsidRDefault="003F6E3E" w:rsidP="003F6E3E">
            <w:pPr>
              <w:widowControl w:val="0"/>
              <w:tabs>
                <w:tab w:val="left" w:pos="430"/>
              </w:tabs>
              <w:ind w:left="-137" w:right="63"/>
              <w:jc w:val="right"/>
              <w:rPr>
                <w:sz w:val="20"/>
                <w:szCs w:val="20"/>
              </w:rPr>
            </w:pPr>
            <w:r>
              <w:rPr>
                <w:color w:val="000000"/>
                <w:sz w:val="20"/>
              </w:rPr>
              <w:t>0,00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32828F"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-0,44 </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5C78B01"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-0,76</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32C8F9C"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0,00</w:t>
            </w:r>
          </w:p>
        </w:tc>
        <w:tc>
          <w:tcPr>
            <w:tcW w:w="673" w:type="pct"/>
            <w:tcBorders>
              <w:top w:val="single" w:sz="4" w:space="0" w:color="auto"/>
              <w:left w:val="single" w:sz="4" w:space="0" w:color="auto"/>
              <w:bottom w:val="single" w:sz="4" w:space="0" w:color="auto"/>
              <w:right w:val="single" w:sz="4" w:space="0" w:color="auto"/>
            </w:tcBorders>
          </w:tcPr>
          <w:p w14:paraId="3F8E433E"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0,00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B666C2" w14:textId="77777777" w:rsidR="003F6E3E" w:rsidRPr="003F6E3E" w:rsidRDefault="003F6E3E" w:rsidP="003F6E3E">
            <w:pPr>
              <w:widowControl w:val="0"/>
              <w:tabs>
                <w:tab w:val="left" w:pos="430"/>
              </w:tabs>
              <w:ind w:left="-137" w:right="63"/>
              <w:jc w:val="right"/>
              <w:rPr>
                <w:color w:val="000000"/>
                <w:sz w:val="20"/>
                <w:szCs w:val="20"/>
              </w:rPr>
            </w:pPr>
            <w:r>
              <w:rPr>
                <w:color w:val="000000"/>
                <w:sz w:val="20"/>
              </w:rPr>
              <w:t>89,2</w:t>
            </w:r>
          </w:p>
        </w:tc>
      </w:tr>
      <w:tr w:rsidR="003F6E3E" w:rsidRPr="003F6E3E" w14:paraId="761A2258"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AEE51F7" w14:textId="77777777" w:rsidR="003F6E3E" w:rsidRPr="003F6E3E" w:rsidRDefault="003F6E3E" w:rsidP="003F6E3E">
            <w:pPr>
              <w:ind w:left="98"/>
              <w:jc w:val="left"/>
              <w:rPr>
                <w:rFonts w:eastAsiaTheme="minorHAnsi"/>
                <w:b/>
                <w:color w:val="000000"/>
                <w:sz w:val="20"/>
                <w:szCs w:val="20"/>
              </w:rPr>
            </w:pPr>
            <w:r>
              <w:rPr>
                <w:b/>
                <w:color w:val="000000"/>
                <w:sz w:val="20"/>
              </w:rPr>
              <w:t>Total (tm)</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CB24A7" w14:textId="77777777" w:rsidR="003F6E3E" w:rsidRPr="003F6E3E" w:rsidRDefault="003F6E3E" w:rsidP="003F6E3E">
            <w:pPr>
              <w:widowControl w:val="0"/>
              <w:tabs>
                <w:tab w:val="left" w:pos="430"/>
              </w:tabs>
              <w:ind w:left="-137" w:right="63"/>
              <w:jc w:val="right"/>
              <w:rPr>
                <w:b/>
                <w:color w:val="000000"/>
                <w:sz w:val="20"/>
                <w:szCs w:val="20"/>
              </w:rPr>
            </w:pPr>
            <w:r>
              <w:rPr>
                <w:b/>
                <w:color w:val="000000"/>
                <w:sz w:val="20"/>
              </w:rPr>
              <w:t>2 526,25</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4A1626" w14:textId="77777777" w:rsidR="003F6E3E" w:rsidRPr="003F6E3E" w:rsidRDefault="003F6E3E" w:rsidP="003F6E3E">
            <w:pPr>
              <w:widowControl w:val="0"/>
              <w:tabs>
                <w:tab w:val="left" w:pos="430"/>
              </w:tabs>
              <w:ind w:left="-137" w:right="63"/>
              <w:jc w:val="right"/>
              <w:rPr>
                <w:b/>
                <w:color w:val="000000"/>
                <w:sz w:val="20"/>
                <w:szCs w:val="20"/>
              </w:rPr>
            </w:pPr>
            <w:r>
              <w:rPr>
                <w:b/>
                <w:color w:val="000000"/>
                <w:sz w:val="20"/>
              </w:rPr>
              <w:t>2 337,86</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C4096D4" w14:textId="77777777" w:rsidR="003F6E3E" w:rsidRPr="003F6E3E" w:rsidRDefault="003F6E3E" w:rsidP="003F6E3E">
            <w:pPr>
              <w:widowControl w:val="0"/>
              <w:tabs>
                <w:tab w:val="left" w:pos="430"/>
              </w:tabs>
              <w:ind w:left="-137" w:right="63"/>
              <w:jc w:val="right"/>
              <w:rPr>
                <w:b/>
                <w:color w:val="000000"/>
                <w:sz w:val="20"/>
                <w:szCs w:val="20"/>
              </w:rPr>
            </w:pPr>
            <w:r>
              <w:rPr>
                <w:b/>
                <w:color w:val="000000"/>
                <w:sz w:val="20"/>
              </w:rPr>
              <w:t>3 793,10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4E739DA" w14:textId="77777777" w:rsidR="003F6E3E" w:rsidRPr="003F6E3E" w:rsidRDefault="003F6E3E" w:rsidP="003F6E3E">
            <w:pPr>
              <w:widowControl w:val="0"/>
              <w:tabs>
                <w:tab w:val="left" w:pos="430"/>
              </w:tabs>
              <w:ind w:left="-137" w:right="63"/>
              <w:jc w:val="right"/>
              <w:rPr>
                <w:b/>
                <w:color w:val="000000"/>
                <w:sz w:val="20"/>
                <w:szCs w:val="20"/>
              </w:rPr>
            </w:pPr>
            <w:r>
              <w:rPr>
                <w:b/>
                <w:color w:val="000000"/>
                <w:sz w:val="20"/>
              </w:rPr>
              <w:t>3 072,14</w:t>
            </w:r>
          </w:p>
        </w:tc>
        <w:tc>
          <w:tcPr>
            <w:tcW w:w="673" w:type="pct"/>
            <w:tcBorders>
              <w:top w:val="single" w:sz="4" w:space="0" w:color="auto"/>
              <w:left w:val="single" w:sz="4" w:space="0" w:color="auto"/>
              <w:bottom w:val="single" w:sz="4" w:space="0" w:color="auto"/>
              <w:right w:val="single" w:sz="4" w:space="0" w:color="auto"/>
            </w:tcBorders>
          </w:tcPr>
          <w:p w14:paraId="25A33D2F" w14:textId="77777777" w:rsidR="003F6E3E" w:rsidRPr="003F6E3E" w:rsidRDefault="003F6E3E" w:rsidP="003F6E3E">
            <w:pPr>
              <w:widowControl w:val="0"/>
              <w:tabs>
                <w:tab w:val="left" w:pos="430"/>
              </w:tabs>
              <w:ind w:left="-137" w:right="63"/>
              <w:jc w:val="right"/>
              <w:rPr>
                <w:b/>
                <w:bCs/>
                <w:color w:val="000000"/>
                <w:sz w:val="20"/>
                <w:szCs w:val="20"/>
              </w:rPr>
            </w:pPr>
            <w:r>
              <w:rPr>
                <w:b/>
                <w:color w:val="000000"/>
                <w:sz w:val="20"/>
              </w:rPr>
              <w:t>3 029,77</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6EF784" w14:textId="77777777" w:rsidR="003F6E3E" w:rsidRPr="003F6E3E" w:rsidRDefault="003F6E3E" w:rsidP="003F6E3E">
            <w:pPr>
              <w:widowControl w:val="0"/>
              <w:tabs>
                <w:tab w:val="left" w:pos="430"/>
              </w:tabs>
              <w:ind w:left="-137" w:right="63"/>
              <w:jc w:val="right"/>
              <w:rPr>
                <w:b/>
                <w:color w:val="000000"/>
                <w:sz w:val="20"/>
                <w:szCs w:val="20"/>
              </w:rPr>
            </w:pPr>
            <w:r>
              <w:rPr>
                <w:b/>
                <w:color w:val="000000"/>
                <w:sz w:val="20"/>
              </w:rPr>
              <w:t>14 799,3</w:t>
            </w:r>
          </w:p>
        </w:tc>
      </w:tr>
      <w:tr w:rsidR="003F6E3E" w:rsidRPr="003F6E3E" w14:paraId="3AF3BB9F" w14:textId="77777777" w:rsidTr="004A5450">
        <w:tc>
          <w:tcPr>
            <w:tcW w:w="5000" w:type="pct"/>
            <w:gridSpan w:val="7"/>
            <w:tcBorders>
              <w:top w:val="single" w:sz="4" w:space="0" w:color="auto"/>
              <w:left w:val="single" w:sz="4" w:space="0" w:color="auto"/>
              <w:bottom w:val="single" w:sz="4" w:space="0" w:color="auto"/>
              <w:right w:val="single" w:sz="4" w:space="0" w:color="auto"/>
            </w:tcBorders>
          </w:tcPr>
          <w:p w14:paraId="63A48E4B" w14:textId="77777777" w:rsidR="003F6E3E" w:rsidRPr="003F6E3E" w:rsidRDefault="003F6E3E" w:rsidP="003F6E3E">
            <w:pPr>
              <w:keepNext/>
              <w:ind w:left="98"/>
              <w:jc w:val="left"/>
              <w:rPr>
                <w:color w:val="000000"/>
                <w:sz w:val="20"/>
                <w:szCs w:val="20"/>
              </w:rPr>
            </w:pPr>
            <w:r>
              <w:rPr>
                <w:b/>
                <w:color w:val="000000"/>
                <w:sz w:val="20"/>
              </w:rPr>
              <w:t>Tonnes PAO</w:t>
            </w:r>
          </w:p>
        </w:tc>
      </w:tr>
      <w:tr w:rsidR="003F6E3E" w:rsidRPr="003F6E3E" w14:paraId="686433E8"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719D93" w14:textId="77777777" w:rsidR="003F6E3E" w:rsidRPr="003F6E3E" w:rsidRDefault="003F6E3E" w:rsidP="003F6E3E">
            <w:pPr>
              <w:widowControl w:val="0"/>
              <w:ind w:left="98"/>
              <w:jc w:val="left"/>
              <w:rPr>
                <w:color w:val="000000"/>
                <w:sz w:val="20"/>
                <w:szCs w:val="20"/>
              </w:rPr>
            </w:pPr>
            <w:r>
              <w:rPr>
                <w:color w:val="000000"/>
                <w:sz w:val="20"/>
              </w:rPr>
              <w:t>HCFC-22</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B6EFF0" w14:textId="77777777" w:rsidR="003F6E3E" w:rsidRPr="003F6E3E" w:rsidRDefault="003F6E3E" w:rsidP="003F6E3E">
            <w:pPr>
              <w:widowControl w:val="0"/>
              <w:ind w:left="-279" w:right="63"/>
              <w:jc w:val="right"/>
              <w:rPr>
                <w:color w:val="000000"/>
                <w:sz w:val="20"/>
                <w:szCs w:val="20"/>
              </w:rPr>
            </w:pPr>
            <w:r>
              <w:rPr>
                <w:color w:val="000000"/>
                <w:sz w:val="20"/>
              </w:rPr>
              <w:t>121,77</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1F945F" w14:textId="77777777" w:rsidR="003F6E3E" w:rsidRPr="003F6E3E" w:rsidRDefault="003F6E3E" w:rsidP="003F6E3E">
            <w:pPr>
              <w:widowControl w:val="0"/>
              <w:ind w:left="-279" w:right="63"/>
              <w:jc w:val="right"/>
              <w:rPr>
                <w:color w:val="000000"/>
                <w:sz w:val="20"/>
                <w:szCs w:val="20"/>
              </w:rPr>
            </w:pPr>
            <w:r>
              <w:rPr>
                <w:color w:val="000000"/>
                <w:sz w:val="20"/>
              </w:rPr>
              <w:t>125,57</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F8BAD3F" w14:textId="77777777" w:rsidR="003F6E3E" w:rsidRPr="003F6E3E" w:rsidRDefault="003F6E3E" w:rsidP="003F6E3E">
            <w:pPr>
              <w:widowControl w:val="0"/>
              <w:ind w:left="-279" w:right="63"/>
              <w:jc w:val="right"/>
              <w:rPr>
                <w:color w:val="000000"/>
                <w:sz w:val="20"/>
                <w:szCs w:val="20"/>
              </w:rPr>
            </w:pPr>
            <w:r>
              <w:rPr>
                <w:color w:val="000000"/>
                <w:sz w:val="20"/>
              </w:rPr>
              <w:t>208,78</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C820E38" w14:textId="77777777" w:rsidR="003F6E3E" w:rsidRPr="003F6E3E" w:rsidRDefault="003F6E3E" w:rsidP="003F6E3E">
            <w:pPr>
              <w:widowControl w:val="0"/>
              <w:ind w:left="-279" w:right="63"/>
              <w:jc w:val="right"/>
              <w:rPr>
                <w:color w:val="000000"/>
                <w:sz w:val="20"/>
                <w:szCs w:val="20"/>
              </w:rPr>
            </w:pPr>
            <w:r>
              <w:rPr>
                <w:color w:val="000000"/>
                <w:sz w:val="20"/>
              </w:rPr>
              <w:t>167,81</w:t>
            </w:r>
          </w:p>
        </w:tc>
        <w:tc>
          <w:tcPr>
            <w:tcW w:w="673" w:type="pct"/>
            <w:tcBorders>
              <w:top w:val="single" w:sz="4" w:space="0" w:color="auto"/>
              <w:left w:val="single" w:sz="4" w:space="0" w:color="auto"/>
              <w:bottom w:val="single" w:sz="4" w:space="0" w:color="auto"/>
              <w:right w:val="single" w:sz="4" w:space="0" w:color="auto"/>
            </w:tcBorders>
          </w:tcPr>
          <w:p w14:paraId="24686D5C" w14:textId="77777777" w:rsidR="003F6E3E" w:rsidRPr="003F6E3E" w:rsidRDefault="003F6E3E" w:rsidP="003F6E3E">
            <w:pPr>
              <w:widowControl w:val="0"/>
              <w:ind w:left="-279" w:right="63"/>
              <w:jc w:val="right"/>
              <w:rPr>
                <w:color w:val="000000"/>
                <w:sz w:val="20"/>
                <w:szCs w:val="20"/>
              </w:rPr>
            </w:pPr>
            <w:r>
              <w:rPr>
                <w:color w:val="000000"/>
                <w:sz w:val="20"/>
              </w:rPr>
              <w:t>165,29</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38355E" w14:textId="77777777" w:rsidR="003F6E3E" w:rsidRPr="003F6E3E" w:rsidRDefault="003F6E3E" w:rsidP="003F6E3E">
            <w:pPr>
              <w:widowControl w:val="0"/>
              <w:ind w:left="-279" w:right="63"/>
              <w:jc w:val="right"/>
              <w:rPr>
                <w:color w:val="000000"/>
                <w:sz w:val="20"/>
                <w:szCs w:val="20"/>
              </w:rPr>
            </w:pPr>
            <w:r>
              <w:rPr>
                <w:color w:val="000000"/>
                <w:sz w:val="20"/>
              </w:rPr>
              <w:t>467,8</w:t>
            </w:r>
          </w:p>
        </w:tc>
      </w:tr>
      <w:tr w:rsidR="003F6E3E" w:rsidRPr="003F6E3E" w14:paraId="02F185F4"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284689" w14:textId="77777777" w:rsidR="003F6E3E" w:rsidRPr="003F6E3E" w:rsidRDefault="003F6E3E" w:rsidP="003F6E3E">
            <w:pPr>
              <w:widowControl w:val="0"/>
              <w:ind w:left="98"/>
              <w:jc w:val="left"/>
              <w:rPr>
                <w:color w:val="000000"/>
                <w:sz w:val="20"/>
                <w:szCs w:val="20"/>
              </w:rPr>
            </w:pPr>
            <w:r>
              <w:rPr>
                <w:color w:val="000000"/>
                <w:sz w:val="20"/>
              </w:rPr>
              <w:t>HCFC-123</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26EE42" w14:textId="77777777" w:rsidR="003F6E3E" w:rsidRPr="003F6E3E" w:rsidRDefault="003F6E3E" w:rsidP="003F6E3E">
            <w:pPr>
              <w:widowControl w:val="0"/>
              <w:ind w:left="-279" w:right="63"/>
              <w:jc w:val="right"/>
              <w:rPr>
                <w:color w:val="000000"/>
                <w:sz w:val="20"/>
                <w:szCs w:val="20"/>
              </w:rPr>
            </w:pPr>
            <w:r>
              <w:rPr>
                <w:color w:val="000000"/>
                <w:sz w:val="20"/>
              </w:rPr>
              <w:t>-0,08</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8F1073" w14:textId="77777777" w:rsidR="003F6E3E" w:rsidRPr="003F6E3E" w:rsidRDefault="003F6E3E" w:rsidP="003F6E3E">
            <w:pPr>
              <w:widowControl w:val="0"/>
              <w:ind w:left="-279" w:right="63"/>
              <w:jc w:val="right"/>
              <w:rPr>
                <w:color w:val="000000"/>
                <w:sz w:val="20"/>
                <w:szCs w:val="20"/>
              </w:rPr>
            </w:pPr>
            <w:r>
              <w:rPr>
                <w:color w:val="000000"/>
                <w:sz w:val="20"/>
              </w:rPr>
              <w:t>0,28</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276E7A5" w14:textId="77777777" w:rsidR="003F6E3E" w:rsidRPr="003F6E3E" w:rsidRDefault="003F6E3E" w:rsidP="003F6E3E">
            <w:pPr>
              <w:widowControl w:val="0"/>
              <w:ind w:left="-279" w:right="63"/>
              <w:jc w:val="right"/>
              <w:rPr>
                <w:color w:val="000000"/>
                <w:sz w:val="20"/>
                <w:szCs w:val="20"/>
              </w:rPr>
            </w:pPr>
            <w:r>
              <w:rPr>
                <w:color w:val="000000"/>
                <w:sz w:val="20"/>
              </w:rPr>
              <w:t>-0,04</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6A14C95" w14:textId="77777777" w:rsidR="003F6E3E" w:rsidRPr="003F6E3E" w:rsidRDefault="003F6E3E" w:rsidP="003F6E3E">
            <w:pPr>
              <w:widowControl w:val="0"/>
              <w:ind w:left="-279" w:right="63"/>
              <w:jc w:val="right"/>
              <w:rPr>
                <w:color w:val="000000"/>
                <w:sz w:val="20"/>
                <w:szCs w:val="20"/>
              </w:rPr>
            </w:pPr>
            <w:r>
              <w:rPr>
                <w:color w:val="000000"/>
                <w:sz w:val="20"/>
              </w:rPr>
              <w:t>0,42</w:t>
            </w:r>
          </w:p>
        </w:tc>
        <w:tc>
          <w:tcPr>
            <w:tcW w:w="673" w:type="pct"/>
            <w:tcBorders>
              <w:top w:val="single" w:sz="4" w:space="0" w:color="auto"/>
              <w:left w:val="single" w:sz="4" w:space="0" w:color="auto"/>
              <w:bottom w:val="single" w:sz="4" w:space="0" w:color="auto"/>
              <w:right w:val="single" w:sz="4" w:space="0" w:color="auto"/>
            </w:tcBorders>
          </w:tcPr>
          <w:p w14:paraId="1503A6FB" w14:textId="77777777" w:rsidR="003F6E3E" w:rsidRPr="003F6E3E" w:rsidRDefault="003F6E3E" w:rsidP="003F6E3E">
            <w:pPr>
              <w:widowControl w:val="0"/>
              <w:ind w:left="-279" w:right="63"/>
              <w:jc w:val="right"/>
              <w:rPr>
                <w:color w:val="000000"/>
                <w:sz w:val="20"/>
                <w:szCs w:val="20"/>
              </w:rPr>
            </w:pPr>
            <w:r>
              <w:rPr>
                <w:color w:val="000000"/>
                <w:sz w:val="20"/>
              </w:rPr>
              <w:t>0,49</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29B42A" w14:textId="77777777" w:rsidR="003F6E3E" w:rsidRPr="003F6E3E" w:rsidRDefault="003F6E3E" w:rsidP="003F6E3E">
            <w:pPr>
              <w:widowControl w:val="0"/>
              <w:ind w:left="-279" w:right="63"/>
              <w:jc w:val="right"/>
              <w:rPr>
                <w:color w:val="000000"/>
                <w:sz w:val="20"/>
                <w:szCs w:val="20"/>
              </w:rPr>
            </w:pPr>
            <w:r>
              <w:rPr>
                <w:color w:val="000000"/>
                <w:sz w:val="20"/>
              </w:rPr>
              <w:t>1,4</w:t>
            </w:r>
          </w:p>
        </w:tc>
      </w:tr>
      <w:tr w:rsidR="003F6E3E" w:rsidRPr="003F6E3E" w14:paraId="11221894"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AC9B30" w14:textId="77777777" w:rsidR="003F6E3E" w:rsidRPr="003F6E3E" w:rsidRDefault="003F6E3E" w:rsidP="003F6E3E">
            <w:pPr>
              <w:widowControl w:val="0"/>
              <w:ind w:left="98"/>
              <w:jc w:val="left"/>
              <w:rPr>
                <w:color w:val="000000"/>
                <w:sz w:val="20"/>
                <w:szCs w:val="20"/>
              </w:rPr>
            </w:pPr>
            <w:r>
              <w:rPr>
                <w:color w:val="000000"/>
                <w:sz w:val="20"/>
              </w:rPr>
              <w:t>HCFC-124</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CA4719" w14:textId="77777777" w:rsidR="003F6E3E" w:rsidRPr="003F6E3E" w:rsidRDefault="003F6E3E" w:rsidP="003F6E3E">
            <w:pPr>
              <w:widowControl w:val="0"/>
              <w:ind w:left="-279" w:right="63"/>
              <w:jc w:val="right"/>
              <w:rPr>
                <w:color w:val="000000"/>
                <w:sz w:val="20"/>
                <w:szCs w:val="20"/>
              </w:rPr>
            </w:pPr>
            <w:r>
              <w:rPr>
                <w:color w:val="000000"/>
                <w:sz w:val="20"/>
              </w:rPr>
              <w:t>0,00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165F91" w14:textId="77777777" w:rsidR="003F6E3E" w:rsidRPr="003F6E3E" w:rsidRDefault="003F6E3E" w:rsidP="003F6E3E">
            <w:pPr>
              <w:widowControl w:val="0"/>
              <w:ind w:left="-279" w:right="63"/>
              <w:jc w:val="right"/>
              <w:rPr>
                <w:color w:val="000000"/>
                <w:sz w:val="20"/>
                <w:szCs w:val="20"/>
              </w:rPr>
            </w:pPr>
            <w:r>
              <w:rPr>
                <w:color w:val="000000"/>
                <w:sz w:val="20"/>
              </w:rPr>
              <w:t>0,00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2A5D11EF" w14:textId="77777777" w:rsidR="003F6E3E" w:rsidRPr="003F6E3E" w:rsidRDefault="003F6E3E" w:rsidP="003F6E3E">
            <w:pPr>
              <w:widowControl w:val="0"/>
              <w:ind w:left="-279" w:right="63"/>
              <w:jc w:val="right"/>
              <w:rPr>
                <w:color w:val="000000"/>
                <w:sz w:val="20"/>
                <w:szCs w:val="20"/>
              </w:rPr>
            </w:pPr>
            <w:r>
              <w:rPr>
                <w:color w:val="000000"/>
                <w:sz w:val="20"/>
              </w:rPr>
              <w:t>0,00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F85CE4C" w14:textId="77777777" w:rsidR="003F6E3E" w:rsidRPr="003F6E3E" w:rsidRDefault="003F6E3E" w:rsidP="003F6E3E">
            <w:pPr>
              <w:widowControl w:val="0"/>
              <w:ind w:left="-279" w:right="63"/>
              <w:jc w:val="right"/>
              <w:rPr>
                <w:color w:val="000000"/>
                <w:sz w:val="20"/>
                <w:szCs w:val="20"/>
              </w:rPr>
            </w:pPr>
            <w:r>
              <w:rPr>
                <w:color w:val="000000"/>
                <w:sz w:val="20"/>
              </w:rPr>
              <w:t>0,00</w:t>
            </w:r>
          </w:p>
        </w:tc>
        <w:tc>
          <w:tcPr>
            <w:tcW w:w="673" w:type="pct"/>
            <w:tcBorders>
              <w:top w:val="single" w:sz="4" w:space="0" w:color="auto"/>
              <w:left w:val="single" w:sz="4" w:space="0" w:color="auto"/>
              <w:bottom w:val="single" w:sz="4" w:space="0" w:color="auto"/>
              <w:right w:val="single" w:sz="4" w:space="0" w:color="auto"/>
            </w:tcBorders>
          </w:tcPr>
          <w:p w14:paraId="5B481698" w14:textId="77777777" w:rsidR="003F6E3E" w:rsidRPr="003F6E3E" w:rsidRDefault="003F6E3E" w:rsidP="003F6E3E">
            <w:pPr>
              <w:widowControl w:val="0"/>
              <w:ind w:left="-279" w:right="63"/>
              <w:jc w:val="right"/>
              <w:rPr>
                <w:color w:val="000000"/>
                <w:sz w:val="20"/>
                <w:szCs w:val="20"/>
              </w:rPr>
            </w:pPr>
            <w:r>
              <w:rPr>
                <w:color w:val="000000"/>
                <w:sz w:val="20"/>
              </w:rPr>
              <w:t>0,00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97AF04" w14:textId="77777777" w:rsidR="003F6E3E" w:rsidRPr="003F6E3E" w:rsidRDefault="003F6E3E" w:rsidP="003F6E3E">
            <w:pPr>
              <w:widowControl w:val="0"/>
              <w:ind w:left="-279" w:right="63"/>
              <w:jc w:val="right"/>
              <w:rPr>
                <w:color w:val="000000"/>
                <w:sz w:val="20"/>
                <w:szCs w:val="20"/>
              </w:rPr>
            </w:pPr>
            <w:r>
              <w:rPr>
                <w:color w:val="000000"/>
                <w:sz w:val="20"/>
              </w:rPr>
              <w:t>0,2</w:t>
            </w:r>
          </w:p>
        </w:tc>
      </w:tr>
      <w:tr w:rsidR="003F6E3E" w:rsidRPr="003F6E3E" w14:paraId="326DB530"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159D6F" w14:textId="77777777" w:rsidR="003F6E3E" w:rsidRPr="003F6E3E" w:rsidRDefault="003F6E3E" w:rsidP="003F6E3E">
            <w:pPr>
              <w:widowControl w:val="0"/>
              <w:ind w:left="98"/>
              <w:jc w:val="left"/>
              <w:rPr>
                <w:color w:val="000000"/>
                <w:sz w:val="20"/>
                <w:szCs w:val="20"/>
              </w:rPr>
            </w:pPr>
            <w:r>
              <w:rPr>
                <w:color w:val="000000"/>
                <w:sz w:val="20"/>
              </w:rPr>
              <w:t>HCFC-141b</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45A9F4" w14:textId="77777777" w:rsidR="003F6E3E" w:rsidRPr="003F6E3E" w:rsidRDefault="003F6E3E" w:rsidP="003F6E3E">
            <w:pPr>
              <w:widowControl w:val="0"/>
              <w:ind w:left="-279" w:right="63"/>
              <w:jc w:val="right"/>
              <w:rPr>
                <w:color w:val="000000"/>
                <w:sz w:val="20"/>
                <w:szCs w:val="20"/>
              </w:rPr>
            </w:pPr>
            <w:r>
              <w:rPr>
                <w:color w:val="000000"/>
                <w:sz w:val="20"/>
              </w:rPr>
              <w:t>34,77</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95CE6F" w14:textId="77777777" w:rsidR="003F6E3E" w:rsidRPr="003F6E3E" w:rsidRDefault="003F6E3E" w:rsidP="003F6E3E">
            <w:pPr>
              <w:widowControl w:val="0"/>
              <w:ind w:left="-279" w:right="63"/>
              <w:jc w:val="right"/>
              <w:rPr>
                <w:color w:val="000000"/>
                <w:sz w:val="20"/>
                <w:szCs w:val="20"/>
              </w:rPr>
            </w:pPr>
            <w:r>
              <w:rPr>
                <w:color w:val="000000"/>
                <w:sz w:val="20"/>
              </w:rPr>
              <w:t>4,52</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191D352B" w14:textId="77777777" w:rsidR="003F6E3E" w:rsidRPr="003F6E3E" w:rsidRDefault="003F6E3E" w:rsidP="003F6E3E">
            <w:pPr>
              <w:widowControl w:val="0"/>
              <w:ind w:left="-279" w:right="63"/>
              <w:jc w:val="right"/>
              <w:rPr>
                <w:color w:val="000000"/>
                <w:sz w:val="20"/>
                <w:szCs w:val="20"/>
              </w:rPr>
            </w:pPr>
            <w:r>
              <w:rPr>
                <w:color w:val="000000"/>
                <w:sz w:val="20"/>
              </w:rPr>
              <w:t>0,00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08D78FB" w14:textId="77777777" w:rsidR="003F6E3E" w:rsidRPr="003F6E3E" w:rsidRDefault="003F6E3E" w:rsidP="003F6E3E">
            <w:pPr>
              <w:widowControl w:val="0"/>
              <w:ind w:left="-279" w:right="63"/>
              <w:jc w:val="right"/>
              <w:rPr>
                <w:color w:val="000000"/>
                <w:sz w:val="20"/>
                <w:szCs w:val="20"/>
              </w:rPr>
            </w:pPr>
            <w:r>
              <w:rPr>
                <w:color w:val="000000"/>
                <w:sz w:val="20"/>
              </w:rPr>
              <w:t>0,00</w:t>
            </w:r>
          </w:p>
        </w:tc>
        <w:tc>
          <w:tcPr>
            <w:tcW w:w="673" w:type="pct"/>
            <w:tcBorders>
              <w:top w:val="single" w:sz="4" w:space="0" w:color="auto"/>
              <w:left w:val="single" w:sz="4" w:space="0" w:color="auto"/>
              <w:bottom w:val="single" w:sz="4" w:space="0" w:color="auto"/>
              <w:right w:val="single" w:sz="4" w:space="0" w:color="auto"/>
            </w:tcBorders>
          </w:tcPr>
          <w:p w14:paraId="1E66FE2B" w14:textId="77777777" w:rsidR="003F6E3E" w:rsidRPr="003F6E3E" w:rsidRDefault="003F6E3E" w:rsidP="003F6E3E">
            <w:pPr>
              <w:widowControl w:val="0"/>
              <w:ind w:left="-279" w:right="63"/>
              <w:jc w:val="right"/>
              <w:rPr>
                <w:color w:val="000000"/>
                <w:sz w:val="20"/>
                <w:szCs w:val="20"/>
              </w:rPr>
            </w:pPr>
            <w:r>
              <w:rPr>
                <w:color w:val="000000"/>
                <w:sz w:val="20"/>
              </w:rPr>
              <w:t>0,00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3167F2" w14:textId="77777777" w:rsidR="003F6E3E" w:rsidRPr="003F6E3E" w:rsidRDefault="003F6E3E" w:rsidP="003F6E3E">
            <w:pPr>
              <w:widowControl w:val="0"/>
              <w:ind w:left="-279" w:right="63"/>
              <w:jc w:val="right"/>
              <w:rPr>
                <w:color w:val="000000"/>
                <w:sz w:val="20"/>
                <w:szCs w:val="20"/>
              </w:rPr>
            </w:pPr>
            <w:r>
              <w:rPr>
                <w:color w:val="000000"/>
                <w:sz w:val="20"/>
              </w:rPr>
              <w:t>673,6</w:t>
            </w:r>
          </w:p>
        </w:tc>
      </w:tr>
      <w:tr w:rsidR="003F6E3E" w:rsidRPr="003F6E3E" w14:paraId="6999EBEA"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CCB919" w14:textId="77777777" w:rsidR="003F6E3E" w:rsidRPr="003F6E3E" w:rsidRDefault="003F6E3E" w:rsidP="003F6E3E">
            <w:pPr>
              <w:widowControl w:val="0"/>
              <w:ind w:left="98"/>
              <w:jc w:val="left"/>
              <w:rPr>
                <w:color w:val="000000"/>
                <w:sz w:val="20"/>
                <w:szCs w:val="20"/>
              </w:rPr>
            </w:pPr>
            <w:r>
              <w:rPr>
                <w:color w:val="000000"/>
                <w:sz w:val="20"/>
              </w:rPr>
              <w:t>HCFC-142b</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E5B293" w14:textId="77777777" w:rsidR="003F6E3E" w:rsidRPr="003F6E3E" w:rsidRDefault="003F6E3E" w:rsidP="003F6E3E">
            <w:pPr>
              <w:widowControl w:val="0"/>
              <w:ind w:left="-279" w:right="63"/>
              <w:jc w:val="right"/>
              <w:rPr>
                <w:color w:val="000000"/>
                <w:sz w:val="20"/>
                <w:szCs w:val="20"/>
              </w:rPr>
            </w:pPr>
            <w:r>
              <w:rPr>
                <w:color w:val="000000"/>
                <w:sz w:val="20"/>
              </w:rPr>
              <w:t>0,00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00779C" w14:textId="77777777" w:rsidR="003F6E3E" w:rsidRPr="003F6E3E" w:rsidRDefault="003F6E3E" w:rsidP="003F6E3E">
            <w:pPr>
              <w:widowControl w:val="0"/>
              <w:ind w:left="-279" w:right="63"/>
              <w:jc w:val="right"/>
              <w:rPr>
                <w:color w:val="000000"/>
                <w:sz w:val="20"/>
                <w:szCs w:val="20"/>
              </w:rPr>
            </w:pPr>
            <w:r>
              <w:rPr>
                <w:color w:val="000000"/>
                <w:sz w:val="20"/>
              </w:rPr>
              <w:t>-0,03</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48F97D14" w14:textId="77777777" w:rsidR="003F6E3E" w:rsidRPr="003F6E3E" w:rsidRDefault="003F6E3E" w:rsidP="003F6E3E">
            <w:pPr>
              <w:widowControl w:val="0"/>
              <w:ind w:left="-279" w:right="63"/>
              <w:jc w:val="right"/>
              <w:rPr>
                <w:color w:val="000000"/>
                <w:sz w:val="20"/>
                <w:szCs w:val="20"/>
              </w:rPr>
            </w:pPr>
            <w:r>
              <w:rPr>
                <w:color w:val="000000"/>
                <w:sz w:val="20"/>
              </w:rPr>
              <w:t>-0,05</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6404734" w14:textId="77777777" w:rsidR="003F6E3E" w:rsidRPr="003F6E3E" w:rsidRDefault="003F6E3E" w:rsidP="003F6E3E">
            <w:pPr>
              <w:widowControl w:val="0"/>
              <w:ind w:left="-279" w:right="63"/>
              <w:jc w:val="right"/>
              <w:rPr>
                <w:color w:val="000000"/>
                <w:sz w:val="20"/>
                <w:szCs w:val="20"/>
              </w:rPr>
            </w:pPr>
            <w:r>
              <w:rPr>
                <w:color w:val="000000"/>
                <w:sz w:val="20"/>
              </w:rPr>
              <w:t>0,00</w:t>
            </w:r>
          </w:p>
        </w:tc>
        <w:tc>
          <w:tcPr>
            <w:tcW w:w="673" w:type="pct"/>
            <w:tcBorders>
              <w:top w:val="single" w:sz="4" w:space="0" w:color="auto"/>
              <w:left w:val="single" w:sz="4" w:space="0" w:color="auto"/>
              <w:bottom w:val="single" w:sz="4" w:space="0" w:color="auto"/>
              <w:right w:val="single" w:sz="4" w:space="0" w:color="auto"/>
            </w:tcBorders>
          </w:tcPr>
          <w:p w14:paraId="0AF84EB1" w14:textId="77777777" w:rsidR="003F6E3E" w:rsidRPr="003F6E3E" w:rsidRDefault="003F6E3E" w:rsidP="003F6E3E">
            <w:pPr>
              <w:widowControl w:val="0"/>
              <w:ind w:left="-279" w:right="63"/>
              <w:jc w:val="right"/>
              <w:rPr>
                <w:color w:val="000000"/>
                <w:sz w:val="20"/>
                <w:szCs w:val="20"/>
              </w:rPr>
            </w:pPr>
            <w:r>
              <w:rPr>
                <w:color w:val="000000"/>
                <w:sz w:val="20"/>
              </w:rPr>
              <w:t>0,00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EF83A3" w14:textId="77777777" w:rsidR="003F6E3E" w:rsidRPr="003F6E3E" w:rsidRDefault="003F6E3E" w:rsidP="003F6E3E">
            <w:pPr>
              <w:widowControl w:val="0"/>
              <w:ind w:left="-279" w:right="63"/>
              <w:jc w:val="right"/>
              <w:rPr>
                <w:color w:val="000000"/>
                <w:sz w:val="20"/>
                <w:szCs w:val="20"/>
              </w:rPr>
            </w:pPr>
            <w:r>
              <w:rPr>
                <w:color w:val="000000"/>
                <w:sz w:val="20"/>
              </w:rPr>
              <w:t>5,8</w:t>
            </w:r>
          </w:p>
        </w:tc>
      </w:tr>
      <w:tr w:rsidR="003F6E3E" w:rsidRPr="003F6E3E" w14:paraId="31CF0311"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0FC58D5" w14:textId="77777777" w:rsidR="003F6E3E" w:rsidRPr="003F6E3E" w:rsidRDefault="003F6E3E" w:rsidP="003F6E3E">
            <w:pPr>
              <w:ind w:left="98"/>
              <w:jc w:val="left"/>
              <w:rPr>
                <w:rFonts w:eastAsiaTheme="minorHAnsi"/>
                <w:b/>
                <w:sz w:val="20"/>
                <w:szCs w:val="20"/>
              </w:rPr>
            </w:pPr>
            <w:r>
              <w:rPr>
                <w:b/>
                <w:sz w:val="20"/>
              </w:rPr>
              <w:t>Total (tonnes PAO)</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E8C1A3" w14:textId="77777777" w:rsidR="003F6E3E" w:rsidRPr="003F6E3E" w:rsidRDefault="003F6E3E" w:rsidP="003F6E3E">
            <w:pPr>
              <w:widowControl w:val="0"/>
              <w:ind w:left="-279" w:right="63"/>
              <w:jc w:val="right"/>
              <w:rPr>
                <w:b/>
                <w:color w:val="000000"/>
                <w:sz w:val="20"/>
                <w:szCs w:val="20"/>
              </w:rPr>
            </w:pPr>
            <w:r>
              <w:rPr>
                <w:b/>
                <w:color w:val="000000"/>
                <w:sz w:val="20"/>
              </w:rPr>
              <w:t>156,46</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597763" w14:textId="77777777" w:rsidR="003F6E3E" w:rsidRPr="003F6E3E" w:rsidRDefault="003F6E3E" w:rsidP="003F6E3E">
            <w:pPr>
              <w:widowControl w:val="0"/>
              <w:ind w:left="-279" w:right="63"/>
              <w:jc w:val="right"/>
              <w:rPr>
                <w:b/>
                <w:color w:val="000000"/>
                <w:sz w:val="20"/>
                <w:szCs w:val="20"/>
              </w:rPr>
            </w:pPr>
            <w:r>
              <w:rPr>
                <w:b/>
                <w:color w:val="000000"/>
                <w:sz w:val="20"/>
              </w:rPr>
              <w:t>130,34</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2245DD78" w14:textId="77777777" w:rsidR="003F6E3E" w:rsidRPr="003F6E3E" w:rsidRDefault="003F6E3E" w:rsidP="003F6E3E">
            <w:pPr>
              <w:ind w:left="-279" w:right="63"/>
              <w:jc w:val="right"/>
              <w:rPr>
                <w:b/>
                <w:color w:val="000000"/>
                <w:sz w:val="20"/>
                <w:szCs w:val="20"/>
              </w:rPr>
            </w:pPr>
            <w:r>
              <w:rPr>
                <w:b/>
                <w:color w:val="000000"/>
                <w:sz w:val="20"/>
              </w:rPr>
              <w:t>208,69</w:t>
            </w:r>
          </w:p>
        </w:tc>
        <w:tc>
          <w:tcPr>
            <w:tcW w:w="593" w:type="pct"/>
            <w:tcBorders>
              <w:top w:val="single" w:sz="4" w:space="0" w:color="auto"/>
              <w:left w:val="single" w:sz="4" w:space="0" w:color="auto"/>
              <w:bottom w:val="single" w:sz="4" w:space="0" w:color="auto"/>
              <w:right w:val="single" w:sz="4" w:space="0" w:color="auto"/>
            </w:tcBorders>
            <w:shd w:val="clear" w:color="auto" w:fill="auto"/>
            <w:vAlign w:val="bottom"/>
          </w:tcPr>
          <w:p w14:paraId="6D4E0986" w14:textId="77777777" w:rsidR="003F6E3E" w:rsidRPr="003F6E3E" w:rsidRDefault="003F6E3E" w:rsidP="003F6E3E">
            <w:pPr>
              <w:ind w:left="-279" w:right="63"/>
              <w:jc w:val="right"/>
              <w:rPr>
                <w:b/>
                <w:color w:val="000000"/>
                <w:sz w:val="20"/>
                <w:szCs w:val="20"/>
              </w:rPr>
            </w:pPr>
            <w:r>
              <w:rPr>
                <w:b/>
                <w:color w:val="000000"/>
                <w:sz w:val="20"/>
              </w:rPr>
              <w:t>168,23</w:t>
            </w:r>
          </w:p>
        </w:tc>
        <w:tc>
          <w:tcPr>
            <w:tcW w:w="673" w:type="pct"/>
            <w:tcBorders>
              <w:top w:val="single" w:sz="4" w:space="0" w:color="auto"/>
              <w:left w:val="single" w:sz="4" w:space="0" w:color="auto"/>
              <w:bottom w:val="single" w:sz="4" w:space="0" w:color="auto"/>
              <w:right w:val="single" w:sz="4" w:space="0" w:color="auto"/>
            </w:tcBorders>
          </w:tcPr>
          <w:p w14:paraId="65D05E13" w14:textId="77777777" w:rsidR="003F6E3E" w:rsidRPr="003F6E3E" w:rsidRDefault="003F6E3E" w:rsidP="003F6E3E">
            <w:pPr>
              <w:ind w:left="-279" w:right="63"/>
              <w:jc w:val="right"/>
              <w:rPr>
                <w:b/>
                <w:bCs/>
                <w:color w:val="000000"/>
                <w:sz w:val="20"/>
                <w:szCs w:val="20"/>
              </w:rPr>
            </w:pPr>
            <w:r>
              <w:rPr>
                <w:b/>
                <w:color w:val="000000"/>
                <w:sz w:val="20"/>
              </w:rPr>
              <w:t>165,78</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B5FD9C" w14:textId="77777777" w:rsidR="003F6E3E" w:rsidRPr="003F6E3E" w:rsidRDefault="003F6E3E" w:rsidP="003F6E3E">
            <w:pPr>
              <w:ind w:left="-279" w:right="63"/>
              <w:jc w:val="right"/>
              <w:rPr>
                <w:rFonts w:eastAsiaTheme="minorHAnsi"/>
                <w:b/>
                <w:color w:val="000000"/>
                <w:sz w:val="20"/>
                <w:szCs w:val="20"/>
              </w:rPr>
            </w:pPr>
            <w:r>
              <w:rPr>
                <w:b/>
                <w:color w:val="000000"/>
                <w:sz w:val="20"/>
              </w:rPr>
              <w:t>1 148,8</w:t>
            </w:r>
          </w:p>
        </w:tc>
      </w:tr>
      <w:tr w:rsidR="003F6E3E" w:rsidRPr="003F6E3E" w14:paraId="0E4993D6"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6DB58242" w14:textId="77777777" w:rsidR="003F6E3E" w:rsidRPr="003F6E3E" w:rsidRDefault="003F6E3E" w:rsidP="003F6E3E">
            <w:pPr>
              <w:ind w:left="98"/>
              <w:jc w:val="left"/>
              <w:rPr>
                <w:b/>
                <w:bCs/>
                <w:sz w:val="20"/>
                <w:szCs w:val="20"/>
              </w:rPr>
            </w:pPr>
            <w:r>
              <w:rPr>
                <w:b/>
                <w:sz w:val="20"/>
              </w:rPr>
              <w:t>Consommation maximale admissible</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530B12" w14:textId="77777777" w:rsidR="003F6E3E" w:rsidRPr="003F6E3E" w:rsidRDefault="003F6E3E" w:rsidP="003F6E3E">
            <w:pPr>
              <w:widowControl w:val="0"/>
              <w:ind w:left="-279" w:right="63"/>
              <w:jc w:val="right"/>
              <w:rPr>
                <w:b/>
                <w:bCs/>
                <w:color w:val="000000"/>
                <w:sz w:val="20"/>
                <w:szCs w:val="20"/>
              </w:rPr>
            </w:pPr>
            <w:r>
              <w:rPr>
                <w:b/>
                <w:color w:val="000000"/>
                <w:sz w:val="20"/>
              </w:rPr>
              <w:t>574,40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DC9D5C" w14:textId="77777777" w:rsidR="003F6E3E" w:rsidRPr="003F6E3E" w:rsidRDefault="003F6E3E" w:rsidP="003F6E3E">
            <w:pPr>
              <w:widowControl w:val="0"/>
              <w:ind w:left="-279" w:right="63"/>
              <w:jc w:val="right"/>
              <w:rPr>
                <w:b/>
                <w:bCs/>
                <w:color w:val="000000"/>
                <w:sz w:val="20"/>
                <w:szCs w:val="20"/>
              </w:rPr>
            </w:pPr>
            <w:r>
              <w:rPr>
                <w:b/>
                <w:color w:val="000000"/>
                <w:sz w:val="20"/>
              </w:rPr>
              <w:t>574,40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58DBADF" w14:textId="77777777" w:rsidR="003F6E3E" w:rsidRPr="003F6E3E" w:rsidRDefault="003F6E3E" w:rsidP="003F6E3E">
            <w:pPr>
              <w:ind w:left="-279" w:right="63"/>
              <w:jc w:val="right"/>
              <w:rPr>
                <w:b/>
                <w:bCs/>
                <w:color w:val="000000"/>
                <w:sz w:val="20"/>
                <w:szCs w:val="20"/>
              </w:rPr>
            </w:pPr>
            <w:r>
              <w:rPr>
                <w:b/>
                <w:color w:val="000000"/>
                <w:sz w:val="20"/>
              </w:rPr>
              <w:t>373,36</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946DEF2" w14:textId="77777777" w:rsidR="003F6E3E" w:rsidRPr="003F6E3E" w:rsidRDefault="003F6E3E" w:rsidP="003F6E3E">
            <w:pPr>
              <w:ind w:left="-279" w:right="63"/>
              <w:jc w:val="right"/>
              <w:rPr>
                <w:b/>
                <w:bCs/>
                <w:color w:val="000000"/>
                <w:sz w:val="20"/>
                <w:szCs w:val="20"/>
              </w:rPr>
            </w:pPr>
            <w:r>
              <w:rPr>
                <w:b/>
                <w:color w:val="000000"/>
                <w:sz w:val="20"/>
              </w:rPr>
              <w:t>373,36</w:t>
            </w:r>
          </w:p>
        </w:tc>
        <w:tc>
          <w:tcPr>
            <w:tcW w:w="673" w:type="pct"/>
            <w:tcBorders>
              <w:top w:val="single" w:sz="4" w:space="0" w:color="auto"/>
              <w:left w:val="single" w:sz="4" w:space="0" w:color="auto"/>
              <w:bottom w:val="single" w:sz="4" w:space="0" w:color="auto"/>
              <w:right w:val="single" w:sz="4" w:space="0" w:color="auto"/>
            </w:tcBorders>
            <w:vAlign w:val="center"/>
          </w:tcPr>
          <w:p w14:paraId="7EE3ACE5" w14:textId="77777777" w:rsidR="003F6E3E" w:rsidRPr="003F6E3E" w:rsidRDefault="003F6E3E" w:rsidP="003F6E3E">
            <w:pPr>
              <w:ind w:left="-279" w:right="63"/>
              <w:jc w:val="right"/>
              <w:rPr>
                <w:b/>
                <w:bCs/>
                <w:color w:val="000000"/>
                <w:sz w:val="20"/>
                <w:szCs w:val="20"/>
              </w:rPr>
            </w:pPr>
            <w:r>
              <w:rPr>
                <w:b/>
                <w:color w:val="000000"/>
                <w:sz w:val="20"/>
              </w:rPr>
              <w:t>373,36</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6CDC3A" w14:textId="77777777" w:rsidR="003F6E3E" w:rsidRPr="003F6E3E" w:rsidRDefault="003F6E3E" w:rsidP="003F6E3E">
            <w:pPr>
              <w:ind w:left="-279" w:right="63"/>
              <w:jc w:val="right"/>
              <w:rPr>
                <w:b/>
                <w:bCs/>
                <w:color w:val="000000"/>
                <w:sz w:val="20"/>
                <w:szCs w:val="20"/>
              </w:rPr>
            </w:pPr>
            <w:r>
              <w:rPr>
                <w:b/>
                <w:color w:val="000000"/>
                <w:sz w:val="20"/>
              </w:rPr>
              <w:t>1 148,8</w:t>
            </w:r>
          </w:p>
        </w:tc>
      </w:tr>
    </w:tbl>
    <w:p w14:paraId="37B92879" w14:textId="77777777" w:rsidR="003F6E3E" w:rsidRPr="003F6E3E" w:rsidRDefault="003F6E3E" w:rsidP="003F6E3E">
      <w:pPr>
        <w:spacing w:after="240"/>
        <w:outlineLvl w:val="0"/>
        <w:rPr>
          <w:rFonts w:eastAsiaTheme="minorEastAsia"/>
          <w:iCs/>
          <w:sz w:val="18"/>
          <w:szCs w:val="18"/>
        </w:rPr>
      </w:pPr>
      <w:r>
        <w:rPr>
          <w:sz w:val="18"/>
        </w:rPr>
        <w:t>* Estimation préliminaire. La vérification de la consommation de HCFC en 2024 pour le Mexique est encore en cours dans le cadre de la préparation du rapport de mise en œuvre du programme du pays.</w:t>
      </w:r>
    </w:p>
    <w:p w14:paraId="5552787B" w14:textId="77777777" w:rsidR="003F6E3E" w:rsidRPr="003F6E3E" w:rsidRDefault="003F6E3E" w:rsidP="003F6E3E">
      <w:pPr>
        <w:keepNext/>
        <w:spacing w:after="240"/>
        <w:outlineLvl w:val="0"/>
        <w:rPr>
          <w:rFonts w:eastAsiaTheme="minorEastAsia"/>
          <w:b/>
          <w:bCs/>
        </w:rPr>
      </w:pPr>
      <w:r>
        <w:rPr>
          <w:b/>
        </w:rPr>
        <w:t>Rapport périodique</w:t>
      </w:r>
    </w:p>
    <w:p w14:paraId="57E4EE4F" w14:textId="62814DD9" w:rsidR="003F6E3E" w:rsidRPr="003F6E3E" w:rsidRDefault="003F6E3E" w:rsidP="003F6E3E">
      <w:pPr>
        <w:numPr>
          <w:ilvl w:val="0"/>
          <w:numId w:val="1"/>
        </w:numPr>
        <w:spacing w:after="240"/>
        <w:outlineLvl w:val="0"/>
        <w:rPr>
          <w:rFonts w:eastAsiaTheme="minorEastAsia"/>
        </w:rPr>
      </w:pPr>
      <w:r>
        <w:t xml:space="preserve">Au nom du Gouvernement du Mexique, l’ONUDI a présenté un rapport fournissant une mise à jour </w:t>
      </w:r>
      <w:bookmarkStart w:id="5" w:name="_Hlk194401377"/>
      <w:r>
        <w:t>des progrès réalisés sur les activités restantes dans le secteur de l’entretien de l’équipement de réfrigération. Celui-ci comprend :</w:t>
      </w:r>
    </w:p>
    <w:bookmarkEnd w:id="5"/>
    <w:p w14:paraId="04972E8F" w14:textId="77777777" w:rsidR="003F6E3E" w:rsidRPr="003F6E3E" w:rsidRDefault="003F6E3E" w:rsidP="003F6E3E">
      <w:pPr>
        <w:widowControl w:val="0"/>
        <w:numPr>
          <w:ilvl w:val="1"/>
          <w:numId w:val="1"/>
        </w:numPr>
        <w:spacing w:after="240"/>
        <w:outlineLvl w:val="1"/>
        <w:rPr>
          <w:rFonts w:eastAsiaTheme="minorEastAsia"/>
        </w:rPr>
      </w:pPr>
      <w:r>
        <w:t>dix-huit accords ont été établis avec les centres de formation pour continuer à fournir une formation aux bonnes pratiques aux techniciens en réfrigération pour un total de 22 institutions de formation assistées pendant la phase II ; et 6 000 manuels de bonnes pratiques en réfrigération ont été distribués aux centres ;</w:t>
      </w:r>
    </w:p>
    <w:p w14:paraId="36E1DFF8" w14:textId="77777777" w:rsidR="003F6E3E" w:rsidRPr="003F6E3E" w:rsidRDefault="003F6E3E" w:rsidP="003F6E3E">
      <w:pPr>
        <w:widowControl w:val="0"/>
        <w:numPr>
          <w:ilvl w:val="1"/>
          <w:numId w:val="1"/>
        </w:numPr>
        <w:spacing w:after="240"/>
        <w:outlineLvl w:val="1"/>
        <w:rPr>
          <w:rFonts w:eastAsiaTheme="minorEastAsia"/>
        </w:rPr>
      </w:pPr>
      <w:r>
        <w:t xml:space="preserve">vingt nouveaux instructeurs (dont 12 femmes) ont été formés aux bonnes pratiques en </w:t>
      </w:r>
      <w:r>
        <w:lastRenderedPageBreak/>
        <w:t>réfrigération et à la manipulation sans danger des hydrocarbures (HC) pour un total de 60 formateurs formés pendant cette phase. Au total, 2 934 techniciens ont été formés aux bonnes pratiques en réfrigération au titre de la phase II. Pour accroître la participation des femmes dans le secteur de la réfrigération, une perspective égalitaire a été promue, notamment par un atelier sur « Les femmes dans le secteur de la réfrigération et la climatisation » avec la participation de 35 femmes. Une formation en ligne destinée aux techniciens a également été rendue disponible sur la base du programme de formation pour les techniciens et comprenant des séances ciblées sur l’égalité des sexes ;</w:t>
      </w:r>
    </w:p>
    <w:p w14:paraId="1259F388" w14:textId="77777777" w:rsidR="003F6E3E" w:rsidRPr="003F6E3E" w:rsidRDefault="003F6E3E" w:rsidP="003F6E3E">
      <w:pPr>
        <w:widowControl w:val="0"/>
        <w:numPr>
          <w:ilvl w:val="1"/>
          <w:numId w:val="1"/>
        </w:numPr>
        <w:spacing w:after="240"/>
        <w:outlineLvl w:val="1"/>
        <w:rPr>
          <w:rFonts w:eastAsiaTheme="minorEastAsia"/>
        </w:rPr>
      </w:pPr>
      <w:r>
        <w:t>la formation des agents des douanes des précédentes tranches pour augmenter la capacité nationale d’élimination du commerce illicite des SAO et pour réduire la consommation de HCFC a été achevée, avec un total de 145 agents des douanes formés au titre de la phase II ;</w:t>
      </w:r>
    </w:p>
    <w:p w14:paraId="1FE051FE" w14:textId="77777777" w:rsidR="003F6E3E" w:rsidRPr="003F6E3E" w:rsidRDefault="003F6E3E" w:rsidP="003F6E3E">
      <w:pPr>
        <w:widowControl w:val="0"/>
        <w:numPr>
          <w:ilvl w:val="1"/>
          <w:numId w:val="1"/>
        </w:numPr>
        <w:spacing w:after="240"/>
        <w:outlineLvl w:val="1"/>
        <w:rPr>
          <w:rFonts w:eastAsiaTheme="minorEastAsia"/>
        </w:rPr>
      </w:pPr>
      <w:r>
        <w:t>au total, 1 000 kits d’outils d’entretien et de rinçage ont été distribués à 17 centres de formation et techniciens ; et</w:t>
      </w:r>
    </w:p>
    <w:p w14:paraId="7BB64FD7" w14:textId="77777777" w:rsidR="003F6E3E" w:rsidRPr="003F6E3E" w:rsidRDefault="003F6E3E" w:rsidP="003F6E3E">
      <w:pPr>
        <w:widowControl w:val="0"/>
        <w:numPr>
          <w:ilvl w:val="1"/>
          <w:numId w:val="1"/>
        </w:numPr>
        <w:spacing w:after="240"/>
        <w:outlineLvl w:val="1"/>
        <w:rPr>
          <w:rFonts w:eastAsiaTheme="minorEastAsia"/>
        </w:rPr>
      </w:pPr>
      <w:r>
        <w:t>l’unité de démonstration en supermarché utilisant du CO</w:t>
      </w:r>
      <w:r>
        <w:rPr>
          <w:vertAlign w:val="subscript"/>
        </w:rPr>
        <w:t>2</w:t>
      </w:r>
      <w:r>
        <w:t xml:space="preserve"> et des HC fournie aux tranches précédentes a été installée dans un centre de formation et testée avec succès. L’inauguration officielle et la remise finale de l’équipement au centre de formation est prévue pour avril 2025.</w:t>
      </w:r>
    </w:p>
    <w:p w14:paraId="1C21F1C1" w14:textId="77777777" w:rsidR="003F6E3E" w:rsidRPr="003F6E3E" w:rsidRDefault="003F6E3E" w:rsidP="003F6E3E">
      <w:pPr>
        <w:numPr>
          <w:ilvl w:val="0"/>
          <w:numId w:val="1"/>
        </w:numPr>
        <w:spacing w:after="240"/>
        <w:outlineLvl w:val="0"/>
        <w:rPr>
          <w:rFonts w:eastAsiaTheme="minorEastAsia"/>
        </w:rPr>
      </w:pPr>
      <w:r>
        <w:t xml:space="preserve">Des 11 087 772 $US totaux approuvés dans toutes les tranches pour la phase II du PGEH, 10 828 922 $US ont été décaissés et des obligations précédemment engagées pour 242 292 $US sont décaissées en 2025. Le PNUE a déjà restitué 5 071 $US </w:t>
      </w:r>
      <w:bookmarkStart w:id="6" w:name="_Hlk195005004"/>
      <w:r>
        <w:t xml:space="preserve">des soldes inutilisés </w:t>
      </w:r>
      <w:bookmarkEnd w:id="6"/>
      <w:r>
        <w:t>au Fonds aux 87</w:t>
      </w:r>
      <w:r>
        <w:rPr>
          <w:vertAlign w:val="superscript"/>
        </w:rPr>
        <w:t>e</w:t>
      </w:r>
      <w:r>
        <w:t xml:space="preserve"> et 95</w:t>
      </w:r>
      <w:r>
        <w:rPr>
          <w:vertAlign w:val="superscript"/>
        </w:rPr>
        <w:t>e</w:t>
      </w:r>
      <w:r>
        <w:t> réunions, et l’ONUDI a restitué 199 $US à la 95</w:t>
      </w:r>
      <w:r>
        <w:rPr>
          <w:vertAlign w:val="superscript"/>
        </w:rPr>
        <w:t>e</w:t>
      </w:r>
      <w:r>
        <w:t> réunion et prévoit de restituer un montant estimé de manière préliminaire à 11 000 $US une fois la clôture financière réalisée.</w:t>
      </w:r>
    </w:p>
    <w:p w14:paraId="5D443C53" w14:textId="77777777" w:rsidR="003F6E3E" w:rsidRPr="003F6E3E" w:rsidRDefault="003F6E3E" w:rsidP="00686077">
      <w:pPr>
        <w:spacing w:after="240"/>
        <w:rPr>
          <w:rFonts w:eastAsiaTheme="minorEastAsia"/>
          <w:b/>
          <w:bCs/>
        </w:rPr>
      </w:pPr>
      <w:r>
        <w:rPr>
          <w:b/>
        </w:rPr>
        <w:t>Observations du secrétariat</w:t>
      </w:r>
    </w:p>
    <w:p w14:paraId="12B2E77A" w14:textId="15945A39" w:rsidR="003F6E3E" w:rsidRPr="003F6E3E" w:rsidRDefault="003F6E3E" w:rsidP="003F6E3E">
      <w:pPr>
        <w:numPr>
          <w:ilvl w:val="0"/>
          <w:numId w:val="1"/>
        </w:numPr>
        <w:spacing w:after="240"/>
        <w:outlineLvl w:val="0"/>
        <w:rPr>
          <w:rFonts w:eastAsiaTheme="minorEastAsia"/>
        </w:rPr>
      </w:pPr>
      <w:r>
        <w:t>À la demande du secrétariat, l’ONUDI a confirmé que la date d’achèvement opérationnel de la phase II du PGEH était le 31 décembre 2024, comme établie par la décision 90/46 b), et qu’aucune nouvelle obligation n’a été prise depuis cette date. La seule activité en souffrance, prévue pour un achèvement d’ici le deuxième trimestre de 2025, est la formation des 1 800 techniciens restants par les 22 instituts de formation (pour atteindre un total proche de 5 000 techniciens), qui est effectuée directement par les instituts de formation financés au titre de la phase II. Le secrétariat prend note que, avec l’achèvement de la formation, le Mexique aura achevé toutes les activités planifiées au titre de la dernière tranche de la phase II du PGEH.</w:t>
      </w:r>
    </w:p>
    <w:p w14:paraId="293E2277" w14:textId="75A42DD1" w:rsidR="003F6E3E" w:rsidRPr="003F6E3E" w:rsidRDefault="003F6E3E" w:rsidP="00686077">
      <w:pPr>
        <w:keepNext/>
        <w:spacing w:after="240"/>
        <w:rPr>
          <w:rFonts w:eastAsiaTheme="minorEastAsia"/>
          <w:b/>
          <w:bCs/>
        </w:rPr>
      </w:pPr>
      <w:r>
        <w:rPr>
          <w:b/>
        </w:rPr>
        <w:t>Recommandation</w:t>
      </w:r>
    </w:p>
    <w:p w14:paraId="4FBD0339" w14:textId="77777777" w:rsidR="003F6E3E" w:rsidRPr="0058263D" w:rsidRDefault="003F6E3E" w:rsidP="003F6E3E">
      <w:pPr>
        <w:numPr>
          <w:ilvl w:val="0"/>
          <w:numId w:val="1"/>
        </w:numPr>
        <w:spacing w:after="240"/>
        <w:outlineLvl w:val="0"/>
        <w:rPr>
          <w:rFonts w:eastAsiaTheme="minorEastAsia"/>
        </w:rPr>
      </w:pPr>
      <w:r>
        <w:t>Le Comité exécutif pourrait souhaiter prendre note du rapport périodique sur la mise en œuvre des programmes de travail de la cinquième et dernière tranche de la phase II du plan de gestion de l’élimination des HCFC (PGEH) pour le Mexique, fourni par l’ONUDI et présenté dans le document UNEP/OzL.Pro/ExCom/96/11.</w:t>
      </w:r>
    </w:p>
    <w:p w14:paraId="68C8505D" w14:textId="77777777" w:rsidR="0090775E" w:rsidRPr="00F3342B" w:rsidRDefault="0090775E" w:rsidP="00F70EC5">
      <w:pPr>
        <w:ind w:left="720"/>
      </w:pPr>
      <w:bookmarkStart w:id="7" w:name="_Hlk197534539"/>
      <w:r>
        <w:rPr>
          <w:b/>
          <w:u w:val="single"/>
        </w:rPr>
        <w:t>Pakistan : Plan de gestion de l’élimination des HCFC (phase II – rapport périodique final sur la mise en œuvre des troisième et quatrième tranches ; et phase III – rapport périodique sur le projet de reconversion de Cool Point)</w:t>
      </w:r>
      <w:r>
        <w:rPr>
          <w:b/>
        </w:rPr>
        <w:t xml:space="preserve"> (ONUDI et PNUE)</w:t>
      </w:r>
    </w:p>
    <w:p w14:paraId="67BFFB57" w14:textId="77777777" w:rsidR="0090775E" w:rsidRPr="00F3342B" w:rsidRDefault="0090775E" w:rsidP="0090775E">
      <w:pPr>
        <w:rPr>
          <w:rFonts w:asciiTheme="majorBidi" w:hAnsiTheme="majorBidi" w:cstheme="majorBidi"/>
        </w:rPr>
      </w:pPr>
    </w:p>
    <w:p w14:paraId="4B1A269A" w14:textId="77777777" w:rsidR="0090775E" w:rsidRPr="009526CE" w:rsidRDefault="0090775E" w:rsidP="0090775E">
      <w:pPr>
        <w:rPr>
          <w:rFonts w:asciiTheme="majorBidi" w:hAnsiTheme="majorBidi" w:cstheme="majorBidi"/>
          <w:b/>
          <w:bCs/>
        </w:rPr>
      </w:pPr>
      <w:r>
        <w:rPr>
          <w:rFonts w:asciiTheme="majorBidi" w:hAnsiTheme="majorBidi"/>
          <w:b/>
        </w:rPr>
        <w:t>Contexte</w:t>
      </w:r>
    </w:p>
    <w:p w14:paraId="4547AE4C" w14:textId="77777777" w:rsidR="0090775E" w:rsidRPr="009526CE" w:rsidRDefault="0090775E" w:rsidP="0090775E">
      <w:pPr>
        <w:rPr>
          <w:rFonts w:asciiTheme="majorBidi" w:hAnsiTheme="majorBidi" w:cstheme="majorBidi"/>
        </w:rPr>
      </w:pPr>
    </w:p>
    <w:p w14:paraId="69F676F8" w14:textId="434E5078" w:rsidR="0090775E" w:rsidRPr="009526CE" w:rsidRDefault="0090775E" w:rsidP="00FB770B">
      <w:pPr>
        <w:pStyle w:val="Heading1"/>
      </w:pPr>
      <w:r>
        <w:t xml:space="preserve">Le Comité exécutif a demandé au Gouvernement du Pakistan, par l’intermédiaire de l’ONUDI, de continuer à présenter annuellement des rapports périodiques sur la mise en œuvre du programme de travail associé aux troisième et quatrième tranches de la phase II du plan de gestion de l’élimination des HCFC </w:t>
      </w:r>
      <w:r>
        <w:lastRenderedPageBreak/>
        <w:t>(PGEH) jusqu’à l’achèvement du projet et le rapport d’achèvement des projets à la première réunion de 2025 (décision 92/15 b)) ; et d’inclure, dans le cadre du rapport périodique sur la mise en œuvre de la dernière tranche de la phase II du PGEH, une mise à jour de l’état de l’interdiction des importations de HCFC-141b contenu dans les polyols prémélangés importés ; du transfert de technologie dans les industries des articles en plastique thermodurci ; et du projet de reconversion dans l’entreprise Dawlance, financé au titre de la phase II du PGEH ; et de communiquer à la 96</w:t>
      </w:r>
      <w:r>
        <w:rPr>
          <w:vertAlign w:val="superscript"/>
        </w:rPr>
        <w:t>e</w:t>
      </w:r>
      <w:r>
        <w:t> réunion sur la mise en œuvre du projet de reconversion dans l’entreprise Cool Point, financé au titre de la phase III du PGEH (décision 95/55 b)).</w:t>
      </w:r>
    </w:p>
    <w:p w14:paraId="1C4B8A08" w14:textId="77777777" w:rsidR="0090775E" w:rsidRPr="009526CE" w:rsidRDefault="0090775E" w:rsidP="00FB770B">
      <w:pPr>
        <w:pStyle w:val="Heading1"/>
        <w:rPr>
          <w:rFonts w:asciiTheme="majorBidi" w:hAnsiTheme="majorBidi" w:cstheme="majorBidi"/>
        </w:rPr>
      </w:pPr>
      <w:r>
        <w:rPr>
          <w:rFonts w:asciiTheme="majorBidi" w:hAnsiTheme="majorBidi"/>
        </w:rPr>
        <w:t>Conformément aux décisions 92/15 b) et 95/55 b), le Gouvernement du Pakistan, par l’intermédiaire de l’ONUDI, a soumis un rapport sur ce qui précède.</w:t>
      </w:r>
    </w:p>
    <w:p w14:paraId="72635EED" w14:textId="2CE015F0" w:rsidR="0090775E" w:rsidRPr="009526CE" w:rsidRDefault="002C53E8" w:rsidP="00282C48">
      <w:pPr>
        <w:keepNext/>
        <w:rPr>
          <w:rFonts w:asciiTheme="majorBidi" w:hAnsiTheme="majorBidi" w:cstheme="majorBidi"/>
          <w:b/>
          <w:bCs/>
        </w:rPr>
      </w:pPr>
      <w:r>
        <w:rPr>
          <w:rFonts w:asciiTheme="majorBidi" w:hAnsiTheme="majorBidi"/>
          <w:b/>
        </w:rPr>
        <w:t>Rapport périodique</w:t>
      </w:r>
    </w:p>
    <w:p w14:paraId="693D9312" w14:textId="77777777" w:rsidR="0090775E" w:rsidRPr="009526CE" w:rsidRDefault="0090775E" w:rsidP="00282C48">
      <w:pPr>
        <w:keepNext/>
        <w:rPr>
          <w:rFonts w:asciiTheme="majorBidi" w:hAnsiTheme="majorBidi" w:cstheme="majorBidi"/>
        </w:rPr>
      </w:pPr>
    </w:p>
    <w:p w14:paraId="7A4005CF" w14:textId="7C2896CC" w:rsidR="0090775E" w:rsidRPr="009526CE" w:rsidRDefault="0035065B" w:rsidP="00282C48">
      <w:pPr>
        <w:keepNext/>
        <w:rPr>
          <w:rFonts w:asciiTheme="majorBidi" w:hAnsiTheme="majorBidi" w:cstheme="majorBidi"/>
          <w:u w:val="single"/>
        </w:rPr>
      </w:pPr>
      <w:r>
        <w:rPr>
          <w:rFonts w:asciiTheme="majorBidi" w:hAnsiTheme="majorBidi"/>
          <w:u w:val="single"/>
        </w:rPr>
        <w:t>Mise en œuvre des troisième et quatrième tranches de la phase II du PGEH</w:t>
      </w:r>
    </w:p>
    <w:p w14:paraId="052BC21A" w14:textId="77777777" w:rsidR="0090775E" w:rsidRPr="009526CE" w:rsidRDefault="0090775E" w:rsidP="00282C48">
      <w:pPr>
        <w:keepNext/>
        <w:rPr>
          <w:rFonts w:asciiTheme="majorBidi" w:hAnsiTheme="majorBidi" w:cstheme="majorBidi"/>
        </w:rPr>
      </w:pPr>
    </w:p>
    <w:p w14:paraId="7AC20222" w14:textId="77777777" w:rsidR="0090775E" w:rsidRPr="009526CE" w:rsidRDefault="0090775E" w:rsidP="00282C48">
      <w:pPr>
        <w:pStyle w:val="Heading1"/>
        <w:keepNext/>
        <w:rPr>
          <w:rFonts w:asciiTheme="majorBidi" w:hAnsiTheme="majorBidi"/>
        </w:rPr>
      </w:pPr>
      <w:r>
        <w:rPr>
          <w:rFonts w:asciiTheme="majorBidi" w:hAnsiTheme="majorBidi"/>
        </w:rPr>
        <w:t>L’ONUDI a confirmé que les projets de reconversion dans quatre entreprises utilisant du HCFC</w:t>
      </w:r>
      <w:r>
        <w:rPr>
          <w:rFonts w:asciiTheme="majorBidi" w:hAnsiTheme="majorBidi"/>
        </w:rPr>
        <w:noBreakHyphen/>
        <w:t>141b dans des applications de mousses et dans une entreprise fabriquant de la mousse de polystyrène extrudé (XPS) sont achevés.</w:t>
      </w:r>
    </w:p>
    <w:p w14:paraId="3CA4FCD0" w14:textId="7755EEC2" w:rsidR="0090775E" w:rsidRPr="009526CE" w:rsidRDefault="0090775E" w:rsidP="00FB770B">
      <w:pPr>
        <w:pStyle w:val="Heading1"/>
        <w:rPr>
          <w:rFonts w:asciiTheme="majorBidi" w:hAnsiTheme="majorBidi"/>
        </w:rPr>
      </w:pPr>
      <w:r>
        <w:rPr>
          <w:rFonts w:asciiTheme="majorBidi" w:hAnsiTheme="majorBidi"/>
        </w:rPr>
        <w:t>En ce qui concerne le transfert de technologie dans les industries des articles en plastique thermodurci, l’ONUDI a expliqué que des tests avec des mélanges de HFO avaient été réalisés début mai 2025 ; les résultats techniques ont montré que les produits finaux contenant des mélanges de HFO n’avaient pas pu satisfaire aux normes requises. Sur la base des résultats, il a été convenu que les bénéficiaires utiliseraient du cyclopentane et mettraient en œuvre la reconversion avec des mesures de sécurité pertinentes dans les entreprises à leurs propres frais.</w:t>
      </w:r>
    </w:p>
    <w:p w14:paraId="71B5F65D" w14:textId="36B56F34" w:rsidR="0090775E" w:rsidRPr="0035173F" w:rsidRDefault="0090775E" w:rsidP="00FB770B">
      <w:pPr>
        <w:pStyle w:val="Heading1"/>
        <w:rPr>
          <w:rFonts w:asciiTheme="majorBidi" w:hAnsiTheme="majorBidi" w:cstheme="majorBidi"/>
        </w:rPr>
      </w:pPr>
      <w:r>
        <w:rPr>
          <w:rFonts w:asciiTheme="majorBidi" w:hAnsiTheme="majorBidi"/>
        </w:rPr>
        <w:t>Au sujet de l’état de la mise en œuvre du projet de reconversion à l’entreprise de climatisation résidentielle, Dawlance, l’ONUDI a communiqué que, d’ici décembre 2025, seuls 5 pour cent des unités fabriquées par l’entreprise utiliseraient du R-410A ; les autres unités seraient fabriquées en utilisant du HFC</w:t>
      </w:r>
      <w:r>
        <w:rPr>
          <w:rFonts w:asciiTheme="majorBidi" w:hAnsiTheme="majorBidi"/>
        </w:rPr>
        <w:noBreakHyphen/>
        <w:t>32. En outre, l’ONUDI a expliqué que l’entreprise prévoit de concevoir un équipement de climatisation au HFC-32 d’une capacité supérieure à 2 TR</w:t>
      </w:r>
      <w:r>
        <w:rPr>
          <w:rStyle w:val="FootnoteReference"/>
          <w:rFonts w:asciiTheme="majorBidi" w:hAnsiTheme="majorBidi" w:cstheme="majorBidi"/>
        </w:rPr>
        <w:footnoteReference w:id="20"/>
      </w:r>
      <w:r>
        <w:rPr>
          <w:rFonts w:asciiTheme="majorBidi" w:hAnsiTheme="majorBidi"/>
        </w:rPr>
        <w:t xml:space="preserve"> en 2026 ; une formation aux bonnes pratiques d’entretien et à la sécurité lors de l’utilisation de HFC-32 est dispensée aux techniciens d’entretien.</w:t>
      </w:r>
    </w:p>
    <w:p w14:paraId="6CB948BD" w14:textId="77777777" w:rsidR="0090775E" w:rsidRPr="00A8361B" w:rsidRDefault="0090775E" w:rsidP="0090775E">
      <w:pPr>
        <w:rPr>
          <w:rFonts w:asciiTheme="majorBidi" w:hAnsiTheme="majorBidi"/>
          <w:i/>
        </w:rPr>
      </w:pPr>
      <w:r>
        <w:rPr>
          <w:rFonts w:asciiTheme="majorBidi" w:hAnsiTheme="majorBidi"/>
          <w:i/>
        </w:rPr>
        <w:t>Interdiction des polyols prémélangés importés</w:t>
      </w:r>
    </w:p>
    <w:p w14:paraId="1B287DB6" w14:textId="77777777" w:rsidR="0090775E" w:rsidRDefault="0090775E" w:rsidP="0090775E">
      <w:pPr>
        <w:rPr>
          <w:rFonts w:asciiTheme="majorBidi" w:hAnsiTheme="majorBidi" w:cstheme="majorBidi"/>
        </w:rPr>
      </w:pPr>
    </w:p>
    <w:p w14:paraId="7B6B7D1D" w14:textId="77777777" w:rsidR="0090775E" w:rsidRDefault="0090775E" w:rsidP="00FB770B">
      <w:pPr>
        <w:pStyle w:val="Heading1"/>
        <w:rPr>
          <w:rFonts w:asciiTheme="majorBidi" w:hAnsiTheme="majorBidi" w:cstheme="majorBidi"/>
        </w:rPr>
      </w:pPr>
      <w:r>
        <w:rPr>
          <w:rFonts w:asciiTheme="majorBidi" w:hAnsiTheme="majorBidi"/>
        </w:rPr>
        <w:t>En ce qui concerne la mise en œuvre de l’interdiction des polyols prémélangés importés contenant du HCFC-141b, l’ONUDI a expliqué que l’interdiction avait été approuvée par le Comité de coordination économique du Gouvernement du Pakistan au début janvier 2025 et qu’elle était entrée en vigueur depuis le 31 janvier 2025. L’importation de HCFC-141b contenu dans les polyols prémélangés importés en 2023 s’élevait à 317,47 tm ; les données pour 2024 n’ont pas encore été communiquées.</w:t>
      </w:r>
    </w:p>
    <w:p w14:paraId="09B59B84" w14:textId="77777777" w:rsidR="0090775E" w:rsidRPr="009526CE" w:rsidRDefault="0090775E" w:rsidP="0058263D">
      <w:pPr>
        <w:keepNext/>
        <w:spacing w:after="240"/>
        <w:rPr>
          <w:rFonts w:asciiTheme="majorBidi" w:hAnsiTheme="majorBidi" w:cstheme="majorBidi"/>
          <w:i/>
          <w:iCs/>
        </w:rPr>
      </w:pPr>
      <w:r>
        <w:rPr>
          <w:rFonts w:asciiTheme="majorBidi" w:hAnsiTheme="majorBidi"/>
          <w:i/>
        </w:rPr>
        <w:t>Niveau de décaissement des fonds</w:t>
      </w:r>
    </w:p>
    <w:p w14:paraId="171BD05A" w14:textId="77777777" w:rsidR="0090775E" w:rsidRPr="002B398F" w:rsidRDefault="0090775E" w:rsidP="00FB770B">
      <w:pPr>
        <w:pStyle w:val="Heading1"/>
        <w:rPr>
          <w:rFonts w:asciiTheme="majorBidi" w:hAnsiTheme="majorBidi" w:cstheme="majorBidi"/>
        </w:rPr>
      </w:pPr>
      <w:r>
        <w:rPr>
          <w:rFonts w:asciiTheme="majorBidi" w:hAnsiTheme="majorBidi"/>
        </w:rPr>
        <w:t>En date de mars 2025, des 5 614 330 $US totaux approuvés au titre de la phase II du PGEH, 4 627 511 $US avaient été décaissés.</w:t>
      </w:r>
    </w:p>
    <w:p w14:paraId="34E6609B" w14:textId="77777777" w:rsidR="0090775E" w:rsidRPr="008F0E01" w:rsidRDefault="0090775E" w:rsidP="0090775E">
      <w:pPr>
        <w:keepNext/>
        <w:rPr>
          <w:rFonts w:asciiTheme="majorBidi" w:hAnsiTheme="majorBidi" w:cstheme="majorBidi"/>
          <w:u w:val="single"/>
        </w:rPr>
      </w:pPr>
      <w:r>
        <w:rPr>
          <w:rFonts w:asciiTheme="majorBidi" w:hAnsiTheme="majorBidi"/>
          <w:u w:val="single"/>
        </w:rPr>
        <w:t>Reconversion du projet chez Cool Point au titre de la phase III du PGEH</w:t>
      </w:r>
    </w:p>
    <w:p w14:paraId="0514DFC5" w14:textId="77777777" w:rsidR="0090775E" w:rsidRDefault="0090775E" w:rsidP="0090775E">
      <w:pPr>
        <w:rPr>
          <w:rFonts w:asciiTheme="majorBidi" w:hAnsiTheme="majorBidi" w:cstheme="majorBidi"/>
        </w:rPr>
      </w:pPr>
    </w:p>
    <w:p w14:paraId="0CD94AA8" w14:textId="6977F8ED" w:rsidR="0090775E" w:rsidRDefault="0090775E" w:rsidP="00FB770B">
      <w:pPr>
        <w:pStyle w:val="Heading1"/>
        <w:rPr>
          <w:rFonts w:asciiTheme="majorBidi" w:hAnsiTheme="majorBidi" w:cstheme="majorBidi"/>
        </w:rPr>
      </w:pPr>
      <w:r>
        <w:rPr>
          <w:rFonts w:asciiTheme="majorBidi" w:hAnsiTheme="majorBidi"/>
        </w:rPr>
        <w:t xml:space="preserve">Au sujet de l’état de la reconversion de Cool Point, un bénéficiaire au titre du projet du secteur des mousses de polyuréthane, l’ONUDI a confirmé que l’entreprise a clôturé ses opérations, arrêté d’utiliser du </w:t>
      </w:r>
      <w:r>
        <w:rPr>
          <w:rFonts w:asciiTheme="majorBidi" w:hAnsiTheme="majorBidi"/>
        </w:rPr>
        <w:lastRenderedPageBreak/>
        <w:t>HCFC-141b, et s’est débarrassé de l’équipement de base. En avril 2025, l’ONUDI procède à des consultations avec le gouvernement sur les prochaines étapes.</w:t>
      </w:r>
    </w:p>
    <w:p w14:paraId="10FD8C61" w14:textId="77777777" w:rsidR="006643DA" w:rsidRDefault="006643DA" w:rsidP="0090775E">
      <w:pPr>
        <w:rPr>
          <w:rFonts w:asciiTheme="majorBidi" w:hAnsiTheme="majorBidi"/>
          <w:b/>
        </w:rPr>
      </w:pPr>
    </w:p>
    <w:p w14:paraId="50907930" w14:textId="57346B19" w:rsidR="0090775E" w:rsidRPr="00D71C52" w:rsidRDefault="0090775E" w:rsidP="0090775E">
      <w:pPr>
        <w:rPr>
          <w:rFonts w:asciiTheme="majorBidi" w:hAnsiTheme="majorBidi" w:cstheme="majorBidi"/>
          <w:b/>
          <w:bCs/>
        </w:rPr>
      </w:pPr>
      <w:r>
        <w:rPr>
          <w:rFonts w:asciiTheme="majorBidi" w:hAnsiTheme="majorBidi"/>
          <w:b/>
        </w:rPr>
        <w:t>Observations du secrétariat</w:t>
      </w:r>
    </w:p>
    <w:p w14:paraId="5186175B" w14:textId="77777777" w:rsidR="0090775E" w:rsidRDefault="0090775E" w:rsidP="0090775E">
      <w:pPr>
        <w:rPr>
          <w:rFonts w:asciiTheme="majorBidi" w:hAnsiTheme="majorBidi" w:cstheme="majorBidi"/>
          <w:b/>
          <w:bCs/>
          <w:highlight w:val="yellow"/>
        </w:rPr>
      </w:pPr>
    </w:p>
    <w:p w14:paraId="203ACDA2" w14:textId="77777777" w:rsidR="0090775E" w:rsidRPr="009526CE" w:rsidRDefault="0090775E" w:rsidP="00FB770B">
      <w:pPr>
        <w:pStyle w:val="Heading1"/>
        <w:rPr>
          <w:rFonts w:asciiTheme="majorBidi" w:hAnsiTheme="majorBidi" w:cstheme="majorBidi"/>
        </w:rPr>
      </w:pPr>
      <w:r>
        <w:rPr>
          <w:rFonts w:asciiTheme="majorBidi" w:hAnsiTheme="majorBidi"/>
        </w:rPr>
        <w:t>Le secrétariat a pris note que l’interdiction des polyols prémélangés importés contenant du HCFC-141b a été mise en œuvre, et qu’avec la mise en œuvre de l’interdiction, les polyols prémélangés utilisant du HCFC-141b cesseraient d’être disponibles, ce qui accélèrerait l’élimination de l’utilisation du HCFC-141b dans les applications de mousse.</w:t>
      </w:r>
    </w:p>
    <w:p w14:paraId="24583371" w14:textId="77777777" w:rsidR="0090775E" w:rsidRPr="009526CE" w:rsidRDefault="0090775E" w:rsidP="00FB770B">
      <w:pPr>
        <w:pStyle w:val="Heading1"/>
        <w:rPr>
          <w:rFonts w:asciiTheme="majorBidi" w:hAnsiTheme="majorBidi" w:cstheme="majorBidi"/>
        </w:rPr>
      </w:pPr>
      <w:r>
        <w:rPr>
          <w:rFonts w:asciiTheme="majorBidi" w:hAnsiTheme="majorBidi"/>
        </w:rPr>
        <w:t>L’ONUDI a confirmé que le rapport d’achèvement des projets pour la phase II du PGEH sera présenté d’ici juin 2026, soit six mois après l’achèvement du projet.</w:t>
      </w:r>
    </w:p>
    <w:p w14:paraId="10E8D9EC" w14:textId="77777777" w:rsidR="0090775E" w:rsidRDefault="0090775E" w:rsidP="00760CB2">
      <w:pPr>
        <w:pStyle w:val="Heading1"/>
        <w:rPr>
          <w:rFonts w:asciiTheme="majorBidi" w:hAnsiTheme="majorBidi" w:cstheme="majorBidi"/>
        </w:rPr>
      </w:pPr>
      <w:r>
        <w:rPr>
          <w:rFonts w:asciiTheme="majorBidi" w:hAnsiTheme="majorBidi"/>
        </w:rPr>
        <w:t>Au sujet de l’interdiction de l’utilisation d’autres HCFC dans la fabrication d’ici le 1</w:t>
      </w:r>
      <w:r>
        <w:rPr>
          <w:rFonts w:asciiTheme="majorBidi" w:hAnsiTheme="majorBidi"/>
          <w:vertAlign w:val="superscript"/>
        </w:rPr>
        <w:t>er</w:t>
      </w:r>
      <w:r>
        <w:rPr>
          <w:rFonts w:asciiTheme="majorBidi" w:hAnsiTheme="majorBidi"/>
        </w:rPr>
        <w:t> janvier 2026, l’ONUDI a également expliqué que le gouvernement travaille actuellement à la préparation des réglementations et de la consultation des parties prenantes et autorités pertinentes pour l’application des réglementations.</w:t>
      </w:r>
    </w:p>
    <w:p w14:paraId="3560288C" w14:textId="77777777" w:rsidR="0090775E" w:rsidRDefault="0090775E" w:rsidP="00FB770B">
      <w:pPr>
        <w:pStyle w:val="Heading1"/>
        <w:rPr>
          <w:rFonts w:asciiTheme="majorBidi" w:hAnsiTheme="majorBidi" w:cstheme="majorBidi"/>
        </w:rPr>
      </w:pPr>
      <w:r>
        <w:rPr>
          <w:rFonts w:asciiTheme="majorBidi" w:hAnsiTheme="majorBidi"/>
        </w:rPr>
        <w:t>En ce qui concerne le projet de reconversion chez Cool Point, le secrétariat prend note des discussions en cours de l’ONUDI avec le gouvernement et a prié l’ONUDI de fournir un plan d’action détaillé à la 97</w:t>
      </w:r>
      <w:r>
        <w:rPr>
          <w:rFonts w:asciiTheme="majorBidi" w:hAnsiTheme="majorBidi"/>
          <w:vertAlign w:val="superscript"/>
        </w:rPr>
        <w:t>e</w:t>
      </w:r>
      <w:r>
        <w:rPr>
          <w:rFonts w:asciiTheme="majorBidi" w:hAnsiTheme="majorBidi"/>
        </w:rPr>
        <w:t> réunion.</w:t>
      </w:r>
    </w:p>
    <w:p w14:paraId="450052CF" w14:textId="77777777" w:rsidR="0090775E" w:rsidRPr="00D71C52" w:rsidRDefault="0090775E" w:rsidP="0090775E">
      <w:pPr>
        <w:spacing w:before="240"/>
        <w:rPr>
          <w:rFonts w:asciiTheme="majorBidi" w:hAnsiTheme="majorBidi" w:cstheme="majorBidi"/>
          <w:b/>
          <w:bCs/>
        </w:rPr>
      </w:pPr>
      <w:r>
        <w:rPr>
          <w:rFonts w:asciiTheme="majorBidi" w:hAnsiTheme="majorBidi"/>
          <w:b/>
        </w:rPr>
        <w:t>Recommandation</w:t>
      </w:r>
    </w:p>
    <w:p w14:paraId="3875A1C5" w14:textId="77777777" w:rsidR="0090775E" w:rsidRDefault="0090775E" w:rsidP="0090775E">
      <w:pPr>
        <w:pStyle w:val="ListParagraph"/>
        <w:ind w:left="0"/>
        <w:rPr>
          <w:rFonts w:asciiTheme="majorBidi" w:hAnsiTheme="majorBidi" w:cstheme="majorBidi"/>
        </w:rPr>
      </w:pPr>
    </w:p>
    <w:p w14:paraId="13CBE2DA" w14:textId="77777777" w:rsidR="0090775E" w:rsidRDefault="0090775E" w:rsidP="00FB770B">
      <w:pPr>
        <w:pStyle w:val="Heading1"/>
        <w:rPr>
          <w:rFonts w:asciiTheme="majorBidi" w:hAnsiTheme="majorBidi" w:cstheme="majorBidi"/>
        </w:rPr>
      </w:pPr>
      <w:r>
        <w:rPr>
          <w:rFonts w:asciiTheme="majorBidi" w:hAnsiTheme="majorBidi"/>
        </w:rPr>
        <w:t>Le Comité exécutif pourrait envisager :</w:t>
      </w:r>
    </w:p>
    <w:p w14:paraId="0FCA8856" w14:textId="3A959089" w:rsidR="0090775E" w:rsidRDefault="0090775E" w:rsidP="00FB770B">
      <w:pPr>
        <w:pStyle w:val="Heading2"/>
        <w:rPr>
          <w:rFonts w:asciiTheme="majorBidi" w:hAnsiTheme="majorBidi" w:cstheme="majorBidi"/>
        </w:rPr>
      </w:pPr>
      <w:r>
        <w:rPr>
          <w:rFonts w:asciiTheme="majorBidi" w:hAnsiTheme="majorBidi"/>
        </w:rPr>
        <w:t>de prendre note :</w:t>
      </w:r>
    </w:p>
    <w:p w14:paraId="22B4BB12" w14:textId="16D6BBF4" w:rsidR="0090775E" w:rsidRDefault="0090775E" w:rsidP="00FB770B">
      <w:pPr>
        <w:pStyle w:val="Heading3"/>
        <w:rPr>
          <w:rFonts w:asciiTheme="majorBidi" w:hAnsiTheme="majorBidi" w:cstheme="majorBidi"/>
        </w:rPr>
      </w:pPr>
      <w:r>
        <w:rPr>
          <w:rFonts w:asciiTheme="majorBidi" w:hAnsiTheme="majorBidi"/>
        </w:rPr>
        <w:t>des informations fournies par rapport aux décisions 92/15 b) et 95/55 b) sur la mise en œuvre des troisième et quatrième tranches de la phase II et de la première tranche de la phase III du plan de gestion de l’élimination des HCFC (PGEH) pour le Pakistan, tel que soumis par l’ONUDI et présenté dans le document UNEP/OzL.Pro/ExCom/96/11 ;</w:t>
      </w:r>
    </w:p>
    <w:p w14:paraId="6FFDDB3D" w14:textId="77777777" w:rsidR="0090775E" w:rsidRPr="009526CE" w:rsidRDefault="0090775E" w:rsidP="00FB770B">
      <w:pPr>
        <w:pStyle w:val="Heading3"/>
        <w:rPr>
          <w:rFonts w:asciiTheme="majorBidi" w:hAnsiTheme="majorBidi"/>
        </w:rPr>
      </w:pPr>
      <w:r>
        <w:rPr>
          <w:rFonts w:asciiTheme="majorBidi" w:hAnsiTheme="majorBidi"/>
        </w:rPr>
        <w:t>que la phase II du PGEH pour le Pakistan est achevée et que le rapport d’achèvement des projets serait présenté d’ici la fin juin 2025 ; et</w:t>
      </w:r>
    </w:p>
    <w:p w14:paraId="78D09BAF" w14:textId="77777777" w:rsidR="0090775E" w:rsidRPr="00126519" w:rsidRDefault="0090775E" w:rsidP="00FB770B">
      <w:pPr>
        <w:pStyle w:val="Heading2"/>
        <w:rPr>
          <w:rFonts w:asciiTheme="majorBidi" w:hAnsiTheme="majorBidi" w:cstheme="majorBidi"/>
        </w:rPr>
      </w:pPr>
      <w:r>
        <w:rPr>
          <w:rFonts w:asciiTheme="majorBidi" w:hAnsiTheme="majorBidi"/>
        </w:rPr>
        <w:t>de demander à l’ONUDI, au nom du Gouvernement du Pakistan, de présenter à la 97</w:t>
      </w:r>
      <w:r>
        <w:rPr>
          <w:rFonts w:asciiTheme="majorBidi" w:hAnsiTheme="majorBidi"/>
          <w:vertAlign w:val="superscript"/>
        </w:rPr>
        <w:t>e</w:t>
      </w:r>
      <w:r>
        <w:rPr>
          <w:rFonts w:asciiTheme="majorBidi" w:hAnsiTheme="majorBidi"/>
        </w:rPr>
        <w:t> réunion un plan d’action détaillé associé à la reconversion de l’entreprise Cool Point dans le secteur de la mousse de polyuréthane au titre de la phase III du PGEH.</w:t>
      </w:r>
    </w:p>
    <w:bookmarkEnd w:id="7"/>
    <w:p w14:paraId="665BD13A" w14:textId="46F52D7F" w:rsidR="005762A0" w:rsidRPr="00354D03" w:rsidRDefault="005762A0" w:rsidP="00261CE0">
      <w:pPr>
        <w:pStyle w:val="ListParagraph"/>
        <w:numPr>
          <w:ilvl w:val="0"/>
          <w:numId w:val="28"/>
        </w:numPr>
        <w:spacing w:after="240"/>
        <w:ind w:hanging="720"/>
        <w:outlineLvl w:val="0"/>
        <w:rPr>
          <w:rFonts w:eastAsiaTheme="minorEastAsia"/>
          <w:b/>
          <w:bCs/>
        </w:rPr>
      </w:pPr>
      <w:r>
        <w:rPr>
          <w:b/>
        </w:rPr>
        <w:t>Rapports relatifs aux activités supplémentaires visant à assurer l’efficacité énergétique dans le secteur de l’entretien de l’équipement de réfrigération (décision 89/6)</w:t>
      </w:r>
    </w:p>
    <w:p w14:paraId="04A76A98" w14:textId="77777777" w:rsidR="007E25B8" w:rsidRDefault="007E25B8" w:rsidP="007E25B8">
      <w:pPr>
        <w:pStyle w:val="ListParagraph"/>
        <w:keepNext/>
        <w:spacing w:after="240"/>
        <w:rPr>
          <w:b/>
          <w:u w:val="single"/>
        </w:rPr>
      </w:pPr>
    </w:p>
    <w:p w14:paraId="1C6CE36B" w14:textId="05405E83" w:rsidR="002F7ADB" w:rsidRPr="00542E05" w:rsidRDefault="002F7ADB" w:rsidP="007E25B8">
      <w:pPr>
        <w:pStyle w:val="ListParagraph"/>
        <w:keepNext/>
        <w:spacing w:after="240"/>
        <w:rPr>
          <w:b/>
          <w:u w:val="single"/>
        </w:rPr>
      </w:pPr>
      <w:r>
        <w:rPr>
          <w:b/>
          <w:u w:val="single"/>
        </w:rPr>
        <w:t>Kirghizistan : Activités supplémentaires visant à maintenir l’efficacité énergétique dans le secteur de l’entretien de la réfrigération en vertu de la décision 89/6 b) (rapport périodique et demande de report de la date d’achèvement)</w:t>
      </w:r>
      <w:r>
        <w:rPr>
          <w:b/>
        </w:rPr>
        <w:t xml:space="preserve"> (PNUE)</w:t>
      </w:r>
    </w:p>
    <w:p w14:paraId="1E98DAD7" w14:textId="77777777" w:rsidR="008E50B0" w:rsidRPr="00CD64AB" w:rsidRDefault="008E50B0" w:rsidP="008E50B0">
      <w:pPr>
        <w:keepNext/>
        <w:spacing w:after="240"/>
        <w:rPr>
          <w:b/>
          <w:bCs/>
        </w:rPr>
      </w:pPr>
      <w:r>
        <w:rPr>
          <w:b/>
        </w:rPr>
        <w:t>Contexte</w:t>
      </w:r>
    </w:p>
    <w:p w14:paraId="69103315" w14:textId="77777777" w:rsidR="008E50B0" w:rsidRDefault="008E50B0" w:rsidP="008E50B0">
      <w:pPr>
        <w:pStyle w:val="Heading1"/>
      </w:pPr>
      <w:r>
        <w:t>À sa 92</w:t>
      </w:r>
      <w:r>
        <w:rPr>
          <w:vertAlign w:val="superscript"/>
        </w:rPr>
        <w:t>e</w:t>
      </w:r>
      <w:r>
        <w:t xml:space="preserve"> réunion, le Comité exécutif a approuvé le projet d’activités supplémentaires pour l’introduction des solutions de remplacement des HCFC à potentiel de réchauffement de la planète faible ou nul et pour le maintien de l’efficacité énergétique dans le secteur de l’entretien de l’équipement de </w:t>
      </w:r>
      <w:r>
        <w:lastRenderedPageBreak/>
        <w:t>réfrigération au Kirghizistan, étant entendu que le PNUE, au nom du Gouvernement du Kirghizistan, présenterait un rapport final sur la mise en œuvre du projet à la première réunion de 2025 (décision 92/24).</w:t>
      </w:r>
    </w:p>
    <w:p w14:paraId="2D84A9B0" w14:textId="46DF4145" w:rsidR="008E50B0" w:rsidRDefault="008E50B0" w:rsidP="008E50B0">
      <w:pPr>
        <w:pStyle w:val="Heading1"/>
      </w:pPr>
      <w:r>
        <w:t>L’objectif du projet était de tirer profit du succès du plan de gestion de l’élimination des HCFC et des activités de sensibilisation et de promotion de l’équipement écoénergétique à frigorigène à faible PRP mis en œuvre dans le cadre des activités habilitantes pour la réduction progressive des HFC entreprise par le Ministère des ressources naturelles, de l’écologie et de la supervision technique. Les activités de projet étaient constituées de deux composantes principales : le renforcement de la capacité du personnel clé et des parties prenantes ; et une évaluation de la portée et de l’incidence.</w:t>
      </w:r>
    </w:p>
    <w:p w14:paraId="556E7E7B" w14:textId="77777777" w:rsidR="008E50B0" w:rsidRPr="00CE10F4" w:rsidRDefault="008E50B0" w:rsidP="008E50B0">
      <w:pPr>
        <w:pStyle w:val="Heading1"/>
      </w:pPr>
      <w:r>
        <w:t>Conformément à la décision 92/24, le PNUE, au nom du Gouvernement du Kirghizistan, a soumis un rapport périodique à la présente réunion.</w:t>
      </w:r>
    </w:p>
    <w:p w14:paraId="0AF721B5" w14:textId="77777777" w:rsidR="008E50B0" w:rsidRPr="00CD64AB" w:rsidRDefault="008E50B0" w:rsidP="008E50B0">
      <w:pPr>
        <w:keepNext/>
        <w:spacing w:after="240"/>
        <w:rPr>
          <w:b/>
          <w:bCs/>
        </w:rPr>
      </w:pPr>
      <w:r>
        <w:rPr>
          <w:b/>
        </w:rPr>
        <w:t>Rapport périodique</w:t>
      </w:r>
    </w:p>
    <w:p w14:paraId="45D4DB3E" w14:textId="77777777" w:rsidR="008E50B0" w:rsidRDefault="008E50B0" w:rsidP="008E50B0">
      <w:pPr>
        <w:pStyle w:val="Heading1"/>
      </w:pPr>
      <w:r>
        <w:t>Le rapport comprend une mise à jour indiquant qu’un accord de financement à petite échelle (AFPE) a été signé en septembre 2023 avec le Gouvernement du Kirghizistan, et qu’il avait été modifié en décembre 2024 pour reporter la date d’achèvement du projet au 30 juin 2025. Le PNUE a indiqué que, en avril 2025, toutes les activités planifiées avaient été achevées et 100 pour cent du financement de projet approuvé (100 000 $US) avaient été décaissés.</w:t>
      </w:r>
    </w:p>
    <w:p w14:paraId="11EBC619" w14:textId="77777777" w:rsidR="008E50B0" w:rsidRDefault="008E50B0" w:rsidP="008E50B0">
      <w:pPr>
        <w:pStyle w:val="Heading1"/>
      </w:pPr>
      <w:r>
        <w:t>Les activités suivantes ont été mises en œuvre pour renforcer la capacité du personnel clé et des parties prenantes :</w:t>
      </w:r>
    </w:p>
    <w:p w14:paraId="1D1B6821" w14:textId="77777777" w:rsidR="008E50B0" w:rsidRDefault="008E50B0" w:rsidP="008E50B0">
      <w:pPr>
        <w:pStyle w:val="Heading2"/>
        <w:widowControl/>
        <w:numPr>
          <w:ilvl w:val="1"/>
          <w:numId w:val="2"/>
        </w:numPr>
      </w:pPr>
      <w:r>
        <w:t>un voyage d’étude à Minsk, au Bélarus, avec l’unité nationale de l’ozone (UNO) et des représentants des ministères de tutelle du Kirghizistan a été organisé pour améliorer la collaboration et acquérir des connaissances sur la promotion de l’efficacité énergétique et de l’utilisation de frigorigènes à faible PRP à travers des réunions avec des agences gouvernementales et des entreprises ;</w:t>
      </w:r>
    </w:p>
    <w:p w14:paraId="3F76728F" w14:textId="77777777" w:rsidR="008E50B0" w:rsidRDefault="008E50B0" w:rsidP="008E50B0">
      <w:pPr>
        <w:pStyle w:val="Heading2"/>
        <w:widowControl/>
        <w:numPr>
          <w:ilvl w:val="1"/>
          <w:numId w:val="2"/>
        </w:numPr>
      </w:pPr>
      <w:r>
        <w:t>cinq séminaires ont été tenus pour les autorités douanières et commerciales, abordant l’importance de l’efficacité énergétique dans le secteur de la réfrigération, traitant de l’Amendement de Kigali, de la politique d’efficacité énergétique du pays, de la régulation technique de l’Union économique eurasiatique (UEE) sur les exigences pour l’efficacité énergétique des appareils, des solutions de remplacement à faible PRP, et d’une vue d’ensemble des équipements de réfrigération et de climatisation écoénergétiques ;</w:t>
      </w:r>
    </w:p>
    <w:p w14:paraId="3E15B71C" w14:textId="77777777" w:rsidR="008E50B0" w:rsidRDefault="008E50B0" w:rsidP="008E50B0">
      <w:pPr>
        <w:pStyle w:val="Heading2"/>
        <w:widowControl/>
        <w:numPr>
          <w:ilvl w:val="1"/>
          <w:numId w:val="2"/>
        </w:numPr>
      </w:pPr>
      <w:r>
        <w:t>des séminaires ont été tenus pour les techniciens de réfrigération et de climatisation sur l’efficacité énergétique dans les équipements de réfrigération et de climatisation, les solutions de remplacement à faible PRP et la réduction progressive des HFC ; et</w:t>
      </w:r>
    </w:p>
    <w:p w14:paraId="621E7ADF" w14:textId="77777777" w:rsidR="008E50B0" w:rsidRDefault="008E50B0" w:rsidP="008E50B0">
      <w:pPr>
        <w:pStyle w:val="Heading2"/>
        <w:widowControl/>
        <w:numPr>
          <w:ilvl w:val="1"/>
          <w:numId w:val="2"/>
        </w:numPr>
      </w:pPr>
      <w:r>
        <w:t>une séance d’information a été tenue pour des agences de service public, des concepteurs de bâtiments, des promoteurs immobiliers et des entreprises de construction pour promouvoir l’utilisation de frigorigènes écoénergétiques et à faible PRP dans les équipements de réfrigération, de climatisation et de pompe à chaleur.</w:t>
      </w:r>
    </w:p>
    <w:p w14:paraId="465CA4B6" w14:textId="77777777" w:rsidR="008E50B0" w:rsidRDefault="008E50B0" w:rsidP="008E50B0">
      <w:pPr>
        <w:pStyle w:val="Heading1"/>
      </w:pPr>
      <w:r>
        <w:t>Les activités suivantes ont été mises en œuvre à des fins de vulgarisation, de sensibilisation et de réalisation d’une évaluation de l’incidence :</w:t>
      </w:r>
    </w:p>
    <w:p w14:paraId="6B27C2F1" w14:textId="77777777" w:rsidR="008E50B0" w:rsidRDefault="008E50B0" w:rsidP="008E50B0">
      <w:pPr>
        <w:pStyle w:val="Heading2"/>
        <w:widowControl/>
        <w:numPr>
          <w:ilvl w:val="1"/>
          <w:numId w:val="2"/>
        </w:numPr>
      </w:pPr>
      <w:r>
        <w:t xml:space="preserve">des documents de vulgarisation ont été produits et diffusés, dont deux vidéos et deux infographies sur les classements d’efficacité énergétique et les valeurs de PAO et de PRP des frigorigènes pour les douanes et le public, deux vidéos supplémentaires et deux affiches informatives pour une utilisation dans des ateliers sur l’efficacité énergétique dans le secteur de la réfrigération et de la climatisation, et une vidéo pour le public sur les questions </w:t>
      </w:r>
      <w:r>
        <w:lastRenderedPageBreak/>
        <w:t>d’efficacité énergétique lors de l’achat d’un équipement de réfrigération et de climatisation ;</w:t>
      </w:r>
    </w:p>
    <w:p w14:paraId="6F6E75CF" w14:textId="77777777" w:rsidR="008E50B0" w:rsidRDefault="008E50B0" w:rsidP="008E50B0">
      <w:pPr>
        <w:pStyle w:val="Heading2"/>
        <w:widowControl/>
        <w:numPr>
          <w:ilvl w:val="1"/>
          <w:numId w:val="2"/>
        </w:numPr>
      </w:pPr>
      <w:r>
        <w:t>deux séminaires sur l’efficacité énergétique pour l’équipement de réfrigération et de climatisation ont été tenus à Bichkek et Och pour les importateurs et les détaillants, traitant de la réduction progressive des HFC, des réglementations sur l’efficacité énergétique de l’UEE, et des cadres législatifs nationaux, et intégraient des exemples de solutions écoénergétiques, de technologies de remplacement, d’émissions directes et indirectes, d’exigences de certification, et des implications à long terme de l’utilisation de frigorigènes à PRP élevé ; et</w:t>
      </w:r>
    </w:p>
    <w:p w14:paraId="7BAA7384" w14:textId="77777777" w:rsidR="008E50B0" w:rsidRDefault="008E50B0" w:rsidP="008E50B0">
      <w:pPr>
        <w:pStyle w:val="Heading2"/>
        <w:widowControl/>
        <w:numPr>
          <w:ilvl w:val="1"/>
          <w:numId w:val="2"/>
        </w:numPr>
      </w:pPr>
      <w:r>
        <w:t>une collecte et des analyses des données pour l’étude de sensibilisation des consommateurs et l’évaluation de l’incidence ont été effectuées, et des découvertes soulignant les obstacles clés se sont dégagées.</w:t>
      </w:r>
    </w:p>
    <w:p w14:paraId="551E8FC1" w14:textId="77777777" w:rsidR="008E50B0" w:rsidRPr="00CD64AB" w:rsidRDefault="008E50B0" w:rsidP="008E50B0">
      <w:pPr>
        <w:keepNext/>
        <w:spacing w:after="240"/>
        <w:rPr>
          <w:b/>
          <w:bCs/>
        </w:rPr>
      </w:pPr>
      <w:r>
        <w:rPr>
          <w:b/>
        </w:rPr>
        <w:t>Observations du secrétariat</w:t>
      </w:r>
    </w:p>
    <w:p w14:paraId="107DC23F" w14:textId="77777777" w:rsidR="008E50B0" w:rsidRDefault="008E50B0" w:rsidP="008E50B0">
      <w:pPr>
        <w:pStyle w:val="Heading1"/>
      </w:pPr>
      <w:bookmarkStart w:id="8" w:name="_Hlk133490869"/>
      <w:r>
        <w:t xml:space="preserve">Le secrétariat </w:t>
      </w:r>
      <w:bookmarkEnd w:id="8"/>
      <w:r>
        <w:t>a posé des questions sur le retard du démarrage et de l’achèvement du projet et a demandé des informations sur le moment où le projet sera achevé. Le PNUE a expliqué que le démarrage du projet a pris du temps, pour permettre l’établissement de l’accord nécessaire entre le PNUE et le gouvernement et le versement du premier paiement, ne commençant qu’en novembre 2023. L’accord a été prolongé jusqu’en juin 2025 pour permettre l’organisation du voyage d’étude au Bélarus et pour finaliser l’étude de sensibilisation des consommateurs et l’évaluation de l’incidence. La préparation du voyage d’étude a requis une coordination complète de l’UNO et des ministères de tutelle du Kirghizistan avec des agences gouvernementales et des entreprises au Bélarus. L’activité est maintenant achevée.</w:t>
      </w:r>
    </w:p>
    <w:p w14:paraId="4391AA47" w14:textId="77777777" w:rsidR="008E50B0" w:rsidRDefault="008E50B0" w:rsidP="008E50B0">
      <w:pPr>
        <w:pStyle w:val="Heading1"/>
      </w:pPr>
      <w:r>
        <w:t>Le PNUE a confirmé que toutes les activités sont achevées, que les fonds ont été décaissés et qu’il présentera à la 97</w:t>
      </w:r>
      <w:r>
        <w:rPr>
          <w:vertAlign w:val="superscript"/>
        </w:rPr>
        <w:t>e</w:t>
      </w:r>
      <w:r>
        <w:t> réunion un rapport périodique final sur la mise en œuvre du projet. Le rapport final inclura des détails supplémentaires au sujet des résultats du projet, tels que les enseignements tirés et les recommandations du voyage d’étude, le nombre final des techniciens et des agents des douanes formés, et les résultats de l’étude et de l’évaluation de l’incidence.</w:t>
      </w:r>
    </w:p>
    <w:p w14:paraId="463E32E5" w14:textId="77777777" w:rsidR="008E50B0" w:rsidRPr="00CD64AB" w:rsidRDefault="008E50B0" w:rsidP="008E50B0">
      <w:pPr>
        <w:keepNext/>
        <w:spacing w:after="240"/>
        <w:rPr>
          <w:b/>
          <w:bCs/>
        </w:rPr>
      </w:pPr>
      <w:r>
        <w:rPr>
          <w:b/>
        </w:rPr>
        <w:t>Recommandation</w:t>
      </w:r>
    </w:p>
    <w:p w14:paraId="5B335182" w14:textId="77777777" w:rsidR="008E50B0" w:rsidRDefault="008E50B0" w:rsidP="008E50B0">
      <w:pPr>
        <w:pStyle w:val="Heading1"/>
      </w:pPr>
      <w:r>
        <w:t>Le Comité exécutif pourrait envisager :</w:t>
      </w:r>
    </w:p>
    <w:p w14:paraId="5ACACBA8" w14:textId="77777777" w:rsidR="008E50B0" w:rsidRPr="00C93AE5" w:rsidRDefault="008E50B0" w:rsidP="008E50B0">
      <w:pPr>
        <w:pStyle w:val="Heading2"/>
        <w:widowControl/>
        <w:numPr>
          <w:ilvl w:val="1"/>
          <w:numId w:val="2"/>
        </w:numPr>
      </w:pPr>
      <w:r>
        <w:t>de prendre note du rapport d’activité du projet sur les activités supplémentaires pour l’introduction de produits de remplacement des HCFC à potentiel de réchauffement planétaire faible ou nul et sur le maintien de l’efficacité énergétique dans le secteur de l’entretien de la réfrigération aux Kirghizistan, tel que présenté par le PNUE et contenu dans le document UNEP/OzL.Pro/ExCom/96/11 ;</w:t>
      </w:r>
    </w:p>
    <w:p w14:paraId="30F3C74C" w14:textId="77777777" w:rsidR="008E50B0" w:rsidRDefault="008E50B0" w:rsidP="008E50B0">
      <w:pPr>
        <w:pStyle w:val="Heading2"/>
        <w:widowControl/>
        <w:numPr>
          <w:ilvl w:val="1"/>
          <w:numId w:val="2"/>
        </w:numPr>
      </w:pPr>
      <w:r>
        <w:t>d’approuver, à titre exceptionnel, le report de la date d’achèvement du projet visé à l’alinéa a) jusqu’au 30 juin 2025, étant entendu qu’aucun autre report ne sera demandé ; et</w:t>
      </w:r>
    </w:p>
    <w:p w14:paraId="13316B3B" w14:textId="77777777" w:rsidR="008E50B0" w:rsidRDefault="008E50B0" w:rsidP="008E50B0">
      <w:pPr>
        <w:pStyle w:val="Heading2"/>
        <w:widowControl/>
        <w:numPr>
          <w:ilvl w:val="1"/>
          <w:numId w:val="2"/>
        </w:numPr>
      </w:pPr>
      <w:r>
        <w:t>de demander au PNUE, au nom du Gouvernement du Kirghizistan, de présenter le rapport périodique final</w:t>
      </w:r>
      <w:r>
        <w:rPr>
          <w:color w:val="000000"/>
        </w:rPr>
        <w:t xml:space="preserve"> </w:t>
      </w:r>
      <w:r>
        <w:t>sur la mise en œuvre du projet à la 97</w:t>
      </w:r>
      <w:r>
        <w:rPr>
          <w:vertAlign w:val="superscript"/>
        </w:rPr>
        <w:t>e</w:t>
      </w:r>
      <w:r>
        <w:t> réunion.</w:t>
      </w:r>
    </w:p>
    <w:p w14:paraId="50A95B5F" w14:textId="19924BA6" w:rsidR="009274EA" w:rsidRPr="00CB7DF1" w:rsidRDefault="00CD088A" w:rsidP="00CD088A">
      <w:pPr>
        <w:spacing w:after="240"/>
        <w:ind w:left="709"/>
        <w:outlineLvl w:val="0"/>
        <w:rPr>
          <w:rFonts w:eastAsiaTheme="minorEastAsia"/>
          <w:b/>
          <w:bCs/>
          <w:u w:val="single"/>
        </w:rPr>
      </w:pPr>
      <w:r>
        <w:rPr>
          <w:b/>
          <w:u w:val="single"/>
        </w:rPr>
        <w:t>Maldives : Activités supplémentaires visant à maintenir l’efficacité énergétique dans le secteur de l’entretien de l’équipement de réfrigération au titre de la décision 89/6 b) (demande de report de la date d’achèvement du projet)</w:t>
      </w:r>
      <w:r>
        <w:rPr>
          <w:b/>
        </w:rPr>
        <w:t xml:space="preserve"> (PNUE)</w:t>
      </w:r>
    </w:p>
    <w:p w14:paraId="6983CDB2" w14:textId="77777777" w:rsidR="002D7126" w:rsidRPr="00AF2C06" w:rsidRDefault="002D7126" w:rsidP="002D7126">
      <w:pPr>
        <w:spacing w:after="240"/>
        <w:jc w:val="left"/>
        <w:rPr>
          <w:rFonts w:eastAsiaTheme="minorEastAsia"/>
          <w:b/>
        </w:rPr>
      </w:pPr>
      <w:r>
        <w:rPr>
          <w:b/>
        </w:rPr>
        <w:t>Contexte</w:t>
      </w:r>
    </w:p>
    <w:p w14:paraId="0077080D" w14:textId="77777777" w:rsidR="002D7126" w:rsidRPr="00975A86" w:rsidRDefault="002D7126" w:rsidP="00900FEB">
      <w:pPr>
        <w:pStyle w:val="Heading1"/>
        <w:keepNext/>
        <w:rPr>
          <w:bCs/>
        </w:rPr>
      </w:pPr>
      <w:r>
        <w:lastRenderedPageBreak/>
        <w:t>Le projet sur les activités supplémentaires pour l’introduction de solutions de remplacement aux HCFC à potentiel de réchauffement de la planète (PRP) faible ou nul et sur le maintien de l’efficacité énergétique dans le secteur de l’entretien de l’équipement de réfrigération aux Maldives a été approuvé à la 91</w:t>
      </w:r>
      <w:r>
        <w:rPr>
          <w:vertAlign w:val="superscript"/>
        </w:rPr>
        <w:t>e</w:t>
      </w:r>
      <w:r>
        <w:t> réunion, pour un montant de 100 000 $US, plus les coûts d’appui d’agence de 13 000 $US, pour le PNUE (décision 91/60 a)). À la 93</w:t>
      </w:r>
      <w:r>
        <w:rPr>
          <w:vertAlign w:val="superscript"/>
        </w:rPr>
        <w:t>e</w:t>
      </w:r>
      <w:r>
        <w:t> réunion, le Comité exécutif a approuvé, à titre exceptionnel, le report au 30 juin 2025 de la date d’achèvement du projet et demandé au Gouvernement des Maldives et au PNUE de continuer à présenter annuellement des rapports périodiques sur la mise en œuvre du projet jusqu’à son achèvement, et de présenter un rapport d’achèvement du projet à la seconde réunion du Comité exécutif de 2025 (décision 93/20 b) et c)). Ensuite, à la 95</w:t>
      </w:r>
      <w:r>
        <w:rPr>
          <w:vertAlign w:val="superscript"/>
        </w:rPr>
        <w:t>e</w:t>
      </w:r>
      <w:r>
        <w:t> réunion, le Comité a pris note du rapport périodique annuel sur le projet </w:t>
      </w:r>
      <w:r>
        <w:rPr>
          <w:rStyle w:val="FootnoteReference"/>
        </w:rPr>
        <w:footnoteReference w:id="21"/>
      </w:r>
      <w:r>
        <w:t> ; le rapport périodique contenait un plan de travail actualisé pour la mise en œuvre des activités du projet avec les dernières dates de mise en œuvre prévues jusqu’en mars 2025.</w:t>
      </w:r>
    </w:p>
    <w:p w14:paraId="717C7ACA" w14:textId="77777777" w:rsidR="002D7126" w:rsidRPr="001278DE" w:rsidRDefault="002D7126" w:rsidP="0003045B">
      <w:pPr>
        <w:spacing w:after="240"/>
        <w:rPr>
          <w:b/>
          <w:bCs/>
        </w:rPr>
      </w:pPr>
      <w:r>
        <w:rPr>
          <w:b/>
        </w:rPr>
        <w:t>Demande de prolongation</w:t>
      </w:r>
    </w:p>
    <w:p w14:paraId="6B6BC3D9" w14:textId="77777777" w:rsidR="002D7126" w:rsidRPr="001278DE" w:rsidRDefault="002D7126" w:rsidP="002D7126">
      <w:pPr>
        <w:pStyle w:val="Heading1"/>
      </w:pPr>
      <w:r>
        <w:t>Le 12 décembre 2024, les Maldives ont subi un incendie dévastateur qui a englouti trois grands ministères gouvernementaux, dont le Ministère du tourisme et de l’environnement, qui pilote l’unité nationale de l’ozone (UNO). L’incendie a entraîné la perte complète de tous les ordinateurs, l’équipement, l’ameublement, la documentation essentielle et les autres documents critiques de l’UNO. Cet incident a considérablement perturbé la capacité opérationnelle de l’UNO et la mise en œuvre de toutes les activités, y compris celles au titre du projet actuel.</w:t>
      </w:r>
    </w:p>
    <w:p w14:paraId="20454209" w14:textId="77777777" w:rsidR="002D7126" w:rsidRDefault="002D7126" w:rsidP="002D7126">
      <w:pPr>
        <w:pStyle w:val="Heading1"/>
      </w:pPr>
      <w:r>
        <w:t>En avril 2025, malgré la perturbation provoquée par l’incendie, plusieurs activités ont été achevées. Deux ateliers et deux séances de sensibilisation ont été conduits pour 38 agents des douanes, importateurs et agents publics, 13 pour cent des participants étant des femmes. Ces séances ont souligné les avantages de la promotion des produits écoénergétiques au titre du programme Hakathari </w:t>
      </w:r>
      <w:r>
        <w:rPr>
          <w:rStyle w:val="FootnoteReference"/>
        </w:rPr>
        <w:footnoteReference w:id="22"/>
      </w:r>
      <w:r>
        <w:t xml:space="preserve"> et mis en avant l’importance de la conservation de l’énergie et de l’adoption de solutions de frigorigènes de remplacement à faible PRP. Des amendements ont été apportés au document du programme Hakathari pour améliorer l’inclusivité et rationaliser le processus d’étiquetage. L’élaboration de documents de sensibilisation est en cours pour approfondir l’éducation des utilisateurs finaux à l’efficacité énergétique et à la sélection des équipements de réfrigération et de climatisation à faible PRP. </w:t>
      </w:r>
      <w:bookmarkStart w:id="9" w:name="_Hlk194921918"/>
      <w:r>
        <w:t xml:space="preserve">En avril 2025, le personnel du Ministère de l’énergie et de l’UNO a participé à un voyage d’étude en Malaisie pour apprendre des politiques d’efficacité énergétique, des pratiques d’étiquetage, du système d’octroi de licence au technicien et de la gestion du cycle de vie du frigorigène du pays. </w:t>
      </w:r>
      <w:bookmarkEnd w:id="9"/>
      <w:r>
        <w:t>Des 100 000 $US approuvés, 34 560 $US (34,6 pour cent) ont été décaissés.</w:t>
      </w:r>
    </w:p>
    <w:p w14:paraId="1C0323D2" w14:textId="7DD7CFA0" w:rsidR="002D7126" w:rsidRPr="001278DE" w:rsidRDefault="002D7126" w:rsidP="002D7126">
      <w:pPr>
        <w:pStyle w:val="Heading1"/>
      </w:pPr>
      <w:r>
        <w:t>Au vu des événements imprévus et de leur incidence considérable, le PNUE, au nom du Gouvernement des Maldives, demande une prolongation de la période de mise en œuvre du projet jusqu’au 30 juin 2026 </w:t>
      </w:r>
      <w:r>
        <w:rPr>
          <w:rStyle w:val="FootnoteReference"/>
        </w:rPr>
        <w:footnoteReference w:id="23"/>
      </w:r>
      <w:r>
        <w:t>.</w:t>
      </w:r>
    </w:p>
    <w:p w14:paraId="3F81ECE1" w14:textId="77777777" w:rsidR="002D7126" w:rsidRPr="001278DE" w:rsidRDefault="002D7126" w:rsidP="002D7126">
      <w:pPr>
        <w:keepNext/>
        <w:spacing w:after="240"/>
        <w:rPr>
          <w:rFonts w:eastAsiaTheme="minorEastAsia"/>
          <w:b/>
        </w:rPr>
      </w:pPr>
      <w:r>
        <w:rPr>
          <w:b/>
        </w:rPr>
        <w:t>Observations du secrétariat</w:t>
      </w:r>
    </w:p>
    <w:p w14:paraId="7669596A" w14:textId="5B452BFA" w:rsidR="002D7126" w:rsidRDefault="002D7126" w:rsidP="002D7126">
      <w:pPr>
        <w:pStyle w:val="Heading1"/>
      </w:pPr>
      <w:r>
        <w:t xml:space="preserve">Le secrétariat a reconnu les difficultés découlant de l’incendie, qui ne dépendait pas de la volonté du pays et a mis à l’arrêt les activités du projet. Malgré ces revers, le Gouvernement des Maldives a fait </w:t>
      </w:r>
      <w:r>
        <w:lastRenderedPageBreak/>
        <w:t>d’importants progrès entre septembre 2024 et mars 2025, le taux de décaissement augmentant des 14,6 pour cent communiqués à la 95</w:t>
      </w:r>
      <w:r>
        <w:rPr>
          <w:vertAlign w:val="superscript"/>
        </w:rPr>
        <w:t>e</w:t>
      </w:r>
      <w:r>
        <w:t> réunion à 34,6 pour cent, et plusieurs activités de formation ayant été achevées.</w:t>
      </w:r>
    </w:p>
    <w:p w14:paraId="42982401" w14:textId="77777777" w:rsidR="002D7126" w:rsidRPr="001278DE" w:rsidRDefault="002D7126" w:rsidP="002D7126">
      <w:pPr>
        <w:pStyle w:val="Heading1"/>
      </w:pPr>
      <w:r>
        <w:t>En réponse à un commentaires du secrétariat, le PNUE a fourni un plan de travail actualisé présenté dans le tableau ci-dessous. Le secrétariat a pris note que la prolongation permettrait au pays d’achever les activités restantes du projet.</w:t>
      </w:r>
    </w:p>
    <w:p w14:paraId="61AA14CD" w14:textId="7F5A5E55" w:rsidR="002D7126" w:rsidRPr="00AF2C06" w:rsidRDefault="002D7126" w:rsidP="002D7126">
      <w:pPr>
        <w:rPr>
          <w:b/>
          <w:bCs/>
        </w:rPr>
      </w:pPr>
      <w:r>
        <w:rPr>
          <w:b/>
        </w:rPr>
        <w:t>Tableau 8. Plan de travail actualisé pour la mise en œuvre d’activités visant à assurer l’efficacité énergétique dans le secteur de l’entretien de l’équipement de réfrigération aux Maldives</w:t>
      </w:r>
    </w:p>
    <w:tbl>
      <w:tblPr>
        <w:tblStyle w:val="TableGrid"/>
        <w:tblW w:w="5005" w:type="pct"/>
        <w:tblInd w:w="-5" w:type="dxa"/>
        <w:tblLayout w:type="fixed"/>
        <w:tblLook w:val="04A0" w:firstRow="1" w:lastRow="0" w:firstColumn="1" w:lastColumn="0" w:noHBand="0" w:noVBand="1"/>
      </w:tblPr>
      <w:tblGrid>
        <w:gridCol w:w="2447"/>
        <w:gridCol w:w="1804"/>
        <w:gridCol w:w="1136"/>
        <w:gridCol w:w="2410"/>
        <w:gridCol w:w="1562"/>
      </w:tblGrid>
      <w:tr w:rsidR="002D7126" w:rsidRPr="00AD28A0" w14:paraId="1FA308CD" w14:textId="77777777" w:rsidTr="001B2EE2">
        <w:trPr>
          <w:trHeight w:val="323"/>
          <w:tblHeader/>
        </w:trPr>
        <w:tc>
          <w:tcPr>
            <w:tcW w:w="2447" w:type="dxa"/>
            <w:tcBorders>
              <w:top w:val="single" w:sz="4" w:space="0" w:color="auto"/>
              <w:left w:val="single" w:sz="4" w:space="0" w:color="auto"/>
              <w:bottom w:val="single" w:sz="4" w:space="0" w:color="auto"/>
              <w:right w:val="single" w:sz="4" w:space="0" w:color="auto"/>
            </w:tcBorders>
            <w:hideMark/>
          </w:tcPr>
          <w:p w14:paraId="54ECDF87" w14:textId="77777777" w:rsidR="002D7126" w:rsidRPr="00AD28A0" w:rsidRDefault="002D7126" w:rsidP="002A1697">
            <w:pPr>
              <w:jc w:val="left"/>
              <w:rPr>
                <w:rFonts w:asciiTheme="majorBidi" w:hAnsiTheme="majorBidi" w:cstheme="majorBidi"/>
                <w:b/>
                <w:sz w:val="20"/>
                <w:szCs w:val="20"/>
              </w:rPr>
            </w:pPr>
            <w:r>
              <w:rPr>
                <w:rFonts w:asciiTheme="majorBidi" w:hAnsiTheme="majorBidi"/>
                <w:b/>
                <w:sz w:val="20"/>
              </w:rPr>
              <w:t>Activité</w:t>
            </w:r>
          </w:p>
        </w:tc>
        <w:tc>
          <w:tcPr>
            <w:tcW w:w="1804" w:type="dxa"/>
            <w:tcBorders>
              <w:top w:val="single" w:sz="4" w:space="0" w:color="auto"/>
              <w:left w:val="single" w:sz="4" w:space="0" w:color="auto"/>
              <w:bottom w:val="single" w:sz="4" w:space="0" w:color="auto"/>
              <w:right w:val="single" w:sz="4" w:space="0" w:color="auto"/>
            </w:tcBorders>
            <w:hideMark/>
          </w:tcPr>
          <w:p w14:paraId="1E481CD4" w14:textId="77777777" w:rsidR="002D7126" w:rsidRPr="00AD28A0" w:rsidRDefault="002D7126" w:rsidP="002A1697">
            <w:pPr>
              <w:jc w:val="center"/>
              <w:rPr>
                <w:rFonts w:asciiTheme="majorBidi" w:hAnsiTheme="majorBidi" w:cstheme="majorBidi"/>
                <w:b/>
                <w:sz w:val="20"/>
                <w:szCs w:val="20"/>
              </w:rPr>
            </w:pPr>
            <w:r>
              <w:rPr>
                <w:rFonts w:asciiTheme="majorBidi" w:hAnsiTheme="majorBidi"/>
                <w:b/>
                <w:sz w:val="20"/>
              </w:rPr>
              <w:t>Résultats/objectif</w:t>
            </w:r>
          </w:p>
        </w:tc>
        <w:tc>
          <w:tcPr>
            <w:tcW w:w="1136" w:type="dxa"/>
            <w:tcBorders>
              <w:top w:val="single" w:sz="4" w:space="0" w:color="auto"/>
              <w:left w:val="single" w:sz="4" w:space="0" w:color="auto"/>
              <w:bottom w:val="single" w:sz="4" w:space="0" w:color="auto"/>
              <w:right w:val="single" w:sz="4" w:space="0" w:color="auto"/>
            </w:tcBorders>
            <w:hideMark/>
          </w:tcPr>
          <w:p w14:paraId="4F86C23D" w14:textId="77777777" w:rsidR="002D7126" w:rsidRPr="00AD28A0" w:rsidRDefault="002D7126" w:rsidP="002A1697">
            <w:pPr>
              <w:jc w:val="center"/>
              <w:rPr>
                <w:rFonts w:asciiTheme="majorBidi" w:hAnsiTheme="majorBidi" w:cstheme="majorBidi"/>
                <w:b/>
                <w:sz w:val="20"/>
                <w:szCs w:val="20"/>
              </w:rPr>
            </w:pPr>
            <w:r>
              <w:rPr>
                <w:rFonts w:asciiTheme="majorBidi" w:hAnsiTheme="majorBidi"/>
                <w:b/>
                <w:sz w:val="20"/>
              </w:rPr>
              <w:t>Fonds approuvés</w:t>
            </w:r>
          </w:p>
          <w:p w14:paraId="7FD67419" w14:textId="77777777" w:rsidR="002D7126" w:rsidRPr="00AD28A0" w:rsidRDefault="002D7126" w:rsidP="002A1697">
            <w:pPr>
              <w:jc w:val="center"/>
              <w:rPr>
                <w:rFonts w:asciiTheme="majorBidi" w:hAnsiTheme="majorBidi" w:cstheme="majorBidi"/>
                <w:b/>
                <w:sz w:val="20"/>
                <w:szCs w:val="20"/>
              </w:rPr>
            </w:pPr>
            <w:r>
              <w:rPr>
                <w:rFonts w:asciiTheme="majorBidi" w:hAnsiTheme="majorBidi"/>
                <w:b/>
                <w:sz w:val="20"/>
              </w:rPr>
              <w:t>($US)</w:t>
            </w:r>
          </w:p>
        </w:tc>
        <w:tc>
          <w:tcPr>
            <w:tcW w:w="2410" w:type="dxa"/>
            <w:tcBorders>
              <w:top w:val="single" w:sz="4" w:space="0" w:color="auto"/>
              <w:left w:val="single" w:sz="4" w:space="0" w:color="auto"/>
              <w:bottom w:val="single" w:sz="4" w:space="0" w:color="auto"/>
              <w:right w:val="single" w:sz="4" w:space="0" w:color="auto"/>
            </w:tcBorders>
          </w:tcPr>
          <w:p w14:paraId="6130F065" w14:textId="77777777" w:rsidR="002D7126" w:rsidRPr="00AD28A0" w:rsidRDefault="002D7126" w:rsidP="002A1697">
            <w:pPr>
              <w:jc w:val="center"/>
              <w:rPr>
                <w:rFonts w:asciiTheme="majorBidi" w:hAnsiTheme="majorBidi" w:cstheme="majorBidi"/>
                <w:b/>
                <w:sz w:val="20"/>
                <w:szCs w:val="20"/>
              </w:rPr>
            </w:pPr>
            <w:r>
              <w:rPr>
                <w:rFonts w:asciiTheme="majorBidi" w:hAnsiTheme="majorBidi"/>
                <w:b/>
                <w:sz w:val="20"/>
              </w:rPr>
              <w:t>État</w:t>
            </w:r>
          </w:p>
        </w:tc>
        <w:tc>
          <w:tcPr>
            <w:tcW w:w="1562" w:type="dxa"/>
            <w:tcBorders>
              <w:top w:val="single" w:sz="4" w:space="0" w:color="auto"/>
              <w:left w:val="single" w:sz="4" w:space="0" w:color="auto"/>
              <w:bottom w:val="single" w:sz="4" w:space="0" w:color="auto"/>
              <w:right w:val="single" w:sz="4" w:space="0" w:color="auto"/>
            </w:tcBorders>
          </w:tcPr>
          <w:p w14:paraId="2D8342B6" w14:textId="77777777" w:rsidR="002D7126" w:rsidRPr="00AD28A0" w:rsidRDefault="002D7126" w:rsidP="002A1697">
            <w:pPr>
              <w:jc w:val="center"/>
              <w:rPr>
                <w:rFonts w:asciiTheme="majorBidi" w:hAnsiTheme="majorBidi" w:cstheme="majorBidi"/>
                <w:b/>
                <w:sz w:val="20"/>
                <w:szCs w:val="20"/>
              </w:rPr>
            </w:pPr>
            <w:r>
              <w:rPr>
                <w:rFonts w:asciiTheme="majorBidi" w:hAnsiTheme="majorBidi"/>
                <w:b/>
                <w:sz w:val="20"/>
              </w:rPr>
              <w:t>Dates de mise en œuvre prévues</w:t>
            </w:r>
          </w:p>
        </w:tc>
      </w:tr>
      <w:tr w:rsidR="002D7126" w:rsidRPr="00AD28A0" w14:paraId="18DC1647" w14:textId="77777777" w:rsidTr="002A1697">
        <w:tc>
          <w:tcPr>
            <w:tcW w:w="9359" w:type="dxa"/>
            <w:gridSpan w:val="5"/>
            <w:tcBorders>
              <w:top w:val="single" w:sz="4" w:space="0" w:color="auto"/>
              <w:left w:val="single" w:sz="4" w:space="0" w:color="auto"/>
              <w:bottom w:val="single" w:sz="4" w:space="0" w:color="auto"/>
              <w:right w:val="single" w:sz="4" w:space="0" w:color="auto"/>
            </w:tcBorders>
          </w:tcPr>
          <w:p w14:paraId="4C955B4A" w14:textId="77777777" w:rsidR="002D7126" w:rsidRPr="00AD28A0" w:rsidRDefault="002D7126" w:rsidP="002A1697">
            <w:pPr>
              <w:jc w:val="left"/>
              <w:rPr>
                <w:rFonts w:asciiTheme="majorBidi" w:hAnsiTheme="majorBidi" w:cstheme="majorBidi"/>
                <w:b/>
                <w:sz w:val="20"/>
                <w:szCs w:val="20"/>
              </w:rPr>
            </w:pPr>
            <w:r>
              <w:rPr>
                <w:rFonts w:asciiTheme="majorBidi" w:hAnsiTheme="majorBidi"/>
                <w:b/>
                <w:sz w:val="20"/>
              </w:rPr>
              <w:t>Renforcement des capacités du personnel clé et des parties prenantes</w:t>
            </w:r>
          </w:p>
        </w:tc>
      </w:tr>
      <w:tr w:rsidR="002D7126" w:rsidRPr="00AD28A0" w14:paraId="57983FCD" w14:textId="77777777" w:rsidTr="001B2EE2">
        <w:tc>
          <w:tcPr>
            <w:tcW w:w="2447" w:type="dxa"/>
            <w:tcBorders>
              <w:top w:val="single" w:sz="4" w:space="0" w:color="auto"/>
              <w:left w:val="single" w:sz="4" w:space="0" w:color="auto"/>
              <w:bottom w:val="single" w:sz="4" w:space="0" w:color="auto"/>
              <w:right w:val="single" w:sz="4" w:space="0" w:color="auto"/>
            </w:tcBorders>
            <w:hideMark/>
          </w:tcPr>
          <w:p w14:paraId="4E4F66F4" w14:textId="77777777" w:rsidR="002D7126" w:rsidRPr="00AD28A0" w:rsidRDefault="002D7126" w:rsidP="002A1697">
            <w:pPr>
              <w:jc w:val="left"/>
              <w:rPr>
                <w:rFonts w:asciiTheme="majorBidi" w:hAnsiTheme="majorBidi" w:cstheme="majorBidi"/>
                <w:bCs/>
                <w:sz w:val="20"/>
                <w:szCs w:val="20"/>
              </w:rPr>
            </w:pPr>
            <w:r>
              <w:rPr>
                <w:rFonts w:asciiTheme="majorBidi" w:hAnsiTheme="majorBidi"/>
                <w:sz w:val="20"/>
              </w:rPr>
              <w:t>Coordination et collaboration avec les agences concernées par le biais de formations au renforcement des capacités</w:t>
            </w:r>
          </w:p>
        </w:tc>
        <w:tc>
          <w:tcPr>
            <w:tcW w:w="1804" w:type="dxa"/>
            <w:tcBorders>
              <w:top w:val="single" w:sz="4" w:space="0" w:color="auto"/>
              <w:left w:val="single" w:sz="4" w:space="0" w:color="auto"/>
              <w:bottom w:val="single" w:sz="4" w:space="0" w:color="auto"/>
              <w:right w:val="single" w:sz="4" w:space="0" w:color="auto"/>
            </w:tcBorders>
          </w:tcPr>
          <w:p w14:paraId="572D6B37" w14:textId="77777777" w:rsidR="002D7126" w:rsidRPr="00AD28A0" w:rsidRDefault="002D7126" w:rsidP="002A1697">
            <w:pPr>
              <w:jc w:val="left"/>
              <w:rPr>
                <w:rFonts w:asciiTheme="majorBidi" w:hAnsiTheme="majorBidi" w:cstheme="majorBidi"/>
                <w:sz w:val="20"/>
                <w:szCs w:val="20"/>
              </w:rPr>
            </w:pPr>
            <w:r>
              <w:rPr>
                <w:rFonts w:asciiTheme="majorBidi" w:hAnsiTheme="majorBidi"/>
                <w:sz w:val="20"/>
              </w:rPr>
              <w:t xml:space="preserve">Voyage d’étude, rapport et recommandations </w:t>
            </w:r>
          </w:p>
        </w:tc>
        <w:tc>
          <w:tcPr>
            <w:tcW w:w="1136" w:type="dxa"/>
            <w:tcBorders>
              <w:top w:val="single" w:sz="4" w:space="0" w:color="auto"/>
              <w:left w:val="single" w:sz="4" w:space="0" w:color="auto"/>
              <w:bottom w:val="single" w:sz="4" w:space="0" w:color="auto"/>
              <w:right w:val="single" w:sz="4" w:space="0" w:color="auto"/>
            </w:tcBorders>
            <w:hideMark/>
          </w:tcPr>
          <w:p w14:paraId="04770F40" w14:textId="77777777" w:rsidR="002D7126" w:rsidRPr="00AD28A0" w:rsidRDefault="002D7126" w:rsidP="002A1697">
            <w:pPr>
              <w:jc w:val="right"/>
              <w:rPr>
                <w:rFonts w:asciiTheme="majorBidi" w:hAnsiTheme="majorBidi" w:cstheme="majorBidi"/>
                <w:sz w:val="20"/>
                <w:szCs w:val="20"/>
              </w:rPr>
            </w:pPr>
            <w:r>
              <w:rPr>
                <w:rFonts w:asciiTheme="majorBidi" w:hAnsiTheme="majorBidi"/>
                <w:sz w:val="20"/>
              </w:rPr>
              <w:t>35 000</w:t>
            </w:r>
          </w:p>
        </w:tc>
        <w:tc>
          <w:tcPr>
            <w:tcW w:w="2410" w:type="dxa"/>
            <w:tcBorders>
              <w:top w:val="single" w:sz="4" w:space="0" w:color="auto"/>
              <w:left w:val="single" w:sz="4" w:space="0" w:color="auto"/>
              <w:bottom w:val="single" w:sz="4" w:space="0" w:color="auto"/>
              <w:right w:val="single" w:sz="4" w:space="0" w:color="auto"/>
            </w:tcBorders>
          </w:tcPr>
          <w:p w14:paraId="6690BDCC" w14:textId="77777777" w:rsidR="002D7126" w:rsidRPr="00AD28A0" w:rsidRDefault="002D7126" w:rsidP="002A1697">
            <w:pPr>
              <w:jc w:val="left"/>
              <w:rPr>
                <w:rFonts w:asciiTheme="majorBidi" w:hAnsiTheme="majorBidi" w:cstheme="majorBidi"/>
                <w:sz w:val="20"/>
                <w:szCs w:val="20"/>
              </w:rPr>
            </w:pPr>
            <w:r>
              <w:rPr>
                <w:rFonts w:asciiTheme="majorBidi" w:hAnsiTheme="majorBidi"/>
                <w:sz w:val="20"/>
              </w:rPr>
              <w:t>Le lieu et la date du voyage d’étude ont été confirmés</w:t>
            </w:r>
          </w:p>
        </w:tc>
        <w:tc>
          <w:tcPr>
            <w:tcW w:w="1562" w:type="dxa"/>
            <w:tcBorders>
              <w:top w:val="single" w:sz="4" w:space="0" w:color="auto"/>
              <w:left w:val="single" w:sz="4" w:space="0" w:color="auto"/>
              <w:bottom w:val="single" w:sz="4" w:space="0" w:color="auto"/>
              <w:right w:val="single" w:sz="4" w:space="0" w:color="auto"/>
            </w:tcBorders>
          </w:tcPr>
          <w:p w14:paraId="59CE3A1D" w14:textId="77777777" w:rsidR="002D7126" w:rsidRPr="00AD28A0" w:rsidRDefault="002D7126" w:rsidP="002A1697">
            <w:pPr>
              <w:jc w:val="right"/>
              <w:rPr>
                <w:rFonts w:asciiTheme="majorBidi" w:hAnsiTheme="majorBidi" w:cstheme="majorBidi"/>
                <w:sz w:val="20"/>
                <w:szCs w:val="20"/>
              </w:rPr>
            </w:pPr>
            <w:r>
              <w:rPr>
                <w:rFonts w:asciiTheme="majorBidi" w:hAnsiTheme="majorBidi"/>
                <w:sz w:val="20"/>
              </w:rPr>
              <w:t>Avril 2025</w:t>
            </w:r>
          </w:p>
        </w:tc>
      </w:tr>
      <w:tr w:rsidR="002D7126" w:rsidRPr="00AD28A0" w14:paraId="232DEC33" w14:textId="77777777" w:rsidTr="001B2EE2">
        <w:trPr>
          <w:trHeight w:val="179"/>
        </w:trPr>
        <w:tc>
          <w:tcPr>
            <w:tcW w:w="2447" w:type="dxa"/>
            <w:tcBorders>
              <w:top w:val="single" w:sz="4" w:space="0" w:color="auto"/>
              <w:left w:val="single" w:sz="4" w:space="0" w:color="auto"/>
              <w:bottom w:val="single" w:sz="4" w:space="0" w:color="auto"/>
              <w:right w:val="single" w:sz="4" w:space="0" w:color="auto"/>
            </w:tcBorders>
            <w:hideMark/>
          </w:tcPr>
          <w:p w14:paraId="06D49071" w14:textId="77777777" w:rsidR="002D7126" w:rsidRPr="00AD28A0" w:rsidRDefault="002D7126" w:rsidP="002A1697">
            <w:pPr>
              <w:jc w:val="left"/>
              <w:rPr>
                <w:rFonts w:asciiTheme="majorBidi" w:hAnsiTheme="majorBidi" w:cstheme="majorBidi"/>
                <w:bCs/>
                <w:sz w:val="20"/>
                <w:szCs w:val="20"/>
              </w:rPr>
            </w:pPr>
            <w:r>
              <w:rPr>
                <w:rFonts w:asciiTheme="majorBidi" w:hAnsiTheme="majorBidi"/>
                <w:sz w:val="20"/>
              </w:rPr>
              <w:t>Séances de formation/information pour les importateurs, les agents des douanes, les agences de services publics, les concepteurs de bâtiments, les promoteurs immobiliers et les entreprises de construction</w:t>
            </w:r>
          </w:p>
        </w:tc>
        <w:tc>
          <w:tcPr>
            <w:tcW w:w="1804" w:type="dxa"/>
            <w:tcBorders>
              <w:top w:val="single" w:sz="4" w:space="0" w:color="auto"/>
              <w:left w:val="single" w:sz="4" w:space="0" w:color="auto"/>
              <w:bottom w:val="single" w:sz="4" w:space="0" w:color="auto"/>
              <w:right w:val="single" w:sz="4" w:space="0" w:color="auto"/>
            </w:tcBorders>
          </w:tcPr>
          <w:p w14:paraId="23B5E0EC" w14:textId="77777777" w:rsidR="002D7126" w:rsidRPr="00AD28A0" w:rsidRDefault="002D7126" w:rsidP="002A1697">
            <w:pPr>
              <w:jc w:val="left"/>
              <w:rPr>
                <w:rFonts w:asciiTheme="majorBidi" w:hAnsiTheme="majorBidi" w:cstheme="majorBidi"/>
                <w:sz w:val="20"/>
                <w:szCs w:val="20"/>
              </w:rPr>
            </w:pPr>
            <w:r>
              <w:rPr>
                <w:rFonts w:asciiTheme="majorBidi" w:hAnsiTheme="majorBidi"/>
                <w:sz w:val="20"/>
              </w:rPr>
              <w:t>Cinq ateliers/séances d’information pour un total de 140 participants</w:t>
            </w:r>
          </w:p>
        </w:tc>
        <w:tc>
          <w:tcPr>
            <w:tcW w:w="1136" w:type="dxa"/>
            <w:tcBorders>
              <w:top w:val="single" w:sz="4" w:space="0" w:color="auto"/>
              <w:left w:val="single" w:sz="4" w:space="0" w:color="auto"/>
              <w:bottom w:val="single" w:sz="4" w:space="0" w:color="auto"/>
              <w:right w:val="single" w:sz="4" w:space="0" w:color="auto"/>
            </w:tcBorders>
            <w:hideMark/>
          </w:tcPr>
          <w:p w14:paraId="1382751C" w14:textId="77777777" w:rsidR="002D7126" w:rsidRPr="00AD28A0" w:rsidRDefault="002D7126" w:rsidP="002A1697">
            <w:pPr>
              <w:jc w:val="right"/>
              <w:rPr>
                <w:rFonts w:asciiTheme="majorBidi" w:hAnsiTheme="majorBidi" w:cstheme="majorBidi"/>
                <w:sz w:val="20"/>
                <w:szCs w:val="20"/>
              </w:rPr>
            </w:pPr>
            <w:r>
              <w:rPr>
                <w:rFonts w:asciiTheme="majorBidi" w:hAnsiTheme="majorBidi"/>
                <w:sz w:val="20"/>
              </w:rPr>
              <w:t>13 000</w:t>
            </w:r>
          </w:p>
        </w:tc>
        <w:tc>
          <w:tcPr>
            <w:tcW w:w="2410" w:type="dxa"/>
            <w:tcBorders>
              <w:top w:val="single" w:sz="4" w:space="0" w:color="auto"/>
              <w:left w:val="single" w:sz="4" w:space="0" w:color="auto"/>
              <w:bottom w:val="single" w:sz="4" w:space="0" w:color="auto"/>
              <w:right w:val="single" w:sz="4" w:space="0" w:color="auto"/>
            </w:tcBorders>
          </w:tcPr>
          <w:p w14:paraId="0ED36F91" w14:textId="77777777" w:rsidR="002D7126" w:rsidRPr="00AD28A0" w:rsidRDefault="002D7126" w:rsidP="002A1697">
            <w:pPr>
              <w:jc w:val="left"/>
              <w:rPr>
                <w:rFonts w:asciiTheme="majorBidi" w:hAnsiTheme="majorBidi" w:cstheme="majorBidi"/>
                <w:sz w:val="20"/>
                <w:szCs w:val="20"/>
              </w:rPr>
            </w:pPr>
            <w:r>
              <w:rPr>
                <w:rFonts w:asciiTheme="majorBidi" w:hAnsiTheme="majorBidi"/>
                <w:sz w:val="20"/>
              </w:rPr>
              <w:t>Les dates et le lieu de la formation sont en cours de finalisation</w:t>
            </w:r>
          </w:p>
        </w:tc>
        <w:tc>
          <w:tcPr>
            <w:tcW w:w="1562" w:type="dxa"/>
            <w:tcBorders>
              <w:top w:val="single" w:sz="4" w:space="0" w:color="auto"/>
              <w:left w:val="single" w:sz="4" w:space="0" w:color="auto"/>
              <w:bottom w:val="single" w:sz="4" w:space="0" w:color="auto"/>
              <w:right w:val="single" w:sz="4" w:space="0" w:color="auto"/>
            </w:tcBorders>
          </w:tcPr>
          <w:p w14:paraId="606BD096" w14:textId="77777777" w:rsidR="002D7126" w:rsidRPr="00AD28A0" w:rsidRDefault="002D7126" w:rsidP="002A1697">
            <w:pPr>
              <w:jc w:val="right"/>
              <w:rPr>
                <w:rFonts w:asciiTheme="majorBidi" w:hAnsiTheme="majorBidi" w:cstheme="majorBidi"/>
                <w:sz w:val="20"/>
                <w:szCs w:val="20"/>
              </w:rPr>
            </w:pPr>
            <w:r>
              <w:rPr>
                <w:rFonts w:asciiTheme="majorBidi" w:hAnsiTheme="majorBidi"/>
                <w:sz w:val="20"/>
              </w:rPr>
              <w:t xml:space="preserve">Décembre 2025 </w:t>
            </w:r>
          </w:p>
        </w:tc>
      </w:tr>
      <w:tr w:rsidR="002D7126" w:rsidRPr="00AD28A0" w14:paraId="15BC0322" w14:textId="77777777" w:rsidTr="002A1697">
        <w:tc>
          <w:tcPr>
            <w:tcW w:w="9359" w:type="dxa"/>
            <w:gridSpan w:val="5"/>
            <w:tcBorders>
              <w:top w:val="single" w:sz="4" w:space="0" w:color="auto"/>
              <w:left w:val="single" w:sz="4" w:space="0" w:color="auto"/>
              <w:bottom w:val="single" w:sz="4" w:space="0" w:color="auto"/>
              <w:right w:val="single" w:sz="4" w:space="0" w:color="auto"/>
            </w:tcBorders>
          </w:tcPr>
          <w:p w14:paraId="33CB34F9" w14:textId="77777777" w:rsidR="002D7126" w:rsidRPr="00AD28A0" w:rsidRDefault="002D7126" w:rsidP="002A1697">
            <w:pPr>
              <w:jc w:val="left"/>
              <w:rPr>
                <w:rFonts w:asciiTheme="majorBidi" w:hAnsiTheme="majorBidi" w:cstheme="majorBidi"/>
                <w:b/>
                <w:sz w:val="20"/>
                <w:szCs w:val="20"/>
              </w:rPr>
            </w:pPr>
            <w:bookmarkStart w:id="10" w:name="_Hlk115084759"/>
            <w:r>
              <w:rPr>
                <w:rFonts w:asciiTheme="majorBidi" w:hAnsiTheme="majorBidi"/>
                <w:b/>
                <w:sz w:val="20"/>
              </w:rPr>
              <w:t>Sensibilisation et évaluation de l’incidence</w:t>
            </w:r>
          </w:p>
        </w:tc>
        <w:bookmarkEnd w:id="10"/>
      </w:tr>
      <w:tr w:rsidR="002D7126" w:rsidRPr="00AD28A0" w14:paraId="713656A7" w14:textId="77777777" w:rsidTr="001B2EE2">
        <w:trPr>
          <w:trHeight w:val="305"/>
        </w:trPr>
        <w:tc>
          <w:tcPr>
            <w:tcW w:w="2447" w:type="dxa"/>
            <w:tcBorders>
              <w:top w:val="single" w:sz="4" w:space="0" w:color="auto"/>
              <w:left w:val="single" w:sz="4" w:space="0" w:color="auto"/>
              <w:bottom w:val="single" w:sz="4" w:space="0" w:color="auto"/>
              <w:right w:val="single" w:sz="4" w:space="0" w:color="auto"/>
            </w:tcBorders>
            <w:hideMark/>
          </w:tcPr>
          <w:p w14:paraId="68D0FE8C" w14:textId="77777777" w:rsidR="002D7126" w:rsidRPr="00AD28A0" w:rsidRDefault="002D7126" w:rsidP="002A1697">
            <w:pPr>
              <w:jc w:val="left"/>
              <w:rPr>
                <w:rFonts w:asciiTheme="majorBidi" w:hAnsiTheme="majorBidi" w:cstheme="majorBidi"/>
                <w:bCs/>
                <w:sz w:val="20"/>
                <w:szCs w:val="20"/>
              </w:rPr>
            </w:pPr>
            <w:r>
              <w:rPr>
                <w:rFonts w:asciiTheme="majorBidi" w:hAnsiTheme="majorBidi"/>
                <w:sz w:val="20"/>
              </w:rPr>
              <w:t>Élaboration et diffusion de documents de sensibilisation</w:t>
            </w:r>
          </w:p>
        </w:tc>
        <w:tc>
          <w:tcPr>
            <w:tcW w:w="1804" w:type="dxa"/>
            <w:tcBorders>
              <w:top w:val="single" w:sz="4" w:space="0" w:color="auto"/>
              <w:left w:val="single" w:sz="4" w:space="0" w:color="auto"/>
              <w:bottom w:val="single" w:sz="4" w:space="0" w:color="auto"/>
              <w:right w:val="single" w:sz="4" w:space="0" w:color="auto"/>
            </w:tcBorders>
          </w:tcPr>
          <w:p w14:paraId="34C240D7" w14:textId="77777777" w:rsidR="002D7126" w:rsidRPr="00AD28A0" w:rsidRDefault="002D7126" w:rsidP="002A1697">
            <w:pPr>
              <w:jc w:val="left"/>
              <w:rPr>
                <w:rFonts w:asciiTheme="majorBidi" w:hAnsiTheme="majorBidi" w:cstheme="majorBidi"/>
                <w:sz w:val="20"/>
                <w:szCs w:val="20"/>
              </w:rPr>
            </w:pPr>
            <w:r>
              <w:rPr>
                <w:rFonts w:asciiTheme="majorBidi" w:hAnsiTheme="majorBidi"/>
                <w:sz w:val="20"/>
              </w:rPr>
              <w:t>Cinq vidéos de sensibilisation et cinq infographies produites et diffusées</w:t>
            </w:r>
          </w:p>
        </w:tc>
        <w:tc>
          <w:tcPr>
            <w:tcW w:w="1136" w:type="dxa"/>
            <w:tcBorders>
              <w:top w:val="single" w:sz="4" w:space="0" w:color="auto"/>
              <w:left w:val="single" w:sz="4" w:space="0" w:color="auto"/>
              <w:bottom w:val="single" w:sz="4" w:space="0" w:color="auto"/>
              <w:right w:val="single" w:sz="4" w:space="0" w:color="auto"/>
            </w:tcBorders>
            <w:hideMark/>
          </w:tcPr>
          <w:p w14:paraId="1B3E34E0" w14:textId="77777777" w:rsidR="002D7126" w:rsidRPr="00AD28A0" w:rsidRDefault="002D7126" w:rsidP="002A1697">
            <w:pPr>
              <w:jc w:val="right"/>
              <w:rPr>
                <w:rFonts w:asciiTheme="majorBidi" w:hAnsiTheme="majorBidi" w:cstheme="majorBidi"/>
                <w:sz w:val="20"/>
                <w:szCs w:val="20"/>
              </w:rPr>
            </w:pPr>
            <w:r>
              <w:rPr>
                <w:rFonts w:asciiTheme="majorBidi" w:hAnsiTheme="majorBidi"/>
                <w:sz w:val="20"/>
              </w:rPr>
              <w:t>37 000</w:t>
            </w:r>
          </w:p>
        </w:tc>
        <w:tc>
          <w:tcPr>
            <w:tcW w:w="2410" w:type="dxa"/>
            <w:tcBorders>
              <w:top w:val="single" w:sz="4" w:space="0" w:color="auto"/>
              <w:left w:val="single" w:sz="4" w:space="0" w:color="auto"/>
              <w:bottom w:val="single" w:sz="4" w:space="0" w:color="auto"/>
              <w:right w:val="single" w:sz="4" w:space="0" w:color="auto"/>
            </w:tcBorders>
          </w:tcPr>
          <w:p w14:paraId="3C7F34C4" w14:textId="77777777" w:rsidR="002D7126" w:rsidRPr="00AD28A0" w:rsidRDefault="002D7126" w:rsidP="002A1697">
            <w:pPr>
              <w:jc w:val="left"/>
              <w:rPr>
                <w:rFonts w:asciiTheme="majorBidi" w:hAnsiTheme="majorBidi" w:cstheme="majorBidi"/>
                <w:sz w:val="20"/>
                <w:szCs w:val="20"/>
              </w:rPr>
            </w:pPr>
            <w:r>
              <w:rPr>
                <w:rFonts w:asciiTheme="majorBidi" w:hAnsiTheme="majorBidi"/>
                <w:sz w:val="20"/>
              </w:rPr>
              <w:t>Une société de services pour l’élaboration et la diffusion est engagée pour produire des vidéos et des infographies.</w:t>
            </w:r>
          </w:p>
        </w:tc>
        <w:tc>
          <w:tcPr>
            <w:tcW w:w="1562" w:type="dxa"/>
            <w:tcBorders>
              <w:top w:val="single" w:sz="4" w:space="0" w:color="auto"/>
              <w:left w:val="single" w:sz="4" w:space="0" w:color="auto"/>
              <w:bottom w:val="single" w:sz="4" w:space="0" w:color="auto"/>
              <w:right w:val="single" w:sz="4" w:space="0" w:color="auto"/>
            </w:tcBorders>
          </w:tcPr>
          <w:p w14:paraId="7718104D" w14:textId="77777777" w:rsidR="002D7126" w:rsidRPr="00AD28A0" w:rsidRDefault="002D7126" w:rsidP="002A1697">
            <w:pPr>
              <w:jc w:val="right"/>
              <w:rPr>
                <w:rFonts w:asciiTheme="majorBidi" w:hAnsiTheme="majorBidi" w:cstheme="majorBidi"/>
                <w:sz w:val="20"/>
                <w:szCs w:val="20"/>
              </w:rPr>
            </w:pPr>
            <w:r>
              <w:rPr>
                <w:rFonts w:asciiTheme="majorBidi" w:hAnsiTheme="majorBidi"/>
                <w:sz w:val="20"/>
              </w:rPr>
              <w:t>Décembre 2025</w:t>
            </w:r>
          </w:p>
        </w:tc>
      </w:tr>
      <w:tr w:rsidR="002D7126" w:rsidRPr="00AD28A0" w14:paraId="0698F6C1" w14:textId="77777777" w:rsidTr="001B2EE2">
        <w:tc>
          <w:tcPr>
            <w:tcW w:w="2447" w:type="dxa"/>
            <w:tcBorders>
              <w:top w:val="single" w:sz="4" w:space="0" w:color="auto"/>
              <w:left w:val="single" w:sz="4" w:space="0" w:color="auto"/>
              <w:bottom w:val="single" w:sz="4" w:space="0" w:color="auto"/>
              <w:right w:val="single" w:sz="4" w:space="0" w:color="auto"/>
            </w:tcBorders>
            <w:hideMark/>
          </w:tcPr>
          <w:p w14:paraId="4CA72819" w14:textId="77777777" w:rsidR="002D7126" w:rsidRPr="00AD28A0" w:rsidRDefault="002D7126" w:rsidP="002A1697">
            <w:pPr>
              <w:rPr>
                <w:rFonts w:asciiTheme="majorBidi" w:hAnsiTheme="majorBidi" w:cstheme="majorBidi"/>
                <w:bCs/>
                <w:sz w:val="20"/>
                <w:szCs w:val="20"/>
              </w:rPr>
            </w:pPr>
            <w:r>
              <w:rPr>
                <w:rFonts w:asciiTheme="majorBidi" w:hAnsiTheme="majorBidi"/>
                <w:sz w:val="20"/>
              </w:rPr>
              <w:t>Étude sur le comportement des consommateurs</w:t>
            </w:r>
          </w:p>
        </w:tc>
        <w:tc>
          <w:tcPr>
            <w:tcW w:w="1804" w:type="dxa"/>
            <w:tcBorders>
              <w:top w:val="single" w:sz="4" w:space="0" w:color="auto"/>
              <w:left w:val="single" w:sz="4" w:space="0" w:color="auto"/>
              <w:bottom w:val="single" w:sz="4" w:space="0" w:color="auto"/>
              <w:right w:val="single" w:sz="4" w:space="0" w:color="auto"/>
            </w:tcBorders>
          </w:tcPr>
          <w:p w14:paraId="43BA226B" w14:textId="77777777" w:rsidR="002D7126" w:rsidRPr="00AD28A0" w:rsidRDefault="002D7126" w:rsidP="002A1697">
            <w:pPr>
              <w:jc w:val="left"/>
              <w:rPr>
                <w:rFonts w:asciiTheme="majorBidi" w:hAnsiTheme="majorBidi" w:cstheme="majorBidi"/>
                <w:sz w:val="20"/>
                <w:szCs w:val="20"/>
              </w:rPr>
            </w:pPr>
            <w:r>
              <w:rPr>
                <w:rFonts w:asciiTheme="majorBidi" w:hAnsiTheme="majorBidi"/>
                <w:sz w:val="20"/>
              </w:rPr>
              <w:t>Élaboration et mise en œuvre d’une étude sur le comportement des consommateurs</w:t>
            </w:r>
          </w:p>
        </w:tc>
        <w:tc>
          <w:tcPr>
            <w:tcW w:w="1136" w:type="dxa"/>
            <w:tcBorders>
              <w:top w:val="single" w:sz="4" w:space="0" w:color="auto"/>
              <w:left w:val="single" w:sz="4" w:space="0" w:color="auto"/>
              <w:bottom w:val="single" w:sz="4" w:space="0" w:color="auto"/>
              <w:right w:val="single" w:sz="4" w:space="0" w:color="auto"/>
            </w:tcBorders>
            <w:hideMark/>
          </w:tcPr>
          <w:p w14:paraId="56C74CD2" w14:textId="77777777" w:rsidR="002D7126" w:rsidRPr="00AD28A0" w:rsidRDefault="002D7126" w:rsidP="002A1697">
            <w:pPr>
              <w:jc w:val="right"/>
              <w:rPr>
                <w:rFonts w:asciiTheme="majorBidi" w:hAnsiTheme="majorBidi" w:cstheme="majorBidi"/>
                <w:sz w:val="20"/>
                <w:szCs w:val="20"/>
              </w:rPr>
            </w:pPr>
            <w:r>
              <w:rPr>
                <w:rFonts w:asciiTheme="majorBidi" w:hAnsiTheme="majorBidi"/>
                <w:sz w:val="20"/>
              </w:rPr>
              <w:t>15 000</w:t>
            </w:r>
          </w:p>
        </w:tc>
        <w:tc>
          <w:tcPr>
            <w:tcW w:w="2410" w:type="dxa"/>
            <w:tcBorders>
              <w:top w:val="single" w:sz="4" w:space="0" w:color="auto"/>
              <w:left w:val="single" w:sz="4" w:space="0" w:color="auto"/>
              <w:bottom w:val="single" w:sz="4" w:space="0" w:color="auto"/>
              <w:right w:val="single" w:sz="4" w:space="0" w:color="auto"/>
            </w:tcBorders>
          </w:tcPr>
          <w:p w14:paraId="36DAE7FC" w14:textId="77777777" w:rsidR="002D7126" w:rsidRPr="00AD28A0" w:rsidDel="00105EE1" w:rsidRDefault="002D7126" w:rsidP="002A1697">
            <w:pPr>
              <w:jc w:val="left"/>
              <w:rPr>
                <w:rFonts w:asciiTheme="majorBidi" w:hAnsiTheme="majorBidi" w:cstheme="majorBidi"/>
                <w:sz w:val="20"/>
                <w:szCs w:val="20"/>
              </w:rPr>
            </w:pPr>
            <w:r>
              <w:rPr>
                <w:rFonts w:asciiTheme="majorBidi" w:hAnsiTheme="majorBidi"/>
                <w:sz w:val="20"/>
              </w:rPr>
              <w:t>Le mandat et le questionnaire pour l’étude ont été élaborés. Un prestataire de services est en cours de contractualisation pour mener l’étude</w:t>
            </w:r>
          </w:p>
        </w:tc>
        <w:tc>
          <w:tcPr>
            <w:tcW w:w="1562" w:type="dxa"/>
            <w:tcBorders>
              <w:top w:val="single" w:sz="4" w:space="0" w:color="auto"/>
              <w:left w:val="single" w:sz="4" w:space="0" w:color="auto"/>
              <w:bottom w:val="single" w:sz="4" w:space="0" w:color="auto"/>
              <w:right w:val="single" w:sz="4" w:space="0" w:color="auto"/>
            </w:tcBorders>
          </w:tcPr>
          <w:p w14:paraId="07028445" w14:textId="77777777" w:rsidR="002D7126" w:rsidRPr="00AD28A0" w:rsidRDefault="002D7126" w:rsidP="002A1697">
            <w:pPr>
              <w:jc w:val="right"/>
              <w:rPr>
                <w:rFonts w:asciiTheme="majorBidi" w:hAnsiTheme="majorBidi" w:cstheme="majorBidi"/>
                <w:sz w:val="20"/>
                <w:szCs w:val="20"/>
              </w:rPr>
            </w:pPr>
            <w:r>
              <w:rPr>
                <w:rFonts w:asciiTheme="majorBidi" w:hAnsiTheme="majorBidi"/>
                <w:sz w:val="20"/>
              </w:rPr>
              <w:t xml:space="preserve">Mai 2026 </w:t>
            </w:r>
          </w:p>
        </w:tc>
      </w:tr>
      <w:tr w:rsidR="002D7126" w:rsidRPr="00AD28A0" w14:paraId="37DC817F" w14:textId="77777777" w:rsidTr="001B2EE2">
        <w:tc>
          <w:tcPr>
            <w:tcW w:w="4251" w:type="dxa"/>
            <w:gridSpan w:val="2"/>
            <w:tcBorders>
              <w:top w:val="single" w:sz="4" w:space="0" w:color="auto"/>
              <w:left w:val="single" w:sz="4" w:space="0" w:color="auto"/>
              <w:bottom w:val="single" w:sz="4" w:space="0" w:color="auto"/>
              <w:right w:val="single" w:sz="4" w:space="0" w:color="auto"/>
            </w:tcBorders>
            <w:hideMark/>
          </w:tcPr>
          <w:p w14:paraId="353EF99E" w14:textId="77777777" w:rsidR="002D7126" w:rsidRPr="00AD28A0" w:rsidRDefault="002D7126" w:rsidP="002A1697">
            <w:pPr>
              <w:jc w:val="left"/>
              <w:rPr>
                <w:rFonts w:asciiTheme="majorBidi" w:hAnsiTheme="majorBidi" w:cstheme="majorBidi"/>
                <w:b/>
                <w:sz w:val="20"/>
                <w:szCs w:val="20"/>
              </w:rPr>
            </w:pPr>
            <w:r>
              <w:rPr>
                <w:rFonts w:asciiTheme="majorBidi" w:hAnsiTheme="majorBidi"/>
                <w:b/>
                <w:sz w:val="20"/>
              </w:rPr>
              <w:t>Total</w:t>
            </w:r>
          </w:p>
        </w:tc>
        <w:tc>
          <w:tcPr>
            <w:tcW w:w="1136" w:type="dxa"/>
            <w:tcBorders>
              <w:top w:val="single" w:sz="4" w:space="0" w:color="auto"/>
              <w:left w:val="single" w:sz="4" w:space="0" w:color="auto"/>
              <w:bottom w:val="single" w:sz="4" w:space="0" w:color="auto"/>
              <w:right w:val="single" w:sz="4" w:space="0" w:color="auto"/>
            </w:tcBorders>
            <w:hideMark/>
          </w:tcPr>
          <w:p w14:paraId="4BFB0262" w14:textId="77777777" w:rsidR="002D7126" w:rsidRPr="00AD28A0" w:rsidRDefault="002D7126" w:rsidP="002A1697">
            <w:pPr>
              <w:jc w:val="right"/>
              <w:rPr>
                <w:rFonts w:asciiTheme="majorBidi" w:hAnsiTheme="majorBidi" w:cstheme="majorBidi"/>
                <w:b/>
                <w:sz w:val="20"/>
                <w:szCs w:val="20"/>
              </w:rPr>
            </w:pPr>
            <w:r>
              <w:rPr>
                <w:rFonts w:asciiTheme="majorBidi" w:hAnsiTheme="majorBidi"/>
                <w:b/>
                <w:sz w:val="20"/>
              </w:rPr>
              <w:t>100 000</w:t>
            </w:r>
          </w:p>
        </w:tc>
        <w:tc>
          <w:tcPr>
            <w:tcW w:w="2410" w:type="dxa"/>
            <w:tcBorders>
              <w:top w:val="single" w:sz="4" w:space="0" w:color="auto"/>
              <w:left w:val="single" w:sz="4" w:space="0" w:color="auto"/>
              <w:bottom w:val="single" w:sz="4" w:space="0" w:color="auto"/>
              <w:right w:val="single" w:sz="4" w:space="0" w:color="auto"/>
            </w:tcBorders>
          </w:tcPr>
          <w:p w14:paraId="77973739" w14:textId="77777777" w:rsidR="002D7126" w:rsidRPr="00AD28A0" w:rsidRDefault="002D7126" w:rsidP="002A1697">
            <w:pPr>
              <w:jc w:val="right"/>
              <w:rPr>
                <w:rFonts w:asciiTheme="majorBidi" w:hAnsiTheme="majorBidi" w:cstheme="majorBidi"/>
                <w:b/>
                <w:sz w:val="20"/>
                <w:szCs w:val="20"/>
              </w:rPr>
            </w:pPr>
          </w:p>
        </w:tc>
        <w:tc>
          <w:tcPr>
            <w:tcW w:w="1562" w:type="dxa"/>
            <w:tcBorders>
              <w:top w:val="single" w:sz="4" w:space="0" w:color="auto"/>
              <w:left w:val="single" w:sz="4" w:space="0" w:color="auto"/>
              <w:bottom w:val="single" w:sz="4" w:space="0" w:color="auto"/>
              <w:right w:val="single" w:sz="4" w:space="0" w:color="auto"/>
            </w:tcBorders>
          </w:tcPr>
          <w:p w14:paraId="7F2E8CCD" w14:textId="77777777" w:rsidR="002D7126" w:rsidRPr="00AD28A0" w:rsidRDefault="002D7126" w:rsidP="002A1697">
            <w:pPr>
              <w:jc w:val="right"/>
              <w:rPr>
                <w:rFonts w:asciiTheme="majorBidi" w:hAnsiTheme="majorBidi" w:cstheme="majorBidi"/>
                <w:b/>
                <w:sz w:val="20"/>
                <w:szCs w:val="20"/>
              </w:rPr>
            </w:pPr>
          </w:p>
        </w:tc>
      </w:tr>
    </w:tbl>
    <w:p w14:paraId="2160A3B4" w14:textId="77777777" w:rsidR="002D7126" w:rsidRDefault="002D7126" w:rsidP="002D7126">
      <w:pPr>
        <w:keepNext/>
        <w:outlineLvl w:val="0"/>
        <w:rPr>
          <w:rFonts w:eastAsiaTheme="minorEastAsia"/>
          <w:b/>
          <w:lang w:eastAsia="zh-CN"/>
        </w:rPr>
      </w:pPr>
    </w:p>
    <w:p w14:paraId="1374FD92" w14:textId="77777777" w:rsidR="002D7126" w:rsidRPr="00AF2C06" w:rsidRDefault="002D7126" w:rsidP="002D7126">
      <w:pPr>
        <w:keepNext/>
        <w:spacing w:after="240"/>
        <w:outlineLvl w:val="0"/>
        <w:rPr>
          <w:rFonts w:eastAsiaTheme="minorEastAsia"/>
          <w:b/>
        </w:rPr>
      </w:pPr>
      <w:r>
        <w:rPr>
          <w:b/>
        </w:rPr>
        <w:t>Recommandation</w:t>
      </w:r>
    </w:p>
    <w:p w14:paraId="0A3080F7" w14:textId="77777777" w:rsidR="002D7126" w:rsidRPr="00AF2C06" w:rsidRDefault="002D7126" w:rsidP="002D7126">
      <w:pPr>
        <w:keepNext/>
        <w:numPr>
          <w:ilvl w:val="0"/>
          <w:numId w:val="1"/>
        </w:numPr>
        <w:spacing w:after="240"/>
        <w:outlineLvl w:val="0"/>
        <w:rPr>
          <w:rFonts w:eastAsiaTheme="minorEastAsia"/>
        </w:rPr>
      </w:pPr>
      <w:r>
        <w:t>Le Comité exécutif pourrait envisager :</w:t>
      </w:r>
    </w:p>
    <w:p w14:paraId="01D03CAE" w14:textId="77777777" w:rsidR="002D7126" w:rsidRPr="006C5474" w:rsidRDefault="002D7126" w:rsidP="002D7126">
      <w:pPr>
        <w:pStyle w:val="Heading2"/>
        <w:keepNext/>
        <w:widowControl/>
        <w:numPr>
          <w:ilvl w:val="1"/>
          <w:numId w:val="2"/>
        </w:numPr>
        <w:rPr>
          <w:rFonts w:eastAsiaTheme="minorEastAsia"/>
        </w:rPr>
      </w:pPr>
      <w:r>
        <w:t xml:space="preserve">de prendre note de la demande de prolongement du projet sur les activités supplémentaires pour l’introduction de produits de remplacement des HCFC à potentiel de réchauffement planétaire faible ou nul et sur le maintien de l’efficacité énergétique dans le secteur de </w:t>
      </w:r>
      <w:r>
        <w:lastRenderedPageBreak/>
        <w:t>l’entretien de l’équipement de réfrigération aux Maldives, tel que présenté par le PNUE et contenu dans le document UNEP/OzL.Pro/ExCom/96/11 ;</w:t>
      </w:r>
    </w:p>
    <w:p w14:paraId="2CB4947D" w14:textId="62D86F67" w:rsidR="002D7126" w:rsidRDefault="002D7126" w:rsidP="002D7126">
      <w:pPr>
        <w:pStyle w:val="Heading2"/>
        <w:keepNext/>
        <w:widowControl/>
        <w:numPr>
          <w:ilvl w:val="1"/>
          <w:numId w:val="2"/>
        </w:numPr>
        <w:rPr>
          <w:rFonts w:eastAsiaTheme="minorEastAsia"/>
        </w:rPr>
      </w:pPr>
      <w:r>
        <w:t>d’approuver, à titre exceptionnel, et étant entendu qu’aucune autre prolongation ne serait approuvée, le report, au 30 juin 2026, de la date d’achèvement du projet mentionné à l’alinéa a) ci-dessus ; et</w:t>
      </w:r>
    </w:p>
    <w:p w14:paraId="26B13882" w14:textId="77777777" w:rsidR="002D7126" w:rsidRPr="006764B6" w:rsidRDefault="002D7126" w:rsidP="002D7126">
      <w:pPr>
        <w:pStyle w:val="Heading2"/>
        <w:keepNext/>
        <w:widowControl/>
        <w:numPr>
          <w:ilvl w:val="1"/>
          <w:numId w:val="2"/>
        </w:numPr>
        <w:rPr>
          <w:rFonts w:eastAsiaTheme="minorEastAsia"/>
        </w:rPr>
      </w:pPr>
      <w:r>
        <w:t>de demander au Gouvernement des Maldives et au PNUE de continuer à soumettre des rapports d’avancement sur la mise en œuvre du projet visé à l’alinéa a) ci-dessus, chaque année jusqu'à l’achèvement du projet, et de remettre un rapport d’achèvement du projet à la deuxième réunion du Comité exécutif en 2026.</w:t>
      </w:r>
    </w:p>
    <w:p w14:paraId="26E4C508" w14:textId="77777777" w:rsidR="00BB2764" w:rsidRPr="009B0D30" w:rsidRDefault="00BB2764" w:rsidP="00BB2764"/>
    <w:p w14:paraId="7C4A58E6" w14:textId="77777777" w:rsidR="00AE0FEA" w:rsidRDefault="00AE0FEA" w:rsidP="004E7F9C">
      <w:pPr>
        <w:sectPr w:rsidR="00AE0FEA" w:rsidSect="00CB1DBA">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370FEFD8" w14:textId="77777777" w:rsidR="00DC6779" w:rsidRPr="008223A0" w:rsidRDefault="00DC6779" w:rsidP="00DC6779">
      <w:pPr>
        <w:jc w:val="center"/>
        <w:rPr>
          <w:b/>
        </w:rPr>
      </w:pPr>
      <w:r>
        <w:rPr>
          <w:b/>
        </w:rPr>
        <w:lastRenderedPageBreak/>
        <w:t>Annexe I</w:t>
      </w:r>
    </w:p>
    <w:p w14:paraId="79710636" w14:textId="77777777" w:rsidR="00DC6779" w:rsidRPr="008223A0" w:rsidRDefault="00DC6779" w:rsidP="00DC6779">
      <w:pPr>
        <w:jc w:val="center"/>
        <w:rPr>
          <w:b/>
        </w:rPr>
      </w:pPr>
    </w:p>
    <w:p w14:paraId="0008302B" w14:textId="77777777" w:rsidR="00DC6779" w:rsidRPr="008223A0" w:rsidRDefault="00DC6779" w:rsidP="00DC6779">
      <w:pPr>
        <w:pStyle w:val="StyleHeader4Para4Left0Firstline0"/>
        <w:numPr>
          <w:ilvl w:val="0"/>
          <w:numId w:val="0"/>
        </w:numPr>
        <w:jc w:val="center"/>
        <w:rPr>
          <w:b/>
          <w:caps/>
          <w:sz w:val="22"/>
        </w:rPr>
      </w:pPr>
      <w:r>
        <w:rPr>
          <w:b/>
          <w:caps/>
          <w:sz w:val="22"/>
        </w:rPr>
        <w:t>PROJETS DANS LESQUELS « QUELQUES AVANCÉES » ONT ÉTÉ ACCOMPLIES et pour lesquels le maintien du suivi est recommandé</w:t>
      </w:r>
    </w:p>
    <w:tbl>
      <w:tblPr>
        <w:tblW w:w="9640" w:type="dxa"/>
        <w:tblInd w:w="-147" w:type="dxa"/>
        <w:tblLook w:val="04A0" w:firstRow="1" w:lastRow="0" w:firstColumn="1" w:lastColumn="0" w:noHBand="0" w:noVBand="1"/>
      </w:tblPr>
      <w:tblGrid>
        <w:gridCol w:w="1560"/>
        <w:gridCol w:w="2126"/>
        <w:gridCol w:w="4961"/>
        <w:gridCol w:w="993"/>
      </w:tblGrid>
      <w:tr w:rsidR="00DC6779" w:rsidRPr="008223A0" w14:paraId="76E63F4B" w14:textId="77777777" w:rsidTr="003807F3">
        <w:trPr>
          <w:trHeight w:val="498"/>
        </w:trPr>
        <w:tc>
          <w:tcPr>
            <w:tcW w:w="156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552CA07C" w14:textId="77777777" w:rsidR="00DC6779" w:rsidRPr="008223A0" w:rsidRDefault="00DC6779" w:rsidP="003807F3">
            <w:pPr>
              <w:jc w:val="center"/>
              <w:rPr>
                <w:b/>
                <w:bCs/>
                <w:color w:val="000000"/>
                <w:sz w:val="20"/>
                <w:szCs w:val="20"/>
              </w:rPr>
            </w:pPr>
            <w:r>
              <w:rPr>
                <w:b/>
                <w:color w:val="000000"/>
                <w:sz w:val="20"/>
              </w:rPr>
              <w:t>Pays</w:t>
            </w:r>
          </w:p>
        </w:tc>
        <w:tc>
          <w:tcPr>
            <w:tcW w:w="212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C159E19" w14:textId="77777777" w:rsidR="00DC6779" w:rsidRPr="008223A0" w:rsidRDefault="00DC6779" w:rsidP="003807F3">
            <w:pPr>
              <w:jc w:val="center"/>
              <w:rPr>
                <w:b/>
                <w:bCs/>
                <w:color w:val="000000"/>
                <w:sz w:val="20"/>
                <w:szCs w:val="20"/>
              </w:rPr>
            </w:pPr>
            <w:r>
              <w:rPr>
                <w:b/>
                <w:color w:val="000000"/>
                <w:sz w:val="20"/>
              </w:rPr>
              <w:t>Code</w:t>
            </w:r>
          </w:p>
        </w:tc>
        <w:tc>
          <w:tcPr>
            <w:tcW w:w="4961"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45EFF85" w14:textId="77777777" w:rsidR="00DC6779" w:rsidRPr="008223A0" w:rsidRDefault="00DC6779" w:rsidP="003807F3">
            <w:pPr>
              <w:jc w:val="center"/>
              <w:rPr>
                <w:b/>
                <w:bCs/>
                <w:color w:val="000000"/>
                <w:sz w:val="20"/>
                <w:szCs w:val="20"/>
              </w:rPr>
            </w:pPr>
            <w:r>
              <w:rPr>
                <w:b/>
                <w:color w:val="000000"/>
                <w:sz w:val="20"/>
              </w:rPr>
              <w:t>Titre du projet</w:t>
            </w:r>
          </w:p>
        </w:tc>
        <w:tc>
          <w:tcPr>
            <w:tcW w:w="99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B7D745F" w14:textId="77777777" w:rsidR="00DC6779" w:rsidRPr="008223A0" w:rsidRDefault="00DC6779" w:rsidP="003807F3">
            <w:pPr>
              <w:jc w:val="center"/>
              <w:rPr>
                <w:b/>
                <w:bCs/>
                <w:color w:val="000000"/>
                <w:sz w:val="20"/>
                <w:szCs w:val="20"/>
              </w:rPr>
            </w:pPr>
            <w:r>
              <w:rPr>
                <w:b/>
                <w:color w:val="000000"/>
                <w:sz w:val="20"/>
              </w:rPr>
              <w:t>Agence</w:t>
            </w:r>
          </w:p>
        </w:tc>
      </w:tr>
      <w:tr w:rsidR="00DC6779" w:rsidRPr="008223A0" w14:paraId="1F29BC0B" w14:textId="77777777" w:rsidTr="003807F3">
        <w:trPr>
          <w:trHeight w:val="41"/>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A1717D4" w14:textId="77777777" w:rsidR="00DC6779" w:rsidRPr="008223A0" w:rsidRDefault="00DC6779" w:rsidP="003807F3">
            <w:pPr>
              <w:jc w:val="left"/>
              <w:rPr>
                <w:color w:val="000000"/>
                <w:sz w:val="20"/>
                <w:szCs w:val="20"/>
              </w:rPr>
            </w:pPr>
            <w:r>
              <w:rPr>
                <w:color w:val="000000"/>
                <w:sz w:val="20"/>
              </w:rPr>
              <w:t>Burundi</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62FA1C52" w14:textId="77777777" w:rsidR="00DC6779" w:rsidRPr="008223A0" w:rsidRDefault="00DC6779" w:rsidP="003807F3">
            <w:pPr>
              <w:jc w:val="left"/>
              <w:rPr>
                <w:color w:val="000000"/>
                <w:sz w:val="20"/>
                <w:szCs w:val="20"/>
              </w:rPr>
            </w:pPr>
            <w:r>
              <w:rPr>
                <w:color w:val="000000"/>
                <w:sz w:val="20"/>
              </w:rPr>
              <w:t>CBI/PHA/88/TAS/28</w:t>
            </w:r>
          </w:p>
        </w:tc>
        <w:tc>
          <w:tcPr>
            <w:tcW w:w="4961" w:type="dxa"/>
            <w:tcBorders>
              <w:top w:val="nil"/>
              <w:left w:val="nil"/>
              <w:bottom w:val="single" w:sz="4" w:space="0" w:color="auto"/>
              <w:right w:val="single" w:sz="4" w:space="0" w:color="auto"/>
            </w:tcBorders>
            <w:shd w:val="clear" w:color="auto" w:fill="auto"/>
            <w:noWrap/>
            <w:tcMar>
              <w:left w:w="57" w:type="dxa"/>
              <w:right w:w="57" w:type="dxa"/>
            </w:tcMar>
            <w:hideMark/>
          </w:tcPr>
          <w:p w14:paraId="301D5CD1" w14:textId="77777777" w:rsidR="00DC6779" w:rsidRPr="008223A0" w:rsidRDefault="00DC6779" w:rsidP="003807F3">
            <w:pPr>
              <w:jc w:val="left"/>
              <w:rPr>
                <w:color w:val="000000"/>
                <w:sz w:val="20"/>
                <w:szCs w:val="20"/>
              </w:rPr>
            </w:pPr>
            <w:r>
              <w:rPr>
                <w:color w:val="000000"/>
                <w:sz w:val="20"/>
              </w:rPr>
              <w:t>Plan de gestion de l’élimination des HCFC (phase II, première tranche)</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717E8E65" w14:textId="77777777" w:rsidR="00DC6779" w:rsidRPr="008223A0" w:rsidRDefault="00DC6779" w:rsidP="003807F3">
            <w:pPr>
              <w:jc w:val="center"/>
              <w:rPr>
                <w:color w:val="000000"/>
                <w:sz w:val="20"/>
                <w:szCs w:val="20"/>
              </w:rPr>
            </w:pPr>
            <w:r>
              <w:rPr>
                <w:color w:val="000000"/>
                <w:sz w:val="20"/>
              </w:rPr>
              <w:t>PNUE</w:t>
            </w:r>
          </w:p>
        </w:tc>
      </w:tr>
      <w:tr w:rsidR="00DC6779" w:rsidRPr="008223A0" w14:paraId="12D21E73" w14:textId="77777777" w:rsidTr="003807F3">
        <w:trPr>
          <w:trHeight w:val="258"/>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F1FB582" w14:textId="77777777" w:rsidR="00DC6779" w:rsidRPr="008223A0" w:rsidRDefault="00DC6779" w:rsidP="003807F3">
            <w:pPr>
              <w:jc w:val="left"/>
              <w:rPr>
                <w:color w:val="000000"/>
                <w:sz w:val="20"/>
                <w:szCs w:val="20"/>
              </w:rPr>
            </w:pPr>
            <w:r>
              <w:rPr>
                <w:color w:val="000000"/>
                <w:sz w:val="20"/>
              </w:rPr>
              <w:t>Saint-Vincent-et-les-Grenadines</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1E8308F5" w14:textId="77777777" w:rsidR="00DC6779" w:rsidRPr="008223A0" w:rsidRDefault="00DC6779" w:rsidP="003807F3">
            <w:pPr>
              <w:jc w:val="left"/>
              <w:rPr>
                <w:color w:val="000000"/>
                <w:sz w:val="20"/>
                <w:szCs w:val="20"/>
              </w:rPr>
            </w:pPr>
            <w:r>
              <w:rPr>
                <w:color w:val="000000"/>
                <w:sz w:val="20"/>
              </w:rPr>
              <w:t>STV/PHA/86/TAS/26</w:t>
            </w:r>
          </w:p>
        </w:tc>
        <w:tc>
          <w:tcPr>
            <w:tcW w:w="4961" w:type="dxa"/>
            <w:tcBorders>
              <w:top w:val="nil"/>
              <w:left w:val="nil"/>
              <w:bottom w:val="single" w:sz="4" w:space="0" w:color="auto"/>
              <w:right w:val="single" w:sz="4" w:space="0" w:color="auto"/>
            </w:tcBorders>
            <w:shd w:val="clear" w:color="auto" w:fill="auto"/>
            <w:noWrap/>
            <w:tcMar>
              <w:left w:w="57" w:type="dxa"/>
              <w:right w:w="57" w:type="dxa"/>
            </w:tcMar>
            <w:hideMark/>
          </w:tcPr>
          <w:p w14:paraId="23FB527B" w14:textId="77777777" w:rsidR="00DC6779" w:rsidRPr="008223A0" w:rsidRDefault="00DC6779" w:rsidP="003807F3">
            <w:pPr>
              <w:jc w:val="left"/>
              <w:rPr>
                <w:color w:val="000000"/>
                <w:sz w:val="20"/>
                <w:szCs w:val="20"/>
              </w:rPr>
            </w:pPr>
            <w:r>
              <w:rPr>
                <w:color w:val="000000"/>
                <w:sz w:val="20"/>
              </w:rPr>
              <w:t>Plan de gestion de l’élimination des HCFC (phase I, troisième tranche)</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7B980A5A" w14:textId="77777777" w:rsidR="00DC6779" w:rsidRPr="008223A0" w:rsidRDefault="00DC6779" w:rsidP="003807F3">
            <w:pPr>
              <w:jc w:val="center"/>
              <w:rPr>
                <w:color w:val="000000"/>
                <w:sz w:val="20"/>
                <w:szCs w:val="20"/>
              </w:rPr>
            </w:pPr>
            <w:r>
              <w:rPr>
                <w:color w:val="000000"/>
                <w:sz w:val="20"/>
              </w:rPr>
              <w:t>PNUE</w:t>
            </w:r>
          </w:p>
        </w:tc>
      </w:tr>
      <w:tr w:rsidR="00DC6779" w:rsidRPr="008223A0" w14:paraId="5322BE04" w14:textId="77777777" w:rsidTr="003807F3">
        <w:trPr>
          <w:trHeight w:val="312"/>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1E6F014" w14:textId="77777777" w:rsidR="00DC6779" w:rsidRPr="008223A0" w:rsidRDefault="00DC6779" w:rsidP="003807F3">
            <w:pPr>
              <w:jc w:val="left"/>
              <w:rPr>
                <w:color w:val="000000"/>
                <w:sz w:val="20"/>
                <w:szCs w:val="20"/>
              </w:rPr>
            </w:pPr>
            <w:r>
              <w:rPr>
                <w:color w:val="000000"/>
                <w:sz w:val="20"/>
              </w:rPr>
              <w:t>Zimbabwe</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339501FD" w14:textId="77777777" w:rsidR="00DC6779" w:rsidRPr="008223A0" w:rsidRDefault="00DC6779" w:rsidP="003807F3">
            <w:pPr>
              <w:jc w:val="left"/>
              <w:rPr>
                <w:color w:val="000000"/>
                <w:sz w:val="20"/>
                <w:szCs w:val="20"/>
              </w:rPr>
            </w:pPr>
            <w:r>
              <w:rPr>
                <w:color w:val="000000"/>
                <w:sz w:val="20"/>
              </w:rPr>
              <w:t>ZIM/REF/82/INV/55</w:t>
            </w:r>
          </w:p>
        </w:tc>
        <w:tc>
          <w:tcPr>
            <w:tcW w:w="4961" w:type="dxa"/>
            <w:tcBorders>
              <w:top w:val="nil"/>
              <w:left w:val="nil"/>
              <w:bottom w:val="single" w:sz="4" w:space="0" w:color="auto"/>
              <w:right w:val="single" w:sz="4" w:space="0" w:color="auto"/>
            </w:tcBorders>
            <w:shd w:val="clear" w:color="auto" w:fill="auto"/>
            <w:noWrap/>
            <w:tcMar>
              <w:left w:w="57" w:type="dxa"/>
              <w:right w:w="57" w:type="dxa"/>
            </w:tcMar>
            <w:hideMark/>
          </w:tcPr>
          <w:p w14:paraId="767A0EC3" w14:textId="77777777" w:rsidR="00DC6779" w:rsidRPr="008223A0" w:rsidRDefault="00DC6779" w:rsidP="003807F3">
            <w:pPr>
              <w:jc w:val="left"/>
              <w:rPr>
                <w:color w:val="000000"/>
                <w:sz w:val="20"/>
                <w:szCs w:val="20"/>
              </w:rPr>
            </w:pPr>
            <w:r>
              <w:rPr>
                <w:color w:val="000000"/>
                <w:sz w:val="20"/>
              </w:rPr>
              <w:t>Reconversion du HFC-134a à l’isobutane dans la production de réfrigérateurs ménagers chez Capri (SME Harare)</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43955676" w14:textId="77777777" w:rsidR="00DC6779" w:rsidRPr="008223A0" w:rsidRDefault="00DC6779" w:rsidP="003807F3">
            <w:pPr>
              <w:jc w:val="center"/>
              <w:rPr>
                <w:color w:val="000000"/>
                <w:sz w:val="20"/>
                <w:szCs w:val="20"/>
              </w:rPr>
            </w:pPr>
            <w:r>
              <w:rPr>
                <w:color w:val="000000"/>
                <w:sz w:val="20"/>
              </w:rPr>
              <w:t>PNUD</w:t>
            </w:r>
          </w:p>
        </w:tc>
      </w:tr>
      <w:tr w:rsidR="00DC6779" w:rsidRPr="008223A0" w14:paraId="0270EF52" w14:textId="77777777" w:rsidTr="003807F3">
        <w:trPr>
          <w:trHeight w:val="263"/>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6E06E6D" w14:textId="77777777" w:rsidR="00DC6779" w:rsidRPr="008223A0" w:rsidRDefault="00DC6779" w:rsidP="003807F3">
            <w:pPr>
              <w:jc w:val="left"/>
              <w:rPr>
                <w:color w:val="000000"/>
                <w:sz w:val="20"/>
                <w:szCs w:val="20"/>
              </w:rPr>
            </w:pPr>
            <w:r>
              <w:rPr>
                <w:color w:val="000000"/>
                <w:sz w:val="20"/>
              </w:rPr>
              <w:t>Zimbabwe</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1AF936AC" w14:textId="77777777" w:rsidR="00DC6779" w:rsidRPr="008223A0" w:rsidRDefault="00DC6779" w:rsidP="003807F3">
            <w:pPr>
              <w:jc w:val="left"/>
              <w:rPr>
                <w:color w:val="000000"/>
                <w:sz w:val="20"/>
                <w:szCs w:val="20"/>
              </w:rPr>
            </w:pPr>
            <w:r>
              <w:rPr>
                <w:color w:val="000000"/>
                <w:sz w:val="20"/>
              </w:rPr>
              <w:t>ZIM/REF/82/INV/56</w:t>
            </w:r>
          </w:p>
        </w:tc>
        <w:tc>
          <w:tcPr>
            <w:tcW w:w="4961" w:type="dxa"/>
            <w:tcBorders>
              <w:top w:val="nil"/>
              <w:left w:val="nil"/>
              <w:bottom w:val="single" w:sz="4" w:space="0" w:color="auto"/>
              <w:right w:val="single" w:sz="4" w:space="0" w:color="auto"/>
            </w:tcBorders>
            <w:shd w:val="clear" w:color="auto" w:fill="auto"/>
            <w:noWrap/>
            <w:tcMar>
              <w:left w:w="57" w:type="dxa"/>
              <w:right w:w="57" w:type="dxa"/>
            </w:tcMar>
            <w:hideMark/>
          </w:tcPr>
          <w:p w14:paraId="65B32DB0" w14:textId="77777777" w:rsidR="00DC6779" w:rsidRPr="008223A0" w:rsidRDefault="00DC6779" w:rsidP="003807F3">
            <w:pPr>
              <w:jc w:val="left"/>
              <w:rPr>
                <w:color w:val="000000"/>
                <w:sz w:val="20"/>
                <w:szCs w:val="20"/>
              </w:rPr>
            </w:pPr>
            <w:r>
              <w:rPr>
                <w:color w:val="000000"/>
                <w:sz w:val="20"/>
              </w:rPr>
              <w:t>Reconversion du HFC-134a à l’isobutane dans la production de réfrigérateurs ménagers chez Capri (SME Harare)</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25ECA489" w14:textId="77777777" w:rsidR="00DC6779" w:rsidRPr="008223A0" w:rsidRDefault="00DC6779" w:rsidP="003807F3">
            <w:pPr>
              <w:jc w:val="center"/>
              <w:rPr>
                <w:color w:val="000000"/>
                <w:sz w:val="20"/>
                <w:szCs w:val="20"/>
              </w:rPr>
            </w:pPr>
            <w:r>
              <w:rPr>
                <w:color w:val="000000"/>
                <w:sz w:val="20"/>
              </w:rPr>
              <w:t>France</w:t>
            </w:r>
          </w:p>
        </w:tc>
      </w:tr>
    </w:tbl>
    <w:p w14:paraId="4199BE35" w14:textId="77777777" w:rsidR="00DC6779" w:rsidRPr="008223A0" w:rsidRDefault="00DC6779" w:rsidP="00BD6205">
      <w:pPr>
        <w:pStyle w:val="StyleHeader4Para4Left0Firstline0"/>
        <w:numPr>
          <w:ilvl w:val="0"/>
          <w:numId w:val="0"/>
        </w:numPr>
        <w:jc w:val="center"/>
        <w:rPr>
          <w:b/>
          <w:caps/>
          <w:sz w:val="22"/>
        </w:rPr>
      </w:pPr>
    </w:p>
    <w:p w14:paraId="0CEC3AEF" w14:textId="77777777" w:rsidR="00AD271C" w:rsidRDefault="00AD271C" w:rsidP="00DC6779">
      <w:pPr>
        <w:pStyle w:val="StyleHeader4Para4Left0Firstline0"/>
        <w:numPr>
          <w:ilvl w:val="0"/>
          <w:numId w:val="0"/>
        </w:numPr>
        <w:jc w:val="center"/>
        <w:rPr>
          <w:b/>
          <w:caps/>
          <w:sz w:val="22"/>
        </w:rPr>
        <w:sectPr w:rsidR="00AD271C" w:rsidSect="00861189">
          <w:headerReference w:type="even" r:id="rId19"/>
          <w:headerReference w:type="default" r:id="rId20"/>
          <w:footerReference w:type="even" r:id="rId21"/>
          <w:pgSz w:w="12240" w:h="15840" w:code="1"/>
          <w:pgMar w:top="720" w:right="1440" w:bottom="864" w:left="1440" w:header="720" w:footer="475" w:gutter="0"/>
          <w:pgNumType w:start="1"/>
          <w:cols w:space="720"/>
          <w:docGrid w:linePitch="299"/>
        </w:sectPr>
      </w:pPr>
    </w:p>
    <w:p w14:paraId="0A8E1F40" w14:textId="77777777" w:rsidR="00AE3453" w:rsidRPr="008223A0" w:rsidRDefault="00AE3453" w:rsidP="00AE3453">
      <w:pPr>
        <w:jc w:val="center"/>
        <w:rPr>
          <w:b/>
        </w:rPr>
      </w:pPr>
      <w:r>
        <w:rPr>
          <w:b/>
        </w:rPr>
        <w:lastRenderedPageBreak/>
        <w:t>Annexe II</w:t>
      </w:r>
    </w:p>
    <w:p w14:paraId="09518EDA" w14:textId="77777777" w:rsidR="00AE3453" w:rsidRPr="008223A0" w:rsidRDefault="00AE3453" w:rsidP="00AE3453">
      <w:pPr>
        <w:jc w:val="center"/>
        <w:rPr>
          <w:b/>
        </w:rPr>
      </w:pPr>
    </w:p>
    <w:p w14:paraId="18E2084E" w14:textId="77777777" w:rsidR="00AE3453" w:rsidRPr="008223A0" w:rsidRDefault="00AE3453" w:rsidP="00AE3453">
      <w:pPr>
        <w:pStyle w:val="StyleHeader4Para4Left0Firstline0"/>
        <w:numPr>
          <w:ilvl w:val="0"/>
          <w:numId w:val="0"/>
        </w:numPr>
        <w:jc w:val="center"/>
        <w:rPr>
          <w:b/>
          <w:caps/>
          <w:sz w:val="22"/>
        </w:rPr>
      </w:pPr>
      <w:r>
        <w:rPr>
          <w:b/>
          <w:caps/>
          <w:sz w:val="22"/>
        </w:rPr>
        <w:t>PROJETS DANS LESQUELS « AUCUNE AVANCÉE » N’A ÉTÉ ACCOMPLIE et pour lesquels le maintien du suivi est recommandé</w:t>
      </w:r>
    </w:p>
    <w:tbl>
      <w:tblPr>
        <w:tblW w:w="9640" w:type="dxa"/>
        <w:tblInd w:w="-147" w:type="dxa"/>
        <w:tblLook w:val="04A0" w:firstRow="1" w:lastRow="0" w:firstColumn="1" w:lastColumn="0" w:noHBand="0" w:noVBand="1"/>
      </w:tblPr>
      <w:tblGrid>
        <w:gridCol w:w="1843"/>
        <w:gridCol w:w="2046"/>
        <w:gridCol w:w="4819"/>
        <w:gridCol w:w="932"/>
      </w:tblGrid>
      <w:tr w:rsidR="00AE3453" w:rsidRPr="008223A0" w14:paraId="67D0018A" w14:textId="77777777" w:rsidTr="003807F3">
        <w:trPr>
          <w:trHeight w:val="111"/>
        </w:trPr>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2655A46" w14:textId="77777777" w:rsidR="00AE3453" w:rsidRPr="008223A0" w:rsidRDefault="00AE3453" w:rsidP="003807F3">
            <w:pPr>
              <w:jc w:val="center"/>
              <w:rPr>
                <w:b/>
                <w:bCs/>
                <w:color w:val="000000"/>
                <w:sz w:val="20"/>
                <w:szCs w:val="20"/>
              </w:rPr>
            </w:pPr>
            <w:r>
              <w:rPr>
                <w:b/>
                <w:color w:val="000000"/>
                <w:sz w:val="20"/>
              </w:rPr>
              <w:t>Pays</w:t>
            </w:r>
          </w:p>
        </w:tc>
        <w:tc>
          <w:tcPr>
            <w:tcW w:w="204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5450346" w14:textId="77777777" w:rsidR="00AE3453" w:rsidRPr="008223A0" w:rsidRDefault="00AE3453" w:rsidP="003807F3">
            <w:pPr>
              <w:jc w:val="center"/>
              <w:rPr>
                <w:b/>
                <w:bCs/>
                <w:color w:val="000000"/>
                <w:sz w:val="20"/>
                <w:szCs w:val="20"/>
              </w:rPr>
            </w:pPr>
            <w:r>
              <w:rPr>
                <w:b/>
                <w:color w:val="000000"/>
                <w:sz w:val="20"/>
              </w:rPr>
              <w:t>Code</w:t>
            </w:r>
          </w:p>
        </w:tc>
        <w:tc>
          <w:tcPr>
            <w:tcW w:w="481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39B7815" w14:textId="77777777" w:rsidR="00AE3453" w:rsidRPr="008223A0" w:rsidRDefault="00AE3453" w:rsidP="003807F3">
            <w:pPr>
              <w:jc w:val="center"/>
              <w:rPr>
                <w:b/>
                <w:bCs/>
                <w:color w:val="000000"/>
                <w:sz w:val="20"/>
                <w:szCs w:val="20"/>
              </w:rPr>
            </w:pPr>
            <w:r>
              <w:rPr>
                <w:b/>
                <w:color w:val="000000"/>
                <w:sz w:val="20"/>
              </w:rPr>
              <w:t>Titre du projet</w:t>
            </w:r>
          </w:p>
        </w:tc>
        <w:tc>
          <w:tcPr>
            <w:tcW w:w="93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E5AADF3" w14:textId="77777777" w:rsidR="00AE3453" w:rsidRPr="008223A0" w:rsidRDefault="00AE3453" w:rsidP="003807F3">
            <w:pPr>
              <w:jc w:val="center"/>
              <w:rPr>
                <w:b/>
                <w:bCs/>
                <w:color w:val="000000"/>
                <w:sz w:val="20"/>
                <w:szCs w:val="20"/>
              </w:rPr>
            </w:pPr>
            <w:r>
              <w:rPr>
                <w:b/>
                <w:color w:val="000000"/>
                <w:sz w:val="20"/>
              </w:rPr>
              <w:t>Agence</w:t>
            </w:r>
          </w:p>
        </w:tc>
      </w:tr>
      <w:tr w:rsidR="00AE3453" w:rsidRPr="008223A0" w14:paraId="23CCC436" w14:textId="77777777" w:rsidTr="003807F3">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1D8092A" w14:textId="77777777" w:rsidR="00AE3453" w:rsidRPr="008223A0" w:rsidRDefault="00AE3453" w:rsidP="003807F3">
            <w:pPr>
              <w:jc w:val="left"/>
              <w:rPr>
                <w:color w:val="000000"/>
                <w:sz w:val="20"/>
                <w:szCs w:val="20"/>
              </w:rPr>
            </w:pPr>
            <w:r>
              <w:rPr>
                <w:color w:val="000000"/>
                <w:sz w:val="20"/>
              </w:rPr>
              <w:t>Afghanistan</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47E457AA" w14:textId="77777777" w:rsidR="00AE3453" w:rsidRPr="008223A0" w:rsidRDefault="00AE3453" w:rsidP="003807F3">
            <w:pPr>
              <w:jc w:val="left"/>
              <w:rPr>
                <w:color w:val="000000"/>
                <w:sz w:val="20"/>
                <w:szCs w:val="20"/>
              </w:rPr>
            </w:pPr>
            <w:r>
              <w:rPr>
                <w:color w:val="000000"/>
                <w:sz w:val="20"/>
              </w:rPr>
              <w:t>AFG/PHA/79/INV/22</w:t>
            </w:r>
          </w:p>
        </w:tc>
        <w:tc>
          <w:tcPr>
            <w:tcW w:w="4819" w:type="dxa"/>
            <w:tcBorders>
              <w:top w:val="nil"/>
              <w:left w:val="nil"/>
              <w:bottom w:val="single" w:sz="4" w:space="0" w:color="auto"/>
              <w:right w:val="single" w:sz="4" w:space="0" w:color="auto"/>
            </w:tcBorders>
            <w:shd w:val="clear" w:color="auto" w:fill="auto"/>
            <w:noWrap/>
            <w:tcMar>
              <w:left w:w="57" w:type="dxa"/>
              <w:right w:w="57" w:type="dxa"/>
            </w:tcMar>
            <w:hideMark/>
          </w:tcPr>
          <w:p w14:paraId="1E03F292" w14:textId="77777777" w:rsidR="00AE3453" w:rsidRPr="008223A0" w:rsidRDefault="00AE3453" w:rsidP="003807F3">
            <w:pPr>
              <w:jc w:val="left"/>
              <w:rPr>
                <w:color w:val="000000"/>
                <w:sz w:val="20"/>
                <w:szCs w:val="20"/>
              </w:rPr>
            </w:pPr>
            <w:r>
              <w:rPr>
                <w:color w:val="000000"/>
                <w:sz w:val="20"/>
              </w:rPr>
              <w:t>Plan de gestion de l’élimination des HCFC (phase I, troisième tranche)</w:t>
            </w:r>
          </w:p>
        </w:tc>
        <w:tc>
          <w:tcPr>
            <w:tcW w:w="932" w:type="dxa"/>
            <w:tcBorders>
              <w:top w:val="nil"/>
              <w:left w:val="nil"/>
              <w:bottom w:val="single" w:sz="4" w:space="0" w:color="auto"/>
              <w:right w:val="single" w:sz="4" w:space="0" w:color="auto"/>
            </w:tcBorders>
            <w:shd w:val="clear" w:color="auto" w:fill="auto"/>
            <w:noWrap/>
            <w:tcMar>
              <w:left w:w="57" w:type="dxa"/>
              <w:right w:w="57" w:type="dxa"/>
            </w:tcMar>
            <w:hideMark/>
          </w:tcPr>
          <w:p w14:paraId="187D8E67" w14:textId="77777777" w:rsidR="00AE3453" w:rsidRPr="008223A0" w:rsidRDefault="00AE3453" w:rsidP="003807F3">
            <w:pPr>
              <w:jc w:val="center"/>
              <w:rPr>
                <w:color w:val="000000"/>
                <w:sz w:val="20"/>
                <w:szCs w:val="20"/>
              </w:rPr>
            </w:pPr>
            <w:r>
              <w:rPr>
                <w:color w:val="000000"/>
                <w:sz w:val="20"/>
              </w:rPr>
              <w:t>ONUDI</w:t>
            </w:r>
          </w:p>
        </w:tc>
      </w:tr>
      <w:tr w:rsidR="00AE3453" w:rsidRPr="008223A0" w14:paraId="605C0007" w14:textId="77777777" w:rsidTr="003807F3">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1900757" w14:textId="77777777" w:rsidR="00AE3453" w:rsidRPr="008223A0" w:rsidRDefault="00AE3453" w:rsidP="003807F3">
            <w:pPr>
              <w:jc w:val="left"/>
              <w:rPr>
                <w:color w:val="000000"/>
                <w:sz w:val="20"/>
                <w:szCs w:val="20"/>
              </w:rPr>
            </w:pPr>
            <w:r>
              <w:rPr>
                <w:color w:val="000000"/>
                <w:sz w:val="20"/>
              </w:rPr>
              <w:t>Afghanistan</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0D763F2B" w14:textId="77777777" w:rsidR="00AE3453" w:rsidRPr="008223A0" w:rsidRDefault="00AE3453" w:rsidP="003807F3">
            <w:pPr>
              <w:jc w:val="left"/>
              <w:rPr>
                <w:color w:val="000000"/>
                <w:sz w:val="20"/>
                <w:szCs w:val="20"/>
              </w:rPr>
            </w:pPr>
            <w:r>
              <w:rPr>
                <w:color w:val="000000"/>
                <w:sz w:val="20"/>
              </w:rPr>
              <w:t>AFG/PHA/85/INV/28</w:t>
            </w:r>
          </w:p>
        </w:tc>
        <w:tc>
          <w:tcPr>
            <w:tcW w:w="4819" w:type="dxa"/>
            <w:tcBorders>
              <w:top w:val="nil"/>
              <w:left w:val="nil"/>
              <w:bottom w:val="single" w:sz="4" w:space="0" w:color="auto"/>
              <w:right w:val="single" w:sz="4" w:space="0" w:color="auto"/>
            </w:tcBorders>
            <w:shd w:val="clear" w:color="auto" w:fill="auto"/>
            <w:noWrap/>
            <w:tcMar>
              <w:left w:w="57" w:type="dxa"/>
              <w:right w:w="57" w:type="dxa"/>
            </w:tcMar>
            <w:hideMark/>
          </w:tcPr>
          <w:p w14:paraId="0C620EB2" w14:textId="77777777" w:rsidR="00AE3453" w:rsidRPr="008223A0" w:rsidRDefault="00AE3453" w:rsidP="003807F3">
            <w:pPr>
              <w:jc w:val="left"/>
              <w:rPr>
                <w:color w:val="000000"/>
                <w:sz w:val="20"/>
                <w:szCs w:val="20"/>
              </w:rPr>
            </w:pPr>
            <w:r>
              <w:rPr>
                <w:color w:val="000000"/>
                <w:sz w:val="20"/>
              </w:rPr>
              <w:t>Plan de gestion de l’élimination des HCFC (phase I, quatrième tranche)</w:t>
            </w:r>
          </w:p>
        </w:tc>
        <w:tc>
          <w:tcPr>
            <w:tcW w:w="932" w:type="dxa"/>
            <w:tcBorders>
              <w:top w:val="nil"/>
              <w:left w:val="nil"/>
              <w:bottom w:val="single" w:sz="4" w:space="0" w:color="auto"/>
              <w:right w:val="single" w:sz="4" w:space="0" w:color="auto"/>
            </w:tcBorders>
            <w:shd w:val="clear" w:color="auto" w:fill="auto"/>
            <w:noWrap/>
            <w:tcMar>
              <w:left w:w="57" w:type="dxa"/>
              <w:right w:w="57" w:type="dxa"/>
            </w:tcMar>
            <w:hideMark/>
          </w:tcPr>
          <w:p w14:paraId="28DA78E0" w14:textId="77777777" w:rsidR="00AE3453" w:rsidRPr="008223A0" w:rsidRDefault="00AE3453" w:rsidP="003807F3">
            <w:pPr>
              <w:jc w:val="center"/>
              <w:rPr>
                <w:color w:val="000000"/>
                <w:sz w:val="20"/>
                <w:szCs w:val="20"/>
              </w:rPr>
            </w:pPr>
            <w:r>
              <w:rPr>
                <w:color w:val="000000"/>
                <w:sz w:val="20"/>
              </w:rPr>
              <w:t>ONUDI</w:t>
            </w:r>
          </w:p>
        </w:tc>
      </w:tr>
      <w:tr w:rsidR="00AE3453" w:rsidRPr="008223A0" w14:paraId="04A90F4D" w14:textId="77777777" w:rsidTr="003807F3">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479FC26" w14:textId="77777777" w:rsidR="00AE3453" w:rsidRPr="008223A0" w:rsidRDefault="00AE3453" w:rsidP="003807F3">
            <w:pPr>
              <w:jc w:val="left"/>
              <w:rPr>
                <w:color w:val="000000"/>
                <w:sz w:val="20"/>
                <w:szCs w:val="20"/>
              </w:rPr>
            </w:pPr>
            <w:r>
              <w:rPr>
                <w:color w:val="000000"/>
                <w:sz w:val="20"/>
              </w:rPr>
              <w:t>Afghanistan</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16CB19AB" w14:textId="77777777" w:rsidR="00AE3453" w:rsidRPr="008223A0" w:rsidRDefault="00AE3453" w:rsidP="003807F3">
            <w:pPr>
              <w:jc w:val="left"/>
              <w:rPr>
                <w:color w:val="000000"/>
                <w:sz w:val="20"/>
                <w:szCs w:val="20"/>
              </w:rPr>
            </w:pPr>
            <w:r>
              <w:rPr>
                <w:color w:val="000000"/>
                <w:sz w:val="20"/>
              </w:rPr>
              <w:t>AFG/PHA/85/INV/30</w:t>
            </w:r>
          </w:p>
        </w:tc>
        <w:tc>
          <w:tcPr>
            <w:tcW w:w="4819" w:type="dxa"/>
            <w:tcBorders>
              <w:top w:val="nil"/>
              <w:left w:val="nil"/>
              <w:bottom w:val="single" w:sz="4" w:space="0" w:color="auto"/>
              <w:right w:val="single" w:sz="4" w:space="0" w:color="auto"/>
            </w:tcBorders>
            <w:shd w:val="clear" w:color="auto" w:fill="auto"/>
            <w:noWrap/>
            <w:tcMar>
              <w:left w:w="57" w:type="dxa"/>
              <w:right w:w="57" w:type="dxa"/>
            </w:tcMar>
            <w:hideMark/>
          </w:tcPr>
          <w:p w14:paraId="08A48320" w14:textId="77777777" w:rsidR="00AE3453" w:rsidRPr="008223A0" w:rsidRDefault="00AE3453" w:rsidP="003807F3">
            <w:pPr>
              <w:jc w:val="left"/>
              <w:rPr>
                <w:color w:val="000000"/>
                <w:sz w:val="20"/>
                <w:szCs w:val="20"/>
              </w:rPr>
            </w:pPr>
            <w:r>
              <w:rPr>
                <w:color w:val="000000"/>
                <w:sz w:val="20"/>
              </w:rPr>
              <w:t>Plan de gestion de l’élimination des HCFC (phase II, première tranche)</w:t>
            </w:r>
          </w:p>
        </w:tc>
        <w:tc>
          <w:tcPr>
            <w:tcW w:w="932" w:type="dxa"/>
            <w:tcBorders>
              <w:top w:val="nil"/>
              <w:left w:val="nil"/>
              <w:bottom w:val="single" w:sz="4" w:space="0" w:color="auto"/>
              <w:right w:val="single" w:sz="4" w:space="0" w:color="auto"/>
            </w:tcBorders>
            <w:shd w:val="clear" w:color="auto" w:fill="auto"/>
            <w:noWrap/>
            <w:tcMar>
              <w:left w:w="57" w:type="dxa"/>
              <w:right w:w="57" w:type="dxa"/>
            </w:tcMar>
            <w:hideMark/>
          </w:tcPr>
          <w:p w14:paraId="2A471979" w14:textId="77777777" w:rsidR="00AE3453" w:rsidRPr="008223A0" w:rsidRDefault="00AE3453" w:rsidP="003807F3">
            <w:pPr>
              <w:jc w:val="center"/>
              <w:rPr>
                <w:color w:val="000000"/>
                <w:sz w:val="20"/>
                <w:szCs w:val="20"/>
              </w:rPr>
            </w:pPr>
            <w:r>
              <w:rPr>
                <w:color w:val="000000"/>
                <w:sz w:val="20"/>
              </w:rPr>
              <w:t>ONUDI</w:t>
            </w:r>
          </w:p>
        </w:tc>
      </w:tr>
      <w:tr w:rsidR="00AE3453" w:rsidRPr="008223A0" w14:paraId="64E117BC" w14:textId="77777777" w:rsidTr="003807F3">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4BCB65E" w14:textId="77777777" w:rsidR="00AE3453" w:rsidRPr="008223A0" w:rsidRDefault="00AE3453" w:rsidP="003807F3">
            <w:pPr>
              <w:jc w:val="left"/>
              <w:rPr>
                <w:color w:val="000000"/>
                <w:sz w:val="20"/>
                <w:szCs w:val="20"/>
              </w:rPr>
            </w:pPr>
            <w:r>
              <w:rPr>
                <w:color w:val="000000"/>
                <w:sz w:val="20"/>
              </w:rPr>
              <w:t>République démocratique du Congo</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36AD133C" w14:textId="77777777" w:rsidR="00AE3453" w:rsidRPr="008223A0" w:rsidRDefault="00AE3453" w:rsidP="003807F3">
            <w:pPr>
              <w:jc w:val="left"/>
              <w:rPr>
                <w:color w:val="000000"/>
                <w:sz w:val="20"/>
                <w:szCs w:val="20"/>
              </w:rPr>
            </w:pPr>
            <w:r>
              <w:rPr>
                <w:color w:val="000000"/>
                <w:sz w:val="20"/>
              </w:rPr>
              <w:t>DRC/PHA/88/INV/49</w:t>
            </w:r>
          </w:p>
        </w:tc>
        <w:tc>
          <w:tcPr>
            <w:tcW w:w="4819" w:type="dxa"/>
            <w:tcBorders>
              <w:top w:val="nil"/>
              <w:left w:val="nil"/>
              <w:bottom w:val="single" w:sz="4" w:space="0" w:color="auto"/>
              <w:right w:val="single" w:sz="4" w:space="0" w:color="auto"/>
            </w:tcBorders>
            <w:shd w:val="clear" w:color="auto" w:fill="auto"/>
            <w:noWrap/>
            <w:tcMar>
              <w:left w:w="57" w:type="dxa"/>
              <w:right w:w="57" w:type="dxa"/>
            </w:tcMar>
            <w:hideMark/>
          </w:tcPr>
          <w:p w14:paraId="28C7AB88" w14:textId="77777777" w:rsidR="00AE3453" w:rsidRPr="008223A0" w:rsidRDefault="00AE3453" w:rsidP="003807F3">
            <w:pPr>
              <w:jc w:val="left"/>
              <w:rPr>
                <w:color w:val="000000"/>
                <w:sz w:val="20"/>
                <w:szCs w:val="20"/>
              </w:rPr>
            </w:pPr>
            <w:r>
              <w:rPr>
                <w:color w:val="000000"/>
                <w:sz w:val="20"/>
              </w:rPr>
              <w:t>Plan de gestion de l’élimination des HCFC (phase II, première tranche)</w:t>
            </w:r>
          </w:p>
        </w:tc>
        <w:tc>
          <w:tcPr>
            <w:tcW w:w="932" w:type="dxa"/>
            <w:tcBorders>
              <w:top w:val="nil"/>
              <w:left w:val="nil"/>
              <w:bottom w:val="single" w:sz="4" w:space="0" w:color="auto"/>
              <w:right w:val="single" w:sz="4" w:space="0" w:color="auto"/>
            </w:tcBorders>
            <w:shd w:val="clear" w:color="auto" w:fill="auto"/>
            <w:noWrap/>
            <w:tcMar>
              <w:left w:w="57" w:type="dxa"/>
              <w:right w:w="57" w:type="dxa"/>
            </w:tcMar>
            <w:hideMark/>
          </w:tcPr>
          <w:p w14:paraId="0F0C45DE" w14:textId="77777777" w:rsidR="00AE3453" w:rsidRPr="008223A0" w:rsidRDefault="00AE3453" w:rsidP="003807F3">
            <w:pPr>
              <w:jc w:val="center"/>
              <w:rPr>
                <w:color w:val="000000"/>
                <w:sz w:val="20"/>
                <w:szCs w:val="20"/>
              </w:rPr>
            </w:pPr>
            <w:r>
              <w:rPr>
                <w:color w:val="000000"/>
                <w:sz w:val="20"/>
              </w:rPr>
              <w:t>PNUD</w:t>
            </w:r>
          </w:p>
        </w:tc>
      </w:tr>
    </w:tbl>
    <w:p w14:paraId="4222D18C" w14:textId="77777777" w:rsidR="00DC6779" w:rsidRPr="008223A0" w:rsidRDefault="00DC6779" w:rsidP="00DC6779">
      <w:pPr>
        <w:pStyle w:val="StyleHeader4Para4Left0Firstline0"/>
        <w:numPr>
          <w:ilvl w:val="0"/>
          <w:numId w:val="0"/>
        </w:numPr>
        <w:jc w:val="center"/>
        <w:rPr>
          <w:b/>
          <w:caps/>
          <w:sz w:val="22"/>
        </w:rPr>
      </w:pPr>
    </w:p>
    <w:p w14:paraId="5814F55A" w14:textId="77777777" w:rsidR="00AE3453" w:rsidRDefault="00AE3453" w:rsidP="004E7F9C">
      <w:pPr>
        <w:sectPr w:rsidR="00AE3453" w:rsidSect="00861189">
          <w:headerReference w:type="default" r:id="rId22"/>
          <w:pgSz w:w="12240" w:h="15840" w:code="1"/>
          <w:pgMar w:top="720" w:right="1440" w:bottom="864" w:left="1440" w:header="720" w:footer="475" w:gutter="0"/>
          <w:pgNumType w:start="1"/>
          <w:cols w:space="720"/>
          <w:docGrid w:linePitch="299"/>
        </w:sectPr>
      </w:pPr>
    </w:p>
    <w:p w14:paraId="21740D9A" w14:textId="77777777" w:rsidR="00520E98" w:rsidRPr="008223A0" w:rsidRDefault="00520E98" w:rsidP="00520E98">
      <w:pPr>
        <w:autoSpaceDE w:val="0"/>
        <w:autoSpaceDN w:val="0"/>
        <w:adjustRightInd w:val="0"/>
        <w:jc w:val="center"/>
        <w:rPr>
          <w:b/>
          <w:bCs/>
        </w:rPr>
      </w:pPr>
      <w:r>
        <w:rPr>
          <w:b/>
        </w:rPr>
        <w:lastRenderedPageBreak/>
        <w:t>Annexe III</w:t>
      </w:r>
    </w:p>
    <w:p w14:paraId="7C3A8583" w14:textId="77777777" w:rsidR="00520E98" w:rsidRPr="008223A0" w:rsidRDefault="00520E98" w:rsidP="00520E98">
      <w:pPr>
        <w:autoSpaceDE w:val="0"/>
        <w:autoSpaceDN w:val="0"/>
        <w:adjustRightInd w:val="0"/>
        <w:rPr>
          <w:b/>
          <w:bCs/>
        </w:rPr>
      </w:pPr>
    </w:p>
    <w:p w14:paraId="6C20F81C" w14:textId="77777777" w:rsidR="00520E98" w:rsidRPr="008223A0" w:rsidRDefault="00520E98" w:rsidP="00520E98">
      <w:pPr>
        <w:keepNext/>
        <w:spacing w:after="240"/>
        <w:jc w:val="center"/>
        <w:rPr>
          <w:b/>
          <w:bCs/>
        </w:rPr>
      </w:pPr>
      <w:r>
        <w:rPr>
          <w:b/>
        </w:rPr>
        <w:t>PROJETS POUR LESQUELS DES RAPPORTS DE SITUATION SUPPLÉMENTAIRES ONT ÉTÉ DEMANDÉS</w:t>
      </w:r>
    </w:p>
    <w:tbl>
      <w:tblPr>
        <w:tblW w:w="14175" w:type="dxa"/>
        <w:tblInd w:w="-5" w:type="dxa"/>
        <w:tblLook w:val="04A0" w:firstRow="1" w:lastRow="0" w:firstColumn="1" w:lastColumn="0" w:noHBand="0" w:noVBand="1"/>
      </w:tblPr>
      <w:tblGrid>
        <w:gridCol w:w="1276"/>
        <w:gridCol w:w="2351"/>
        <w:gridCol w:w="3315"/>
        <w:gridCol w:w="1430"/>
        <w:gridCol w:w="5803"/>
      </w:tblGrid>
      <w:tr w:rsidR="00520E98" w:rsidRPr="008223A0" w14:paraId="21F55638" w14:textId="77777777" w:rsidTr="003807F3">
        <w:trPr>
          <w:trHeight w:val="232"/>
        </w:trPr>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47DB3E63" w14:textId="77777777" w:rsidR="00520E98" w:rsidRPr="008223A0" w:rsidRDefault="00520E98" w:rsidP="003807F3">
            <w:pPr>
              <w:jc w:val="center"/>
              <w:rPr>
                <w:b/>
                <w:bCs/>
                <w:color w:val="000000"/>
                <w:sz w:val="20"/>
                <w:szCs w:val="20"/>
              </w:rPr>
            </w:pPr>
            <w:r>
              <w:rPr>
                <w:b/>
                <w:color w:val="000000"/>
                <w:sz w:val="20"/>
              </w:rPr>
              <w:t>Pays</w:t>
            </w:r>
          </w:p>
        </w:tc>
        <w:tc>
          <w:tcPr>
            <w:tcW w:w="2351" w:type="dxa"/>
            <w:tcBorders>
              <w:top w:val="single" w:sz="4" w:space="0" w:color="auto"/>
              <w:left w:val="nil"/>
              <w:bottom w:val="single" w:sz="4" w:space="0" w:color="auto"/>
              <w:right w:val="single" w:sz="4" w:space="0" w:color="auto"/>
            </w:tcBorders>
            <w:shd w:val="clear" w:color="auto" w:fill="auto"/>
            <w:hideMark/>
          </w:tcPr>
          <w:p w14:paraId="40F52B50" w14:textId="77777777" w:rsidR="00520E98" w:rsidRPr="008223A0" w:rsidRDefault="00520E98" w:rsidP="003807F3">
            <w:pPr>
              <w:jc w:val="center"/>
              <w:rPr>
                <w:b/>
                <w:bCs/>
                <w:color w:val="000000"/>
                <w:sz w:val="20"/>
                <w:szCs w:val="20"/>
              </w:rPr>
            </w:pPr>
            <w:r>
              <w:rPr>
                <w:b/>
                <w:color w:val="000000"/>
                <w:sz w:val="20"/>
              </w:rPr>
              <w:t>Code</w:t>
            </w:r>
          </w:p>
        </w:tc>
        <w:tc>
          <w:tcPr>
            <w:tcW w:w="3315" w:type="dxa"/>
            <w:tcBorders>
              <w:top w:val="single" w:sz="4" w:space="0" w:color="auto"/>
              <w:left w:val="nil"/>
              <w:bottom w:val="single" w:sz="4" w:space="0" w:color="auto"/>
              <w:right w:val="single" w:sz="4" w:space="0" w:color="auto"/>
            </w:tcBorders>
            <w:shd w:val="clear" w:color="auto" w:fill="auto"/>
            <w:hideMark/>
          </w:tcPr>
          <w:p w14:paraId="188B839E" w14:textId="77777777" w:rsidR="00520E98" w:rsidRPr="008223A0" w:rsidRDefault="00520E98" w:rsidP="003807F3">
            <w:pPr>
              <w:jc w:val="center"/>
              <w:rPr>
                <w:b/>
                <w:bCs/>
                <w:color w:val="000000"/>
                <w:sz w:val="20"/>
                <w:szCs w:val="20"/>
              </w:rPr>
            </w:pPr>
            <w:r>
              <w:rPr>
                <w:b/>
                <w:color w:val="000000"/>
                <w:sz w:val="20"/>
              </w:rPr>
              <w:t>Titre du projet</w:t>
            </w:r>
          </w:p>
        </w:tc>
        <w:tc>
          <w:tcPr>
            <w:tcW w:w="1430" w:type="dxa"/>
            <w:tcBorders>
              <w:top w:val="single" w:sz="4" w:space="0" w:color="auto"/>
              <w:left w:val="nil"/>
              <w:bottom w:val="single" w:sz="4" w:space="0" w:color="auto"/>
              <w:right w:val="single" w:sz="4" w:space="0" w:color="auto"/>
            </w:tcBorders>
            <w:shd w:val="clear" w:color="auto" w:fill="auto"/>
            <w:hideMark/>
          </w:tcPr>
          <w:p w14:paraId="3B44F8EC" w14:textId="77777777" w:rsidR="00520E98" w:rsidRPr="008223A0" w:rsidRDefault="00520E98" w:rsidP="003807F3">
            <w:pPr>
              <w:jc w:val="center"/>
              <w:rPr>
                <w:b/>
                <w:bCs/>
                <w:color w:val="000000"/>
                <w:sz w:val="20"/>
                <w:szCs w:val="20"/>
              </w:rPr>
            </w:pPr>
            <w:r>
              <w:rPr>
                <w:b/>
                <w:color w:val="000000"/>
                <w:sz w:val="20"/>
              </w:rPr>
              <w:t>Agence</w:t>
            </w:r>
          </w:p>
        </w:tc>
        <w:tc>
          <w:tcPr>
            <w:tcW w:w="5803" w:type="dxa"/>
            <w:tcBorders>
              <w:top w:val="single" w:sz="4" w:space="0" w:color="auto"/>
              <w:left w:val="nil"/>
              <w:bottom w:val="single" w:sz="4" w:space="0" w:color="auto"/>
              <w:right w:val="single" w:sz="4" w:space="0" w:color="auto"/>
            </w:tcBorders>
            <w:shd w:val="clear" w:color="auto" w:fill="auto"/>
            <w:hideMark/>
          </w:tcPr>
          <w:p w14:paraId="600E5C3C" w14:textId="77777777" w:rsidR="00520E98" w:rsidRPr="008223A0" w:rsidRDefault="00520E98" w:rsidP="003807F3">
            <w:pPr>
              <w:jc w:val="center"/>
              <w:rPr>
                <w:b/>
                <w:bCs/>
                <w:color w:val="000000"/>
                <w:sz w:val="20"/>
                <w:szCs w:val="20"/>
              </w:rPr>
            </w:pPr>
            <w:r>
              <w:rPr>
                <w:b/>
                <w:color w:val="000000"/>
                <w:sz w:val="20"/>
              </w:rPr>
              <w:t>Recommandation à la 97</w:t>
            </w:r>
            <w:r>
              <w:rPr>
                <w:b/>
                <w:color w:val="000000"/>
                <w:sz w:val="20"/>
                <w:vertAlign w:val="superscript"/>
              </w:rPr>
              <w:t>e</w:t>
            </w:r>
            <w:r>
              <w:rPr>
                <w:b/>
                <w:color w:val="000000"/>
                <w:sz w:val="20"/>
              </w:rPr>
              <w:t> réunion</w:t>
            </w:r>
          </w:p>
        </w:tc>
      </w:tr>
      <w:tr w:rsidR="00520E98" w:rsidRPr="008223A0" w14:paraId="07843979" w14:textId="77777777" w:rsidTr="003807F3">
        <w:trPr>
          <w:trHeight w:val="153"/>
        </w:trPr>
        <w:tc>
          <w:tcPr>
            <w:tcW w:w="1276" w:type="dxa"/>
            <w:tcBorders>
              <w:top w:val="nil"/>
              <w:left w:val="single" w:sz="4" w:space="0" w:color="auto"/>
              <w:bottom w:val="single" w:sz="4" w:space="0" w:color="auto"/>
              <w:right w:val="single" w:sz="4" w:space="0" w:color="auto"/>
            </w:tcBorders>
            <w:shd w:val="clear" w:color="auto" w:fill="auto"/>
            <w:hideMark/>
          </w:tcPr>
          <w:p w14:paraId="5BF975D0" w14:textId="77777777" w:rsidR="00520E98" w:rsidRPr="008223A0" w:rsidRDefault="00520E98" w:rsidP="003807F3">
            <w:pPr>
              <w:jc w:val="left"/>
              <w:rPr>
                <w:color w:val="000000"/>
                <w:sz w:val="20"/>
                <w:szCs w:val="20"/>
              </w:rPr>
            </w:pPr>
            <w:r>
              <w:rPr>
                <w:color w:val="000000"/>
                <w:sz w:val="20"/>
              </w:rPr>
              <w:t>Liban</w:t>
            </w:r>
          </w:p>
        </w:tc>
        <w:tc>
          <w:tcPr>
            <w:tcW w:w="2351" w:type="dxa"/>
            <w:tcBorders>
              <w:top w:val="nil"/>
              <w:left w:val="nil"/>
              <w:bottom w:val="single" w:sz="4" w:space="0" w:color="auto"/>
              <w:right w:val="single" w:sz="4" w:space="0" w:color="auto"/>
            </w:tcBorders>
            <w:shd w:val="clear" w:color="auto" w:fill="auto"/>
            <w:hideMark/>
          </w:tcPr>
          <w:p w14:paraId="0C2993BE" w14:textId="77777777" w:rsidR="00520E98" w:rsidRPr="008223A0" w:rsidRDefault="00520E98" w:rsidP="003807F3">
            <w:pPr>
              <w:jc w:val="left"/>
              <w:rPr>
                <w:color w:val="000000"/>
                <w:sz w:val="20"/>
                <w:szCs w:val="20"/>
              </w:rPr>
            </w:pPr>
            <w:r>
              <w:rPr>
                <w:color w:val="000000"/>
                <w:sz w:val="20"/>
              </w:rPr>
              <w:t>LEB/PHA/92/INV/101</w:t>
            </w:r>
          </w:p>
        </w:tc>
        <w:tc>
          <w:tcPr>
            <w:tcW w:w="3315" w:type="dxa"/>
            <w:tcBorders>
              <w:top w:val="nil"/>
              <w:left w:val="nil"/>
              <w:bottom w:val="single" w:sz="4" w:space="0" w:color="auto"/>
              <w:right w:val="single" w:sz="4" w:space="0" w:color="auto"/>
            </w:tcBorders>
            <w:shd w:val="clear" w:color="auto" w:fill="auto"/>
            <w:hideMark/>
          </w:tcPr>
          <w:p w14:paraId="32159812" w14:textId="77777777" w:rsidR="00520E98" w:rsidRPr="008223A0" w:rsidRDefault="00520E98" w:rsidP="003807F3">
            <w:pPr>
              <w:jc w:val="left"/>
              <w:rPr>
                <w:color w:val="000000"/>
                <w:sz w:val="20"/>
                <w:szCs w:val="20"/>
              </w:rPr>
            </w:pPr>
            <w:r>
              <w:rPr>
                <w:color w:val="000000"/>
                <w:sz w:val="20"/>
              </w:rPr>
              <w:t>Plan de gestion de l’élimination des HCFC (phase II, quatrième tranche)</w:t>
            </w:r>
          </w:p>
        </w:tc>
        <w:tc>
          <w:tcPr>
            <w:tcW w:w="1430" w:type="dxa"/>
            <w:tcBorders>
              <w:top w:val="nil"/>
              <w:left w:val="nil"/>
              <w:bottom w:val="single" w:sz="4" w:space="0" w:color="auto"/>
              <w:right w:val="single" w:sz="4" w:space="0" w:color="auto"/>
            </w:tcBorders>
            <w:shd w:val="clear" w:color="auto" w:fill="auto"/>
            <w:hideMark/>
          </w:tcPr>
          <w:p w14:paraId="0177BF49" w14:textId="77777777" w:rsidR="00520E98" w:rsidRPr="008223A0" w:rsidRDefault="00520E98" w:rsidP="003807F3">
            <w:pPr>
              <w:jc w:val="center"/>
              <w:rPr>
                <w:color w:val="000000"/>
                <w:sz w:val="20"/>
                <w:szCs w:val="20"/>
              </w:rPr>
            </w:pPr>
            <w:r>
              <w:rPr>
                <w:color w:val="000000"/>
                <w:sz w:val="20"/>
              </w:rPr>
              <w:t>PNUD</w:t>
            </w:r>
          </w:p>
        </w:tc>
        <w:tc>
          <w:tcPr>
            <w:tcW w:w="5803" w:type="dxa"/>
            <w:tcBorders>
              <w:top w:val="nil"/>
              <w:left w:val="nil"/>
              <w:bottom w:val="single" w:sz="4" w:space="0" w:color="auto"/>
              <w:right w:val="single" w:sz="4" w:space="0" w:color="auto"/>
            </w:tcBorders>
            <w:shd w:val="clear" w:color="auto" w:fill="auto"/>
            <w:hideMark/>
          </w:tcPr>
          <w:p w14:paraId="69F217B4" w14:textId="77777777" w:rsidR="00520E98" w:rsidRPr="008223A0" w:rsidRDefault="00520E98" w:rsidP="003807F3">
            <w:pPr>
              <w:jc w:val="left"/>
              <w:rPr>
                <w:sz w:val="20"/>
                <w:szCs w:val="20"/>
              </w:rPr>
            </w:pPr>
            <w:r>
              <w:rPr>
                <w:sz w:val="20"/>
              </w:rPr>
              <w:t>Demander au PNUD de soumettre un rapport de situation à la 97</w:t>
            </w:r>
            <w:r>
              <w:rPr>
                <w:sz w:val="20"/>
                <w:vertAlign w:val="superscript"/>
              </w:rPr>
              <w:t>e</w:t>
            </w:r>
            <w:r>
              <w:rPr>
                <w:sz w:val="20"/>
              </w:rPr>
              <w:t xml:space="preserve"> réunion sur l’avancement de la mise en œuvre </w:t>
            </w:r>
          </w:p>
        </w:tc>
      </w:tr>
      <w:tr w:rsidR="00520E98" w:rsidRPr="000F3F6C" w14:paraId="393ECF9A" w14:textId="77777777" w:rsidTr="003807F3">
        <w:trPr>
          <w:trHeight w:val="659"/>
        </w:trPr>
        <w:tc>
          <w:tcPr>
            <w:tcW w:w="1276" w:type="dxa"/>
            <w:tcBorders>
              <w:top w:val="nil"/>
              <w:left w:val="single" w:sz="4" w:space="0" w:color="auto"/>
              <w:bottom w:val="single" w:sz="4" w:space="0" w:color="auto"/>
              <w:right w:val="single" w:sz="4" w:space="0" w:color="auto"/>
            </w:tcBorders>
            <w:shd w:val="clear" w:color="auto" w:fill="auto"/>
            <w:hideMark/>
          </w:tcPr>
          <w:p w14:paraId="769D972B" w14:textId="77777777" w:rsidR="00520E98" w:rsidRPr="008223A0" w:rsidRDefault="00520E98" w:rsidP="003807F3">
            <w:pPr>
              <w:jc w:val="left"/>
              <w:rPr>
                <w:color w:val="000000"/>
                <w:sz w:val="20"/>
                <w:szCs w:val="20"/>
              </w:rPr>
            </w:pPr>
            <w:r>
              <w:rPr>
                <w:color w:val="000000"/>
                <w:sz w:val="20"/>
              </w:rPr>
              <w:t>Suriname</w:t>
            </w:r>
          </w:p>
        </w:tc>
        <w:tc>
          <w:tcPr>
            <w:tcW w:w="2351" w:type="dxa"/>
            <w:tcBorders>
              <w:top w:val="nil"/>
              <w:left w:val="nil"/>
              <w:bottom w:val="single" w:sz="4" w:space="0" w:color="auto"/>
              <w:right w:val="single" w:sz="4" w:space="0" w:color="auto"/>
            </w:tcBorders>
            <w:shd w:val="clear" w:color="auto" w:fill="auto"/>
            <w:hideMark/>
          </w:tcPr>
          <w:p w14:paraId="16BD4003" w14:textId="77777777" w:rsidR="00520E98" w:rsidRPr="008223A0" w:rsidRDefault="00520E98" w:rsidP="003807F3">
            <w:pPr>
              <w:jc w:val="left"/>
              <w:rPr>
                <w:color w:val="000000"/>
                <w:sz w:val="20"/>
                <w:szCs w:val="20"/>
              </w:rPr>
            </w:pPr>
            <w:r>
              <w:rPr>
                <w:color w:val="000000"/>
                <w:sz w:val="20"/>
              </w:rPr>
              <w:t>SUR/SEV/86/INS/30</w:t>
            </w:r>
          </w:p>
        </w:tc>
        <w:tc>
          <w:tcPr>
            <w:tcW w:w="3315" w:type="dxa"/>
            <w:tcBorders>
              <w:top w:val="nil"/>
              <w:left w:val="nil"/>
              <w:bottom w:val="single" w:sz="4" w:space="0" w:color="auto"/>
              <w:right w:val="single" w:sz="4" w:space="0" w:color="auto"/>
            </w:tcBorders>
            <w:shd w:val="clear" w:color="auto" w:fill="auto"/>
            <w:hideMark/>
          </w:tcPr>
          <w:p w14:paraId="754D8270" w14:textId="77777777" w:rsidR="00520E98" w:rsidRPr="008223A0" w:rsidRDefault="00520E98" w:rsidP="003807F3">
            <w:pPr>
              <w:jc w:val="left"/>
              <w:rPr>
                <w:color w:val="000000"/>
                <w:sz w:val="20"/>
                <w:szCs w:val="20"/>
              </w:rPr>
            </w:pPr>
            <w:r>
              <w:rPr>
                <w:color w:val="000000"/>
                <w:sz w:val="20"/>
              </w:rPr>
              <w:t>Prolongation du projet de renforcement des institutions (phase VII : 1/2021-12/2022)</w:t>
            </w:r>
          </w:p>
        </w:tc>
        <w:tc>
          <w:tcPr>
            <w:tcW w:w="1430" w:type="dxa"/>
            <w:tcBorders>
              <w:top w:val="nil"/>
              <w:left w:val="nil"/>
              <w:bottom w:val="single" w:sz="4" w:space="0" w:color="auto"/>
              <w:right w:val="single" w:sz="4" w:space="0" w:color="auto"/>
            </w:tcBorders>
            <w:shd w:val="clear" w:color="auto" w:fill="auto"/>
            <w:hideMark/>
          </w:tcPr>
          <w:p w14:paraId="3991EA3D" w14:textId="77777777" w:rsidR="00520E98" w:rsidRPr="008223A0" w:rsidRDefault="00520E98" w:rsidP="003807F3">
            <w:pPr>
              <w:jc w:val="center"/>
              <w:rPr>
                <w:color w:val="000000"/>
                <w:sz w:val="20"/>
                <w:szCs w:val="20"/>
              </w:rPr>
            </w:pPr>
            <w:r>
              <w:rPr>
                <w:color w:val="000000"/>
                <w:sz w:val="20"/>
              </w:rPr>
              <w:t>PNUE</w:t>
            </w:r>
          </w:p>
        </w:tc>
        <w:tc>
          <w:tcPr>
            <w:tcW w:w="5803" w:type="dxa"/>
            <w:tcBorders>
              <w:top w:val="nil"/>
              <w:left w:val="nil"/>
              <w:bottom w:val="single" w:sz="4" w:space="0" w:color="auto"/>
              <w:right w:val="single" w:sz="4" w:space="0" w:color="auto"/>
            </w:tcBorders>
            <w:shd w:val="clear" w:color="auto" w:fill="auto"/>
            <w:hideMark/>
          </w:tcPr>
          <w:p w14:paraId="2DD40133" w14:textId="77777777" w:rsidR="00520E98" w:rsidRPr="000F3F6C" w:rsidRDefault="00520E98" w:rsidP="003807F3">
            <w:pPr>
              <w:jc w:val="left"/>
              <w:rPr>
                <w:sz w:val="20"/>
                <w:szCs w:val="20"/>
              </w:rPr>
            </w:pPr>
            <w:r>
              <w:rPr>
                <w:sz w:val="20"/>
              </w:rPr>
              <w:t>Demander au PNUE de présenter un rapport de situation à la 97</w:t>
            </w:r>
            <w:r>
              <w:rPr>
                <w:sz w:val="20"/>
                <w:vertAlign w:val="superscript"/>
              </w:rPr>
              <w:t>e</w:t>
            </w:r>
            <w:r>
              <w:rPr>
                <w:sz w:val="20"/>
              </w:rPr>
              <w:t xml:space="preserve"> réunion sur l’avancement de la mise en œuvre, comprenant une mise à jour de la résolution des difficultés administratives et du décaissement des fonds </w:t>
            </w:r>
          </w:p>
        </w:tc>
      </w:tr>
      <w:tr w:rsidR="00520E98" w:rsidRPr="008223A0" w14:paraId="394EFC2D" w14:textId="77777777" w:rsidTr="003807F3">
        <w:trPr>
          <w:trHeight w:val="461"/>
        </w:trPr>
        <w:tc>
          <w:tcPr>
            <w:tcW w:w="1276" w:type="dxa"/>
            <w:tcBorders>
              <w:top w:val="nil"/>
              <w:left w:val="single" w:sz="4" w:space="0" w:color="auto"/>
              <w:bottom w:val="single" w:sz="4" w:space="0" w:color="auto"/>
              <w:right w:val="single" w:sz="4" w:space="0" w:color="auto"/>
            </w:tcBorders>
            <w:shd w:val="clear" w:color="auto" w:fill="auto"/>
            <w:hideMark/>
          </w:tcPr>
          <w:p w14:paraId="39AF2B20" w14:textId="77777777" w:rsidR="00520E98" w:rsidRPr="008223A0" w:rsidRDefault="00520E98" w:rsidP="003807F3">
            <w:pPr>
              <w:jc w:val="left"/>
              <w:rPr>
                <w:color w:val="000000"/>
                <w:sz w:val="20"/>
                <w:szCs w:val="20"/>
              </w:rPr>
            </w:pPr>
            <w:r>
              <w:rPr>
                <w:color w:val="000000"/>
                <w:sz w:val="20"/>
              </w:rPr>
              <w:t>Suriname</w:t>
            </w:r>
          </w:p>
        </w:tc>
        <w:tc>
          <w:tcPr>
            <w:tcW w:w="2351" w:type="dxa"/>
            <w:tcBorders>
              <w:top w:val="nil"/>
              <w:left w:val="nil"/>
              <w:bottom w:val="single" w:sz="4" w:space="0" w:color="auto"/>
              <w:right w:val="single" w:sz="4" w:space="0" w:color="auto"/>
            </w:tcBorders>
            <w:shd w:val="clear" w:color="auto" w:fill="auto"/>
            <w:hideMark/>
          </w:tcPr>
          <w:p w14:paraId="10163ED9" w14:textId="77777777" w:rsidR="00520E98" w:rsidRPr="008223A0" w:rsidRDefault="00520E98" w:rsidP="003807F3">
            <w:pPr>
              <w:jc w:val="left"/>
              <w:rPr>
                <w:color w:val="000000"/>
                <w:sz w:val="20"/>
                <w:szCs w:val="20"/>
              </w:rPr>
            </w:pPr>
            <w:r>
              <w:rPr>
                <w:color w:val="000000"/>
                <w:sz w:val="20"/>
              </w:rPr>
              <w:t>SUR/PHA/92/INV/32</w:t>
            </w:r>
          </w:p>
        </w:tc>
        <w:tc>
          <w:tcPr>
            <w:tcW w:w="3315" w:type="dxa"/>
            <w:tcBorders>
              <w:top w:val="nil"/>
              <w:left w:val="nil"/>
              <w:bottom w:val="single" w:sz="4" w:space="0" w:color="auto"/>
              <w:right w:val="single" w:sz="4" w:space="0" w:color="auto"/>
            </w:tcBorders>
            <w:shd w:val="clear" w:color="auto" w:fill="auto"/>
            <w:hideMark/>
          </w:tcPr>
          <w:p w14:paraId="4075C49A" w14:textId="77777777" w:rsidR="00520E98" w:rsidRPr="008223A0" w:rsidRDefault="00520E98" w:rsidP="003807F3">
            <w:pPr>
              <w:jc w:val="left"/>
              <w:rPr>
                <w:color w:val="000000"/>
                <w:sz w:val="20"/>
                <w:szCs w:val="20"/>
              </w:rPr>
            </w:pPr>
            <w:r>
              <w:rPr>
                <w:color w:val="000000"/>
                <w:sz w:val="20"/>
              </w:rPr>
              <w:t>Plan de gestion de l’élimination des HCFC (phase I, quatrième tranche)</w:t>
            </w:r>
          </w:p>
        </w:tc>
        <w:tc>
          <w:tcPr>
            <w:tcW w:w="1430" w:type="dxa"/>
            <w:tcBorders>
              <w:top w:val="nil"/>
              <w:left w:val="nil"/>
              <w:bottom w:val="single" w:sz="4" w:space="0" w:color="auto"/>
              <w:right w:val="single" w:sz="4" w:space="0" w:color="auto"/>
            </w:tcBorders>
            <w:shd w:val="clear" w:color="auto" w:fill="auto"/>
            <w:hideMark/>
          </w:tcPr>
          <w:p w14:paraId="01042383" w14:textId="77777777" w:rsidR="00520E98" w:rsidRPr="008223A0" w:rsidRDefault="00520E98" w:rsidP="003807F3">
            <w:pPr>
              <w:jc w:val="center"/>
              <w:rPr>
                <w:color w:val="000000"/>
                <w:sz w:val="20"/>
                <w:szCs w:val="20"/>
              </w:rPr>
            </w:pPr>
            <w:r>
              <w:rPr>
                <w:color w:val="000000"/>
                <w:sz w:val="20"/>
              </w:rPr>
              <w:t>ONUDI</w:t>
            </w:r>
          </w:p>
        </w:tc>
        <w:tc>
          <w:tcPr>
            <w:tcW w:w="5803" w:type="dxa"/>
            <w:tcBorders>
              <w:top w:val="nil"/>
              <w:left w:val="nil"/>
              <w:bottom w:val="single" w:sz="4" w:space="0" w:color="auto"/>
              <w:right w:val="single" w:sz="4" w:space="0" w:color="auto"/>
            </w:tcBorders>
            <w:shd w:val="clear" w:color="auto" w:fill="auto"/>
            <w:hideMark/>
          </w:tcPr>
          <w:p w14:paraId="16D30AB8" w14:textId="77777777" w:rsidR="00520E98" w:rsidRPr="008223A0" w:rsidRDefault="00520E98" w:rsidP="003807F3">
            <w:pPr>
              <w:jc w:val="left"/>
              <w:rPr>
                <w:sz w:val="20"/>
                <w:szCs w:val="20"/>
              </w:rPr>
            </w:pPr>
            <w:r>
              <w:rPr>
                <w:sz w:val="20"/>
              </w:rPr>
              <w:t>Demander à l’ONUDI de présenter un rapport de situation à la 97</w:t>
            </w:r>
            <w:r>
              <w:rPr>
                <w:sz w:val="20"/>
                <w:vertAlign w:val="superscript"/>
              </w:rPr>
              <w:t>e</w:t>
            </w:r>
            <w:r>
              <w:rPr>
                <w:sz w:val="20"/>
              </w:rPr>
              <w:t> réunion sur l’achèvement opérationnel et le décaissement des fonds</w:t>
            </w:r>
          </w:p>
        </w:tc>
      </w:tr>
      <w:tr w:rsidR="00520E98" w:rsidRPr="008223A0" w14:paraId="4100CB02" w14:textId="77777777" w:rsidTr="003807F3">
        <w:trPr>
          <w:trHeight w:val="425"/>
        </w:trPr>
        <w:tc>
          <w:tcPr>
            <w:tcW w:w="1276" w:type="dxa"/>
            <w:tcBorders>
              <w:top w:val="nil"/>
              <w:left w:val="single" w:sz="4" w:space="0" w:color="auto"/>
              <w:bottom w:val="single" w:sz="4" w:space="0" w:color="auto"/>
              <w:right w:val="single" w:sz="4" w:space="0" w:color="auto"/>
            </w:tcBorders>
            <w:shd w:val="clear" w:color="auto" w:fill="auto"/>
            <w:hideMark/>
          </w:tcPr>
          <w:p w14:paraId="262D2CB1" w14:textId="77777777" w:rsidR="00520E98" w:rsidRPr="008223A0" w:rsidRDefault="00520E98" w:rsidP="003807F3">
            <w:pPr>
              <w:jc w:val="left"/>
              <w:rPr>
                <w:color w:val="000000"/>
                <w:sz w:val="20"/>
                <w:szCs w:val="20"/>
              </w:rPr>
            </w:pPr>
            <w:r>
              <w:rPr>
                <w:color w:val="000000"/>
                <w:sz w:val="20"/>
              </w:rPr>
              <w:t>Suriname</w:t>
            </w:r>
          </w:p>
        </w:tc>
        <w:tc>
          <w:tcPr>
            <w:tcW w:w="2351" w:type="dxa"/>
            <w:tcBorders>
              <w:top w:val="nil"/>
              <w:left w:val="nil"/>
              <w:bottom w:val="single" w:sz="4" w:space="0" w:color="auto"/>
              <w:right w:val="single" w:sz="4" w:space="0" w:color="auto"/>
            </w:tcBorders>
            <w:shd w:val="clear" w:color="auto" w:fill="auto"/>
            <w:hideMark/>
          </w:tcPr>
          <w:p w14:paraId="2E185878" w14:textId="77777777" w:rsidR="00520E98" w:rsidRPr="008223A0" w:rsidRDefault="00520E98" w:rsidP="003807F3">
            <w:pPr>
              <w:jc w:val="left"/>
              <w:rPr>
                <w:color w:val="000000"/>
                <w:sz w:val="20"/>
                <w:szCs w:val="20"/>
              </w:rPr>
            </w:pPr>
            <w:r>
              <w:rPr>
                <w:color w:val="000000"/>
                <w:sz w:val="20"/>
              </w:rPr>
              <w:t>SUR/PHA/93/TAS/34</w:t>
            </w:r>
          </w:p>
        </w:tc>
        <w:tc>
          <w:tcPr>
            <w:tcW w:w="3315" w:type="dxa"/>
            <w:tcBorders>
              <w:top w:val="nil"/>
              <w:left w:val="nil"/>
              <w:bottom w:val="single" w:sz="4" w:space="0" w:color="auto"/>
              <w:right w:val="single" w:sz="4" w:space="0" w:color="auto"/>
            </w:tcBorders>
            <w:shd w:val="clear" w:color="auto" w:fill="auto"/>
            <w:hideMark/>
          </w:tcPr>
          <w:p w14:paraId="7706C915" w14:textId="77777777" w:rsidR="00520E98" w:rsidRPr="008223A0" w:rsidRDefault="00520E98" w:rsidP="003807F3">
            <w:pPr>
              <w:jc w:val="left"/>
              <w:rPr>
                <w:color w:val="000000"/>
                <w:sz w:val="20"/>
                <w:szCs w:val="20"/>
              </w:rPr>
            </w:pPr>
            <w:r>
              <w:rPr>
                <w:color w:val="000000"/>
                <w:sz w:val="20"/>
              </w:rPr>
              <w:t>Plan de gestion de l’élimination des HCFC (phase II, première tranche)</w:t>
            </w:r>
          </w:p>
        </w:tc>
        <w:tc>
          <w:tcPr>
            <w:tcW w:w="1430" w:type="dxa"/>
            <w:tcBorders>
              <w:top w:val="nil"/>
              <w:left w:val="nil"/>
              <w:bottom w:val="single" w:sz="4" w:space="0" w:color="auto"/>
              <w:right w:val="single" w:sz="4" w:space="0" w:color="auto"/>
            </w:tcBorders>
            <w:shd w:val="clear" w:color="auto" w:fill="auto"/>
            <w:hideMark/>
          </w:tcPr>
          <w:p w14:paraId="5A5D347F" w14:textId="77777777" w:rsidR="00520E98" w:rsidRPr="008223A0" w:rsidRDefault="00520E98" w:rsidP="003807F3">
            <w:pPr>
              <w:jc w:val="center"/>
              <w:rPr>
                <w:color w:val="000000"/>
                <w:sz w:val="20"/>
                <w:szCs w:val="20"/>
              </w:rPr>
            </w:pPr>
            <w:r>
              <w:rPr>
                <w:color w:val="000000"/>
                <w:sz w:val="20"/>
              </w:rPr>
              <w:t>PNUE</w:t>
            </w:r>
          </w:p>
        </w:tc>
        <w:tc>
          <w:tcPr>
            <w:tcW w:w="5803" w:type="dxa"/>
            <w:tcBorders>
              <w:top w:val="nil"/>
              <w:left w:val="nil"/>
              <w:bottom w:val="single" w:sz="4" w:space="0" w:color="auto"/>
              <w:right w:val="single" w:sz="4" w:space="0" w:color="auto"/>
            </w:tcBorders>
            <w:shd w:val="clear" w:color="auto" w:fill="auto"/>
            <w:hideMark/>
          </w:tcPr>
          <w:p w14:paraId="44B3CE5E" w14:textId="77777777" w:rsidR="00520E98" w:rsidRPr="008223A0" w:rsidRDefault="00520E98" w:rsidP="003807F3">
            <w:pPr>
              <w:jc w:val="left"/>
              <w:rPr>
                <w:sz w:val="20"/>
                <w:szCs w:val="20"/>
              </w:rPr>
            </w:pPr>
            <w:r>
              <w:rPr>
                <w:sz w:val="20"/>
              </w:rPr>
              <w:t>Demander au PNUE de présenter un rapport de situation à la 97</w:t>
            </w:r>
            <w:r>
              <w:rPr>
                <w:sz w:val="20"/>
                <w:vertAlign w:val="superscript"/>
              </w:rPr>
              <w:t>e</w:t>
            </w:r>
            <w:r>
              <w:rPr>
                <w:sz w:val="20"/>
              </w:rPr>
              <w:t xml:space="preserve"> réunion sur la signature de l’accord de financement à petite échelle et le décaissement des fonds </w:t>
            </w:r>
          </w:p>
        </w:tc>
      </w:tr>
    </w:tbl>
    <w:p w14:paraId="5678E3EB" w14:textId="77777777" w:rsidR="00520E98" w:rsidRDefault="00520E98" w:rsidP="00520E98">
      <w:pPr>
        <w:keepNext/>
        <w:spacing w:after="240"/>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3799"/>
        <w:gridCol w:w="2976"/>
        <w:gridCol w:w="1417"/>
        <w:gridCol w:w="1873"/>
      </w:tblGrid>
      <w:tr w:rsidR="00E85409" w:rsidRPr="009B0D30" w14:paraId="5F7FCED8" w14:textId="77777777" w:rsidTr="005507AD">
        <w:tc>
          <w:tcPr>
            <w:tcW w:w="1871" w:type="dxa"/>
          </w:tcPr>
          <w:p w14:paraId="08241A33" w14:textId="77777777" w:rsidR="00E85409" w:rsidRPr="009B0D30" w:rsidRDefault="00E85409" w:rsidP="00FB077C"/>
        </w:tc>
        <w:tc>
          <w:tcPr>
            <w:tcW w:w="3799" w:type="dxa"/>
          </w:tcPr>
          <w:p w14:paraId="6C0DDD68" w14:textId="77777777" w:rsidR="00E85409" w:rsidRPr="009B0D30" w:rsidRDefault="00E85409" w:rsidP="00FB077C"/>
        </w:tc>
        <w:tc>
          <w:tcPr>
            <w:tcW w:w="2976" w:type="dxa"/>
            <w:tcBorders>
              <w:bottom w:val="single" w:sz="4" w:space="0" w:color="auto"/>
            </w:tcBorders>
          </w:tcPr>
          <w:p w14:paraId="6AF3D88A" w14:textId="77777777" w:rsidR="00E85409" w:rsidRPr="009B0D30" w:rsidRDefault="00E85409" w:rsidP="00FB077C"/>
        </w:tc>
        <w:tc>
          <w:tcPr>
            <w:tcW w:w="1417" w:type="dxa"/>
          </w:tcPr>
          <w:p w14:paraId="27C7066B" w14:textId="77777777" w:rsidR="00E85409" w:rsidRPr="009B0D30" w:rsidRDefault="00E85409" w:rsidP="00FB077C"/>
        </w:tc>
        <w:tc>
          <w:tcPr>
            <w:tcW w:w="1873" w:type="dxa"/>
          </w:tcPr>
          <w:p w14:paraId="194DFA16" w14:textId="77777777" w:rsidR="00E85409" w:rsidRPr="009B0D30" w:rsidRDefault="00E85409" w:rsidP="00FB077C"/>
        </w:tc>
      </w:tr>
    </w:tbl>
    <w:p w14:paraId="452F1ECB" w14:textId="77777777" w:rsidR="00E85409" w:rsidRPr="009B0D30" w:rsidRDefault="00E85409" w:rsidP="004E7F9C"/>
    <w:sectPr w:rsidR="00E85409" w:rsidRPr="009B0D30" w:rsidSect="005507AD">
      <w:headerReference w:type="default" r:id="rId23"/>
      <w:pgSz w:w="15840" w:h="12240" w:orient="landscape" w:code="1"/>
      <w:pgMar w:top="1440" w:right="720" w:bottom="1440" w:left="864"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7DDDE" w14:textId="77777777" w:rsidR="009E5B53" w:rsidRDefault="009E5B53" w:rsidP="004A504B">
      <w:r>
        <w:separator/>
      </w:r>
    </w:p>
  </w:endnote>
  <w:endnote w:type="continuationSeparator" w:id="0">
    <w:p w14:paraId="1E6095A1" w14:textId="77777777" w:rsidR="009E5B53" w:rsidRDefault="009E5B53" w:rsidP="004A504B">
      <w:r>
        <w:continuationSeparator/>
      </w:r>
    </w:p>
  </w:endnote>
  <w:endnote w:type="continuationNotice" w:id="1">
    <w:p w14:paraId="416FBCC4" w14:textId="77777777" w:rsidR="009E5B53" w:rsidRDefault="009E5B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9105E" w14:textId="77777777" w:rsidR="00861189" w:rsidRPr="0033525D" w:rsidRDefault="00861189">
    <w:pPr>
      <w:jc w:val="center"/>
    </w:pP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3D3C1" w14:textId="77777777" w:rsidR="009E5B53" w:rsidRDefault="009E5B53" w:rsidP="004A504B">
      <w:r>
        <w:separator/>
      </w:r>
    </w:p>
  </w:footnote>
  <w:footnote w:type="continuationSeparator" w:id="0">
    <w:p w14:paraId="710D21E0" w14:textId="77777777" w:rsidR="009E5B53" w:rsidRDefault="009E5B53" w:rsidP="004A504B">
      <w:r>
        <w:continuationSeparator/>
      </w:r>
    </w:p>
  </w:footnote>
  <w:footnote w:type="continuationNotice" w:id="1">
    <w:p w14:paraId="758DB48C" w14:textId="77777777" w:rsidR="009E5B53" w:rsidRDefault="009E5B53"/>
  </w:footnote>
  <w:footnote w:id="2">
    <w:p w14:paraId="03919EEA" w14:textId="5F1DEA77" w:rsidR="0079781A" w:rsidRPr="001E1147" w:rsidRDefault="0079781A" w:rsidP="0079781A">
      <w:pPr>
        <w:pStyle w:val="FootnoteText"/>
      </w:pPr>
      <w:r>
        <w:rPr>
          <w:rStyle w:val="FootnoteReference"/>
        </w:rPr>
        <w:footnoteRef/>
      </w:r>
      <w:r>
        <w:t xml:space="preserve"> UNEP/OzL.Pro/ExCom/96/1</w:t>
      </w:r>
    </w:p>
  </w:footnote>
  <w:footnote w:id="3">
    <w:p w14:paraId="3380C986" w14:textId="35D239C1" w:rsidR="007B27C6" w:rsidRPr="000E6ED2" w:rsidRDefault="007B27C6" w:rsidP="007B27C6">
      <w:pPr>
        <w:pStyle w:val="FootnoteText"/>
      </w:pPr>
      <w:r>
        <w:rPr>
          <w:rStyle w:val="FootnoteReference"/>
        </w:rPr>
        <w:footnoteRef/>
      </w:r>
      <w:r>
        <w:t xml:space="preserve"> Paragraphes 2–9</w:t>
      </w:r>
      <w:r w:rsidR="00D35ED6">
        <w:t xml:space="preserve"> </w:t>
      </w:r>
      <w:r>
        <w:t>du</w:t>
      </w:r>
      <w:r w:rsidR="00D35ED6">
        <w:t xml:space="preserve"> </w:t>
      </w:r>
      <w:r>
        <w:t>document UNEP/OzL.Pro/ExCom/93/20 et paragraphes 5–14 du document UNEP/OzL.Pro/ExCom/94/9</w:t>
      </w:r>
    </w:p>
  </w:footnote>
  <w:footnote w:id="4">
    <w:p w14:paraId="531CC2A4" w14:textId="77777777" w:rsidR="00543A70" w:rsidRPr="00C7111E" w:rsidRDefault="00543A70" w:rsidP="00543A70">
      <w:pPr>
        <w:pStyle w:val="FootnoteText"/>
      </w:pPr>
      <w:r>
        <w:rPr>
          <w:rStyle w:val="FootnoteReference"/>
        </w:rPr>
        <w:footnoteRef/>
      </w:r>
      <w:r>
        <w:t xml:space="preserve"> Voir le paragraphe 3 du document UNEP/OzL.Pro/ExCom/94/25 pour l’explication de la tendance de consommation de HCFC</w:t>
      </w:r>
    </w:p>
  </w:footnote>
  <w:footnote w:id="5">
    <w:p w14:paraId="1163FA4D" w14:textId="77777777" w:rsidR="00543A70" w:rsidRPr="00A9154B" w:rsidRDefault="00543A70" w:rsidP="00543A70">
      <w:pPr>
        <w:pStyle w:val="Heading1"/>
        <w:numPr>
          <w:ilvl w:val="0"/>
          <w:numId w:val="0"/>
        </w:numPr>
        <w:spacing w:after="0"/>
        <w:rPr>
          <w:sz w:val="20"/>
          <w:szCs w:val="20"/>
        </w:rPr>
      </w:pPr>
      <w:r>
        <w:rPr>
          <w:rStyle w:val="FootnoteReference"/>
          <w:sz w:val="20"/>
          <w:szCs w:val="20"/>
        </w:rPr>
        <w:footnoteRef/>
      </w:r>
      <w:r>
        <w:rPr>
          <w:sz w:val="20"/>
        </w:rPr>
        <w:t xml:space="preserve"> Ananda Metais, Ártico, Bulltrade, Cold Air, Eletrofrio, Furgão Ibiporã, Gelopar, IBF, Inylbra, Isar, Isosister, Klimaquip, Niju, PMI, Refrimate, Rocktec, São Rafael, Tecpur, Termotelha et Therm Jet. Les projets chez Basf, Comfibras, Dow, Polisystem et U-Tech ont été annulés.</w:t>
      </w:r>
    </w:p>
  </w:footnote>
  <w:footnote w:id="6">
    <w:p w14:paraId="438624F4" w14:textId="77777777" w:rsidR="00543A70" w:rsidRPr="00145771" w:rsidRDefault="00543A70" w:rsidP="00543A70">
      <w:pPr>
        <w:pStyle w:val="FootnoteText"/>
      </w:pPr>
      <w:r>
        <w:rPr>
          <w:rStyle w:val="FootnoteReference"/>
        </w:rPr>
        <w:footnoteRef/>
      </w:r>
      <w:r>
        <w:t xml:space="preserve"> Chopeiras Ccitti, Fricalor, Fricon, JJ Instalações Comerciais, Kitfrigor, Klima Refrigeração Ltda, Mecalor, Peracchi, Refriac, Refrimate, Sulfrio et Zero Grau ont achevé leurs reconversions ; Indústrias Tosi et Ingecold sont dans les phases finales de leurs projets.</w:t>
      </w:r>
    </w:p>
  </w:footnote>
  <w:footnote w:id="7">
    <w:p w14:paraId="0C447B56" w14:textId="77777777" w:rsidR="00543A70" w:rsidRPr="00745CBB" w:rsidRDefault="00543A70" w:rsidP="00543A70">
      <w:pPr>
        <w:pStyle w:val="FootnoteText"/>
      </w:pPr>
      <w:r>
        <w:rPr>
          <w:rStyle w:val="FootnoteReference"/>
        </w:rPr>
        <w:footnoteRef/>
      </w:r>
      <w:r>
        <w:t xml:space="preserve"> Indústrias Tosi, Kitfrigor et Mecalor</w:t>
      </w:r>
    </w:p>
  </w:footnote>
  <w:footnote w:id="8">
    <w:p w14:paraId="3A3C4BCA" w14:textId="77777777" w:rsidR="00543A70" w:rsidRPr="00DD7050" w:rsidRDefault="00543A70" w:rsidP="00543A70">
      <w:pPr>
        <w:pStyle w:val="FootnoteText"/>
      </w:pPr>
      <w:r>
        <w:rPr>
          <w:rStyle w:val="FootnoteReference"/>
        </w:rPr>
        <w:footnoteRef/>
      </w:r>
      <w:r>
        <w:t xml:space="preserve"> U-Tech a achevé la reconversion de son usine de fabrication de HCFC-141b au formiate de méthyle dans la plupart des applications, mais a adopté le HFC-134a pour remplacer le HCFC-22 comme agent de gonflage gazeux dans l’application de gonflage de mousse, qui ne peut pas être produit avec les solutions de remplacement à faible PRP habituelles du HCFC-141b.</w:t>
      </w:r>
    </w:p>
  </w:footnote>
  <w:footnote w:id="9">
    <w:p w14:paraId="6E34E15C" w14:textId="77777777" w:rsidR="009F1217" w:rsidRPr="00A04432" w:rsidRDefault="009F1217" w:rsidP="009F1217">
      <w:pPr>
        <w:pStyle w:val="FootnoteText"/>
      </w:pPr>
      <w:r>
        <w:rPr>
          <w:rStyle w:val="FootnoteReference"/>
        </w:rPr>
        <w:footnoteRef/>
      </w:r>
      <w:r>
        <w:t xml:space="preserve"> Décision 91/53 f)</w:t>
      </w:r>
    </w:p>
  </w:footnote>
  <w:footnote w:id="10">
    <w:p w14:paraId="7DB68532" w14:textId="77777777" w:rsidR="009F1217" w:rsidRPr="0033731F" w:rsidRDefault="009F1217" w:rsidP="009F1217">
      <w:pPr>
        <w:pStyle w:val="FootnoteText"/>
      </w:pPr>
      <w:r>
        <w:rPr>
          <w:rStyle w:val="FootnoteReference"/>
        </w:rPr>
        <w:footnoteRef/>
      </w:r>
      <w:r>
        <w:t xml:space="preserve"> Voir les paragraphes 3 et 4 du document UNEP/OzL.Pro/ExCom/95/58 pour l’explication de la tendance de consommation de HCFC.</w:t>
      </w:r>
    </w:p>
  </w:footnote>
  <w:footnote w:id="11">
    <w:p w14:paraId="5E20DC41" w14:textId="77777777" w:rsidR="009F1217" w:rsidRPr="0085518C" w:rsidRDefault="009F1217" w:rsidP="009F1217">
      <w:pPr>
        <w:pStyle w:val="FootnoteText"/>
      </w:pPr>
      <w:r>
        <w:rPr>
          <w:rStyle w:val="FootnoteReference"/>
        </w:rPr>
        <w:footnoteRef/>
      </w:r>
      <w:r>
        <w:t xml:space="preserve"> Dont une étude sur la réduction des émissions de gaz à effet de serre en Inde en raison de l’élimination des SAO au titre du Protocole de Montréal, une étude sur les technologies durables pour les bâtiments neufs, l’adaptation des bâtiments existants et le refroidissement des locaux, une évaluation sensible au climat des pratiques locales en matière de refroidissement et de chauffage dans l’Inde rurale, et un guide des technologies durables pour les équipements de refroidissement et les infrastructures de stockage neufs et convertis dans le secteur de la chaîne du froid.</w:t>
      </w:r>
    </w:p>
  </w:footnote>
  <w:footnote w:id="12">
    <w:p w14:paraId="25F8FE1B" w14:textId="77777777" w:rsidR="006B7793" w:rsidRPr="00FE3307" w:rsidRDefault="006B7793" w:rsidP="006B7793">
      <w:pPr>
        <w:pStyle w:val="FootnoteText"/>
      </w:pPr>
      <w:r>
        <w:rPr>
          <w:rStyle w:val="FootnoteReference"/>
        </w:rPr>
        <w:footnoteRef/>
      </w:r>
      <w:r>
        <w:t xml:space="preserve"> Conformément à la lettre datée du 17 mars 2025, du Ministère de l’environnement de l’Indonésie au PNUD.</w:t>
      </w:r>
    </w:p>
  </w:footnote>
  <w:footnote w:id="13">
    <w:p w14:paraId="3155822E" w14:textId="77777777" w:rsidR="00950EC2" w:rsidRPr="00A24B9E" w:rsidRDefault="00950EC2" w:rsidP="00950EC2">
      <w:pPr>
        <w:pStyle w:val="FootnoteText"/>
      </w:pPr>
      <w:r>
        <w:rPr>
          <w:rStyle w:val="FootnoteReference"/>
        </w:rPr>
        <w:footnoteRef/>
      </w:r>
      <w:r>
        <w:t xml:space="preserve"> Dont des détecteurs de fuites électroniques pour plusieurs frigorigènes, des pompes de chargement d’huile, de l’équipement portable de soufflage d’azote, des kits de clés dynamométriques, des pinces Lokring, des mâchoires d’assemblage et des connecteurs de différents diamètres.</w:t>
      </w:r>
    </w:p>
  </w:footnote>
  <w:footnote w:id="14">
    <w:p w14:paraId="386FE5F8" w14:textId="77777777" w:rsidR="00950EC2" w:rsidRPr="004F5E9E" w:rsidRDefault="00950EC2" w:rsidP="00950EC2">
      <w:pPr>
        <w:pStyle w:val="FootnoteText"/>
      </w:pPr>
      <w:r>
        <w:rPr>
          <w:rStyle w:val="FootnoteReference"/>
        </w:rPr>
        <w:footnoteRef/>
      </w:r>
      <w:r>
        <w:t xml:space="preserve"> Tableau 2 du document UNEP/OzL.Pro/ExCom/74/34</w:t>
      </w:r>
    </w:p>
  </w:footnote>
  <w:footnote w:id="15">
    <w:p w14:paraId="66FEA5B0" w14:textId="77777777" w:rsidR="007628A9" w:rsidRPr="00A41043" w:rsidRDefault="007628A9" w:rsidP="007628A9">
      <w:pPr>
        <w:pStyle w:val="FootnoteText"/>
        <w:rPr>
          <w:rFonts w:asciiTheme="majorBidi" w:hAnsiTheme="majorBidi" w:cstheme="majorBidi"/>
        </w:rPr>
      </w:pPr>
      <w:r>
        <w:rPr>
          <w:rStyle w:val="FootnoteReference"/>
        </w:rPr>
        <w:footnoteRef/>
      </w:r>
      <w:r>
        <w:t xml:space="preserve"> </w:t>
      </w:r>
      <w:r>
        <w:rPr>
          <w:rFonts w:asciiTheme="majorBidi" w:hAnsiTheme="majorBidi"/>
        </w:rPr>
        <w:t xml:space="preserve">Le supermarché achèterait et installerait également un système solaire de 120 kW pour un coût estimé à 58 500 $US pour réduire les émissions indirectes globales dues à la consommation d’énergie. </w:t>
      </w:r>
    </w:p>
  </w:footnote>
  <w:footnote w:id="16">
    <w:p w14:paraId="52275197" w14:textId="77777777" w:rsidR="007628A9" w:rsidRPr="00A41043" w:rsidRDefault="007628A9" w:rsidP="007628A9">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Décision d’approbation générale</w:t>
      </w:r>
    </w:p>
  </w:footnote>
  <w:footnote w:id="17">
    <w:p w14:paraId="2131934D" w14:textId="77777777" w:rsidR="003F6E3E" w:rsidRPr="00164231" w:rsidRDefault="003F6E3E" w:rsidP="003F6E3E">
      <w:pPr>
        <w:pStyle w:val="FootnoteText"/>
      </w:pPr>
      <w:r>
        <w:rPr>
          <w:rStyle w:val="FootnoteReference"/>
        </w:rPr>
        <w:footnoteRef/>
      </w:r>
      <w:r>
        <w:t xml:space="preserve"> La phase III du PGEH pour le Mexique a été approuvée à la 95</w:t>
      </w:r>
      <w:r>
        <w:rPr>
          <w:vertAlign w:val="superscript"/>
        </w:rPr>
        <w:t>e</w:t>
      </w:r>
      <w:r>
        <w:t> réunion.</w:t>
      </w:r>
    </w:p>
  </w:footnote>
  <w:footnote w:id="18">
    <w:p w14:paraId="05ECB28A" w14:textId="77777777" w:rsidR="003F6E3E" w:rsidRPr="00A04432" w:rsidRDefault="003F6E3E" w:rsidP="003F6E3E">
      <w:pPr>
        <w:pStyle w:val="FootnoteText"/>
      </w:pPr>
      <w:r>
        <w:rPr>
          <w:rStyle w:val="FootnoteReference"/>
        </w:rPr>
        <w:footnoteRef/>
      </w:r>
      <w:r>
        <w:t xml:space="preserve"> Annexe IX de l’UNEP/OzL.Pro/ExCom/92/56</w:t>
      </w:r>
    </w:p>
  </w:footnote>
  <w:footnote w:id="19">
    <w:p w14:paraId="648A0922" w14:textId="2AC85568" w:rsidR="003F6E3E" w:rsidRPr="008440E7" w:rsidRDefault="003F6E3E" w:rsidP="003F6E3E">
      <w:pPr>
        <w:pStyle w:val="FootnoteText"/>
      </w:pPr>
      <w:r>
        <w:rPr>
          <w:rStyle w:val="FootnoteReference"/>
        </w:rPr>
        <w:footnoteRef/>
      </w:r>
      <w:r>
        <w:t xml:space="preserve"> Voir le paragraphe 5 du document UNEP/OzL.Pro/ExCom/95/66 pour l’explication de la tendance de consommation de HCFC.</w:t>
      </w:r>
    </w:p>
  </w:footnote>
  <w:footnote w:id="20">
    <w:p w14:paraId="75F17165" w14:textId="77777777" w:rsidR="0090775E" w:rsidRDefault="0090775E" w:rsidP="0090775E">
      <w:pPr>
        <w:pStyle w:val="FootnoteText"/>
      </w:pPr>
      <w:r>
        <w:rPr>
          <w:rStyle w:val="FootnoteReference"/>
        </w:rPr>
        <w:footnoteRef/>
      </w:r>
      <w:r>
        <w:t xml:space="preserve"> Tonnes de réfrigération</w:t>
      </w:r>
    </w:p>
  </w:footnote>
  <w:footnote w:id="21">
    <w:p w14:paraId="77D1AD70" w14:textId="77777777" w:rsidR="002D7126" w:rsidRPr="0029626A" w:rsidRDefault="002D7126" w:rsidP="002D7126">
      <w:pPr>
        <w:pStyle w:val="FootnoteText"/>
      </w:pPr>
      <w:r>
        <w:rPr>
          <w:rStyle w:val="FootnoteReference"/>
        </w:rPr>
        <w:footnoteRef/>
      </w:r>
      <w:r>
        <w:t xml:space="preserve"> Paragraphes 72–80 du document UNEP/OzL.Pro/ExCom/95/20</w:t>
      </w:r>
    </w:p>
  </w:footnote>
  <w:footnote w:id="22">
    <w:p w14:paraId="41F79634" w14:textId="77777777" w:rsidR="002D7126" w:rsidRPr="007D53AD" w:rsidRDefault="002D7126" w:rsidP="002D7126">
      <w:pPr>
        <w:rPr>
          <w:sz w:val="20"/>
          <w:szCs w:val="20"/>
        </w:rPr>
      </w:pPr>
      <w:r>
        <w:rPr>
          <w:rStyle w:val="FootnoteReference"/>
          <w:sz w:val="20"/>
          <w:szCs w:val="20"/>
        </w:rPr>
        <w:footnoteRef/>
      </w:r>
      <w:r>
        <w:rPr>
          <w:sz w:val="20"/>
        </w:rPr>
        <w:t xml:space="preserve"> Le programme Hakathari est une initiative d’étiquetage de l’efficacité énergétique volontaire. Il s’applique à des appareils tels que des climatiseurs et des réfrigérateurs domestiques et intègre des informations sur le type de frigorigène, le potentiel d’appauvrissement de l’ozone (PAO) et le PRP. Il définit également des normes minimales de performance énergétique, dans le but de rendre obligatoires les étiquettes pour tous les importateurs d’équipement avant 2024, assurant ainsi la promotion des frigorigènes à faible PRP et des technologies écoénergétiques.</w:t>
      </w:r>
    </w:p>
  </w:footnote>
  <w:footnote w:id="23">
    <w:p w14:paraId="524A0DC0" w14:textId="77777777" w:rsidR="002D7126" w:rsidRDefault="002D7126" w:rsidP="002D7126">
      <w:pPr>
        <w:pStyle w:val="FootnoteText"/>
      </w:pPr>
      <w:r>
        <w:rPr>
          <w:rStyle w:val="FootnoteReference"/>
        </w:rPr>
        <w:footnoteRef/>
      </w:r>
      <w:r>
        <w:t xml:space="preserve"> Le PNUE demande également un financement pour une « assistance d’urgence supplémentaire pour le renforcement des institutions » pour le pays, dans le cadre du programme de travail du PNUD pour l’année 2025 (UNEP/OzL.Pro/ExCom/96/21).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4930D" w14:textId="7FEBE4F4" w:rsidR="00DC6A10" w:rsidRDefault="000A30B9" w:rsidP="00D35ED6">
    <w:fldSimple w:instr="DOCPROPERTY &quot;Document number&quot;  \* MERGEFORMAT">
      <w:r>
        <w:t>UNEP/OzL.Pro/ExCom/96/11</w:t>
      </w:r>
    </w:fldSimple>
  </w:p>
  <w:p w14:paraId="14D1C965" w14:textId="77777777" w:rsidR="0009649B" w:rsidRPr="0033525D" w:rsidRDefault="0009649B" w:rsidP="00D35E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883EF" w14:textId="17BB727C" w:rsidR="00DC6A10" w:rsidRPr="0033525D" w:rsidRDefault="00D20CEF" w:rsidP="00D35ED6">
    <w:pPr>
      <w:jc w:val="right"/>
    </w:pPr>
    <w:fldSimple w:instr="DOCPROPERTY &quot;Document number&quot;  \* MERGEFORMAT">
      <w:r>
        <w:t>UNEP/OzL.Pro/ExCom/96/11</w:t>
      </w:r>
    </w:fldSimple>
  </w:p>
  <w:p w14:paraId="649A1F7E"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83044" w14:textId="77777777" w:rsidR="00DC6779" w:rsidRPr="0009649B" w:rsidRDefault="00DC6779">
    <w:pPr>
      <w:rPr>
        <w:lang w:val="en-US"/>
      </w:rPr>
    </w:pPr>
    <w:r>
      <w:fldChar w:fldCharType="begin"/>
    </w:r>
    <w:r w:rsidRPr="0009649B">
      <w:rPr>
        <w:lang w:val="en-US"/>
      </w:rPr>
      <w:instrText>DOCPROPERTY "Document number"  \* MERGEFORMAT</w:instrText>
    </w:r>
    <w:r>
      <w:fldChar w:fldCharType="separate"/>
    </w:r>
    <w:r w:rsidRPr="0009649B">
      <w:rPr>
        <w:lang w:val="en-US"/>
      </w:rPr>
      <w:t>UNEP/OzL.Pro/ExCom/96/11</w:t>
    </w:r>
    <w:r>
      <w:fldChar w:fldCharType="end"/>
    </w:r>
  </w:p>
  <w:p w14:paraId="0E808795" w14:textId="7F191223" w:rsidR="00DC6779" w:rsidRPr="0009649B" w:rsidRDefault="00861189">
    <w:pPr>
      <w:rPr>
        <w:lang w:val="en-US"/>
      </w:rPr>
    </w:pPr>
    <w:r w:rsidRPr="0009649B">
      <w:rPr>
        <w:lang w:val="en-US"/>
      </w:rPr>
      <w:t>Annexe I</w:t>
    </w:r>
  </w:p>
  <w:p w14:paraId="73DE21AA" w14:textId="77777777" w:rsidR="00DC6779" w:rsidRPr="0009649B" w:rsidRDefault="00DC6779">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1A5F3" w14:textId="77777777" w:rsidR="00861189" w:rsidRPr="0009649B" w:rsidRDefault="00861189">
    <w:pPr>
      <w:jc w:val="right"/>
      <w:rPr>
        <w:lang w:val="en-US"/>
      </w:rPr>
    </w:pPr>
    <w:r>
      <w:fldChar w:fldCharType="begin"/>
    </w:r>
    <w:r w:rsidRPr="0009649B">
      <w:rPr>
        <w:lang w:val="en-US"/>
      </w:rPr>
      <w:instrText>DOCPROPERTY "Document number"  \* MERGEFORMAT</w:instrText>
    </w:r>
    <w:r>
      <w:fldChar w:fldCharType="separate"/>
    </w:r>
    <w:r w:rsidRPr="0009649B">
      <w:rPr>
        <w:lang w:val="en-US"/>
      </w:rPr>
      <w:t>UNEP/OzL.Pro/ExCom/96/11</w:t>
    </w:r>
    <w:r>
      <w:fldChar w:fldCharType="end"/>
    </w:r>
  </w:p>
  <w:p w14:paraId="7078186B" w14:textId="77777777" w:rsidR="00861189" w:rsidRPr="0009649B" w:rsidRDefault="00861189" w:rsidP="00861189">
    <w:pPr>
      <w:jc w:val="right"/>
      <w:rPr>
        <w:lang w:val="en-US"/>
      </w:rPr>
    </w:pPr>
    <w:r w:rsidRPr="0009649B">
      <w:rPr>
        <w:lang w:val="en-US"/>
      </w:rPr>
      <w:t>Annexe I</w:t>
    </w:r>
  </w:p>
  <w:p w14:paraId="4A4DA31A" w14:textId="77777777" w:rsidR="00861189" w:rsidRPr="0009649B" w:rsidRDefault="00861189">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4334E" w14:textId="77777777" w:rsidR="00AE3453" w:rsidRPr="0009649B" w:rsidRDefault="00AE3453">
    <w:pPr>
      <w:jc w:val="right"/>
      <w:rPr>
        <w:lang w:val="en-US"/>
      </w:rPr>
    </w:pPr>
    <w:r>
      <w:fldChar w:fldCharType="begin"/>
    </w:r>
    <w:r w:rsidRPr="0009649B">
      <w:rPr>
        <w:lang w:val="en-US"/>
      </w:rPr>
      <w:instrText>DOCPROPERTY "Document number"  \* MERGEFORMAT</w:instrText>
    </w:r>
    <w:r>
      <w:fldChar w:fldCharType="separate"/>
    </w:r>
    <w:r w:rsidRPr="0009649B">
      <w:rPr>
        <w:lang w:val="en-US"/>
      </w:rPr>
      <w:t>UNEP/OzL.Pro/ExCom/96/11</w:t>
    </w:r>
    <w:r>
      <w:fldChar w:fldCharType="end"/>
    </w:r>
  </w:p>
  <w:p w14:paraId="63F124CE" w14:textId="556CA18F" w:rsidR="00AE3453" w:rsidRPr="0009649B" w:rsidRDefault="00AE3453" w:rsidP="00861189">
    <w:pPr>
      <w:jc w:val="right"/>
      <w:rPr>
        <w:lang w:val="en-US"/>
      </w:rPr>
    </w:pPr>
    <w:r w:rsidRPr="0009649B">
      <w:rPr>
        <w:lang w:val="en-US"/>
      </w:rPr>
      <w:t>Annexe II</w:t>
    </w:r>
  </w:p>
  <w:p w14:paraId="351DDB23" w14:textId="77777777" w:rsidR="00AE3453" w:rsidRPr="0009649B" w:rsidRDefault="00AE3453">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951A0" w14:textId="77777777" w:rsidR="00BD6205" w:rsidRPr="0009649B" w:rsidRDefault="00BD6205">
    <w:pPr>
      <w:jc w:val="right"/>
      <w:rPr>
        <w:lang w:val="en-US"/>
      </w:rPr>
    </w:pPr>
    <w:r>
      <w:fldChar w:fldCharType="begin"/>
    </w:r>
    <w:r w:rsidRPr="0009649B">
      <w:rPr>
        <w:lang w:val="en-US"/>
      </w:rPr>
      <w:instrText>DOCPROPERTY "Document number"  \* MERGEFORMAT</w:instrText>
    </w:r>
    <w:r>
      <w:fldChar w:fldCharType="separate"/>
    </w:r>
    <w:r w:rsidRPr="0009649B">
      <w:rPr>
        <w:lang w:val="en-US"/>
      </w:rPr>
      <w:t>UNEP/OzL.Pro/ExCom/96/11</w:t>
    </w:r>
    <w:r>
      <w:fldChar w:fldCharType="end"/>
    </w:r>
  </w:p>
  <w:p w14:paraId="1F9D216C" w14:textId="5784877E" w:rsidR="00BD6205" w:rsidRPr="0009649B" w:rsidRDefault="00BD6205" w:rsidP="00861189">
    <w:pPr>
      <w:jc w:val="right"/>
      <w:rPr>
        <w:lang w:val="en-US"/>
      </w:rPr>
    </w:pPr>
    <w:r w:rsidRPr="0009649B">
      <w:rPr>
        <w:lang w:val="en-US"/>
      </w:rPr>
      <w:t>Annexe III</w:t>
    </w:r>
  </w:p>
  <w:p w14:paraId="6A17EBD9" w14:textId="77777777" w:rsidR="00BD6205" w:rsidRPr="0009649B" w:rsidRDefault="00BD6205">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BE5786"/>
    <w:multiLevelType w:val="hybridMultilevel"/>
    <w:tmpl w:val="65504536"/>
    <w:lvl w:ilvl="0" w:tplc="91B694C2">
      <w:start w:val="1"/>
      <w:numFmt w:val="upperLetter"/>
      <w:lvlText w:val="%1."/>
      <w:lvlJc w:val="left"/>
      <w:pPr>
        <w:ind w:left="720" w:hanging="360"/>
      </w:pPr>
      <w:rPr>
        <w:rFonts w:hint="default"/>
        <w:b/>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FCC3A06"/>
    <w:multiLevelType w:val="hybridMultilevel"/>
    <w:tmpl w:val="B6BCD6F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5B4421A"/>
    <w:multiLevelType w:val="multilevel"/>
    <w:tmpl w:val="BAAE1E8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78848E2"/>
    <w:multiLevelType w:val="multilevel"/>
    <w:tmpl w:val="90CC590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EA52AAA"/>
    <w:multiLevelType w:val="multilevel"/>
    <w:tmpl w:val="DC5C7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58C0381"/>
    <w:multiLevelType w:val="multilevel"/>
    <w:tmpl w:val="4066F01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4E631A8"/>
    <w:multiLevelType w:val="multilevel"/>
    <w:tmpl w:val="6DF6EB6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15:restartNumberingAfterBreak="0">
    <w:nsid w:val="578972A4"/>
    <w:multiLevelType w:val="multilevel"/>
    <w:tmpl w:val="9ABA4778"/>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3" w15:restartNumberingAfterBreak="0">
    <w:nsid w:val="73141EAA"/>
    <w:multiLevelType w:val="hybridMultilevel"/>
    <w:tmpl w:val="7E26F05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9"/>
  </w:num>
  <w:num w:numId="18" w16cid:durableId="559828470">
    <w:abstractNumId w:val="20"/>
  </w:num>
  <w:num w:numId="19" w16cid:durableId="1488010068">
    <w:abstractNumId w:val="24"/>
  </w:num>
  <w:num w:numId="20" w16cid:durableId="444007775">
    <w:abstractNumId w:val="17"/>
  </w:num>
  <w:num w:numId="21" w16cid:durableId="485976720">
    <w:abstractNumId w:val="16"/>
  </w:num>
  <w:num w:numId="22" w16cid:durableId="463038481">
    <w:abstractNumId w:val="14"/>
  </w:num>
  <w:num w:numId="23" w16cid:durableId="1145968672">
    <w:abstractNumId w:val="21"/>
  </w:num>
  <w:num w:numId="24" w16cid:durableId="208150556">
    <w:abstractNumId w:val="22"/>
  </w:num>
  <w:num w:numId="25" w16cid:durableId="1104300103">
    <w:abstractNumId w:val="18"/>
  </w:num>
  <w:num w:numId="26" w16cid:durableId="1370644064">
    <w:abstractNumId w:val="12"/>
  </w:num>
  <w:num w:numId="27" w16cid:durableId="739716681">
    <w:abstractNumId w:val="11"/>
  </w:num>
  <w:num w:numId="28" w16cid:durableId="695500159">
    <w:abstractNumId w:val="23"/>
  </w:num>
  <w:num w:numId="29" w16cid:durableId="17808514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133FD"/>
    <w:rsid w:val="0001504D"/>
    <w:rsid w:val="000211A9"/>
    <w:rsid w:val="00021238"/>
    <w:rsid w:val="00021333"/>
    <w:rsid w:val="00021CF3"/>
    <w:rsid w:val="00022071"/>
    <w:rsid w:val="00022B68"/>
    <w:rsid w:val="0003045B"/>
    <w:rsid w:val="00031260"/>
    <w:rsid w:val="00033EF6"/>
    <w:rsid w:val="0003681A"/>
    <w:rsid w:val="000372B7"/>
    <w:rsid w:val="00050F6E"/>
    <w:rsid w:val="00050FCA"/>
    <w:rsid w:val="0005355A"/>
    <w:rsid w:val="000553CE"/>
    <w:rsid w:val="00061131"/>
    <w:rsid w:val="00061EC2"/>
    <w:rsid w:val="00066CE8"/>
    <w:rsid w:val="00080ED0"/>
    <w:rsid w:val="00085B8F"/>
    <w:rsid w:val="00090481"/>
    <w:rsid w:val="0009649B"/>
    <w:rsid w:val="000A30B9"/>
    <w:rsid w:val="000A3826"/>
    <w:rsid w:val="000A6C26"/>
    <w:rsid w:val="000B36C8"/>
    <w:rsid w:val="000B52AB"/>
    <w:rsid w:val="000C2501"/>
    <w:rsid w:val="000C6182"/>
    <w:rsid w:val="000D52A4"/>
    <w:rsid w:val="000D5BA9"/>
    <w:rsid w:val="000E07BC"/>
    <w:rsid w:val="000E2E21"/>
    <w:rsid w:val="000F1CD4"/>
    <w:rsid w:val="000F4103"/>
    <w:rsid w:val="000F70A7"/>
    <w:rsid w:val="000F7E42"/>
    <w:rsid w:val="00113CCA"/>
    <w:rsid w:val="00122F25"/>
    <w:rsid w:val="00125D38"/>
    <w:rsid w:val="00126F4F"/>
    <w:rsid w:val="00135980"/>
    <w:rsid w:val="0013786F"/>
    <w:rsid w:val="00142141"/>
    <w:rsid w:val="001539CB"/>
    <w:rsid w:val="00154FF1"/>
    <w:rsid w:val="001564CB"/>
    <w:rsid w:val="0016123A"/>
    <w:rsid w:val="00164719"/>
    <w:rsid w:val="00166FC4"/>
    <w:rsid w:val="001677AC"/>
    <w:rsid w:val="00170687"/>
    <w:rsid w:val="00174993"/>
    <w:rsid w:val="00176027"/>
    <w:rsid w:val="00176B46"/>
    <w:rsid w:val="001804EA"/>
    <w:rsid w:val="00190A61"/>
    <w:rsid w:val="001940A8"/>
    <w:rsid w:val="00197179"/>
    <w:rsid w:val="001A2215"/>
    <w:rsid w:val="001A3342"/>
    <w:rsid w:val="001A3E3D"/>
    <w:rsid w:val="001A7049"/>
    <w:rsid w:val="001B1E40"/>
    <w:rsid w:val="001B2EE2"/>
    <w:rsid w:val="001B5515"/>
    <w:rsid w:val="001B5D19"/>
    <w:rsid w:val="001C34E2"/>
    <w:rsid w:val="001C764E"/>
    <w:rsid w:val="001C78F5"/>
    <w:rsid w:val="001E1052"/>
    <w:rsid w:val="001E139F"/>
    <w:rsid w:val="001E21B1"/>
    <w:rsid w:val="001E2F93"/>
    <w:rsid w:val="001E3B0B"/>
    <w:rsid w:val="001E4554"/>
    <w:rsid w:val="001E61E5"/>
    <w:rsid w:val="001F2159"/>
    <w:rsid w:val="001F53FD"/>
    <w:rsid w:val="001F7614"/>
    <w:rsid w:val="00206ADB"/>
    <w:rsid w:val="00210B8B"/>
    <w:rsid w:val="0021194A"/>
    <w:rsid w:val="002136CB"/>
    <w:rsid w:val="00214863"/>
    <w:rsid w:val="002156B4"/>
    <w:rsid w:val="00224FCD"/>
    <w:rsid w:val="0023132A"/>
    <w:rsid w:val="0024584F"/>
    <w:rsid w:val="00253222"/>
    <w:rsid w:val="00260CF3"/>
    <w:rsid w:val="00261C13"/>
    <w:rsid w:val="00261CE0"/>
    <w:rsid w:val="00261F9B"/>
    <w:rsid w:val="002620A4"/>
    <w:rsid w:val="0026229E"/>
    <w:rsid w:val="00262847"/>
    <w:rsid w:val="0027224F"/>
    <w:rsid w:val="00281BB2"/>
    <w:rsid w:val="00282C48"/>
    <w:rsid w:val="00287554"/>
    <w:rsid w:val="00292557"/>
    <w:rsid w:val="002A03C3"/>
    <w:rsid w:val="002A0B51"/>
    <w:rsid w:val="002B254E"/>
    <w:rsid w:val="002B4CE8"/>
    <w:rsid w:val="002B72E9"/>
    <w:rsid w:val="002C53E8"/>
    <w:rsid w:val="002C6C67"/>
    <w:rsid w:val="002C7998"/>
    <w:rsid w:val="002D7126"/>
    <w:rsid w:val="002F1E53"/>
    <w:rsid w:val="002F2CAA"/>
    <w:rsid w:val="002F5E8C"/>
    <w:rsid w:val="002F7ADB"/>
    <w:rsid w:val="0030052C"/>
    <w:rsid w:val="00310590"/>
    <w:rsid w:val="00311E25"/>
    <w:rsid w:val="00313D6C"/>
    <w:rsid w:val="00322180"/>
    <w:rsid w:val="003306E1"/>
    <w:rsid w:val="003320E4"/>
    <w:rsid w:val="00332272"/>
    <w:rsid w:val="0033525D"/>
    <w:rsid w:val="003414F3"/>
    <w:rsid w:val="0035065B"/>
    <w:rsid w:val="00354D03"/>
    <w:rsid w:val="00355F14"/>
    <w:rsid w:val="0035613E"/>
    <w:rsid w:val="0035725F"/>
    <w:rsid w:val="00362B20"/>
    <w:rsid w:val="00363EE9"/>
    <w:rsid w:val="00371252"/>
    <w:rsid w:val="003724D0"/>
    <w:rsid w:val="00376128"/>
    <w:rsid w:val="0037742E"/>
    <w:rsid w:val="00377D56"/>
    <w:rsid w:val="0038245A"/>
    <w:rsid w:val="003840E6"/>
    <w:rsid w:val="00385CFC"/>
    <w:rsid w:val="0039337A"/>
    <w:rsid w:val="00394535"/>
    <w:rsid w:val="00395443"/>
    <w:rsid w:val="0039764E"/>
    <w:rsid w:val="003A3189"/>
    <w:rsid w:val="003A3CA7"/>
    <w:rsid w:val="003B33BD"/>
    <w:rsid w:val="003B569D"/>
    <w:rsid w:val="003C07BD"/>
    <w:rsid w:val="003C3C0E"/>
    <w:rsid w:val="003D2F03"/>
    <w:rsid w:val="003D42A6"/>
    <w:rsid w:val="003D4F21"/>
    <w:rsid w:val="003D4FAC"/>
    <w:rsid w:val="003E1885"/>
    <w:rsid w:val="003E7906"/>
    <w:rsid w:val="003F000F"/>
    <w:rsid w:val="003F3C50"/>
    <w:rsid w:val="003F5F3A"/>
    <w:rsid w:val="003F6E3E"/>
    <w:rsid w:val="00405FD9"/>
    <w:rsid w:val="00406202"/>
    <w:rsid w:val="00406A6A"/>
    <w:rsid w:val="00406B22"/>
    <w:rsid w:val="00407147"/>
    <w:rsid w:val="004078FA"/>
    <w:rsid w:val="00426460"/>
    <w:rsid w:val="00430B25"/>
    <w:rsid w:val="00431E08"/>
    <w:rsid w:val="004328A7"/>
    <w:rsid w:val="00434C74"/>
    <w:rsid w:val="00442BD9"/>
    <w:rsid w:val="00453362"/>
    <w:rsid w:val="00456EB4"/>
    <w:rsid w:val="00457827"/>
    <w:rsid w:val="004620AA"/>
    <w:rsid w:val="00463505"/>
    <w:rsid w:val="00465404"/>
    <w:rsid w:val="004718F3"/>
    <w:rsid w:val="00473B75"/>
    <w:rsid w:val="004748A4"/>
    <w:rsid w:val="00475040"/>
    <w:rsid w:val="00476BE4"/>
    <w:rsid w:val="004810D0"/>
    <w:rsid w:val="00481237"/>
    <w:rsid w:val="004825BA"/>
    <w:rsid w:val="0048662E"/>
    <w:rsid w:val="00490C06"/>
    <w:rsid w:val="004930F6"/>
    <w:rsid w:val="00493C9C"/>
    <w:rsid w:val="00493D40"/>
    <w:rsid w:val="00493EE3"/>
    <w:rsid w:val="004967B6"/>
    <w:rsid w:val="004A23DE"/>
    <w:rsid w:val="004A504B"/>
    <w:rsid w:val="004A5450"/>
    <w:rsid w:val="004A6911"/>
    <w:rsid w:val="004A7A62"/>
    <w:rsid w:val="004B1DD1"/>
    <w:rsid w:val="004B3652"/>
    <w:rsid w:val="004B54E0"/>
    <w:rsid w:val="004B7384"/>
    <w:rsid w:val="004C4269"/>
    <w:rsid w:val="004C61AD"/>
    <w:rsid w:val="004D6236"/>
    <w:rsid w:val="004D7F90"/>
    <w:rsid w:val="004E4DBB"/>
    <w:rsid w:val="004E4E41"/>
    <w:rsid w:val="004E4F0C"/>
    <w:rsid w:val="004E73DB"/>
    <w:rsid w:val="004E7F9C"/>
    <w:rsid w:val="004F03D3"/>
    <w:rsid w:val="004F3493"/>
    <w:rsid w:val="004F48FC"/>
    <w:rsid w:val="004F5143"/>
    <w:rsid w:val="00512B09"/>
    <w:rsid w:val="00515B7E"/>
    <w:rsid w:val="00520E98"/>
    <w:rsid w:val="005220ED"/>
    <w:rsid w:val="00522CBC"/>
    <w:rsid w:val="00526866"/>
    <w:rsid w:val="00533796"/>
    <w:rsid w:val="00534114"/>
    <w:rsid w:val="0053644D"/>
    <w:rsid w:val="00537343"/>
    <w:rsid w:val="00542E05"/>
    <w:rsid w:val="00543A70"/>
    <w:rsid w:val="00543E11"/>
    <w:rsid w:val="005507AD"/>
    <w:rsid w:val="005516F3"/>
    <w:rsid w:val="00555D75"/>
    <w:rsid w:val="00560DF0"/>
    <w:rsid w:val="0056759C"/>
    <w:rsid w:val="005722B4"/>
    <w:rsid w:val="005762A0"/>
    <w:rsid w:val="0058263D"/>
    <w:rsid w:val="00592CE4"/>
    <w:rsid w:val="0059513E"/>
    <w:rsid w:val="005968BA"/>
    <w:rsid w:val="005A4437"/>
    <w:rsid w:val="005A6AA4"/>
    <w:rsid w:val="005A6D9F"/>
    <w:rsid w:val="005B48FF"/>
    <w:rsid w:val="005B4C17"/>
    <w:rsid w:val="005C1E32"/>
    <w:rsid w:val="005C20D1"/>
    <w:rsid w:val="005C4399"/>
    <w:rsid w:val="005C670D"/>
    <w:rsid w:val="005D363F"/>
    <w:rsid w:val="005F5031"/>
    <w:rsid w:val="00604C15"/>
    <w:rsid w:val="006158D5"/>
    <w:rsid w:val="00625D83"/>
    <w:rsid w:val="006444EC"/>
    <w:rsid w:val="00644E5D"/>
    <w:rsid w:val="00651984"/>
    <w:rsid w:val="006623E7"/>
    <w:rsid w:val="00662B80"/>
    <w:rsid w:val="006643DA"/>
    <w:rsid w:val="0066768F"/>
    <w:rsid w:val="00670F6C"/>
    <w:rsid w:val="00676E58"/>
    <w:rsid w:val="00677A2B"/>
    <w:rsid w:val="00680DE9"/>
    <w:rsid w:val="006852C7"/>
    <w:rsid w:val="006852CE"/>
    <w:rsid w:val="00686077"/>
    <w:rsid w:val="00692D14"/>
    <w:rsid w:val="006A0FCF"/>
    <w:rsid w:val="006A7A3B"/>
    <w:rsid w:val="006B4F6F"/>
    <w:rsid w:val="006B65C7"/>
    <w:rsid w:val="006B6821"/>
    <w:rsid w:val="006B7793"/>
    <w:rsid w:val="006C1727"/>
    <w:rsid w:val="006C32FD"/>
    <w:rsid w:val="006C39CE"/>
    <w:rsid w:val="006C5474"/>
    <w:rsid w:val="006D0FCC"/>
    <w:rsid w:val="006D21F5"/>
    <w:rsid w:val="006D3089"/>
    <w:rsid w:val="006E126D"/>
    <w:rsid w:val="006E1FC3"/>
    <w:rsid w:val="006F5913"/>
    <w:rsid w:val="00704CE9"/>
    <w:rsid w:val="0070616B"/>
    <w:rsid w:val="00706295"/>
    <w:rsid w:val="007065D6"/>
    <w:rsid w:val="00706FDA"/>
    <w:rsid w:val="00711F9A"/>
    <w:rsid w:val="00713810"/>
    <w:rsid w:val="007303A5"/>
    <w:rsid w:val="00730B3E"/>
    <w:rsid w:val="0073420B"/>
    <w:rsid w:val="00736367"/>
    <w:rsid w:val="007371F3"/>
    <w:rsid w:val="0074760E"/>
    <w:rsid w:val="007548C4"/>
    <w:rsid w:val="00754ABA"/>
    <w:rsid w:val="00756320"/>
    <w:rsid w:val="00760CB2"/>
    <w:rsid w:val="007624A2"/>
    <w:rsid w:val="007628A9"/>
    <w:rsid w:val="00771DF4"/>
    <w:rsid w:val="00782B0D"/>
    <w:rsid w:val="0078780E"/>
    <w:rsid w:val="00794D51"/>
    <w:rsid w:val="0079781A"/>
    <w:rsid w:val="007A14B1"/>
    <w:rsid w:val="007A1546"/>
    <w:rsid w:val="007A228C"/>
    <w:rsid w:val="007A368E"/>
    <w:rsid w:val="007A4382"/>
    <w:rsid w:val="007A5868"/>
    <w:rsid w:val="007A7AFA"/>
    <w:rsid w:val="007B04CE"/>
    <w:rsid w:val="007B1200"/>
    <w:rsid w:val="007B2497"/>
    <w:rsid w:val="007B27C6"/>
    <w:rsid w:val="007B62C4"/>
    <w:rsid w:val="007B6871"/>
    <w:rsid w:val="007B6FB9"/>
    <w:rsid w:val="007B7A2F"/>
    <w:rsid w:val="007C2B69"/>
    <w:rsid w:val="007C32EE"/>
    <w:rsid w:val="007C3D33"/>
    <w:rsid w:val="007D294A"/>
    <w:rsid w:val="007D47D2"/>
    <w:rsid w:val="007D6EC0"/>
    <w:rsid w:val="007D7E1D"/>
    <w:rsid w:val="007E25B8"/>
    <w:rsid w:val="007E4872"/>
    <w:rsid w:val="007E503C"/>
    <w:rsid w:val="007E68FD"/>
    <w:rsid w:val="0080345C"/>
    <w:rsid w:val="00810F27"/>
    <w:rsid w:val="0081528F"/>
    <w:rsid w:val="0082522F"/>
    <w:rsid w:val="0082615C"/>
    <w:rsid w:val="00831979"/>
    <w:rsid w:val="00851352"/>
    <w:rsid w:val="00856942"/>
    <w:rsid w:val="00857077"/>
    <w:rsid w:val="00861189"/>
    <w:rsid w:val="00861F3C"/>
    <w:rsid w:val="00862EF6"/>
    <w:rsid w:val="00863230"/>
    <w:rsid w:val="00865BD0"/>
    <w:rsid w:val="008717D8"/>
    <w:rsid w:val="0087215C"/>
    <w:rsid w:val="00873491"/>
    <w:rsid w:val="00875D25"/>
    <w:rsid w:val="00880E35"/>
    <w:rsid w:val="008875FE"/>
    <w:rsid w:val="00887F8E"/>
    <w:rsid w:val="00891AD1"/>
    <w:rsid w:val="00896234"/>
    <w:rsid w:val="00897E43"/>
    <w:rsid w:val="008C209D"/>
    <w:rsid w:val="008C222B"/>
    <w:rsid w:val="008C5154"/>
    <w:rsid w:val="008C5738"/>
    <w:rsid w:val="008C7EAD"/>
    <w:rsid w:val="008D0CFE"/>
    <w:rsid w:val="008D6152"/>
    <w:rsid w:val="008D71C7"/>
    <w:rsid w:val="008E50B0"/>
    <w:rsid w:val="008E7BA9"/>
    <w:rsid w:val="008F0F81"/>
    <w:rsid w:val="008F27BF"/>
    <w:rsid w:val="008F2E64"/>
    <w:rsid w:val="00900FEB"/>
    <w:rsid w:val="0090775E"/>
    <w:rsid w:val="009142EC"/>
    <w:rsid w:val="009145E4"/>
    <w:rsid w:val="009154C3"/>
    <w:rsid w:val="00923540"/>
    <w:rsid w:val="00924700"/>
    <w:rsid w:val="00926767"/>
    <w:rsid w:val="009274EA"/>
    <w:rsid w:val="00927FA6"/>
    <w:rsid w:val="00930ACB"/>
    <w:rsid w:val="009361D5"/>
    <w:rsid w:val="009428A4"/>
    <w:rsid w:val="00950EC2"/>
    <w:rsid w:val="00954332"/>
    <w:rsid w:val="00957E6D"/>
    <w:rsid w:val="009603BA"/>
    <w:rsid w:val="00964DF4"/>
    <w:rsid w:val="009659F4"/>
    <w:rsid w:val="009700B8"/>
    <w:rsid w:val="00970D60"/>
    <w:rsid w:val="009874D0"/>
    <w:rsid w:val="0099043C"/>
    <w:rsid w:val="0099390E"/>
    <w:rsid w:val="009960E5"/>
    <w:rsid w:val="009A7ADC"/>
    <w:rsid w:val="009B0D30"/>
    <w:rsid w:val="009C19B7"/>
    <w:rsid w:val="009C4636"/>
    <w:rsid w:val="009C5A95"/>
    <w:rsid w:val="009C5ABB"/>
    <w:rsid w:val="009D0BEF"/>
    <w:rsid w:val="009D5D79"/>
    <w:rsid w:val="009D7C51"/>
    <w:rsid w:val="009E053A"/>
    <w:rsid w:val="009E05FA"/>
    <w:rsid w:val="009E196C"/>
    <w:rsid w:val="009E2EB0"/>
    <w:rsid w:val="009E5B53"/>
    <w:rsid w:val="009E6A0A"/>
    <w:rsid w:val="009F1217"/>
    <w:rsid w:val="009F36BF"/>
    <w:rsid w:val="00A111B6"/>
    <w:rsid w:val="00A1487B"/>
    <w:rsid w:val="00A24A18"/>
    <w:rsid w:val="00A26D27"/>
    <w:rsid w:val="00A343E6"/>
    <w:rsid w:val="00A376EE"/>
    <w:rsid w:val="00A423DD"/>
    <w:rsid w:val="00A42A99"/>
    <w:rsid w:val="00A5151A"/>
    <w:rsid w:val="00A56A57"/>
    <w:rsid w:val="00A570FF"/>
    <w:rsid w:val="00A57E0A"/>
    <w:rsid w:val="00A77919"/>
    <w:rsid w:val="00A823F6"/>
    <w:rsid w:val="00A85193"/>
    <w:rsid w:val="00A8719E"/>
    <w:rsid w:val="00AA0A89"/>
    <w:rsid w:val="00AA5368"/>
    <w:rsid w:val="00AA6429"/>
    <w:rsid w:val="00AC01AA"/>
    <w:rsid w:val="00AC0318"/>
    <w:rsid w:val="00AC18E1"/>
    <w:rsid w:val="00AC3EE9"/>
    <w:rsid w:val="00AC4F72"/>
    <w:rsid w:val="00AC5041"/>
    <w:rsid w:val="00AD16A8"/>
    <w:rsid w:val="00AD1AF0"/>
    <w:rsid w:val="00AD271C"/>
    <w:rsid w:val="00AE0FEA"/>
    <w:rsid w:val="00AE3453"/>
    <w:rsid w:val="00AE3A61"/>
    <w:rsid w:val="00AE482E"/>
    <w:rsid w:val="00AF1B39"/>
    <w:rsid w:val="00AF741A"/>
    <w:rsid w:val="00AF7F05"/>
    <w:rsid w:val="00B01ADB"/>
    <w:rsid w:val="00B02CE7"/>
    <w:rsid w:val="00B04161"/>
    <w:rsid w:val="00B056F9"/>
    <w:rsid w:val="00B11E3D"/>
    <w:rsid w:val="00B14D2C"/>
    <w:rsid w:val="00B17E82"/>
    <w:rsid w:val="00B41B2B"/>
    <w:rsid w:val="00B4575A"/>
    <w:rsid w:val="00B46D00"/>
    <w:rsid w:val="00B51D38"/>
    <w:rsid w:val="00B55562"/>
    <w:rsid w:val="00B575BA"/>
    <w:rsid w:val="00B6482C"/>
    <w:rsid w:val="00B6659E"/>
    <w:rsid w:val="00B71608"/>
    <w:rsid w:val="00B76429"/>
    <w:rsid w:val="00B811F5"/>
    <w:rsid w:val="00B827AF"/>
    <w:rsid w:val="00B83026"/>
    <w:rsid w:val="00B86471"/>
    <w:rsid w:val="00B872EC"/>
    <w:rsid w:val="00B91B22"/>
    <w:rsid w:val="00B956D4"/>
    <w:rsid w:val="00B95E7B"/>
    <w:rsid w:val="00B96082"/>
    <w:rsid w:val="00B96395"/>
    <w:rsid w:val="00B97446"/>
    <w:rsid w:val="00BA7432"/>
    <w:rsid w:val="00BB2764"/>
    <w:rsid w:val="00BB725A"/>
    <w:rsid w:val="00BC0D7B"/>
    <w:rsid w:val="00BC1AA0"/>
    <w:rsid w:val="00BC2495"/>
    <w:rsid w:val="00BC314A"/>
    <w:rsid w:val="00BC6D6E"/>
    <w:rsid w:val="00BC7EB9"/>
    <w:rsid w:val="00BD2643"/>
    <w:rsid w:val="00BD56B1"/>
    <w:rsid w:val="00BD6205"/>
    <w:rsid w:val="00BD6558"/>
    <w:rsid w:val="00BE0556"/>
    <w:rsid w:val="00BF2AD7"/>
    <w:rsid w:val="00BF2F76"/>
    <w:rsid w:val="00BF3022"/>
    <w:rsid w:val="00BF3214"/>
    <w:rsid w:val="00BF4672"/>
    <w:rsid w:val="00BF5573"/>
    <w:rsid w:val="00C06A86"/>
    <w:rsid w:val="00C125D4"/>
    <w:rsid w:val="00C15867"/>
    <w:rsid w:val="00C22398"/>
    <w:rsid w:val="00C2296D"/>
    <w:rsid w:val="00C23155"/>
    <w:rsid w:val="00C25615"/>
    <w:rsid w:val="00C40C41"/>
    <w:rsid w:val="00C44CB3"/>
    <w:rsid w:val="00C45551"/>
    <w:rsid w:val="00C45885"/>
    <w:rsid w:val="00C50F22"/>
    <w:rsid w:val="00C536DC"/>
    <w:rsid w:val="00C57971"/>
    <w:rsid w:val="00C628DA"/>
    <w:rsid w:val="00C65BD7"/>
    <w:rsid w:val="00C75A49"/>
    <w:rsid w:val="00C76BA4"/>
    <w:rsid w:val="00C77C4A"/>
    <w:rsid w:val="00C83A48"/>
    <w:rsid w:val="00C85865"/>
    <w:rsid w:val="00C85E85"/>
    <w:rsid w:val="00C926C8"/>
    <w:rsid w:val="00C93941"/>
    <w:rsid w:val="00C93AE5"/>
    <w:rsid w:val="00C961E4"/>
    <w:rsid w:val="00C976F4"/>
    <w:rsid w:val="00CA279E"/>
    <w:rsid w:val="00CA2EAE"/>
    <w:rsid w:val="00CA4AC1"/>
    <w:rsid w:val="00CA4C59"/>
    <w:rsid w:val="00CA59FB"/>
    <w:rsid w:val="00CB0316"/>
    <w:rsid w:val="00CB0B11"/>
    <w:rsid w:val="00CB1DBA"/>
    <w:rsid w:val="00CB426A"/>
    <w:rsid w:val="00CB5354"/>
    <w:rsid w:val="00CB7DF1"/>
    <w:rsid w:val="00CC3C9E"/>
    <w:rsid w:val="00CC6A14"/>
    <w:rsid w:val="00CC70A3"/>
    <w:rsid w:val="00CD088A"/>
    <w:rsid w:val="00CD4442"/>
    <w:rsid w:val="00CD53C3"/>
    <w:rsid w:val="00CD574E"/>
    <w:rsid w:val="00CE4C22"/>
    <w:rsid w:val="00CE76E5"/>
    <w:rsid w:val="00CF41EC"/>
    <w:rsid w:val="00CF4B68"/>
    <w:rsid w:val="00CF5D04"/>
    <w:rsid w:val="00CF7885"/>
    <w:rsid w:val="00D01C0D"/>
    <w:rsid w:val="00D04DE4"/>
    <w:rsid w:val="00D063F1"/>
    <w:rsid w:val="00D11735"/>
    <w:rsid w:val="00D11A63"/>
    <w:rsid w:val="00D14F22"/>
    <w:rsid w:val="00D16959"/>
    <w:rsid w:val="00D17E08"/>
    <w:rsid w:val="00D20CEF"/>
    <w:rsid w:val="00D24003"/>
    <w:rsid w:val="00D35ED6"/>
    <w:rsid w:val="00D37494"/>
    <w:rsid w:val="00D4741C"/>
    <w:rsid w:val="00D560C0"/>
    <w:rsid w:val="00D57918"/>
    <w:rsid w:val="00D66C1C"/>
    <w:rsid w:val="00D73DC6"/>
    <w:rsid w:val="00D74C1A"/>
    <w:rsid w:val="00D754C1"/>
    <w:rsid w:val="00D75A4D"/>
    <w:rsid w:val="00D77393"/>
    <w:rsid w:val="00D77A35"/>
    <w:rsid w:val="00D81B3E"/>
    <w:rsid w:val="00D82B79"/>
    <w:rsid w:val="00D90C70"/>
    <w:rsid w:val="00D90E49"/>
    <w:rsid w:val="00D94149"/>
    <w:rsid w:val="00D96ADE"/>
    <w:rsid w:val="00DA0CE2"/>
    <w:rsid w:val="00DA2387"/>
    <w:rsid w:val="00DA7D6D"/>
    <w:rsid w:val="00DB47DC"/>
    <w:rsid w:val="00DC6779"/>
    <w:rsid w:val="00DC6A10"/>
    <w:rsid w:val="00DE657E"/>
    <w:rsid w:val="00DE7FB0"/>
    <w:rsid w:val="00DF425A"/>
    <w:rsid w:val="00DF4704"/>
    <w:rsid w:val="00E024AA"/>
    <w:rsid w:val="00E15C77"/>
    <w:rsid w:val="00E1693E"/>
    <w:rsid w:val="00E2193B"/>
    <w:rsid w:val="00E250F1"/>
    <w:rsid w:val="00E27BE9"/>
    <w:rsid w:val="00E35103"/>
    <w:rsid w:val="00E3550D"/>
    <w:rsid w:val="00E50F0D"/>
    <w:rsid w:val="00E52838"/>
    <w:rsid w:val="00E54897"/>
    <w:rsid w:val="00E564D9"/>
    <w:rsid w:val="00E614E0"/>
    <w:rsid w:val="00E70CB0"/>
    <w:rsid w:val="00E71F30"/>
    <w:rsid w:val="00E73F7F"/>
    <w:rsid w:val="00E753E8"/>
    <w:rsid w:val="00E75469"/>
    <w:rsid w:val="00E80C3E"/>
    <w:rsid w:val="00E85409"/>
    <w:rsid w:val="00E86C15"/>
    <w:rsid w:val="00E9141F"/>
    <w:rsid w:val="00E9339B"/>
    <w:rsid w:val="00E94265"/>
    <w:rsid w:val="00E9775A"/>
    <w:rsid w:val="00EA2811"/>
    <w:rsid w:val="00EA429F"/>
    <w:rsid w:val="00EA43B3"/>
    <w:rsid w:val="00EA4F9E"/>
    <w:rsid w:val="00EA5AE2"/>
    <w:rsid w:val="00EA63CA"/>
    <w:rsid w:val="00EA6A63"/>
    <w:rsid w:val="00EA6D3B"/>
    <w:rsid w:val="00EA797E"/>
    <w:rsid w:val="00EB00AD"/>
    <w:rsid w:val="00EB136C"/>
    <w:rsid w:val="00EB480E"/>
    <w:rsid w:val="00EB5EC6"/>
    <w:rsid w:val="00EB7295"/>
    <w:rsid w:val="00EB7FC9"/>
    <w:rsid w:val="00EC6B67"/>
    <w:rsid w:val="00EC6EB7"/>
    <w:rsid w:val="00ED27E8"/>
    <w:rsid w:val="00ED7137"/>
    <w:rsid w:val="00EE2FA2"/>
    <w:rsid w:val="00EF06EA"/>
    <w:rsid w:val="00F057A7"/>
    <w:rsid w:val="00F07604"/>
    <w:rsid w:val="00F10452"/>
    <w:rsid w:val="00F107A2"/>
    <w:rsid w:val="00F12EA3"/>
    <w:rsid w:val="00F13DDC"/>
    <w:rsid w:val="00F21088"/>
    <w:rsid w:val="00F24400"/>
    <w:rsid w:val="00F24E14"/>
    <w:rsid w:val="00F326BF"/>
    <w:rsid w:val="00F327E7"/>
    <w:rsid w:val="00F34A57"/>
    <w:rsid w:val="00F35746"/>
    <w:rsid w:val="00F42E7F"/>
    <w:rsid w:val="00F43592"/>
    <w:rsid w:val="00F44226"/>
    <w:rsid w:val="00F447C7"/>
    <w:rsid w:val="00F44B9C"/>
    <w:rsid w:val="00F459B4"/>
    <w:rsid w:val="00F5211B"/>
    <w:rsid w:val="00F554A9"/>
    <w:rsid w:val="00F70EC5"/>
    <w:rsid w:val="00F716FD"/>
    <w:rsid w:val="00F7196C"/>
    <w:rsid w:val="00F77CDD"/>
    <w:rsid w:val="00F80355"/>
    <w:rsid w:val="00F87C43"/>
    <w:rsid w:val="00F9264F"/>
    <w:rsid w:val="00FA5722"/>
    <w:rsid w:val="00FB0C81"/>
    <w:rsid w:val="00FB2BD7"/>
    <w:rsid w:val="00FB365A"/>
    <w:rsid w:val="00FB4637"/>
    <w:rsid w:val="00FB6AA1"/>
    <w:rsid w:val="00FB770B"/>
    <w:rsid w:val="00FC2200"/>
    <w:rsid w:val="00FC2540"/>
    <w:rsid w:val="00FD3CF9"/>
    <w:rsid w:val="00FE5706"/>
    <w:rsid w:val="00FE6CEA"/>
    <w:rsid w:val="00FF0204"/>
    <w:rsid w:val="00FF3AED"/>
    <w:rsid w:val="00FF7378"/>
    <w:rsid w:val="32AF1D06"/>
    <w:rsid w:val="5D4C81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FC22"/>
  <w15:docId w15:val="{111C62B2-6BCD-45C8-B2F2-DD6D54193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99043C"/>
    <w:pPr>
      <w:ind w:left="720"/>
      <w:contextualSpacing/>
    </w:pPr>
  </w:style>
  <w:style w:type="paragraph" w:customStyle="1" w:styleId="BVIfnrChar">
    <w:name w:val="BVI fnr Char"/>
    <w:aliases w:val="BVI fnr Car Car Char,BVI fnr Car Char,BVI fnr Car Car Car Car Char,4_G Char Char"/>
    <w:basedOn w:val="Normal"/>
    <w:link w:val="FootnoteReference"/>
    <w:uiPriority w:val="99"/>
    <w:rsid w:val="004A7A62"/>
    <w:pPr>
      <w:spacing w:after="160" w:line="240" w:lineRule="exact"/>
      <w:jc w:val="left"/>
    </w:pPr>
    <w:rPr>
      <w:sz w:val="20"/>
      <w:szCs w:val="20"/>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61F9B"/>
    <w:rPr>
      <w:sz w:val="22"/>
      <w:szCs w:val="22"/>
      <w:lang w:val="fr-FR"/>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82615C"/>
    <w:rPr>
      <w:sz w:val="22"/>
      <w:szCs w:val="22"/>
      <w:lang w:val="fr-FR"/>
    </w:rPr>
  </w:style>
  <w:style w:type="paragraph" w:customStyle="1" w:styleId="a--">
    <w:name w:val="a-(-)"/>
    <w:basedOn w:val="Normal"/>
    <w:rsid w:val="0082615C"/>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Revision">
    <w:name w:val="Revision"/>
    <w:hidden/>
    <w:uiPriority w:val="99"/>
    <w:semiHidden/>
    <w:rsid w:val="0048123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10569">
      <w:bodyDiv w:val="1"/>
      <w:marLeft w:val="0"/>
      <w:marRight w:val="0"/>
      <w:marTop w:val="0"/>
      <w:marBottom w:val="0"/>
      <w:divBdr>
        <w:top w:val="none" w:sz="0" w:space="0" w:color="auto"/>
        <w:left w:val="none" w:sz="0" w:space="0" w:color="auto"/>
        <w:bottom w:val="none" w:sz="0" w:space="0" w:color="auto"/>
        <w:right w:val="none" w:sz="0" w:space="0" w:color="auto"/>
      </w:divBdr>
      <w:divsChild>
        <w:div w:id="1060441494">
          <w:marLeft w:val="0"/>
          <w:marRight w:val="0"/>
          <w:marTop w:val="0"/>
          <w:marBottom w:val="0"/>
          <w:divBdr>
            <w:top w:val="none" w:sz="0" w:space="0" w:color="auto"/>
            <w:left w:val="none" w:sz="0" w:space="0" w:color="auto"/>
            <w:bottom w:val="none" w:sz="0" w:space="0" w:color="auto"/>
            <w:right w:val="none" w:sz="0" w:space="0" w:color="auto"/>
          </w:divBdr>
          <w:divsChild>
            <w:div w:id="1284270054">
              <w:marLeft w:val="0"/>
              <w:marRight w:val="0"/>
              <w:marTop w:val="0"/>
              <w:marBottom w:val="0"/>
              <w:divBdr>
                <w:top w:val="none" w:sz="0" w:space="0" w:color="auto"/>
                <w:left w:val="none" w:sz="0" w:space="0" w:color="auto"/>
                <w:bottom w:val="none" w:sz="0" w:space="0" w:color="auto"/>
                <w:right w:val="none" w:sz="0" w:space="0" w:color="auto"/>
              </w:divBdr>
            </w:div>
            <w:div w:id="101534265">
              <w:marLeft w:val="0"/>
              <w:marRight w:val="0"/>
              <w:marTop w:val="0"/>
              <w:marBottom w:val="0"/>
              <w:divBdr>
                <w:top w:val="none" w:sz="0" w:space="0" w:color="auto"/>
                <w:left w:val="none" w:sz="0" w:space="0" w:color="auto"/>
                <w:bottom w:val="none" w:sz="0" w:space="0" w:color="auto"/>
                <w:right w:val="none" w:sz="0" w:space="0" w:color="auto"/>
              </w:divBdr>
            </w:div>
            <w:div w:id="2027174242">
              <w:marLeft w:val="0"/>
              <w:marRight w:val="0"/>
              <w:marTop w:val="0"/>
              <w:marBottom w:val="0"/>
              <w:divBdr>
                <w:top w:val="none" w:sz="0" w:space="0" w:color="auto"/>
                <w:left w:val="none" w:sz="0" w:space="0" w:color="auto"/>
                <w:bottom w:val="none" w:sz="0" w:space="0" w:color="auto"/>
                <w:right w:val="none" w:sz="0" w:space="0" w:color="auto"/>
              </w:divBdr>
            </w:div>
            <w:div w:id="269817275">
              <w:marLeft w:val="0"/>
              <w:marRight w:val="0"/>
              <w:marTop w:val="0"/>
              <w:marBottom w:val="0"/>
              <w:divBdr>
                <w:top w:val="none" w:sz="0" w:space="0" w:color="auto"/>
                <w:left w:val="none" w:sz="0" w:space="0" w:color="auto"/>
                <w:bottom w:val="none" w:sz="0" w:space="0" w:color="auto"/>
                <w:right w:val="none" w:sz="0" w:space="0" w:color="auto"/>
              </w:divBdr>
            </w:div>
            <w:div w:id="688263757">
              <w:marLeft w:val="0"/>
              <w:marRight w:val="0"/>
              <w:marTop w:val="0"/>
              <w:marBottom w:val="0"/>
              <w:divBdr>
                <w:top w:val="none" w:sz="0" w:space="0" w:color="auto"/>
                <w:left w:val="none" w:sz="0" w:space="0" w:color="auto"/>
                <w:bottom w:val="none" w:sz="0" w:space="0" w:color="auto"/>
                <w:right w:val="none" w:sz="0" w:space="0" w:color="auto"/>
              </w:divBdr>
            </w:div>
            <w:div w:id="1944335625">
              <w:marLeft w:val="0"/>
              <w:marRight w:val="0"/>
              <w:marTop w:val="0"/>
              <w:marBottom w:val="0"/>
              <w:divBdr>
                <w:top w:val="none" w:sz="0" w:space="0" w:color="auto"/>
                <w:left w:val="none" w:sz="0" w:space="0" w:color="auto"/>
                <w:bottom w:val="none" w:sz="0" w:space="0" w:color="auto"/>
                <w:right w:val="none" w:sz="0" w:space="0" w:color="auto"/>
              </w:divBdr>
            </w:div>
            <w:div w:id="656421886">
              <w:marLeft w:val="0"/>
              <w:marRight w:val="0"/>
              <w:marTop w:val="0"/>
              <w:marBottom w:val="0"/>
              <w:divBdr>
                <w:top w:val="none" w:sz="0" w:space="0" w:color="auto"/>
                <w:left w:val="none" w:sz="0" w:space="0" w:color="auto"/>
                <w:bottom w:val="none" w:sz="0" w:space="0" w:color="auto"/>
                <w:right w:val="none" w:sz="0" w:space="0" w:color="auto"/>
              </w:divBdr>
            </w:div>
          </w:divsChild>
        </w:div>
        <w:div w:id="672875540">
          <w:marLeft w:val="0"/>
          <w:marRight w:val="0"/>
          <w:marTop w:val="0"/>
          <w:marBottom w:val="0"/>
          <w:divBdr>
            <w:top w:val="none" w:sz="0" w:space="0" w:color="auto"/>
            <w:left w:val="none" w:sz="0" w:space="0" w:color="auto"/>
            <w:bottom w:val="none" w:sz="0" w:space="0" w:color="auto"/>
            <w:right w:val="none" w:sz="0" w:space="0" w:color="auto"/>
          </w:divBdr>
          <w:divsChild>
            <w:div w:id="1355613519">
              <w:marLeft w:val="-75"/>
              <w:marRight w:val="0"/>
              <w:marTop w:val="30"/>
              <w:marBottom w:val="30"/>
              <w:divBdr>
                <w:top w:val="none" w:sz="0" w:space="0" w:color="auto"/>
                <w:left w:val="none" w:sz="0" w:space="0" w:color="auto"/>
                <w:bottom w:val="none" w:sz="0" w:space="0" w:color="auto"/>
                <w:right w:val="none" w:sz="0" w:space="0" w:color="auto"/>
              </w:divBdr>
              <w:divsChild>
                <w:div w:id="759912560">
                  <w:marLeft w:val="0"/>
                  <w:marRight w:val="0"/>
                  <w:marTop w:val="0"/>
                  <w:marBottom w:val="0"/>
                  <w:divBdr>
                    <w:top w:val="none" w:sz="0" w:space="0" w:color="auto"/>
                    <w:left w:val="none" w:sz="0" w:space="0" w:color="auto"/>
                    <w:bottom w:val="none" w:sz="0" w:space="0" w:color="auto"/>
                    <w:right w:val="none" w:sz="0" w:space="0" w:color="auto"/>
                  </w:divBdr>
                  <w:divsChild>
                    <w:div w:id="1104031652">
                      <w:marLeft w:val="0"/>
                      <w:marRight w:val="0"/>
                      <w:marTop w:val="0"/>
                      <w:marBottom w:val="0"/>
                      <w:divBdr>
                        <w:top w:val="none" w:sz="0" w:space="0" w:color="auto"/>
                        <w:left w:val="none" w:sz="0" w:space="0" w:color="auto"/>
                        <w:bottom w:val="none" w:sz="0" w:space="0" w:color="auto"/>
                        <w:right w:val="none" w:sz="0" w:space="0" w:color="auto"/>
                      </w:divBdr>
                    </w:div>
                  </w:divsChild>
                </w:div>
                <w:div w:id="1564412668">
                  <w:marLeft w:val="0"/>
                  <w:marRight w:val="0"/>
                  <w:marTop w:val="0"/>
                  <w:marBottom w:val="0"/>
                  <w:divBdr>
                    <w:top w:val="none" w:sz="0" w:space="0" w:color="auto"/>
                    <w:left w:val="none" w:sz="0" w:space="0" w:color="auto"/>
                    <w:bottom w:val="none" w:sz="0" w:space="0" w:color="auto"/>
                    <w:right w:val="none" w:sz="0" w:space="0" w:color="auto"/>
                  </w:divBdr>
                  <w:divsChild>
                    <w:div w:id="1946762156">
                      <w:marLeft w:val="0"/>
                      <w:marRight w:val="0"/>
                      <w:marTop w:val="0"/>
                      <w:marBottom w:val="0"/>
                      <w:divBdr>
                        <w:top w:val="none" w:sz="0" w:space="0" w:color="auto"/>
                        <w:left w:val="none" w:sz="0" w:space="0" w:color="auto"/>
                        <w:bottom w:val="none" w:sz="0" w:space="0" w:color="auto"/>
                        <w:right w:val="none" w:sz="0" w:space="0" w:color="auto"/>
                      </w:divBdr>
                    </w:div>
                  </w:divsChild>
                </w:div>
                <w:div w:id="210699035">
                  <w:marLeft w:val="0"/>
                  <w:marRight w:val="0"/>
                  <w:marTop w:val="0"/>
                  <w:marBottom w:val="0"/>
                  <w:divBdr>
                    <w:top w:val="none" w:sz="0" w:space="0" w:color="auto"/>
                    <w:left w:val="none" w:sz="0" w:space="0" w:color="auto"/>
                    <w:bottom w:val="none" w:sz="0" w:space="0" w:color="auto"/>
                    <w:right w:val="none" w:sz="0" w:space="0" w:color="auto"/>
                  </w:divBdr>
                  <w:divsChild>
                    <w:div w:id="1702198855">
                      <w:marLeft w:val="0"/>
                      <w:marRight w:val="0"/>
                      <w:marTop w:val="0"/>
                      <w:marBottom w:val="0"/>
                      <w:divBdr>
                        <w:top w:val="none" w:sz="0" w:space="0" w:color="auto"/>
                        <w:left w:val="none" w:sz="0" w:space="0" w:color="auto"/>
                        <w:bottom w:val="none" w:sz="0" w:space="0" w:color="auto"/>
                        <w:right w:val="none" w:sz="0" w:space="0" w:color="auto"/>
                      </w:divBdr>
                    </w:div>
                  </w:divsChild>
                </w:div>
                <w:div w:id="1829050139">
                  <w:marLeft w:val="0"/>
                  <w:marRight w:val="0"/>
                  <w:marTop w:val="0"/>
                  <w:marBottom w:val="0"/>
                  <w:divBdr>
                    <w:top w:val="none" w:sz="0" w:space="0" w:color="auto"/>
                    <w:left w:val="none" w:sz="0" w:space="0" w:color="auto"/>
                    <w:bottom w:val="none" w:sz="0" w:space="0" w:color="auto"/>
                    <w:right w:val="none" w:sz="0" w:space="0" w:color="auto"/>
                  </w:divBdr>
                  <w:divsChild>
                    <w:div w:id="673649845">
                      <w:marLeft w:val="0"/>
                      <w:marRight w:val="0"/>
                      <w:marTop w:val="0"/>
                      <w:marBottom w:val="0"/>
                      <w:divBdr>
                        <w:top w:val="none" w:sz="0" w:space="0" w:color="auto"/>
                        <w:left w:val="none" w:sz="0" w:space="0" w:color="auto"/>
                        <w:bottom w:val="none" w:sz="0" w:space="0" w:color="auto"/>
                        <w:right w:val="none" w:sz="0" w:space="0" w:color="auto"/>
                      </w:divBdr>
                    </w:div>
                  </w:divsChild>
                </w:div>
                <w:div w:id="1797527118">
                  <w:marLeft w:val="0"/>
                  <w:marRight w:val="0"/>
                  <w:marTop w:val="0"/>
                  <w:marBottom w:val="0"/>
                  <w:divBdr>
                    <w:top w:val="none" w:sz="0" w:space="0" w:color="auto"/>
                    <w:left w:val="none" w:sz="0" w:space="0" w:color="auto"/>
                    <w:bottom w:val="none" w:sz="0" w:space="0" w:color="auto"/>
                    <w:right w:val="none" w:sz="0" w:space="0" w:color="auto"/>
                  </w:divBdr>
                  <w:divsChild>
                    <w:div w:id="1685784616">
                      <w:marLeft w:val="0"/>
                      <w:marRight w:val="0"/>
                      <w:marTop w:val="0"/>
                      <w:marBottom w:val="0"/>
                      <w:divBdr>
                        <w:top w:val="none" w:sz="0" w:space="0" w:color="auto"/>
                        <w:left w:val="none" w:sz="0" w:space="0" w:color="auto"/>
                        <w:bottom w:val="none" w:sz="0" w:space="0" w:color="auto"/>
                        <w:right w:val="none" w:sz="0" w:space="0" w:color="auto"/>
                      </w:divBdr>
                    </w:div>
                  </w:divsChild>
                </w:div>
                <w:div w:id="1431463024">
                  <w:marLeft w:val="0"/>
                  <w:marRight w:val="0"/>
                  <w:marTop w:val="0"/>
                  <w:marBottom w:val="0"/>
                  <w:divBdr>
                    <w:top w:val="none" w:sz="0" w:space="0" w:color="auto"/>
                    <w:left w:val="none" w:sz="0" w:space="0" w:color="auto"/>
                    <w:bottom w:val="none" w:sz="0" w:space="0" w:color="auto"/>
                    <w:right w:val="none" w:sz="0" w:space="0" w:color="auto"/>
                  </w:divBdr>
                  <w:divsChild>
                    <w:div w:id="731544033">
                      <w:marLeft w:val="0"/>
                      <w:marRight w:val="0"/>
                      <w:marTop w:val="0"/>
                      <w:marBottom w:val="0"/>
                      <w:divBdr>
                        <w:top w:val="none" w:sz="0" w:space="0" w:color="auto"/>
                        <w:left w:val="none" w:sz="0" w:space="0" w:color="auto"/>
                        <w:bottom w:val="none" w:sz="0" w:space="0" w:color="auto"/>
                        <w:right w:val="none" w:sz="0" w:space="0" w:color="auto"/>
                      </w:divBdr>
                    </w:div>
                  </w:divsChild>
                </w:div>
                <w:div w:id="2041129128">
                  <w:marLeft w:val="0"/>
                  <w:marRight w:val="0"/>
                  <w:marTop w:val="0"/>
                  <w:marBottom w:val="0"/>
                  <w:divBdr>
                    <w:top w:val="none" w:sz="0" w:space="0" w:color="auto"/>
                    <w:left w:val="none" w:sz="0" w:space="0" w:color="auto"/>
                    <w:bottom w:val="none" w:sz="0" w:space="0" w:color="auto"/>
                    <w:right w:val="none" w:sz="0" w:space="0" w:color="auto"/>
                  </w:divBdr>
                  <w:divsChild>
                    <w:div w:id="1024402971">
                      <w:marLeft w:val="0"/>
                      <w:marRight w:val="0"/>
                      <w:marTop w:val="0"/>
                      <w:marBottom w:val="0"/>
                      <w:divBdr>
                        <w:top w:val="none" w:sz="0" w:space="0" w:color="auto"/>
                        <w:left w:val="none" w:sz="0" w:space="0" w:color="auto"/>
                        <w:bottom w:val="none" w:sz="0" w:space="0" w:color="auto"/>
                        <w:right w:val="none" w:sz="0" w:space="0" w:color="auto"/>
                      </w:divBdr>
                    </w:div>
                  </w:divsChild>
                </w:div>
                <w:div w:id="2063022990">
                  <w:marLeft w:val="0"/>
                  <w:marRight w:val="0"/>
                  <w:marTop w:val="0"/>
                  <w:marBottom w:val="0"/>
                  <w:divBdr>
                    <w:top w:val="none" w:sz="0" w:space="0" w:color="auto"/>
                    <w:left w:val="none" w:sz="0" w:space="0" w:color="auto"/>
                    <w:bottom w:val="none" w:sz="0" w:space="0" w:color="auto"/>
                    <w:right w:val="none" w:sz="0" w:space="0" w:color="auto"/>
                  </w:divBdr>
                  <w:divsChild>
                    <w:div w:id="1263537289">
                      <w:marLeft w:val="0"/>
                      <w:marRight w:val="0"/>
                      <w:marTop w:val="0"/>
                      <w:marBottom w:val="0"/>
                      <w:divBdr>
                        <w:top w:val="none" w:sz="0" w:space="0" w:color="auto"/>
                        <w:left w:val="none" w:sz="0" w:space="0" w:color="auto"/>
                        <w:bottom w:val="none" w:sz="0" w:space="0" w:color="auto"/>
                        <w:right w:val="none" w:sz="0" w:space="0" w:color="auto"/>
                      </w:divBdr>
                    </w:div>
                  </w:divsChild>
                </w:div>
                <w:div w:id="568268645">
                  <w:marLeft w:val="0"/>
                  <w:marRight w:val="0"/>
                  <w:marTop w:val="0"/>
                  <w:marBottom w:val="0"/>
                  <w:divBdr>
                    <w:top w:val="none" w:sz="0" w:space="0" w:color="auto"/>
                    <w:left w:val="none" w:sz="0" w:space="0" w:color="auto"/>
                    <w:bottom w:val="none" w:sz="0" w:space="0" w:color="auto"/>
                    <w:right w:val="none" w:sz="0" w:space="0" w:color="auto"/>
                  </w:divBdr>
                  <w:divsChild>
                    <w:div w:id="1244804984">
                      <w:marLeft w:val="0"/>
                      <w:marRight w:val="0"/>
                      <w:marTop w:val="0"/>
                      <w:marBottom w:val="0"/>
                      <w:divBdr>
                        <w:top w:val="none" w:sz="0" w:space="0" w:color="auto"/>
                        <w:left w:val="none" w:sz="0" w:space="0" w:color="auto"/>
                        <w:bottom w:val="none" w:sz="0" w:space="0" w:color="auto"/>
                        <w:right w:val="none" w:sz="0" w:space="0" w:color="auto"/>
                      </w:divBdr>
                    </w:div>
                  </w:divsChild>
                </w:div>
                <w:div w:id="1289900415">
                  <w:marLeft w:val="0"/>
                  <w:marRight w:val="0"/>
                  <w:marTop w:val="0"/>
                  <w:marBottom w:val="0"/>
                  <w:divBdr>
                    <w:top w:val="none" w:sz="0" w:space="0" w:color="auto"/>
                    <w:left w:val="none" w:sz="0" w:space="0" w:color="auto"/>
                    <w:bottom w:val="none" w:sz="0" w:space="0" w:color="auto"/>
                    <w:right w:val="none" w:sz="0" w:space="0" w:color="auto"/>
                  </w:divBdr>
                  <w:divsChild>
                    <w:div w:id="520357593">
                      <w:marLeft w:val="0"/>
                      <w:marRight w:val="0"/>
                      <w:marTop w:val="0"/>
                      <w:marBottom w:val="0"/>
                      <w:divBdr>
                        <w:top w:val="none" w:sz="0" w:space="0" w:color="auto"/>
                        <w:left w:val="none" w:sz="0" w:space="0" w:color="auto"/>
                        <w:bottom w:val="none" w:sz="0" w:space="0" w:color="auto"/>
                        <w:right w:val="none" w:sz="0" w:space="0" w:color="auto"/>
                      </w:divBdr>
                    </w:div>
                  </w:divsChild>
                </w:div>
                <w:div w:id="83652267">
                  <w:marLeft w:val="0"/>
                  <w:marRight w:val="0"/>
                  <w:marTop w:val="0"/>
                  <w:marBottom w:val="0"/>
                  <w:divBdr>
                    <w:top w:val="none" w:sz="0" w:space="0" w:color="auto"/>
                    <w:left w:val="none" w:sz="0" w:space="0" w:color="auto"/>
                    <w:bottom w:val="none" w:sz="0" w:space="0" w:color="auto"/>
                    <w:right w:val="none" w:sz="0" w:space="0" w:color="auto"/>
                  </w:divBdr>
                  <w:divsChild>
                    <w:div w:id="595096034">
                      <w:marLeft w:val="0"/>
                      <w:marRight w:val="0"/>
                      <w:marTop w:val="0"/>
                      <w:marBottom w:val="0"/>
                      <w:divBdr>
                        <w:top w:val="none" w:sz="0" w:space="0" w:color="auto"/>
                        <w:left w:val="none" w:sz="0" w:space="0" w:color="auto"/>
                        <w:bottom w:val="none" w:sz="0" w:space="0" w:color="auto"/>
                        <w:right w:val="none" w:sz="0" w:space="0" w:color="auto"/>
                      </w:divBdr>
                    </w:div>
                  </w:divsChild>
                </w:div>
                <w:div w:id="1977491226">
                  <w:marLeft w:val="0"/>
                  <w:marRight w:val="0"/>
                  <w:marTop w:val="0"/>
                  <w:marBottom w:val="0"/>
                  <w:divBdr>
                    <w:top w:val="none" w:sz="0" w:space="0" w:color="auto"/>
                    <w:left w:val="none" w:sz="0" w:space="0" w:color="auto"/>
                    <w:bottom w:val="none" w:sz="0" w:space="0" w:color="auto"/>
                    <w:right w:val="none" w:sz="0" w:space="0" w:color="auto"/>
                  </w:divBdr>
                  <w:divsChild>
                    <w:div w:id="1257906658">
                      <w:marLeft w:val="0"/>
                      <w:marRight w:val="0"/>
                      <w:marTop w:val="0"/>
                      <w:marBottom w:val="0"/>
                      <w:divBdr>
                        <w:top w:val="none" w:sz="0" w:space="0" w:color="auto"/>
                        <w:left w:val="none" w:sz="0" w:space="0" w:color="auto"/>
                        <w:bottom w:val="none" w:sz="0" w:space="0" w:color="auto"/>
                        <w:right w:val="none" w:sz="0" w:space="0" w:color="auto"/>
                      </w:divBdr>
                    </w:div>
                  </w:divsChild>
                </w:div>
                <w:div w:id="1409577862">
                  <w:marLeft w:val="0"/>
                  <w:marRight w:val="0"/>
                  <w:marTop w:val="0"/>
                  <w:marBottom w:val="0"/>
                  <w:divBdr>
                    <w:top w:val="none" w:sz="0" w:space="0" w:color="auto"/>
                    <w:left w:val="none" w:sz="0" w:space="0" w:color="auto"/>
                    <w:bottom w:val="none" w:sz="0" w:space="0" w:color="auto"/>
                    <w:right w:val="none" w:sz="0" w:space="0" w:color="auto"/>
                  </w:divBdr>
                  <w:divsChild>
                    <w:div w:id="1086001022">
                      <w:marLeft w:val="0"/>
                      <w:marRight w:val="0"/>
                      <w:marTop w:val="0"/>
                      <w:marBottom w:val="0"/>
                      <w:divBdr>
                        <w:top w:val="none" w:sz="0" w:space="0" w:color="auto"/>
                        <w:left w:val="none" w:sz="0" w:space="0" w:color="auto"/>
                        <w:bottom w:val="none" w:sz="0" w:space="0" w:color="auto"/>
                        <w:right w:val="none" w:sz="0" w:space="0" w:color="auto"/>
                      </w:divBdr>
                    </w:div>
                  </w:divsChild>
                </w:div>
                <w:div w:id="985353719">
                  <w:marLeft w:val="0"/>
                  <w:marRight w:val="0"/>
                  <w:marTop w:val="0"/>
                  <w:marBottom w:val="0"/>
                  <w:divBdr>
                    <w:top w:val="none" w:sz="0" w:space="0" w:color="auto"/>
                    <w:left w:val="none" w:sz="0" w:space="0" w:color="auto"/>
                    <w:bottom w:val="none" w:sz="0" w:space="0" w:color="auto"/>
                    <w:right w:val="none" w:sz="0" w:space="0" w:color="auto"/>
                  </w:divBdr>
                  <w:divsChild>
                    <w:div w:id="371030953">
                      <w:marLeft w:val="0"/>
                      <w:marRight w:val="0"/>
                      <w:marTop w:val="0"/>
                      <w:marBottom w:val="0"/>
                      <w:divBdr>
                        <w:top w:val="none" w:sz="0" w:space="0" w:color="auto"/>
                        <w:left w:val="none" w:sz="0" w:space="0" w:color="auto"/>
                        <w:bottom w:val="none" w:sz="0" w:space="0" w:color="auto"/>
                        <w:right w:val="none" w:sz="0" w:space="0" w:color="auto"/>
                      </w:divBdr>
                    </w:div>
                  </w:divsChild>
                </w:div>
                <w:div w:id="1448618727">
                  <w:marLeft w:val="0"/>
                  <w:marRight w:val="0"/>
                  <w:marTop w:val="0"/>
                  <w:marBottom w:val="0"/>
                  <w:divBdr>
                    <w:top w:val="none" w:sz="0" w:space="0" w:color="auto"/>
                    <w:left w:val="none" w:sz="0" w:space="0" w:color="auto"/>
                    <w:bottom w:val="none" w:sz="0" w:space="0" w:color="auto"/>
                    <w:right w:val="none" w:sz="0" w:space="0" w:color="auto"/>
                  </w:divBdr>
                  <w:divsChild>
                    <w:div w:id="390660318">
                      <w:marLeft w:val="0"/>
                      <w:marRight w:val="0"/>
                      <w:marTop w:val="0"/>
                      <w:marBottom w:val="0"/>
                      <w:divBdr>
                        <w:top w:val="none" w:sz="0" w:space="0" w:color="auto"/>
                        <w:left w:val="none" w:sz="0" w:space="0" w:color="auto"/>
                        <w:bottom w:val="none" w:sz="0" w:space="0" w:color="auto"/>
                        <w:right w:val="none" w:sz="0" w:space="0" w:color="auto"/>
                      </w:divBdr>
                    </w:div>
                  </w:divsChild>
                </w:div>
                <w:div w:id="1625847566">
                  <w:marLeft w:val="0"/>
                  <w:marRight w:val="0"/>
                  <w:marTop w:val="0"/>
                  <w:marBottom w:val="0"/>
                  <w:divBdr>
                    <w:top w:val="none" w:sz="0" w:space="0" w:color="auto"/>
                    <w:left w:val="none" w:sz="0" w:space="0" w:color="auto"/>
                    <w:bottom w:val="none" w:sz="0" w:space="0" w:color="auto"/>
                    <w:right w:val="none" w:sz="0" w:space="0" w:color="auto"/>
                  </w:divBdr>
                  <w:divsChild>
                    <w:div w:id="1884252380">
                      <w:marLeft w:val="0"/>
                      <w:marRight w:val="0"/>
                      <w:marTop w:val="0"/>
                      <w:marBottom w:val="0"/>
                      <w:divBdr>
                        <w:top w:val="none" w:sz="0" w:space="0" w:color="auto"/>
                        <w:left w:val="none" w:sz="0" w:space="0" w:color="auto"/>
                        <w:bottom w:val="none" w:sz="0" w:space="0" w:color="auto"/>
                        <w:right w:val="none" w:sz="0" w:space="0" w:color="auto"/>
                      </w:divBdr>
                    </w:div>
                  </w:divsChild>
                </w:div>
                <w:div w:id="1671712928">
                  <w:marLeft w:val="0"/>
                  <w:marRight w:val="0"/>
                  <w:marTop w:val="0"/>
                  <w:marBottom w:val="0"/>
                  <w:divBdr>
                    <w:top w:val="none" w:sz="0" w:space="0" w:color="auto"/>
                    <w:left w:val="none" w:sz="0" w:space="0" w:color="auto"/>
                    <w:bottom w:val="none" w:sz="0" w:space="0" w:color="auto"/>
                    <w:right w:val="none" w:sz="0" w:space="0" w:color="auto"/>
                  </w:divBdr>
                  <w:divsChild>
                    <w:div w:id="2069763209">
                      <w:marLeft w:val="0"/>
                      <w:marRight w:val="0"/>
                      <w:marTop w:val="0"/>
                      <w:marBottom w:val="0"/>
                      <w:divBdr>
                        <w:top w:val="none" w:sz="0" w:space="0" w:color="auto"/>
                        <w:left w:val="none" w:sz="0" w:space="0" w:color="auto"/>
                        <w:bottom w:val="none" w:sz="0" w:space="0" w:color="auto"/>
                        <w:right w:val="none" w:sz="0" w:space="0" w:color="auto"/>
                      </w:divBdr>
                    </w:div>
                  </w:divsChild>
                </w:div>
                <w:div w:id="1236355843">
                  <w:marLeft w:val="0"/>
                  <w:marRight w:val="0"/>
                  <w:marTop w:val="0"/>
                  <w:marBottom w:val="0"/>
                  <w:divBdr>
                    <w:top w:val="none" w:sz="0" w:space="0" w:color="auto"/>
                    <w:left w:val="none" w:sz="0" w:space="0" w:color="auto"/>
                    <w:bottom w:val="none" w:sz="0" w:space="0" w:color="auto"/>
                    <w:right w:val="none" w:sz="0" w:space="0" w:color="auto"/>
                  </w:divBdr>
                  <w:divsChild>
                    <w:div w:id="873738158">
                      <w:marLeft w:val="0"/>
                      <w:marRight w:val="0"/>
                      <w:marTop w:val="0"/>
                      <w:marBottom w:val="0"/>
                      <w:divBdr>
                        <w:top w:val="none" w:sz="0" w:space="0" w:color="auto"/>
                        <w:left w:val="none" w:sz="0" w:space="0" w:color="auto"/>
                        <w:bottom w:val="none" w:sz="0" w:space="0" w:color="auto"/>
                        <w:right w:val="none" w:sz="0" w:space="0" w:color="auto"/>
                      </w:divBdr>
                    </w:div>
                  </w:divsChild>
                </w:div>
                <w:div w:id="1154685790">
                  <w:marLeft w:val="0"/>
                  <w:marRight w:val="0"/>
                  <w:marTop w:val="0"/>
                  <w:marBottom w:val="0"/>
                  <w:divBdr>
                    <w:top w:val="none" w:sz="0" w:space="0" w:color="auto"/>
                    <w:left w:val="none" w:sz="0" w:space="0" w:color="auto"/>
                    <w:bottom w:val="none" w:sz="0" w:space="0" w:color="auto"/>
                    <w:right w:val="none" w:sz="0" w:space="0" w:color="auto"/>
                  </w:divBdr>
                  <w:divsChild>
                    <w:div w:id="1625962365">
                      <w:marLeft w:val="0"/>
                      <w:marRight w:val="0"/>
                      <w:marTop w:val="0"/>
                      <w:marBottom w:val="0"/>
                      <w:divBdr>
                        <w:top w:val="none" w:sz="0" w:space="0" w:color="auto"/>
                        <w:left w:val="none" w:sz="0" w:space="0" w:color="auto"/>
                        <w:bottom w:val="none" w:sz="0" w:space="0" w:color="auto"/>
                        <w:right w:val="none" w:sz="0" w:space="0" w:color="auto"/>
                      </w:divBdr>
                    </w:div>
                  </w:divsChild>
                </w:div>
                <w:div w:id="481310652">
                  <w:marLeft w:val="0"/>
                  <w:marRight w:val="0"/>
                  <w:marTop w:val="0"/>
                  <w:marBottom w:val="0"/>
                  <w:divBdr>
                    <w:top w:val="none" w:sz="0" w:space="0" w:color="auto"/>
                    <w:left w:val="none" w:sz="0" w:space="0" w:color="auto"/>
                    <w:bottom w:val="none" w:sz="0" w:space="0" w:color="auto"/>
                    <w:right w:val="none" w:sz="0" w:space="0" w:color="auto"/>
                  </w:divBdr>
                  <w:divsChild>
                    <w:div w:id="2088529101">
                      <w:marLeft w:val="0"/>
                      <w:marRight w:val="0"/>
                      <w:marTop w:val="0"/>
                      <w:marBottom w:val="0"/>
                      <w:divBdr>
                        <w:top w:val="none" w:sz="0" w:space="0" w:color="auto"/>
                        <w:left w:val="none" w:sz="0" w:space="0" w:color="auto"/>
                        <w:bottom w:val="none" w:sz="0" w:space="0" w:color="auto"/>
                        <w:right w:val="none" w:sz="0" w:space="0" w:color="auto"/>
                      </w:divBdr>
                    </w:div>
                  </w:divsChild>
                </w:div>
                <w:div w:id="1449935541">
                  <w:marLeft w:val="0"/>
                  <w:marRight w:val="0"/>
                  <w:marTop w:val="0"/>
                  <w:marBottom w:val="0"/>
                  <w:divBdr>
                    <w:top w:val="none" w:sz="0" w:space="0" w:color="auto"/>
                    <w:left w:val="none" w:sz="0" w:space="0" w:color="auto"/>
                    <w:bottom w:val="none" w:sz="0" w:space="0" w:color="auto"/>
                    <w:right w:val="none" w:sz="0" w:space="0" w:color="auto"/>
                  </w:divBdr>
                  <w:divsChild>
                    <w:div w:id="1277523331">
                      <w:marLeft w:val="0"/>
                      <w:marRight w:val="0"/>
                      <w:marTop w:val="0"/>
                      <w:marBottom w:val="0"/>
                      <w:divBdr>
                        <w:top w:val="none" w:sz="0" w:space="0" w:color="auto"/>
                        <w:left w:val="none" w:sz="0" w:space="0" w:color="auto"/>
                        <w:bottom w:val="none" w:sz="0" w:space="0" w:color="auto"/>
                        <w:right w:val="none" w:sz="0" w:space="0" w:color="auto"/>
                      </w:divBdr>
                    </w:div>
                  </w:divsChild>
                </w:div>
                <w:div w:id="1528909101">
                  <w:marLeft w:val="0"/>
                  <w:marRight w:val="0"/>
                  <w:marTop w:val="0"/>
                  <w:marBottom w:val="0"/>
                  <w:divBdr>
                    <w:top w:val="none" w:sz="0" w:space="0" w:color="auto"/>
                    <w:left w:val="none" w:sz="0" w:space="0" w:color="auto"/>
                    <w:bottom w:val="none" w:sz="0" w:space="0" w:color="auto"/>
                    <w:right w:val="none" w:sz="0" w:space="0" w:color="auto"/>
                  </w:divBdr>
                  <w:divsChild>
                    <w:div w:id="979269633">
                      <w:marLeft w:val="0"/>
                      <w:marRight w:val="0"/>
                      <w:marTop w:val="0"/>
                      <w:marBottom w:val="0"/>
                      <w:divBdr>
                        <w:top w:val="none" w:sz="0" w:space="0" w:color="auto"/>
                        <w:left w:val="none" w:sz="0" w:space="0" w:color="auto"/>
                        <w:bottom w:val="none" w:sz="0" w:space="0" w:color="auto"/>
                        <w:right w:val="none" w:sz="0" w:space="0" w:color="auto"/>
                      </w:divBdr>
                    </w:div>
                  </w:divsChild>
                </w:div>
                <w:div w:id="1405030152">
                  <w:marLeft w:val="0"/>
                  <w:marRight w:val="0"/>
                  <w:marTop w:val="0"/>
                  <w:marBottom w:val="0"/>
                  <w:divBdr>
                    <w:top w:val="none" w:sz="0" w:space="0" w:color="auto"/>
                    <w:left w:val="none" w:sz="0" w:space="0" w:color="auto"/>
                    <w:bottom w:val="none" w:sz="0" w:space="0" w:color="auto"/>
                    <w:right w:val="none" w:sz="0" w:space="0" w:color="auto"/>
                  </w:divBdr>
                  <w:divsChild>
                    <w:div w:id="1012802925">
                      <w:marLeft w:val="0"/>
                      <w:marRight w:val="0"/>
                      <w:marTop w:val="0"/>
                      <w:marBottom w:val="0"/>
                      <w:divBdr>
                        <w:top w:val="none" w:sz="0" w:space="0" w:color="auto"/>
                        <w:left w:val="none" w:sz="0" w:space="0" w:color="auto"/>
                        <w:bottom w:val="none" w:sz="0" w:space="0" w:color="auto"/>
                        <w:right w:val="none" w:sz="0" w:space="0" w:color="auto"/>
                      </w:divBdr>
                    </w:div>
                  </w:divsChild>
                </w:div>
                <w:div w:id="1583684015">
                  <w:marLeft w:val="0"/>
                  <w:marRight w:val="0"/>
                  <w:marTop w:val="0"/>
                  <w:marBottom w:val="0"/>
                  <w:divBdr>
                    <w:top w:val="none" w:sz="0" w:space="0" w:color="auto"/>
                    <w:left w:val="none" w:sz="0" w:space="0" w:color="auto"/>
                    <w:bottom w:val="none" w:sz="0" w:space="0" w:color="auto"/>
                    <w:right w:val="none" w:sz="0" w:space="0" w:color="auto"/>
                  </w:divBdr>
                  <w:divsChild>
                    <w:div w:id="609631192">
                      <w:marLeft w:val="0"/>
                      <w:marRight w:val="0"/>
                      <w:marTop w:val="0"/>
                      <w:marBottom w:val="0"/>
                      <w:divBdr>
                        <w:top w:val="none" w:sz="0" w:space="0" w:color="auto"/>
                        <w:left w:val="none" w:sz="0" w:space="0" w:color="auto"/>
                        <w:bottom w:val="none" w:sz="0" w:space="0" w:color="auto"/>
                        <w:right w:val="none" w:sz="0" w:space="0" w:color="auto"/>
                      </w:divBdr>
                    </w:div>
                  </w:divsChild>
                </w:div>
                <w:div w:id="1941981900">
                  <w:marLeft w:val="0"/>
                  <w:marRight w:val="0"/>
                  <w:marTop w:val="0"/>
                  <w:marBottom w:val="0"/>
                  <w:divBdr>
                    <w:top w:val="none" w:sz="0" w:space="0" w:color="auto"/>
                    <w:left w:val="none" w:sz="0" w:space="0" w:color="auto"/>
                    <w:bottom w:val="none" w:sz="0" w:space="0" w:color="auto"/>
                    <w:right w:val="none" w:sz="0" w:space="0" w:color="auto"/>
                  </w:divBdr>
                  <w:divsChild>
                    <w:div w:id="1347902026">
                      <w:marLeft w:val="0"/>
                      <w:marRight w:val="0"/>
                      <w:marTop w:val="0"/>
                      <w:marBottom w:val="0"/>
                      <w:divBdr>
                        <w:top w:val="none" w:sz="0" w:space="0" w:color="auto"/>
                        <w:left w:val="none" w:sz="0" w:space="0" w:color="auto"/>
                        <w:bottom w:val="none" w:sz="0" w:space="0" w:color="auto"/>
                        <w:right w:val="none" w:sz="0" w:space="0" w:color="auto"/>
                      </w:divBdr>
                    </w:div>
                  </w:divsChild>
                </w:div>
                <w:div w:id="80836118">
                  <w:marLeft w:val="0"/>
                  <w:marRight w:val="0"/>
                  <w:marTop w:val="0"/>
                  <w:marBottom w:val="0"/>
                  <w:divBdr>
                    <w:top w:val="none" w:sz="0" w:space="0" w:color="auto"/>
                    <w:left w:val="none" w:sz="0" w:space="0" w:color="auto"/>
                    <w:bottom w:val="none" w:sz="0" w:space="0" w:color="auto"/>
                    <w:right w:val="none" w:sz="0" w:space="0" w:color="auto"/>
                  </w:divBdr>
                  <w:divsChild>
                    <w:div w:id="484901828">
                      <w:marLeft w:val="0"/>
                      <w:marRight w:val="0"/>
                      <w:marTop w:val="0"/>
                      <w:marBottom w:val="0"/>
                      <w:divBdr>
                        <w:top w:val="none" w:sz="0" w:space="0" w:color="auto"/>
                        <w:left w:val="none" w:sz="0" w:space="0" w:color="auto"/>
                        <w:bottom w:val="none" w:sz="0" w:space="0" w:color="auto"/>
                        <w:right w:val="none" w:sz="0" w:space="0" w:color="auto"/>
                      </w:divBdr>
                    </w:div>
                  </w:divsChild>
                </w:div>
                <w:div w:id="1177572443">
                  <w:marLeft w:val="0"/>
                  <w:marRight w:val="0"/>
                  <w:marTop w:val="0"/>
                  <w:marBottom w:val="0"/>
                  <w:divBdr>
                    <w:top w:val="none" w:sz="0" w:space="0" w:color="auto"/>
                    <w:left w:val="none" w:sz="0" w:space="0" w:color="auto"/>
                    <w:bottom w:val="none" w:sz="0" w:space="0" w:color="auto"/>
                    <w:right w:val="none" w:sz="0" w:space="0" w:color="auto"/>
                  </w:divBdr>
                  <w:divsChild>
                    <w:div w:id="15353479">
                      <w:marLeft w:val="0"/>
                      <w:marRight w:val="0"/>
                      <w:marTop w:val="0"/>
                      <w:marBottom w:val="0"/>
                      <w:divBdr>
                        <w:top w:val="none" w:sz="0" w:space="0" w:color="auto"/>
                        <w:left w:val="none" w:sz="0" w:space="0" w:color="auto"/>
                        <w:bottom w:val="none" w:sz="0" w:space="0" w:color="auto"/>
                        <w:right w:val="none" w:sz="0" w:space="0" w:color="auto"/>
                      </w:divBdr>
                    </w:div>
                  </w:divsChild>
                </w:div>
                <w:div w:id="1815096254">
                  <w:marLeft w:val="0"/>
                  <w:marRight w:val="0"/>
                  <w:marTop w:val="0"/>
                  <w:marBottom w:val="0"/>
                  <w:divBdr>
                    <w:top w:val="none" w:sz="0" w:space="0" w:color="auto"/>
                    <w:left w:val="none" w:sz="0" w:space="0" w:color="auto"/>
                    <w:bottom w:val="none" w:sz="0" w:space="0" w:color="auto"/>
                    <w:right w:val="none" w:sz="0" w:space="0" w:color="auto"/>
                  </w:divBdr>
                  <w:divsChild>
                    <w:div w:id="1421413480">
                      <w:marLeft w:val="0"/>
                      <w:marRight w:val="0"/>
                      <w:marTop w:val="0"/>
                      <w:marBottom w:val="0"/>
                      <w:divBdr>
                        <w:top w:val="none" w:sz="0" w:space="0" w:color="auto"/>
                        <w:left w:val="none" w:sz="0" w:space="0" w:color="auto"/>
                        <w:bottom w:val="none" w:sz="0" w:space="0" w:color="auto"/>
                        <w:right w:val="none" w:sz="0" w:space="0" w:color="auto"/>
                      </w:divBdr>
                    </w:div>
                  </w:divsChild>
                </w:div>
                <w:div w:id="592904671">
                  <w:marLeft w:val="0"/>
                  <w:marRight w:val="0"/>
                  <w:marTop w:val="0"/>
                  <w:marBottom w:val="0"/>
                  <w:divBdr>
                    <w:top w:val="none" w:sz="0" w:space="0" w:color="auto"/>
                    <w:left w:val="none" w:sz="0" w:space="0" w:color="auto"/>
                    <w:bottom w:val="none" w:sz="0" w:space="0" w:color="auto"/>
                    <w:right w:val="none" w:sz="0" w:space="0" w:color="auto"/>
                  </w:divBdr>
                  <w:divsChild>
                    <w:div w:id="966008311">
                      <w:marLeft w:val="0"/>
                      <w:marRight w:val="0"/>
                      <w:marTop w:val="0"/>
                      <w:marBottom w:val="0"/>
                      <w:divBdr>
                        <w:top w:val="none" w:sz="0" w:space="0" w:color="auto"/>
                        <w:left w:val="none" w:sz="0" w:space="0" w:color="auto"/>
                        <w:bottom w:val="none" w:sz="0" w:space="0" w:color="auto"/>
                        <w:right w:val="none" w:sz="0" w:space="0" w:color="auto"/>
                      </w:divBdr>
                    </w:div>
                  </w:divsChild>
                </w:div>
                <w:div w:id="537351401">
                  <w:marLeft w:val="0"/>
                  <w:marRight w:val="0"/>
                  <w:marTop w:val="0"/>
                  <w:marBottom w:val="0"/>
                  <w:divBdr>
                    <w:top w:val="none" w:sz="0" w:space="0" w:color="auto"/>
                    <w:left w:val="none" w:sz="0" w:space="0" w:color="auto"/>
                    <w:bottom w:val="none" w:sz="0" w:space="0" w:color="auto"/>
                    <w:right w:val="none" w:sz="0" w:space="0" w:color="auto"/>
                  </w:divBdr>
                  <w:divsChild>
                    <w:div w:id="14047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800989">
          <w:marLeft w:val="0"/>
          <w:marRight w:val="0"/>
          <w:marTop w:val="0"/>
          <w:marBottom w:val="0"/>
          <w:divBdr>
            <w:top w:val="none" w:sz="0" w:space="0" w:color="auto"/>
            <w:left w:val="none" w:sz="0" w:space="0" w:color="auto"/>
            <w:bottom w:val="none" w:sz="0" w:space="0" w:color="auto"/>
            <w:right w:val="none" w:sz="0" w:space="0" w:color="auto"/>
          </w:divBdr>
          <w:divsChild>
            <w:div w:id="1102995197">
              <w:marLeft w:val="0"/>
              <w:marRight w:val="0"/>
              <w:marTop w:val="0"/>
              <w:marBottom w:val="0"/>
              <w:divBdr>
                <w:top w:val="none" w:sz="0" w:space="0" w:color="auto"/>
                <w:left w:val="none" w:sz="0" w:space="0" w:color="auto"/>
                <w:bottom w:val="none" w:sz="0" w:space="0" w:color="auto"/>
                <w:right w:val="none" w:sz="0" w:space="0" w:color="auto"/>
              </w:divBdr>
            </w:div>
            <w:div w:id="417293054">
              <w:marLeft w:val="0"/>
              <w:marRight w:val="0"/>
              <w:marTop w:val="0"/>
              <w:marBottom w:val="0"/>
              <w:divBdr>
                <w:top w:val="none" w:sz="0" w:space="0" w:color="auto"/>
                <w:left w:val="none" w:sz="0" w:space="0" w:color="auto"/>
                <w:bottom w:val="none" w:sz="0" w:space="0" w:color="auto"/>
                <w:right w:val="none" w:sz="0" w:space="0" w:color="auto"/>
              </w:divBdr>
            </w:div>
            <w:div w:id="1326739064">
              <w:marLeft w:val="0"/>
              <w:marRight w:val="0"/>
              <w:marTop w:val="0"/>
              <w:marBottom w:val="0"/>
              <w:divBdr>
                <w:top w:val="none" w:sz="0" w:space="0" w:color="auto"/>
                <w:left w:val="none" w:sz="0" w:space="0" w:color="auto"/>
                <w:bottom w:val="none" w:sz="0" w:space="0" w:color="auto"/>
                <w:right w:val="none" w:sz="0" w:space="0" w:color="auto"/>
              </w:divBdr>
            </w:div>
            <w:div w:id="33183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37945039">
      <w:bodyDiv w:val="1"/>
      <w:marLeft w:val="0"/>
      <w:marRight w:val="0"/>
      <w:marTop w:val="0"/>
      <w:marBottom w:val="0"/>
      <w:divBdr>
        <w:top w:val="none" w:sz="0" w:space="0" w:color="auto"/>
        <w:left w:val="none" w:sz="0" w:space="0" w:color="auto"/>
        <w:bottom w:val="none" w:sz="0" w:space="0" w:color="auto"/>
        <w:right w:val="none" w:sz="0" w:space="0" w:color="auto"/>
      </w:divBdr>
      <w:divsChild>
        <w:div w:id="666134913">
          <w:marLeft w:val="0"/>
          <w:marRight w:val="0"/>
          <w:marTop w:val="0"/>
          <w:marBottom w:val="0"/>
          <w:divBdr>
            <w:top w:val="none" w:sz="0" w:space="0" w:color="auto"/>
            <w:left w:val="none" w:sz="0" w:space="0" w:color="auto"/>
            <w:bottom w:val="none" w:sz="0" w:space="0" w:color="auto"/>
            <w:right w:val="none" w:sz="0" w:space="0" w:color="auto"/>
          </w:divBdr>
          <w:divsChild>
            <w:div w:id="898050521">
              <w:marLeft w:val="0"/>
              <w:marRight w:val="0"/>
              <w:marTop w:val="0"/>
              <w:marBottom w:val="0"/>
              <w:divBdr>
                <w:top w:val="none" w:sz="0" w:space="0" w:color="auto"/>
                <w:left w:val="none" w:sz="0" w:space="0" w:color="auto"/>
                <w:bottom w:val="none" w:sz="0" w:space="0" w:color="auto"/>
                <w:right w:val="none" w:sz="0" w:space="0" w:color="auto"/>
              </w:divBdr>
            </w:div>
            <w:div w:id="43338065">
              <w:marLeft w:val="0"/>
              <w:marRight w:val="0"/>
              <w:marTop w:val="0"/>
              <w:marBottom w:val="0"/>
              <w:divBdr>
                <w:top w:val="none" w:sz="0" w:space="0" w:color="auto"/>
                <w:left w:val="none" w:sz="0" w:space="0" w:color="auto"/>
                <w:bottom w:val="none" w:sz="0" w:space="0" w:color="auto"/>
                <w:right w:val="none" w:sz="0" w:space="0" w:color="auto"/>
              </w:divBdr>
            </w:div>
            <w:div w:id="1471943862">
              <w:marLeft w:val="0"/>
              <w:marRight w:val="0"/>
              <w:marTop w:val="0"/>
              <w:marBottom w:val="0"/>
              <w:divBdr>
                <w:top w:val="none" w:sz="0" w:space="0" w:color="auto"/>
                <w:left w:val="none" w:sz="0" w:space="0" w:color="auto"/>
                <w:bottom w:val="none" w:sz="0" w:space="0" w:color="auto"/>
                <w:right w:val="none" w:sz="0" w:space="0" w:color="auto"/>
              </w:divBdr>
            </w:div>
            <w:div w:id="575365543">
              <w:marLeft w:val="0"/>
              <w:marRight w:val="0"/>
              <w:marTop w:val="0"/>
              <w:marBottom w:val="0"/>
              <w:divBdr>
                <w:top w:val="none" w:sz="0" w:space="0" w:color="auto"/>
                <w:left w:val="none" w:sz="0" w:space="0" w:color="auto"/>
                <w:bottom w:val="none" w:sz="0" w:space="0" w:color="auto"/>
                <w:right w:val="none" w:sz="0" w:space="0" w:color="auto"/>
              </w:divBdr>
            </w:div>
            <w:div w:id="1711226348">
              <w:marLeft w:val="0"/>
              <w:marRight w:val="0"/>
              <w:marTop w:val="0"/>
              <w:marBottom w:val="0"/>
              <w:divBdr>
                <w:top w:val="none" w:sz="0" w:space="0" w:color="auto"/>
                <w:left w:val="none" w:sz="0" w:space="0" w:color="auto"/>
                <w:bottom w:val="none" w:sz="0" w:space="0" w:color="auto"/>
                <w:right w:val="none" w:sz="0" w:space="0" w:color="auto"/>
              </w:divBdr>
            </w:div>
            <w:div w:id="428694779">
              <w:marLeft w:val="0"/>
              <w:marRight w:val="0"/>
              <w:marTop w:val="0"/>
              <w:marBottom w:val="0"/>
              <w:divBdr>
                <w:top w:val="none" w:sz="0" w:space="0" w:color="auto"/>
                <w:left w:val="none" w:sz="0" w:space="0" w:color="auto"/>
                <w:bottom w:val="none" w:sz="0" w:space="0" w:color="auto"/>
                <w:right w:val="none" w:sz="0" w:space="0" w:color="auto"/>
              </w:divBdr>
            </w:div>
            <w:div w:id="458764356">
              <w:marLeft w:val="0"/>
              <w:marRight w:val="0"/>
              <w:marTop w:val="0"/>
              <w:marBottom w:val="0"/>
              <w:divBdr>
                <w:top w:val="none" w:sz="0" w:space="0" w:color="auto"/>
                <w:left w:val="none" w:sz="0" w:space="0" w:color="auto"/>
                <w:bottom w:val="none" w:sz="0" w:space="0" w:color="auto"/>
                <w:right w:val="none" w:sz="0" w:space="0" w:color="auto"/>
              </w:divBdr>
            </w:div>
          </w:divsChild>
        </w:div>
        <w:div w:id="10113484">
          <w:marLeft w:val="0"/>
          <w:marRight w:val="0"/>
          <w:marTop w:val="0"/>
          <w:marBottom w:val="0"/>
          <w:divBdr>
            <w:top w:val="none" w:sz="0" w:space="0" w:color="auto"/>
            <w:left w:val="none" w:sz="0" w:space="0" w:color="auto"/>
            <w:bottom w:val="none" w:sz="0" w:space="0" w:color="auto"/>
            <w:right w:val="none" w:sz="0" w:space="0" w:color="auto"/>
          </w:divBdr>
          <w:divsChild>
            <w:div w:id="1380934329">
              <w:marLeft w:val="-75"/>
              <w:marRight w:val="0"/>
              <w:marTop w:val="30"/>
              <w:marBottom w:val="30"/>
              <w:divBdr>
                <w:top w:val="none" w:sz="0" w:space="0" w:color="auto"/>
                <w:left w:val="none" w:sz="0" w:space="0" w:color="auto"/>
                <w:bottom w:val="none" w:sz="0" w:space="0" w:color="auto"/>
                <w:right w:val="none" w:sz="0" w:space="0" w:color="auto"/>
              </w:divBdr>
              <w:divsChild>
                <w:div w:id="1658613802">
                  <w:marLeft w:val="0"/>
                  <w:marRight w:val="0"/>
                  <w:marTop w:val="0"/>
                  <w:marBottom w:val="0"/>
                  <w:divBdr>
                    <w:top w:val="none" w:sz="0" w:space="0" w:color="auto"/>
                    <w:left w:val="none" w:sz="0" w:space="0" w:color="auto"/>
                    <w:bottom w:val="none" w:sz="0" w:space="0" w:color="auto"/>
                    <w:right w:val="none" w:sz="0" w:space="0" w:color="auto"/>
                  </w:divBdr>
                  <w:divsChild>
                    <w:div w:id="675426617">
                      <w:marLeft w:val="0"/>
                      <w:marRight w:val="0"/>
                      <w:marTop w:val="0"/>
                      <w:marBottom w:val="0"/>
                      <w:divBdr>
                        <w:top w:val="none" w:sz="0" w:space="0" w:color="auto"/>
                        <w:left w:val="none" w:sz="0" w:space="0" w:color="auto"/>
                        <w:bottom w:val="none" w:sz="0" w:space="0" w:color="auto"/>
                        <w:right w:val="none" w:sz="0" w:space="0" w:color="auto"/>
                      </w:divBdr>
                    </w:div>
                  </w:divsChild>
                </w:div>
                <w:div w:id="1992636361">
                  <w:marLeft w:val="0"/>
                  <w:marRight w:val="0"/>
                  <w:marTop w:val="0"/>
                  <w:marBottom w:val="0"/>
                  <w:divBdr>
                    <w:top w:val="none" w:sz="0" w:space="0" w:color="auto"/>
                    <w:left w:val="none" w:sz="0" w:space="0" w:color="auto"/>
                    <w:bottom w:val="none" w:sz="0" w:space="0" w:color="auto"/>
                    <w:right w:val="none" w:sz="0" w:space="0" w:color="auto"/>
                  </w:divBdr>
                  <w:divsChild>
                    <w:div w:id="464858191">
                      <w:marLeft w:val="0"/>
                      <w:marRight w:val="0"/>
                      <w:marTop w:val="0"/>
                      <w:marBottom w:val="0"/>
                      <w:divBdr>
                        <w:top w:val="none" w:sz="0" w:space="0" w:color="auto"/>
                        <w:left w:val="none" w:sz="0" w:space="0" w:color="auto"/>
                        <w:bottom w:val="none" w:sz="0" w:space="0" w:color="auto"/>
                        <w:right w:val="none" w:sz="0" w:space="0" w:color="auto"/>
                      </w:divBdr>
                    </w:div>
                  </w:divsChild>
                </w:div>
                <w:div w:id="1387290416">
                  <w:marLeft w:val="0"/>
                  <w:marRight w:val="0"/>
                  <w:marTop w:val="0"/>
                  <w:marBottom w:val="0"/>
                  <w:divBdr>
                    <w:top w:val="none" w:sz="0" w:space="0" w:color="auto"/>
                    <w:left w:val="none" w:sz="0" w:space="0" w:color="auto"/>
                    <w:bottom w:val="none" w:sz="0" w:space="0" w:color="auto"/>
                    <w:right w:val="none" w:sz="0" w:space="0" w:color="auto"/>
                  </w:divBdr>
                  <w:divsChild>
                    <w:div w:id="1110854790">
                      <w:marLeft w:val="0"/>
                      <w:marRight w:val="0"/>
                      <w:marTop w:val="0"/>
                      <w:marBottom w:val="0"/>
                      <w:divBdr>
                        <w:top w:val="none" w:sz="0" w:space="0" w:color="auto"/>
                        <w:left w:val="none" w:sz="0" w:space="0" w:color="auto"/>
                        <w:bottom w:val="none" w:sz="0" w:space="0" w:color="auto"/>
                        <w:right w:val="none" w:sz="0" w:space="0" w:color="auto"/>
                      </w:divBdr>
                    </w:div>
                  </w:divsChild>
                </w:div>
                <w:div w:id="590823667">
                  <w:marLeft w:val="0"/>
                  <w:marRight w:val="0"/>
                  <w:marTop w:val="0"/>
                  <w:marBottom w:val="0"/>
                  <w:divBdr>
                    <w:top w:val="none" w:sz="0" w:space="0" w:color="auto"/>
                    <w:left w:val="none" w:sz="0" w:space="0" w:color="auto"/>
                    <w:bottom w:val="none" w:sz="0" w:space="0" w:color="auto"/>
                    <w:right w:val="none" w:sz="0" w:space="0" w:color="auto"/>
                  </w:divBdr>
                  <w:divsChild>
                    <w:div w:id="2073846255">
                      <w:marLeft w:val="0"/>
                      <w:marRight w:val="0"/>
                      <w:marTop w:val="0"/>
                      <w:marBottom w:val="0"/>
                      <w:divBdr>
                        <w:top w:val="none" w:sz="0" w:space="0" w:color="auto"/>
                        <w:left w:val="none" w:sz="0" w:space="0" w:color="auto"/>
                        <w:bottom w:val="none" w:sz="0" w:space="0" w:color="auto"/>
                        <w:right w:val="none" w:sz="0" w:space="0" w:color="auto"/>
                      </w:divBdr>
                    </w:div>
                  </w:divsChild>
                </w:div>
                <w:div w:id="1265109783">
                  <w:marLeft w:val="0"/>
                  <w:marRight w:val="0"/>
                  <w:marTop w:val="0"/>
                  <w:marBottom w:val="0"/>
                  <w:divBdr>
                    <w:top w:val="none" w:sz="0" w:space="0" w:color="auto"/>
                    <w:left w:val="none" w:sz="0" w:space="0" w:color="auto"/>
                    <w:bottom w:val="none" w:sz="0" w:space="0" w:color="auto"/>
                    <w:right w:val="none" w:sz="0" w:space="0" w:color="auto"/>
                  </w:divBdr>
                  <w:divsChild>
                    <w:div w:id="1085346686">
                      <w:marLeft w:val="0"/>
                      <w:marRight w:val="0"/>
                      <w:marTop w:val="0"/>
                      <w:marBottom w:val="0"/>
                      <w:divBdr>
                        <w:top w:val="none" w:sz="0" w:space="0" w:color="auto"/>
                        <w:left w:val="none" w:sz="0" w:space="0" w:color="auto"/>
                        <w:bottom w:val="none" w:sz="0" w:space="0" w:color="auto"/>
                        <w:right w:val="none" w:sz="0" w:space="0" w:color="auto"/>
                      </w:divBdr>
                    </w:div>
                  </w:divsChild>
                </w:div>
                <w:div w:id="2025207573">
                  <w:marLeft w:val="0"/>
                  <w:marRight w:val="0"/>
                  <w:marTop w:val="0"/>
                  <w:marBottom w:val="0"/>
                  <w:divBdr>
                    <w:top w:val="none" w:sz="0" w:space="0" w:color="auto"/>
                    <w:left w:val="none" w:sz="0" w:space="0" w:color="auto"/>
                    <w:bottom w:val="none" w:sz="0" w:space="0" w:color="auto"/>
                    <w:right w:val="none" w:sz="0" w:space="0" w:color="auto"/>
                  </w:divBdr>
                  <w:divsChild>
                    <w:div w:id="2087343313">
                      <w:marLeft w:val="0"/>
                      <w:marRight w:val="0"/>
                      <w:marTop w:val="0"/>
                      <w:marBottom w:val="0"/>
                      <w:divBdr>
                        <w:top w:val="none" w:sz="0" w:space="0" w:color="auto"/>
                        <w:left w:val="none" w:sz="0" w:space="0" w:color="auto"/>
                        <w:bottom w:val="none" w:sz="0" w:space="0" w:color="auto"/>
                        <w:right w:val="none" w:sz="0" w:space="0" w:color="auto"/>
                      </w:divBdr>
                    </w:div>
                  </w:divsChild>
                </w:div>
                <w:div w:id="1079717922">
                  <w:marLeft w:val="0"/>
                  <w:marRight w:val="0"/>
                  <w:marTop w:val="0"/>
                  <w:marBottom w:val="0"/>
                  <w:divBdr>
                    <w:top w:val="none" w:sz="0" w:space="0" w:color="auto"/>
                    <w:left w:val="none" w:sz="0" w:space="0" w:color="auto"/>
                    <w:bottom w:val="none" w:sz="0" w:space="0" w:color="auto"/>
                    <w:right w:val="none" w:sz="0" w:space="0" w:color="auto"/>
                  </w:divBdr>
                  <w:divsChild>
                    <w:div w:id="908926012">
                      <w:marLeft w:val="0"/>
                      <w:marRight w:val="0"/>
                      <w:marTop w:val="0"/>
                      <w:marBottom w:val="0"/>
                      <w:divBdr>
                        <w:top w:val="none" w:sz="0" w:space="0" w:color="auto"/>
                        <w:left w:val="none" w:sz="0" w:space="0" w:color="auto"/>
                        <w:bottom w:val="none" w:sz="0" w:space="0" w:color="auto"/>
                        <w:right w:val="none" w:sz="0" w:space="0" w:color="auto"/>
                      </w:divBdr>
                    </w:div>
                  </w:divsChild>
                </w:div>
                <w:div w:id="1826974742">
                  <w:marLeft w:val="0"/>
                  <w:marRight w:val="0"/>
                  <w:marTop w:val="0"/>
                  <w:marBottom w:val="0"/>
                  <w:divBdr>
                    <w:top w:val="none" w:sz="0" w:space="0" w:color="auto"/>
                    <w:left w:val="none" w:sz="0" w:space="0" w:color="auto"/>
                    <w:bottom w:val="none" w:sz="0" w:space="0" w:color="auto"/>
                    <w:right w:val="none" w:sz="0" w:space="0" w:color="auto"/>
                  </w:divBdr>
                  <w:divsChild>
                    <w:div w:id="598371729">
                      <w:marLeft w:val="0"/>
                      <w:marRight w:val="0"/>
                      <w:marTop w:val="0"/>
                      <w:marBottom w:val="0"/>
                      <w:divBdr>
                        <w:top w:val="none" w:sz="0" w:space="0" w:color="auto"/>
                        <w:left w:val="none" w:sz="0" w:space="0" w:color="auto"/>
                        <w:bottom w:val="none" w:sz="0" w:space="0" w:color="auto"/>
                        <w:right w:val="none" w:sz="0" w:space="0" w:color="auto"/>
                      </w:divBdr>
                    </w:div>
                  </w:divsChild>
                </w:div>
                <w:div w:id="538053994">
                  <w:marLeft w:val="0"/>
                  <w:marRight w:val="0"/>
                  <w:marTop w:val="0"/>
                  <w:marBottom w:val="0"/>
                  <w:divBdr>
                    <w:top w:val="none" w:sz="0" w:space="0" w:color="auto"/>
                    <w:left w:val="none" w:sz="0" w:space="0" w:color="auto"/>
                    <w:bottom w:val="none" w:sz="0" w:space="0" w:color="auto"/>
                    <w:right w:val="none" w:sz="0" w:space="0" w:color="auto"/>
                  </w:divBdr>
                  <w:divsChild>
                    <w:div w:id="782650955">
                      <w:marLeft w:val="0"/>
                      <w:marRight w:val="0"/>
                      <w:marTop w:val="0"/>
                      <w:marBottom w:val="0"/>
                      <w:divBdr>
                        <w:top w:val="none" w:sz="0" w:space="0" w:color="auto"/>
                        <w:left w:val="none" w:sz="0" w:space="0" w:color="auto"/>
                        <w:bottom w:val="none" w:sz="0" w:space="0" w:color="auto"/>
                        <w:right w:val="none" w:sz="0" w:space="0" w:color="auto"/>
                      </w:divBdr>
                    </w:div>
                  </w:divsChild>
                </w:div>
                <w:div w:id="695889922">
                  <w:marLeft w:val="0"/>
                  <w:marRight w:val="0"/>
                  <w:marTop w:val="0"/>
                  <w:marBottom w:val="0"/>
                  <w:divBdr>
                    <w:top w:val="none" w:sz="0" w:space="0" w:color="auto"/>
                    <w:left w:val="none" w:sz="0" w:space="0" w:color="auto"/>
                    <w:bottom w:val="none" w:sz="0" w:space="0" w:color="auto"/>
                    <w:right w:val="none" w:sz="0" w:space="0" w:color="auto"/>
                  </w:divBdr>
                  <w:divsChild>
                    <w:div w:id="677854043">
                      <w:marLeft w:val="0"/>
                      <w:marRight w:val="0"/>
                      <w:marTop w:val="0"/>
                      <w:marBottom w:val="0"/>
                      <w:divBdr>
                        <w:top w:val="none" w:sz="0" w:space="0" w:color="auto"/>
                        <w:left w:val="none" w:sz="0" w:space="0" w:color="auto"/>
                        <w:bottom w:val="none" w:sz="0" w:space="0" w:color="auto"/>
                        <w:right w:val="none" w:sz="0" w:space="0" w:color="auto"/>
                      </w:divBdr>
                    </w:div>
                  </w:divsChild>
                </w:div>
                <w:div w:id="571893473">
                  <w:marLeft w:val="0"/>
                  <w:marRight w:val="0"/>
                  <w:marTop w:val="0"/>
                  <w:marBottom w:val="0"/>
                  <w:divBdr>
                    <w:top w:val="none" w:sz="0" w:space="0" w:color="auto"/>
                    <w:left w:val="none" w:sz="0" w:space="0" w:color="auto"/>
                    <w:bottom w:val="none" w:sz="0" w:space="0" w:color="auto"/>
                    <w:right w:val="none" w:sz="0" w:space="0" w:color="auto"/>
                  </w:divBdr>
                  <w:divsChild>
                    <w:div w:id="321786545">
                      <w:marLeft w:val="0"/>
                      <w:marRight w:val="0"/>
                      <w:marTop w:val="0"/>
                      <w:marBottom w:val="0"/>
                      <w:divBdr>
                        <w:top w:val="none" w:sz="0" w:space="0" w:color="auto"/>
                        <w:left w:val="none" w:sz="0" w:space="0" w:color="auto"/>
                        <w:bottom w:val="none" w:sz="0" w:space="0" w:color="auto"/>
                        <w:right w:val="none" w:sz="0" w:space="0" w:color="auto"/>
                      </w:divBdr>
                    </w:div>
                  </w:divsChild>
                </w:div>
                <w:div w:id="709887714">
                  <w:marLeft w:val="0"/>
                  <w:marRight w:val="0"/>
                  <w:marTop w:val="0"/>
                  <w:marBottom w:val="0"/>
                  <w:divBdr>
                    <w:top w:val="none" w:sz="0" w:space="0" w:color="auto"/>
                    <w:left w:val="none" w:sz="0" w:space="0" w:color="auto"/>
                    <w:bottom w:val="none" w:sz="0" w:space="0" w:color="auto"/>
                    <w:right w:val="none" w:sz="0" w:space="0" w:color="auto"/>
                  </w:divBdr>
                  <w:divsChild>
                    <w:div w:id="1685865865">
                      <w:marLeft w:val="0"/>
                      <w:marRight w:val="0"/>
                      <w:marTop w:val="0"/>
                      <w:marBottom w:val="0"/>
                      <w:divBdr>
                        <w:top w:val="none" w:sz="0" w:space="0" w:color="auto"/>
                        <w:left w:val="none" w:sz="0" w:space="0" w:color="auto"/>
                        <w:bottom w:val="none" w:sz="0" w:space="0" w:color="auto"/>
                        <w:right w:val="none" w:sz="0" w:space="0" w:color="auto"/>
                      </w:divBdr>
                    </w:div>
                  </w:divsChild>
                </w:div>
                <w:div w:id="917441425">
                  <w:marLeft w:val="0"/>
                  <w:marRight w:val="0"/>
                  <w:marTop w:val="0"/>
                  <w:marBottom w:val="0"/>
                  <w:divBdr>
                    <w:top w:val="none" w:sz="0" w:space="0" w:color="auto"/>
                    <w:left w:val="none" w:sz="0" w:space="0" w:color="auto"/>
                    <w:bottom w:val="none" w:sz="0" w:space="0" w:color="auto"/>
                    <w:right w:val="none" w:sz="0" w:space="0" w:color="auto"/>
                  </w:divBdr>
                  <w:divsChild>
                    <w:div w:id="203954646">
                      <w:marLeft w:val="0"/>
                      <w:marRight w:val="0"/>
                      <w:marTop w:val="0"/>
                      <w:marBottom w:val="0"/>
                      <w:divBdr>
                        <w:top w:val="none" w:sz="0" w:space="0" w:color="auto"/>
                        <w:left w:val="none" w:sz="0" w:space="0" w:color="auto"/>
                        <w:bottom w:val="none" w:sz="0" w:space="0" w:color="auto"/>
                        <w:right w:val="none" w:sz="0" w:space="0" w:color="auto"/>
                      </w:divBdr>
                    </w:div>
                  </w:divsChild>
                </w:div>
                <w:div w:id="1161652710">
                  <w:marLeft w:val="0"/>
                  <w:marRight w:val="0"/>
                  <w:marTop w:val="0"/>
                  <w:marBottom w:val="0"/>
                  <w:divBdr>
                    <w:top w:val="none" w:sz="0" w:space="0" w:color="auto"/>
                    <w:left w:val="none" w:sz="0" w:space="0" w:color="auto"/>
                    <w:bottom w:val="none" w:sz="0" w:space="0" w:color="auto"/>
                    <w:right w:val="none" w:sz="0" w:space="0" w:color="auto"/>
                  </w:divBdr>
                  <w:divsChild>
                    <w:div w:id="1000884908">
                      <w:marLeft w:val="0"/>
                      <w:marRight w:val="0"/>
                      <w:marTop w:val="0"/>
                      <w:marBottom w:val="0"/>
                      <w:divBdr>
                        <w:top w:val="none" w:sz="0" w:space="0" w:color="auto"/>
                        <w:left w:val="none" w:sz="0" w:space="0" w:color="auto"/>
                        <w:bottom w:val="none" w:sz="0" w:space="0" w:color="auto"/>
                        <w:right w:val="none" w:sz="0" w:space="0" w:color="auto"/>
                      </w:divBdr>
                    </w:div>
                  </w:divsChild>
                </w:div>
                <w:div w:id="1602103264">
                  <w:marLeft w:val="0"/>
                  <w:marRight w:val="0"/>
                  <w:marTop w:val="0"/>
                  <w:marBottom w:val="0"/>
                  <w:divBdr>
                    <w:top w:val="none" w:sz="0" w:space="0" w:color="auto"/>
                    <w:left w:val="none" w:sz="0" w:space="0" w:color="auto"/>
                    <w:bottom w:val="none" w:sz="0" w:space="0" w:color="auto"/>
                    <w:right w:val="none" w:sz="0" w:space="0" w:color="auto"/>
                  </w:divBdr>
                  <w:divsChild>
                    <w:div w:id="1285621843">
                      <w:marLeft w:val="0"/>
                      <w:marRight w:val="0"/>
                      <w:marTop w:val="0"/>
                      <w:marBottom w:val="0"/>
                      <w:divBdr>
                        <w:top w:val="none" w:sz="0" w:space="0" w:color="auto"/>
                        <w:left w:val="none" w:sz="0" w:space="0" w:color="auto"/>
                        <w:bottom w:val="none" w:sz="0" w:space="0" w:color="auto"/>
                        <w:right w:val="none" w:sz="0" w:space="0" w:color="auto"/>
                      </w:divBdr>
                    </w:div>
                  </w:divsChild>
                </w:div>
                <w:div w:id="1956399806">
                  <w:marLeft w:val="0"/>
                  <w:marRight w:val="0"/>
                  <w:marTop w:val="0"/>
                  <w:marBottom w:val="0"/>
                  <w:divBdr>
                    <w:top w:val="none" w:sz="0" w:space="0" w:color="auto"/>
                    <w:left w:val="none" w:sz="0" w:space="0" w:color="auto"/>
                    <w:bottom w:val="none" w:sz="0" w:space="0" w:color="auto"/>
                    <w:right w:val="none" w:sz="0" w:space="0" w:color="auto"/>
                  </w:divBdr>
                  <w:divsChild>
                    <w:div w:id="1665090608">
                      <w:marLeft w:val="0"/>
                      <w:marRight w:val="0"/>
                      <w:marTop w:val="0"/>
                      <w:marBottom w:val="0"/>
                      <w:divBdr>
                        <w:top w:val="none" w:sz="0" w:space="0" w:color="auto"/>
                        <w:left w:val="none" w:sz="0" w:space="0" w:color="auto"/>
                        <w:bottom w:val="none" w:sz="0" w:space="0" w:color="auto"/>
                        <w:right w:val="none" w:sz="0" w:space="0" w:color="auto"/>
                      </w:divBdr>
                    </w:div>
                  </w:divsChild>
                </w:div>
                <w:div w:id="1002197924">
                  <w:marLeft w:val="0"/>
                  <w:marRight w:val="0"/>
                  <w:marTop w:val="0"/>
                  <w:marBottom w:val="0"/>
                  <w:divBdr>
                    <w:top w:val="none" w:sz="0" w:space="0" w:color="auto"/>
                    <w:left w:val="none" w:sz="0" w:space="0" w:color="auto"/>
                    <w:bottom w:val="none" w:sz="0" w:space="0" w:color="auto"/>
                    <w:right w:val="none" w:sz="0" w:space="0" w:color="auto"/>
                  </w:divBdr>
                  <w:divsChild>
                    <w:div w:id="2015692478">
                      <w:marLeft w:val="0"/>
                      <w:marRight w:val="0"/>
                      <w:marTop w:val="0"/>
                      <w:marBottom w:val="0"/>
                      <w:divBdr>
                        <w:top w:val="none" w:sz="0" w:space="0" w:color="auto"/>
                        <w:left w:val="none" w:sz="0" w:space="0" w:color="auto"/>
                        <w:bottom w:val="none" w:sz="0" w:space="0" w:color="auto"/>
                        <w:right w:val="none" w:sz="0" w:space="0" w:color="auto"/>
                      </w:divBdr>
                    </w:div>
                  </w:divsChild>
                </w:div>
                <w:div w:id="1277564882">
                  <w:marLeft w:val="0"/>
                  <w:marRight w:val="0"/>
                  <w:marTop w:val="0"/>
                  <w:marBottom w:val="0"/>
                  <w:divBdr>
                    <w:top w:val="none" w:sz="0" w:space="0" w:color="auto"/>
                    <w:left w:val="none" w:sz="0" w:space="0" w:color="auto"/>
                    <w:bottom w:val="none" w:sz="0" w:space="0" w:color="auto"/>
                    <w:right w:val="none" w:sz="0" w:space="0" w:color="auto"/>
                  </w:divBdr>
                  <w:divsChild>
                    <w:div w:id="1813281856">
                      <w:marLeft w:val="0"/>
                      <w:marRight w:val="0"/>
                      <w:marTop w:val="0"/>
                      <w:marBottom w:val="0"/>
                      <w:divBdr>
                        <w:top w:val="none" w:sz="0" w:space="0" w:color="auto"/>
                        <w:left w:val="none" w:sz="0" w:space="0" w:color="auto"/>
                        <w:bottom w:val="none" w:sz="0" w:space="0" w:color="auto"/>
                        <w:right w:val="none" w:sz="0" w:space="0" w:color="auto"/>
                      </w:divBdr>
                    </w:div>
                  </w:divsChild>
                </w:div>
                <w:div w:id="303857167">
                  <w:marLeft w:val="0"/>
                  <w:marRight w:val="0"/>
                  <w:marTop w:val="0"/>
                  <w:marBottom w:val="0"/>
                  <w:divBdr>
                    <w:top w:val="none" w:sz="0" w:space="0" w:color="auto"/>
                    <w:left w:val="none" w:sz="0" w:space="0" w:color="auto"/>
                    <w:bottom w:val="none" w:sz="0" w:space="0" w:color="auto"/>
                    <w:right w:val="none" w:sz="0" w:space="0" w:color="auto"/>
                  </w:divBdr>
                  <w:divsChild>
                    <w:div w:id="1430810712">
                      <w:marLeft w:val="0"/>
                      <w:marRight w:val="0"/>
                      <w:marTop w:val="0"/>
                      <w:marBottom w:val="0"/>
                      <w:divBdr>
                        <w:top w:val="none" w:sz="0" w:space="0" w:color="auto"/>
                        <w:left w:val="none" w:sz="0" w:space="0" w:color="auto"/>
                        <w:bottom w:val="none" w:sz="0" w:space="0" w:color="auto"/>
                        <w:right w:val="none" w:sz="0" w:space="0" w:color="auto"/>
                      </w:divBdr>
                    </w:div>
                  </w:divsChild>
                </w:div>
                <w:div w:id="1735472612">
                  <w:marLeft w:val="0"/>
                  <w:marRight w:val="0"/>
                  <w:marTop w:val="0"/>
                  <w:marBottom w:val="0"/>
                  <w:divBdr>
                    <w:top w:val="none" w:sz="0" w:space="0" w:color="auto"/>
                    <w:left w:val="none" w:sz="0" w:space="0" w:color="auto"/>
                    <w:bottom w:val="none" w:sz="0" w:space="0" w:color="auto"/>
                    <w:right w:val="none" w:sz="0" w:space="0" w:color="auto"/>
                  </w:divBdr>
                  <w:divsChild>
                    <w:div w:id="1113013051">
                      <w:marLeft w:val="0"/>
                      <w:marRight w:val="0"/>
                      <w:marTop w:val="0"/>
                      <w:marBottom w:val="0"/>
                      <w:divBdr>
                        <w:top w:val="none" w:sz="0" w:space="0" w:color="auto"/>
                        <w:left w:val="none" w:sz="0" w:space="0" w:color="auto"/>
                        <w:bottom w:val="none" w:sz="0" w:space="0" w:color="auto"/>
                        <w:right w:val="none" w:sz="0" w:space="0" w:color="auto"/>
                      </w:divBdr>
                    </w:div>
                  </w:divsChild>
                </w:div>
                <w:div w:id="377124064">
                  <w:marLeft w:val="0"/>
                  <w:marRight w:val="0"/>
                  <w:marTop w:val="0"/>
                  <w:marBottom w:val="0"/>
                  <w:divBdr>
                    <w:top w:val="none" w:sz="0" w:space="0" w:color="auto"/>
                    <w:left w:val="none" w:sz="0" w:space="0" w:color="auto"/>
                    <w:bottom w:val="none" w:sz="0" w:space="0" w:color="auto"/>
                    <w:right w:val="none" w:sz="0" w:space="0" w:color="auto"/>
                  </w:divBdr>
                  <w:divsChild>
                    <w:div w:id="231280048">
                      <w:marLeft w:val="0"/>
                      <w:marRight w:val="0"/>
                      <w:marTop w:val="0"/>
                      <w:marBottom w:val="0"/>
                      <w:divBdr>
                        <w:top w:val="none" w:sz="0" w:space="0" w:color="auto"/>
                        <w:left w:val="none" w:sz="0" w:space="0" w:color="auto"/>
                        <w:bottom w:val="none" w:sz="0" w:space="0" w:color="auto"/>
                        <w:right w:val="none" w:sz="0" w:space="0" w:color="auto"/>
                      </w:divBdr>
                    </w:div>
                  </w:divsChild>
                </w:div>
                <w:div w:id="1459029110">
                  <w:marLeft w:val="0"/>
                  <w:marRight w:val="0"/>
                  <w:marTop w:val="0"/>
                  <w:marBottom w:val="0"/>
                  <w:divBdr>
                    <w:top w:val="none" w:sz="0" w:space="0" w:color="auto"/>
                    <w:left w:val="none" w:sz="0" w:space="0" w:color="auto"/>
                    <w:bottom w:val="none" w:sz="0" w:space="0" w:color="auto"/>
                    <w:right w:val="none" w:sz="0" w:space="0" w:color="auto"/>
                  </w:divBdr>
                  <w:divsChild>
                    <w:div w:id="1835105581">
                      <w:marLeft w:val="0"/>
                      <w:marRight w:val="0"/>
                      <w:marTop w:val="0"/>
                      <w:marBottom w:val="0"/>
                      <w:divBdr>
                        <w:top w:val="none" w:sz="0" w:space="0" w:color="auto"/>
                        <w:left w:val="none" w:sz="0" w:space="0" w:color="auto"/>
                        <w:bottom w:val="none" w:sz="0" w:space="0" w:color="auto"/>
                        <w:right w:val="none" w:sz="0" w:space="0" w:color="auto"/>
                      </w:divBdr>
                    </w:div>
                  </w:divsChild>
                </w:div>
                <w:div w:id="2062054865">
                  <w:marLeft w:val="0"/>
                  <w:marRight w:val="0"/>
                  <w:marTop w:val="0"/>
                  <w:marBottom w:val="0"/>
                  <w:divBdr>
                    <w:top w:val="none" w:sz="0" w:space="0" w:color="auto"/>
                    <w:left w:val="none" w:sz="0" w:space="0" w:color="auto"/>
                    <w:bottom w:val="none" w:sz="0" w:space="0" w:color="auto"/>
                    <w:right w:val="none" w:sz="0" w:space="0" w:color="auto"/>
                  </w:divBdr>
                  <w:divsChild>
                    <w:div w:id="866216677">
                      <w:marLeft w:val="0"/>
                      <w:marRight w:val="0"/>
                      <w:marTop w:val="0"/>
                      <w:marBottom w:val="0"/>
                      <w:divBdr>
                        <w:top w:val="none" w:sz="0" w:space="0" w:color="auto"/>
                        <w:left w:val="none" w:sz="0" w:space="0" w:color="auto"/>
                        <w:bottom w:val="none" w:sz="0" w:space="0" w:color="auto"/>
                        <w:right w:val="none" w:sz="0" w:space="0" w:color="auto"/>
                      </w:divBdr>
                    </w:div>
                  </w:divsChild>
                </w:div>
                <w:div w:id="1477717711">
                  <w:marLeft w:val="0"/>
                  <w:marRight w:val="0"/>
                  <w:marTop w:val="0"/>
                  <w:marBottom w:val="0"/>
                  <w:divBdr>
                    <w:top w:val="none" w:sz="0" w:space="0" w:color="auto"/>
                    <w:left w:val="none" w:sz="0" w:space="0" w:color="auto"/>
                    <w:bottom w:val="none" w:sz="0" w:space="0" w:color="auto"/>
                    <w:right w:val="none" w:sz="0" w:space="0" w:color="auto"/>
                  </w:divBdr>
                  <w:divsChild>
                    <w:div w:id="6829562">
                      <w:marLeft w:val="0"/>
                      <w:marRight w:val="0"/>
                      <w:marTop w:val="0"/>
                      <w:marBottom w:val="0"/>
                      <w:divBdr>
                        <w:top w:val="none" w:sz="0" w:space="0" w:color="auto"/>
                        <w:left w:val="none" w:sz="0" w:space="0" w:color="auto"/>
                        <w:bottom w:val="none" w:sz="0" w:space="0" w:color="auto"/>
                        <w:right w:val="none" w:sz="0" w:space="0" w:color="auto"/>
                      </w:divBdr>
                    </w:div>
                  </w:divsChild>
                </w:div>
                <w:div w:id="464082736">
                  <w:marLeft w:val="0"/>
                  <w:marRight w:val="0"/>
                  <w:marTop w:val="0"/>
                  <w:marBottom w:val="0"/>
                  <w:divBdr>
                    <w:top w:val="none" w:sz="0" w:space="0" w:color="auto"/>
                    <w:left w:val="none" w:sz="0" w:space="0" w:color="auto"/>
                    <w:bottom w:val="none" w:sz="0" w:space="0" w:color="auto"/>
                    <w:right w:val="none" w:sz="0" w:space="0" w:color="auto"/>
                  </w:divBdr>
                  <w:divsChild>
                    <w:div w:id="1292858557">
                      <w:marLeft w:val="0"/>
                      <w:marRight w:val="0"/>
                      <w:marTop w:val="0"/>
                      <w:marBottom w:val="0"/>
                      <w:divBdr>
                        <w:top w:val="none" w:sz="0" w:space="0" w:color="auto"/>
                        <w:left w:val="none" w:sz="0" w:space="0" w:color="auto"/>
                        <w:bottom w:val="none" w:sz="0" w:space="0" w:color="auto"/>
                        <w:right w:val="none" w:sz="0" w:space="0" w:color="auto"/>
                      </w:divBdr>
                    </w:div>
                  </w:divsChild>
                </w:div>
                <w:div w:id="769741264">
                  <w:marLeft w:val="0"/>
                  <w:marRight w:val="0"/>
                  <w:marTop w:val="0"/>
                  <w:marBottom w:val="0"/>
                  <w:divBdr>
                    <w:top w:val="none" w:sz="0" w:space="0" w:color="auto"/>
                    <w:left w:val="none" w:sz="0" w:space="0" w:color="auto"/>
                    <w:bottom w:val="none" w:sz="0" w:space="0" w:color="auto"/>
                    <w:right w:val="none" w:sz="0" w:space="0" w:color="auto"/>
                  </w:divBdr>
                  <w:divsChild>
                    <w:div w:id="1717074387">
                      <w:marLeft w:val="0"/>
                      <w:marRight w:val="0"/>
                      <w:marTop w:val="0"/>
                      <w:marBottom w:val="0"/>
                      <w:divBdr>
                        <w:top w:val="none" w:sz="0" w:space="0" w:color="auto"/>
                        <w:left w:val="none" w:sz="0" w:space="0" w:color="auto"/>
                        <w:bottom w:val="none" w:sz="0" w:space="0" w:color="auto"/>
                        <w:right w:val="none" w:sz="0" w:space="0" w:color="auto"/>
                      </w:divBdr>
                    </w:div>
                  </w:divsChild>
                </w:div>
                <w:div w:id="1959755763">
                  <w:marLeft w:val="0"/>
                  <w:marRight w:val="0"/>
                  <w:marTop w:val="0"/>
                  <w:marBottom w:val="0"/>
                  <w:divBdr>
                    <w:top w:val="none" w:sz="0" w:space="0" w:color="auto"/>
                    <w:left w:val="none" w:sz="0" w:space="0" w:color="auto"/>
                    <w:bottom w:val="none" w:sz="0" w:space="0" w:color="auto"/>
                    <w:right w:val="none" w:sz="0" w:space="0" w:color="auto"/>
                  </w:divBdr>
                  <w:divsChild>
                    <w:div w:id="220944023">
                      <w:marLeft w:val="0"/>
                      <w:marRight w:val="0"/>
                      <w:marTop w:val="0"/>
                      <w:marBottom w:val="0"/>
                      <w:divBdr>
                        <w:top w:val="none" w:sz="0" w:space="0" w:color="auto"/>
                        <w:left w:val="none" w:sz="0" w:space="0" w:color="auto"/>
                        <w:bottom w:val="none" w:sz="0" w:space="0" w:color="auto"/>
                        <w:right w:val="none" w:sz="0" w:space="0" w:color="auto"/>
                      </w:divBdr>
                    </w:div>
                  </w:divsChild>
                </w:div>
                <w:div w:id="1972439678">
                  <w:marLeft w:val="0"/>
                  <w:marRight w:val="0"/>
                  <w:marTop w:val="0"/>
                  <w:marBottom w:val="0"/>
                  <w:divBdr>
                    <w:top w:val="none" w:sz="0" w:space="0" w:color="auto"/>
                    <w:left w:val="none" w:sz="0" w:space="0" w:color="auto"/>
                    <w:bottom w:val="none" w:sz="0" w:space="0" w:color="auto"/>
                    <w:right w:val="none" w:sz="0" w:space="0" w:color="auto"/>
                  </w:divBdr>
                  <w:divsChild>
                    <w:div w:id="1304506818">
                      <w:marLeft w:val="0"/>
                      <w:marRight w:val="0"/>
                      <w:marTop w:val="0"/>
                      <w:marBottom w:val="0"/>
                      <w:divBdr>
                        <w:top w:val="none" w:sz="0" w:space="0" w:color="auto"/>
                        <w:left w:val="none" w:sz="0" w:space="0" w:color="auto"/>
                        <w:bottom w:val="none" w:sz="0" w:space="0" w:color="auto"/>
                        <w:right w:val="none" w:sz="0" w:space="0" w:color="auto"/>
                      </w:divBdr>
                    </w:div>
                  </w:divsChild>
                </w:div>
                <w:div w:id="1262764194">
                  <w:marLeft w:val="0"/>
                  <w:marRight w:val="0"/>
                  <w:marTop w:val="0"/>
                  <w:marBottom w:val="0"/>
                  <w:divBdr>
                    <w:top w:val="none" w:sz="0" w:space="0" w:color="auto"/>
                    <w:left w:val="none" w:sz="0" w:space="0" w:color="auto"/>
                    <w:bottom w:val="none" w:sz="0" w:space="0" w:color="auto"/>
                    <w:right w:val="none" w:sz="0" w:space="0" w:color="auto"/>
                  </w:divBdr>
                  <w:divsChild>
                    <w:div w:id="306669327">
                      <w:marLeft w:val="0"/>
                      <w:marRight w:val="0"/>
                      <w:marTop w:val="0"/>
                      <w:marBottom w:val="0"/>
                      <w:divBdr>
                        <w:top w:val="none" w:sz="0" w:space="0" w:color="auto"/>
                        <w:left w:val="none" w:sz="0" w:space="0" w:color="auto"/>
                        <w:bottom w:val="none" w:sz="0" w:space="0" w:color="auto"/>
                        <w:right w:val="none" w:sz="0" w:space="0" w:color="auto"/>
                      </w:divBdr>
                    </w:div>
                  </w:divsChild>
                </w:div>
                <w:div w:id="297956806">
                  <w:marLeft w:val="0"/>
                  <w:marRight w:val="0"/>
                  <w:marTop w:val="0"/>
                  <w:marBottom w:val="0"/>
                  <w:divBdr>
                    <w:top w:val="none" w:sz="0" w:space="0" w:color="auto"/>
                    <w:left w:val="none" w:sz="0" w:space="0" w:color="auto"/>
                    <w:bottom w:val="none" w:sz="0" w:space="0" w:color="auto"/>
                    <w:right w:val="none" w:sz="0" w:space="0" w:color="auto"/>
                  </w:divBdr>
                  <w:divsChild>
                    <w:div w:id="80670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317437">
          <w:marLeft w:val="0"/>
          <w:marRight w:val="0"/>
          <w:marTop w:val="0"/>
          <w:marBottom w:val="0"/>
          <w:divBdr>
            <w:top w:val="none" w:sz="0" w:space="0" w:color="auto"/>
            <w:left w:val="none" w:sz="0" w:space="0" w:color="auto"/>
            <w:bottom w:val="none" w:sz="0" w:space="0" w:color="auto"/>
            <w:right w:val="none" w:sz="0" w:space="0" w:color="auto"/>
          </w:divBdr>
          <w:divsChild>
            <w:div w:id="614673055">
              <w:marLeft w:val="0"/>
              <w:marRight w:val="0"/>
              <w:marTop w:val="0"/>
              <w:marBottom w:val="0"/>
              <w:divBdr>
                <w:top w:val="none" w:sz="0" w:space="0" w:color="auto"/>
                <w:left w:val="none" w:sz="0" w:space="0" w:color="auto"/>
                <w:bottom w:val="none" w:sz="0" w:space="0" w:color="auto"/>
                <w:right w:val="none" w:sz="0" w:space="0" w:color="auto"/>
              </w:divBdr>
            </w:div>
            <w:div w:id="586041392">
              <w:marLeft w:val="0"/>
              <w:marRight w:val="0"/>
              <w:marTop w:val="0"/>
              <w:marBottom w:val="0"/>
              <w:divBdr>
                <w:top w:val="none" w:sz="0" w:space="0" w:color="auto"/>
                <w:left w:val="none" w:sz="0" w:space="0" w:color="auto"/>
                <w:bottom w:val="none" w:sz="0" w:space="0" w:color="auto"/>
                <w:right w:val="none" w:sz="0" w:space="0" w:color="auto"/>
              </w:divBdr>
            </w:div>
            <w:div w:id="1951473442">
              <w:marLeft w:val="0"/>
              <w:marRight w:val="0"/>
              <w:marTop w:val="0"/>
              <w:marBottom w:val="0"/>
              <w:divBdr>
                <w:top w:val="none" w:sz="0" w:space="0" w:color="auto"/>
                <w:left w:val="none" w:sz="0" w:space="0" w:color="auto"/>
                <w:bottom w:val="none" w:sz="0" w:space="0" w:color="auto"/>
                <w:right w:val="none" w:sz="0" w:space="0" w:color="auto"/>
              </w:divBdr>
            </w:div>
            <w:div w:id="211682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header" Target="head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76FCD7-3ED2-4A2B-9B01-48652FF91F10}"/>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12130</Words>
  <Characters>79698</Characters>
  <Application>Microsoft Office Word</Application>
  <DocSecurity>0</DocSecurity>
  <Lines>2043</Lines>
  <Paragraphs>1080</Paragraphs>
  <ScaleCrop>false</ScaleCrop>
  <HeadingPairs>
    <vt:vector size="2" baseType="variant">
      <vt:variant>
        <vt:lpstr>Title</vt:lpstr>
      </vt:variant>
      <vt:variant>
        <vt:i4>1</vt:i4>
      </vt:variant>
    </vt:vector>
  </HeadingPairs>
  <TitlesOfParts>
    <vt:vector size="1" baseType="lpstr">
      <vt:lpstr>Special Reporting Requirements - No issues</vt:lpstr>
    </vt:vector>
  </TitlesOfParts>
  <Company>UNMFS</Company>
  <LinksUpToDate>false</LinksUpToDate>
  <CharactersWithSpaces>90748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Reporting Requirements - No issues</dc:title>
  <dc:creator>Mulu Alem</dc:creator>
  <cp:lastModifiedBy>Angela Xue He Yan</cp:lastModifiedBy>
  <cp:revision>4</cp:revision>
  <cp:lastPrinted>2001-05-26T16:40:00Z</cp:lastPrinted>
  <dcterms:created xsi:type="dcterms:W3CDTF">2025-05-13T16:23:00Z</dcterms:created>
  <dcterms:modified xsi:type="dcterms:W3CDTF">2025-05-21T18:57:00Z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UNEP/OzL.Pro/ExCom/96/11</vt:lpwstr>
  </property>
  <property fmtid="{D5CDD505-2E9C-101B-9397-08002B2CF9AE}" pid="3" name="Revision date">
    <vt:lpwstr>5/07/2025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07 May 2025</vt:lpwstr>
  </property>
</Properties>
</file>