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C15867" w:rsidRPr="009B0D30" w14:paraId="6C799AE5" w14:textId="77777777" w:rsidTr="008F2CF4">
        <w:trPr>
          <w:trHeight w:val="720"/>
        </w:trPr>
        <w:tc>
          <w:tcPr>
            <w:tcW w:w="5961" w:type="dxa"/>
            <w:gridSpan w:val="2"/>
            <w:tcBorders>
              <w:bottom w:val="single" w:sz="18" w:space="0" w:color="auto"/>
            </w:tcBorders>
          </w:tcPr>
          <w:p w14:paraId="659C09C3" w14:textId="6BEAE27A"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E2F6D1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B7BE473" w14:textId="77777777" w:rsidTr="008F2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10382739"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52246A83" wp14:editId="6249EF22">
                      <wp:simplePos x="0" y="0"/>
                      <wp:positionH relativeFrom="column">
                        <wp:posOffset>5714</wp:posOffset>
                      </wp:positionH>
                      <wp:positionV relativeFrom="paragraph">
                        <wp:posOffset>71755</wp:posOffset>
                      </wp:positionV>
                      <wp:extent cx="822325" cy="152614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389F29" id="Group 1" o:spid="_x0000_s1026" style="position:absolute;margin-left:.45pt;margin-top:5.65pt;width:64.75pt;height:120.15pt;z-index:251658240;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bl6l+JAgAAsAcAAA4AAAAAAAAAAAAAAAAAOgIAAGRycy9lMm9Eb2MueG1sUEsBAi0ACgAAAAAA&#10;AAAhAH4VrL8SBgAAEgYAABQAAAAAAAAAAAAAAAAA7wQAAGRycy9tZWRpYS9pbWFnZTEucG5nUEsB&#10;Ai0ACgAAAAAAAAAhAOCJ3RxtCQAAbQkAABQAAAAAAAAAAAAAAAAAMwsAAGRycy9tZWRpYS9pbWFn&#10;ZTIucG5nUEsBAi0AFAAGAAgAAAAhAD3BCUr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B810A9D" w14:textId="77777777" w:rsid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A7532C" w14:textId="32A97F2F"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Programa de las</w:t>
            </w:r>
          </w:p>
          <w:p w14:paraId="7C2E7A66" w14:textId="77777777" w:rsidR="009E4495" w:rsidRPr="009E4495"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4495">
              <w:rPr>
                <w:rFonts w:ascii="Univers" w:hAnsi="Univers"/>
                <w:b/>
                <w:sz w:val="32"/>
              </w:rPr>
              <w:t>Naciones Unidas</w:t>
            </w:r>
          </w:p>
          <w:p w14:paraId="7A5D1238" w14:textId="52DED35F" w:rsidR="00C15867" w:rsidRPr="009B0D30" w:rsidRDefault="009E4495" w:rsidP="009E4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4495">
              <w:rPr>
                <w:rFonts w:ascii="Univers" w:hAnsi="Univers"/>
                <w:b/>
                <w:sz w:val="32"/>
              </w:rPr>
              <w:t>para</w:t>
            </w:r>
            <w:r>
              <w:rPr>
                <w:rFonts w:ascii="Univers" w:hAnsi="Univers"/>
                <w:b/>
                <w:sz w:val="32"/>
              </w:rPr>
              <w:t xml:space="preserve"> </w:t>
            </w:r>
            <w:r w:rsidRPr="009E4495">
              <w:rPr>
                <w:rFonts w:ascii="Univers" w:hAnsi="Univers"/>
                <w:b/>
                <w:sz w:val="32"/>
              </w:rPr>
              <w:t>el Medio Ambiente</w:t>
            </w:r>
          </w:p>
          <w:p w14:paraId="5F90F49D" w14:textId="77777777" w:rsidR="00C15867" w:rsidRPr="009B0D30" w:rsidRDefault="00C15867" w:rsidP="009C59F7">
            <w:pPr>
              <w:spacing w:before="720"/>
              <w:ind w:left="158"/>
            </w:pPr>
          </w:p>
        </w:tc>
        <w:tc>
          <w:tcPr>
            <w:tcW w:w="4191" w:type="dxa"/>
            <w:tcBorders>
              <w:top w:val="nil"/>
              <w:left w:val="nil"/>
              <w:bottom w:val="single" w:sz="36" w:space="0" w:color="auto"/>
              <w:right w:val="nil"/>
            </w:tcBorders>
          </w:tcPr>
          <w:p w14:paraId="7EA5B0B4" w14:textId="77777777" w:rsidR="008F2CF4" w:rsidRDefault="008F2CF4" w:rsidP="009E4495">
            <w:pPr>
              <w:ind w:left="786"/>
            </w:pPr>
          </w:p>
          <w:p w14:paraId="5705180E" w14:textId="7B36C161" w:rsidR="00C15867" w:rsidRPr="009B0D30" w:rsidRDefault="00C15867" w:rsidP="009E4495">
            <w:pPr>
              <w:ind w:left="786"/>
            </w:pPr>
            <w:proofErr w:type="spellStart"/>
            <w:r>
              <w:t>Distr</w:t>
            </w:r>
            <w:proofErr w:type="spellEnd"/>
            <w:r>
              <w:t>.</w:t>
            </w:r>
          </w:p>
          <w:p w14:paraId="7978B5F0" w14:textId="77777777" w:rsidR="00923540" w:rsidRPr="009B0D30" w:rsidRDefault="00923540" w:rsidP="009E4495">
            <w:pPr>
              <w:ind w:left="786"/>
            </w:pPr>
            <w:r>
              <w:t>GENERAL</w:t>
            </w:r>
          </w:p>
          <w:p w14:paraId="26E8A4C3" w14:textId="77777777" w:rsidR="00C15867" w:rsidRPr="009B0D30" w:rsidRDefault="00C15867" w:rsidP="009E4495">
            <w:pPr>
              <w:ind w:left="786"/>
            </w:pPr>
          </w:p>
          <w:p w14:paraId="5D3DA7E8" w14:textId="2A5430A0" w:rsidR="00C15867" w:rsidRPr="009B0D30" w:rsidRDefault="0060006E" w:rsidP="009E4495">
            <w:pPr>
              <w:ind w:left="786"/>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w:t>
            </w:r>
            <w:r w:rsidR="00AD5AA3">
              <w:t>31</w:t>
            </w:r>
            <w:r>
              <w:fldChar w:fldCharType="end"/>
            </w:r>
          </w:p>
          <w:p w14:paraId="215F4A52" w14:textId="1AC4B0B6" w:rsidR="00C15867" w:rsidRPr="009B0D30" w:rsidRDefault="00BC2495" w:rsidP="009E4495">
            <w:pPr>
              <w:ind w:left="786"/>
            </w:pPr>
            <w:r w:rsidRPr="009B0D30">
              <w:fldChar w:fldCharType="begin"/>
            </w:r>
            <w:r w:rsidR="00851352" w:rsidRPr="009B0D30">
              <w:instrText xml:space="preserve"> DOCPROPERTY "Revision date" \@ "d MMMM YYYY"  \* MERGEFORMAT </w:instrText>
            </w:r>
            <w:r w:rsidRPr="009B0D30">
              <w:fldChar w:fldCharType="separate"/>
            </w:r>
            <w:r w:rsidR="009E4495">
              <w:t>2</w:t>
            </w:r>
            <w:r w:rsidR="004239D0">
              <w:t>7</w:t>
            </w:r>
            <w:r w:rsidR="009E4495">
              <w:t xml:space="preserve"> </w:t>
            </w:r>
            <w:r w:rsidR="00AD5AA3">
              <w:t xml:space="preserve">de </w:t>
            </w:r>
            <w:r w:rsidR="009E4495">
              <w:t xml:space="preserve">abril </w:t>
            </w:r>
            <w:r w:rsidR="001B7584">
              <w:t xml:space="preserve">de </w:t>
            </w:r>
            <w:r w:rsidR="009E4495">
              <w:t>2025</w:t>
            </w:r>
            <w:r w:rsidRPr="009B0D30">
              <w:fldChar w:fldCharType="end"/>
            </w:r>
          </w:p>
          <w:p w14:paraId="5FB2F9DD" w14:textId="77777777" w:rsidR="00C15867" w:rsidRPr="009B0D30" w:rsidRDefault="00C15867" w:rsidP="009E4495">
            <w:pPr>
              <w:ind w:left="786"/>
              <w:rPr>
                <w:caps/>
              </w:rPr>
            </w:pPr>
          </w:p>
          <w:p w14:paraId="3C7869AA" w14:textId="77777777" w:rsidR="009E4495" w:rsidRDefault="00C15867" w:rsidP="009E4495">
            <w:pPr>
              <w:ind w:left="786"/>
            </w:pPr>
            <w:r>
              <w:t xml:space="preserve">ESPAÑOL </w:t>
            </w:r>
          </w:p>
          <w:p w14:paraId="70287776" w14:textId="1080E907" w:rsidR="00C15867" w:rsidRPr="009B0D30" w:rsidRDefault="00C15867" w:rsidP="009E4495">
            <w:pPr>
              <w:ind w:left="786"/>
            </w:pPr>
            <w:r>
              <w:t>ORIGINAL: INGLÉS</w:t>
            </w:r>
          </w:p>
        </w:tc>
      </w:tr>
    </w:tbl>
    <w:p w14:paraId="3AF7EFE9" w14:textId="1EB9039C" w:rsidR="00CA59FB" w:rsidRDefault="00C15867" w:rsidP="00CA59FB">
      <w:pPr>
        <w:jc w:val="left"/>
      </w:pPr>
      <w:r>
        <w:t>COMITÉ EJECUTIVO DEL FONDO MULTILATERAL</w:t>
      </w:r>
      <w:r>
        <w:br/>
        <w:t xml:space="preserve"> PARA LA APLICACIÓN DEL</w:t>
      </w:r>
      <w:r>
        <w:br/>
        <w:t xml:space="preserve"> PROTOCOLO DE MONTREAL</w:t>
      </w:r>
      <w:r>
        <w:br/>
        <w:t>Nonagésima sexta reunión</w:t>
      </w:r>
    </w:p>
    <w:p w14:paraId="54BB9935" w14:textId="6F598487" w:rsidR="00CA59FB" w:rsidRDefault="00CA59FB" w:rsidP="00CA59FB">
      <w:pPr>
        <w:jc w:val="left"/>
      </w:pPr>
      <w:r>
        <w:t>Montreal, 26-30 de mayo de 2025</w:t>
      </w:r>
    </w:p>
    <w:p w14:paraId="3BF15EBF" w14:textId="60B56400" w:rsidR="0079781A" w:rsidRDefault="0079781A" w:rsidP="0079781A">
      <w:pPr>
        <w:jc w:val="left"/>
      </w:pPr>
      <w:r>
        <w:t xml:space="preserve">Punto </w:t>
      </w:r>
      <w:r w:rsidR="004239D0">
        <w:t>9</w:t>
      </w:r>
      <w:r>
        <w:t xml:space="preserve"> </w:t>
      </w:r>
      <w:r w:rsidR="004239D0">
        <w:t>d</w:t>
      </w:r>
      <w:r>
        <w:t>) del orden del día provisional</w:t>
      </w:r>
      <w:r w:rsidRPr="00512BEF">
        <w:rPr>
          <w:rStyle w:val="FootnoteReference"/>
        </w:rPr>
        <w:footnoteReference w:id="2"/>
      </w:r>
    </w:p>
    <w:p w14:paraId="35CC8CB8" w14:textId="77777777" w:rsidR="00C15867" w:rsidRPr="00A3214A" w:rsidRDefault="00C15867" w:rsidP="006F446A">
      <w:pPr>
        <w:jc w:val="center"/>
        <w:rPr>
          <w:sz w:val="20"/>
          <w:szCs w:val="20"/>
        </w:rPr>
      </w:pPr>
    </w:p>
    <w:p w14:paraId="033F45B1" w14:textId="77777777" w:rsidR="009145E4" w:rsidRPr="00A3214A" w:rsidRDefault="009145E4" w:rsidP="00A3214A">
      <w:pPr>
        <w:pStyle w:val="Heading1"/>
        <w:numPr>
          <w:ilvl w:val="0"/>
          <w:numId w:val="0"/>
        </w:numPr>
        <w:jc w:val="center"/>
        <w:rPr>
          <w:sz w:val="20"/>
          <w:szCs w:val="20"/>
        </w:rPr>
      </w:pPr>
    </w:p>
    <w:p w14:paraId="7FBA604A" w14:textId="77777777" w:rsidR="00EE3ED5" w:rsidRPr="00333A6F" w:rsidRDefault="00EE3ED5" w:rsidP="00EE3ED5">
      <w:pPr>
        <w:jc w:val="center"/>
        <w:rPr>
          <w:b/>
        </w:rPr>
      </w:pPr>
      <w:bookmarkStart w:id="0" w:name="_Hlk196826293"/>
      <w:r>
        <w:rPr>
          <w:b/>
        </w:rPr>
        <w:t>PROPUESTA DE PROYECTO: CUBA</w:t>
      </w:r>
      <w:bookmarkEnd w:id="0"/>
    </w:p>
    <w:p w14:paraId="2C0CEE78" w14:textId="77777777" w:rsidR="00EE3ED5" w:rsidRPr="00BF7274" w:rsidRDefault="00EE3ED5" w:rsidP="00EE3ED5">
      <w:pPr>
        <w:jc w:val="center"/>
      </w:pPr>
    </w:p>
    <w:p w14:paraId="0725478A" w14:textId="77777777" w:rsidR="00EE3ED5" w:rsidRPr="00BF7274" w:rsidRDefault="00EE3ED5" w:rsidP="00EE3ED5">
      <w:pPr>
        <w:jc w:val="center"/>
      </w:pPr>
    </w:p>
    <w:p w14:paraId="648FFCFF" w14:textId="3C3639B9" w:rsidR="00EE3ED5" w:rsidRDefault="00EE3ED5" w:rsidP="00EE3ED5">
      <w:pPr>
        <w:ind w:firstLine="720"/>
      </w:pPr>
      <w:r>
        <w:t>Este documento contiene los comentarios y la recomendación de la Secretaría del Fondo sobre la siguiente propuesta de proyecto:</w:t>
      </w:r>
    </w:p>
    <w:p w14:paraId="2FC2FEF7" w14:textId="77777777" w:rsidR="00EE3ED5" w:rsidRPr="002840FE" w:rsidRDefault="00EE3ED5" w:rsidP="00EE3ED5">
      <w:pPr>
        <w:spacing w:before="240" w:after="240"/>
        <w:rPr>
          <w:u w:val="single"/>
        </w:rPr>
      </w:pPr>
      <w:r>
        <w:rPr>
          <w:u w:val="single"/>
        </w:rPr>
        <w:t>Eficiencia energética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8"/>
        <w:gridCol w:w="1234"/>
        <w:gridCol w:w="1438"/>
      </w:tblGrid>
      <w:tr w:rsidR="00EE3ED5" w:rsidRPr="00333A6F" w14:paraId="0D028F39" w14:textId="77777777" w:rsidTr="00484258">
        <w:trPr>
          <w:trHeight w:val="300"/>
        </w:trPr>
        <w:tc>
          <w:tcPr>
            <w:tcW w:w="3584" w:type="pct"/>
            <w:hideMark/>
          </w:tcPr>
          <w:p w14:paraId="66BC127C" w14:textId="77777777" w:rsidR="00EE3ED5" w:rsidRPr="002840FE" w:rsidRDefault="00EE3ED5" w:rsidP="00EE3ED5">
            <w:pPr>
              <w:pStyle w:val="ListParagraph"/>
              <w:numPr>
                <w:ilvl w:val="0"/>
                <w:numId w:val="23"/>
              </w:numPr>
              <w:ind w:right="398" w:hanging="830"/>
              <w:jc w:val="left"/>
            </w:pPr>
            <w:r>
              <w:t>Proyecto piloto para mantener y/o mejorar la eficiencia energética de las tecnologías y equipos de sustitución en el contexto de la eliminación progresiva de los HFC (actividades sin inversión) Introducción de tecnología de refrigeración eficiente desde el punto de vista energético y con bajo potencial de calentamiento atmosférico (PCA) en refrigeradores comerciales del sector turístico.</w:t>
            </w:r>
          </w:p>
        </w:tc>
        <w:tc>
          <w:tcPr>
            <w:tcW w:w="670" w:type="pct"/>
            <w:hideMark/>
          </w:tcPr>
          <w:p w14:paraId="581E0732" w14:textId="77777777" w:rsidR="00EE3ED5" w:rsidRPr="002840FE" w:rsidRDefault="00EE3ED5" w:rsidP="00484258">
            <w:pPr>
              <w:ind w:left="-526"/>
              <w:jc w:val="center"/>
            </w:pPr>
            <w:r>
              <w:t>PNUD</w:t>
            </w:r>
          </w:p>
        </w:tc>
        <w:tc>
          <w:tcPr>
            <w:tcW w:w="746" w:type="pct"/>
          </w:tcPr>
          <w:p w14:paraId="1306F570" w14:textId="77777777" w:rsidR="00EE3ED5" w:rsidRPr="00333A6F" w:rsidRDefault="00EE3ED5" w:rsidP="00484258">
            <w:pPr>
              <w:ind w:right="-19"/>
              <w:jc w:val="right"/>
            </w:pPr>
            <w:r>
              <w:t>Para consideración particular</w:t>
            </w:r>
          </w:p>
        </w:tc>
      </w:tr>
    </w:tbl>
    <w:p w14:paraId="363D46C3" w14:textId="77777777" w:rsidR="00EE3ED5" w:rsidRPr="00333A6F" w:rsidRDefault="00EE3ED5" w:rsidP="00EE3ED5">
      <w:pPr>
        <w:jc w:val="left"/>
        <w:rPr>
          <w:b/>
        </w:rPr>
      </w:pPr>
      <w:r>
        <w:br w:type="page"/>
      </w:r>
    </w:p>
    <w:p w14:paraId="5FD11310" w14:textId="77777777" w:rsidR="00EE3ED5" w:rsidRPr="00333A6F" w:rsidRDefault="00EE3ED5" w:rsidP="00EE3ED5">
      <w:pPr>
        <w:jc w:val="center"/>
        <w:rPr>
          <w:b/>
        </w:rPr>
      </w:pPr>
      <w:r>
        <w:rPr>
          <w:b/>
        </w:rPr>
        <w:lastRenderedPageBreak/>
        <w:t xml:space="preserve">HOJA DE EVALUACIÓN DE PROYECTO – PROYECTO </w:t>
      </w:r>
      <w:proofErr w:type="gramStart"/>
      <w:r>
        <w:rPr>
          <w:b/>
        </w:rPr>
        <w:t>NO  PLURIANUAL</w:t>
      </w:r>
      <w:proofErr w:type="gramEnd"/>
    </w:p>
    <w:p w14:paraId="72D52C32" w14:textId="77777777" w:rsidR="00EE3ED5" w:rsidRPr="00333A6F" w:rsidRDefault="00EE3ED5" w:rsidP="00EE3ED5">
      <w:pPr>
        <w:spacing w:before="240" w:after="240"/>
        <w:ind w:left="142"/>
        <w:jc w:val="center"/>
        <w:rPr>
          <w:b/>
        </w:rPr>
      </w:pPr>
      <w:r>
        <w:rPr>
          <w:b/>
        </w:rPr>
        <w:t>Cuba</w:t>
      </w:r>
    </w:p>
    <w:p w14:paraId="770D5CC4" w14:textId="77777777" w:rsidR="00EE3ED5" w:rsidRPr="009A46DA" w:rsidRDefault="00EE3ED5" w:rsidP="00EE3ED5">
      <w:pPr>
        <w:tabs>
          <w:tab w:val="left" w:pos="5103"/>
          <w:tab w:val="left" w:pos="5387"/>
        </w:tabs>
        <w:ind w:right="-138"/>
        <w:rPr>
          <w:b/>
        </w:rPr>
      </w:pPr>
      <w:bookmarkStart w:id="1" w:name="_Hlk149308122"/>
      <w:r>
        <w:rPr>
          <w:b/>
          <w:caps/>
        </w:rPr>
        <w:t>TÍTULO DEL PROYECTO</w:t>
      </w:r>
      <w:bookmarkEnd w:id="1"/>
      <w:r>
        <w:rPr>
          <w:b/>
        </w:rPr>
        <w:tab/>
        <w:t>ORGANISMO DE EJECUCIÓN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005"/>
        <w:gridCol w:w="1345"/>
      </w:tblGrid>
      <w:tr w:rsidR="00EE3ED5" w:rsidRPr="00333A6F" w14:paraId="5DC72F36" w14:textId="77777777" w:rsidTr="00484258">
        <w:trPr>
          <w:trHeight w:val="891"/>
        </w:trPr>
        <w:tc>
          <w:tcPr>
            <w:tcW w:w="4281" w:type="pct"/>
            <w:tcBorders>
              <w:right w:val="single" w:sz="4" w:space="0" w:color="auto"/>
            </w:tcBorders>
          </w:tcPr>
          <w:p w14:paraId="56ACCCE7" w14:textId="77777777" w:rsidR="00EE3ED5" w:rsidRPr="00C247D7" w:rsidRDefault="00EE3ED5" w:rsidP="00484258">
            <w:pPr>
              <w:tabs>
                <w:tab w:val="left" w:pos="383"/>
              </w:tabs>
              <w:spacing w:before="120" w:after="120"/>
              <w:ind w:right="-72"/>
              <w:jc w:val="left"/>
              <w:rPr>
                <w:sz w:val="20"/>
                <w:szCs w:val="20"/>
              </w:rPr>
            </w:pPr>
            <w:bookmarkStart w:id="2" w:name="_Hlk183010580"/>
            <w:r>
              <w:rPr>
                <w:sz w:val="20"/>
                <w:szCs w:val="20"/>
              </w:rPr>
              <w:t>Proyecto piloto para mantener y/o mejorar la eficiencia energética de las tecnologías y equipos de sustitución en el contexto de la eliminación progresiva de los HFC (actividades sin inversión) Introducción de tecnología de refrigeración eficiente desde el punto de vista energético y con bajo PCA en refrigeradores comerciales del sector turístico.</w:t>
            </w:r>
            <w:bookmarkEnd w:id="2"/>
          </w:p>
        </w:tc>
        <w:tc>
          <w:tcPr>
            <w:tcW w:w="719" w:type="pct"/>
            <w:tcBorders>
              <w:top w:val="single" w:sz="4" w:space="0" w:color="auto"/>
              <w:left w:val="single" w:sz="4" w:space="0" w:color="auto"/>
              <w:bottom w:val="single" w:sz="4" w:space="0" w:color="auto"/>
            </w:tcBorders>
            <w:vAlign w:val="center"/>
          </w:tcPr>
          <w:p w14:paraId="3E3DA3F1" w14:textId="77777777" w:rsidR="00EE3ED5" w:rsidRPr="00C247D7" w:rsidRDefault="00EE3ED5" w:rsidP="00484258">
            <w:pPr>
              <w:jc w:val="center"/>
              <w:rPr>
                <w:sz w:val="20"/>
                <w:szCs w:val="20"/>
              </w:rPr>
            </w:pPr>
            <w:r>
              <w:rPr>
                <w:sz w:val="20"/>
                <w:szCs w:val="20"/>
              </w:rPr>
              <w:t>PNUD</w:t>
            </w:r>
          </w:p>
        </w:tc>
      </w:tr>
    </w:tbl>
    <w:p w14:paraId="3D6B2294" w14:textId="77777777" w:rsidR="00EE3ED5" w:rsidRPr="00333A6F" w:rsidRDefault="00EE3ED5" w:rsidP="00EE3ED5">
      <w:pPr>
        <w:rPr>
          <w:sz w:val="20"/>
          <w:lang w:val="en-GB"/>
        </w:rPr>
      </w:pPr>
    </w:p>
    <w:p w14:paraId="521A5A30" w14:textId="77777777" w:rsidR="00EE3ED5" w:rsidRPr="009A46DA" w:rsidRDefault="00EE3ED5" w:rsidP="00EE3ED5">
      <w:r>
        <w:rPr>
          <w:b/>
          <w:caps/>
        </w:rPr>
        <w:t>OBJETIVO DEL PROYECTO</w:t>
      </w:r>
    </w:p>
    <w:tbl>
      <w:tblPr>
        <w:tblStyle w:val="TableGrid"/>
        <w:tblW w:w="5000" w:type="pct"/>
        <w:jc w:val="center"/>
        <w:tblLook w:val="01E0" w:firstRow="1" w:lastRow="1" w:firstColumn="1" w:lastColumn="1" w:noHBand="0" w:noVBand="0"/>
      </w:tblPr>
      <w:tblGrid>
        <w:gridCol w:w="9350"/>
      </w:tblGrid>
      <w:tr w:rsidR="00EE3ED5" w:rsidRPr="00333A6F" w14:paraId="7D30378D" w14:textId="77777777" w:rsidTr="00484258">
        <w:trPr>
          <w:trHeight w:val="1583"/>
          <w:jc w:val="center"/>
        </w:trPr>
        <w:tc>
          <w:tcPr>
            <w:tcW w:w="5000" w:type="pct"/>
            <w:vAlign w:val="center"/>
          </w:tcPr>
          <w:p w14:paraId="5802B5C8" w14:textId="77777777" w:rsidR="00EE3ED5" w:rsidRPr="00C247D7" w:rsidRDefault="00EE3ED5" w:rsidP="00484258">
            <w:pPr>
              <w:spacing w:before="120" w:after="120"/>
              <w:rPr>
                <w:sz w:val="20"/>
                <w:szCs w:val="20"/>
              </w:rPr>
            </w:pPr>
            <w:r>
              <w:rPr>
                <w:sz w:val="20"/>
                <w:szCs w:val="20"/>
              </w:rPr>
              <w:t xml:space="preserve">El proyecto piloto pretende demostrar la disponibilidad y viabilidad de tecnologías </w:t>
            </w:r>
            <w:proofErr w:type="spellStart"/>
            <w:r>
              <w:rPr>
                <w:sz w:val="20"/>
                <w:szCs w:val="20"/>
              </w:rPr>
              <w:t>ecoenergéticas</w:t>
            </w:r>
            <w:proofErr w:type="spellEnd"/>
            <w:r>
              <w:rPr>
                <w:sz w:val="20"/>
                <w:szCs w:val="20"/>
              </w:rPr>
              <w:t xml:space="preserve"> con bajo PCA en el sector turístico mediante la sustitución de refrigeradores comerciales a base de HFC en grandes instalaciones hoteleras por sistemas basados en R-290 y HFO-1234ze. Destaca los beneficios de las posibles reducciones de gases de efecto invernadero, al tiempo que se consiguen ahorros de gastos y energía para los usuarios finales gracias a la mayor eficiencia de los nuevos sistemas y a los menores costos de mantenimiento y funcionamiento, en consonancia con el programa nacional de reducción del consumo de HFC.</w:t>
            </w:r>
          </w:p>
          <w:p w14:paraId="7B04AB65" w14:textId="77777777" w:rsidR="00EE3ED5" w:rsidRPr="00407367" w:rsidRDefault="00EE3ED5" w:rsidP="00484258">
            <w:pPr>
              <w:spacing w:after="120"/>
              <w:rPr>
                <w:sz w:val="20"/>
                <w:szCs w:val="20"/>
              </w:rPr>
            </w:pPr>
            <w:r>
              <w:rPr>
                <w:sz w:val="20"/>
                <w:szCs w:val="20"/>
              </w:rPr>
              <w:t xml:space="preserve">El objetivo general del proyecto es apoyar los esfuerzos de Cuba para lograr reducciones graduales en el consumo de HFC, con el matiz adicional de sustituir los sistemas basados en HFC por tecnologías de bajo PCA y </w:t>
            </w:r>
            <w:proofErr w:type="spellStart"/>
            <w:r>
              <w:rPr>
                <w:sz w:val="20"/>
                <w:szCs w:val="20"/>
              </w:rPr>
              <w:t>ecoenergéticas</w:t>
            </w:r>
            <w:proofErr w:type="spellEnd"/>
            <w:r>
              <w:rPr>
                <w:sz w:val="20"/>
                <w:szCs w:val="20"/>
              </w:rPr>
              <w:t>.</w:t>
            </w:r>
          </w:p>
        </w:tc>
      </w:tr>
    </w:tbl>
    <w:p w14:paraId="3DD011C9" w14:textId="77777777" w:rsidR="00EE3ED5" w:rsidRPr="00BF7274" w:rsidRDefault="00EE3ED5" w:rsidP="00EE3ED5">
      <w:pPr>
        <w:rPr>
          <w:sz w:val="20"/>
        </w:rPr>
      </w:pPr>
    </w:p>
    <w:tbl>
      <w:tblPr>
        <w:tblStyle w:val="TableGrid"/>
        <w:tblW w:w="5000" w:type="pct"/>
        <w:jc w:val="center"/>
        <w:tblLook w:val="01E0" w:firstRow="1" w:lastRow="1" w:firstColumn="1" w:lastColumn="1" w:noHBand="0" w:noVBand="0"/>
      </w:tblPr>
      <w:tblGrid>
        <w:gridCol w:w="4531"/>
        <w:gridCol w:w="4819"/>
      </w:tblGrid>
      <w:tr w:rsidR="00EE3ED5" w:rsidRPr="00333A6F" w14:paraId="453BDED4" w14:textId="77777777" w:rsidTr="00484258">
        <w:trPr>
          <w:jc w:val="center"/>
        </w:trPr>
        <w:tc>
          <w:tcPr>
            <w:tcW w:w="2423" w:type="pct"/>
          </w:tcPr>
          <w:p w14:paraId="724725B5" w14:textId="77777777" w:rsidR="00EE3ED5" w:rsidRPr="00333A6F" w:rsidRDefault="00EE3ED5" w:rsidP="00484258">
            <w:pPr>
              <w:jc w:val="left"/>
              <w:rPr>
                <w:sz w:val="20"/>
                <w:szCs w:val="20"/>
              </w:rPr>
            </w:pPr>
            <w:r>
              <w:rPr>
                <w:b/>
                <w:caps/>
              </w:rPr>
              <w:t>ORGANISMO NACIONAL DE COORDINACIÓN</w:t>
            </w:r>
          </w:p>
        </w:tc>
        <w:tc>
          <w:tcPr>
            <w:tcW w:w="2577" w:type="pct"/>
          </w:tcPr>
          <w:p w14:paraId="2E7E7ADB" w14:textId="77777777" w:rsidR="00EE3ED5" w:rsidRPr="00333A6F" w:rsidRDefault="00EE3ED5" w:rsidP="00484258">
            <w:pPr>
              <w:jc w:val="left"/>
              <w:rPr>
                <w:sz w:val="20"/>
                <w:szCs w:val="20"/>
              </w:rPr>
            </w:pPr>
            <w:r>
              <w:rPr>
                <w:sz w:val="20"/>
                <w:szCs w:val="20"/>
              </w:rPr>
              <w:t>Oficina Técnica del Ozono, Ministerio de Ciencia, Tecnología y Medio Ambiente</w:t>
            </w:r>
          </w:p>
        </w:tc>
      </w:tr>
    </w:tbl>
    <w:p w14:paraId="24E0387E" w14:textId="77777777" w:rsidR="00EE3ED5" w:rsidRPr="00BF7274" w:rsidRDefault="00EE3ED5" w:rsidP="00EE3ED5">
      <w:pPr>
        <w:tabs>
          <w:tab w:val="left" w:pos="4248"/>
        </w:tabs>
        <w:jc w:val="left"/>
        <w:rPr>
          <w:sz w:val="20"/>
          <w:szCs w:val="20"/>
        </w:rPr>
      </w:pPr>
    </w:p>
    <w:tbl>
      <w:tblPr>
        <w:tblStyle w:val="TableGrid"/>
        <w:tblW w:w="5000" w:type="pct"/>
        <w:jc w:val="center"/>
        <w:tblLook w:val="01E0" w:firstRow="1" w:lastRow="1" w:firstColumn="1" w:lastColumn="1" w:noHBand="0" w:noVBand="0"/>
      </w:tblPr>
      <w:tblGrid>
        <w:gridCol w:w="4533"/>
        <w:gridCol w:w="1417"/>
        <w:gridCol w:w="1135"/>
        <w:gridCol w:w="2265"/>
      </w:tblGrid>
      <w:tr w:rsidR="00EE3ED5" w:rsidRPr="00333A6F" w14:paraId="7180480E" w14:textId="77777777" w:rsidTr="00484258">
        <w:trPr>
          <w:jc w:val="center"/>
        </w:trPr>
        <w:tc>
          <w:tcPr>
            <w:tcW w:w="2424" w:type="pct"/>
            <w:vAlign w:val="center"/>
          </w:tcPr>
          <w:p w14:paraId="48E40C92" w14:textId="77777777" w:rsidR="00EE3ED5" w:rsidRPr="009A46DA" w:rsidRDefault="00EE3ED5" w:rsidP="00484258">
            <w:pPr>
              <w:jc w:val="left"/>
              <w:rPr>
                <w:b/>
                <w:caps/>
              </w:rPr>
            </w:pPr>
            <w:r>
              <w:rPr>
                <w:b/>
              </w:rPr>
              <w:t>DATOS MÁS RECIENTES CON ARREGLO AL ARTÍCULO 7 (anexo F)</w:t>
            </w:r>
          </w:p>
        </w:tc>
        <w:tc>
          <w:tcPr>
            <w:tcW w:w="758" w:type="pct"/>
            <w:vAlign w:val="center"/>
          </w:tcPr>
          <w:p w14:paraId="6FC30BDC" w14:textId="77777777" w:rsidR="00EE3ED5" w:rsidRPr="00347959" w:rsidRDefault="00EE3ED5" w:rsidP="00484258">
            <w:pPr>
              <w:jc w:val="left"/>
              <w:rPr>
                <w:sz w:val="20"/>
                <w:szCs w:val="20"/>
              </w:rPr>
            </w:pPr>
            <w:r>
              <w:rPr>
                <w:b/>
                <w:bCs/>
                <w:sz w:val="20"/>
                <w:szCs w:val="20"/>
              </w:rPr>
              <w:t>Año:</w:t>
            </w:r>
            <w:r>
              <w:rPr>
                <w:sz w:val="20"/>
                <w:szCs w:val="20"/>
              </w:rPr>
              <w:t xml:space="preserve"> </w:t>
            </w:r>
            <w:r>
              <w:rPr>
                <w:color w:val="000000" w:themeColor="text1"/>
                <w:sz w:val="20"/>
                <w:szCs w:val="20"/>
              </w:rPr>
              <w:t>2024</w:t>
            </w:r>
          </w:p>
        </w:tc>
        <w:tc>
          <w:tcPr>
            <w:tcW w:w="607" w:type="pct"/>
            <w:vAlign w:val="center"/>
          </w:tcPr>
          <w:p w14:paraId="28AAFA6C" w14:textId="77777777" w:rsidR="00EE3ED5" w:rsidRPr="00347959" w:rsidRDefault="00EE3ED5" w:rsidP="00484258">
            <w:pPr>
              <w:jc w:val="right"/>
              <w:rPr>
                <w:sz w:val="20"/>
                <w:szCs w:val="20"/>
              </w:rPr>
            </w:pPr>
            <w:r>
              <w:rPr>
                <w:sz w:val="20"/>
                <w:szCs w:val="20"/>
              </w:rPr>
              <w:t xml:space="preserve">339,16 </w:t>
            </w:r>
            <w:proofErr w:type="spellStart"/>
            <w:r>
              <w:rPr>
                <w:sz w:val="20"/>
                <w:szCs w:val="20"/>
              </w:rPr>
              <w:t>tm</w:t>
            </w:r>
            <w:proofErr w:type="spellEnd"/>
          </w:p>
        </w:tc>
        <w:tc>
          <w:tcPr>
            <w:tcW w:w="1212" w:type="pct"/>
            <w:vAlign w:val="center"/>
          </w:tcPr>
          <w:p w14:paraId="4255D2AE" w14:textId="77777777" w:rsidR="00EE3ED5" w:rsidRPr="00347959" w:rsidRDefault="00EE3ED5" w:rsidP="00484258">
            <w:pPr>
              <w:jc w:val="right"/>
              <w:rPr>
                <w:sz w:val="20"/>
                <w:szCs w:val="20"/>
              </w:rPr>
            </w:pPr>
            <w:r>
              <w:rPr>
                <w:sz w:val="20"/>
                <w:szCs w:val="20"/>
              </w:rPr>
              <w:t xml:space="preserve">671.021 </w:t>
            </w:r>
            <w:proofErr w:type="spellStart"/>
            <w:r>
              <w:rPr>
                <w:sz w:val="20"/>
                <w:szCs w:val="20"/>
              </w:rPr>
              <w:t>tons</w:t>
            </w:r>
            <w:proofErr w:type="spellEnd"/>
            <w:r>
              <w:rPr>
                <w:sz w:val="20"/>
                <w:szCs w:val="20"/>
              </w:rPr>
              <w:t>. de CO</w:t>
            </w:r>
            <w:r>
              <w:rPr>
                <w:sz w:val="20"/>
                <w:szCs w:val="20"/>
                <w:vertAlign w:val="subscript"/>
              </w:rPr>
              <w:t xml:space="preserve">2 </w:t>
            </w:r>
            <w:r>
              <w:rPr>
                <w:sz w:val="20"/>
                <w:szCs w:val="20"/>
              </w:rPr>
              <w:t>equivalente</w:t>
            </w:r>
          </w:p>
        </w:tc>
      </w:tr>
    </w:tbl>
    <w:p w14:paraId="61594209" w14:textId="77777777" w:rsidR="00EE3ED5" w:rsidRPr="005E485F" w:rsidRDefault="00EE3ED5" w:rsidP="00EE3ED5">
      <w:pPr>
        <w:jc w:val="left"/>
        <w:rPr>
          <w:sz w:val="20"/>
          <w:szCs w:val="20"/>
          <w:highlight w:val="yellow"/>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3415"/>
      </w:tblGrid>
      <w:tr w:rsidR="00EE3ED5" w:rsidRPr="00333A6F" w14:paraId="4F2CDDF7" w14:textId="77777777" w:rsidTr="00484258">
        <w:trPr>
          <w:trHeight w:val="250"/>
          <w:jc w:val="center"/>
        </w:trPr>
        <w:tc>
          <w:tcPr>
            <w:tcW w:w="3174" w:type="pct"/>
            <w:tcBorders>
              <w:top w:val="single" w:sz="4" w:space="0" w:color="auto"/>
              <w:left w:val="single" w:sz="4" w:space="0" w:color="auto"/>
              <w:right w:val="single" w:sz="4" w:space="0" w:color="auto"/>
            </w:tcBorders>
          </w:tcPr>
          <w:p w14:paraId="38474456"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highlight w:val="yellow"/>
              </w:rPr>
            </w:pPr>
            <w:r>
              <w:rPr>
                <w:b/>
                <w:sz w:val="20"/>
              </w:rPr>
              <w:t>Particularidades</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11574C1" w14:textId="77777777" w:rsidR="00EE3ED5" w:rsidRPr="009A46DA"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rPr>
            </w:pPr>
            <w:r>
              <w:rPr>
                <w:b/>
                <w:bCs/>
                <w:sz w:val="20"/>
              </w:rPr>
              <w:t>Actividades sin inversión</w:t>
            </w:r>
          </w:p>
        </w:tc>
      </w:tr>
      <w:tr w:rsidR="00EE3ED5" w:rsidRPr="00333A6F" w14:paraId="2D3E4CED" w14:textId="77777777" w:rsidTr="00484258">
        <w:trPr>
          <w:trHeight w:val="262"/>
          <w:jc w:val="center"/>
        </w:trPr>
        <w:tc>
          <w:tcPr>
            <w:tcW w:w="3174" w:type="pct"/>
            <w:tcBorders>
              <w:top w:val="single" w:sz="4" w:space="0" w:color="auto"/>
              <w:left w:val="single" w:sz="4" w:space="0" w:color="auto"/>
              <w:bottom w:val="single" w:sz="4" w:space="0" w:color="auto"/>
              <w:right w:val="single" w:sz="4" w:space="0" w:color="auto"/>
            </w:tcBorders>
          </w:tcPr>
          <w:p w14:paraId="074C1C02"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Duración del proyecto:</w:t>
            </w:r>
          </w:p>
        </w:tc>
        <w:tc>
          <w:tcPr>
            <w:tcW w:w="1826" w:type="pct"/>
            <w:tcBorders>
              <w:top w:val="single" w:sz="4" w:space="0" w:color="auto"/>
              <w:left w:val="single" w:sz="4" w:space="0" w:color="auto"/>
              <w:bottom w:val="single" w:sz="4" w:space="0" w:color="auto"/>
              <w:right w:val="single" w:sz="4" w:space="0" w:color="auto"/>
            </w:tcBorders>
          </w:tcPr>
          <w:p w14:paraId="0DDB32F3" w14:textId="77777777" w:rsidR="00EE3ED5" w:rsidRPr="00333A6F" w:rsidRDefault="00EE3ED5" w:rsidP="00484258">
            <w:pPr>
              <w:jc w:val="right"/>
              <w:rPr>
                <w:sz w:val="20"/>
                <w:szCs w:val="20"/>
              </w:rPr>
            </w:pPr>
            <w:r>
              <w:rPr>
                <w:sz w:val="20"/>
                <w:szCs w:val="20"/>
              </w:rPr>
              <w:t>36 meses</w:t>
            </w:r>
          </w:p>
        </w:tc>
      </w:tr>
      <w:tr w:rsidR="00EE3ED5" w:rsidRPr="00333A6F" w14:paraId="7418085C" w14:textId="77777777" w:rsidTr="00484258">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4A19DFDD"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Cantidad inicial solicitada:</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5DADEADD" w14:textId="77777777" w:rsidR="00EE3ED5" w:rsidRPr="00333A6F" w:rsidRDefault="00EE3ED5" w:rsidP="0048425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USD 700.000</w:t>
            </w:r>
          </w:p>
        </w:tc>
      </w:tr>
      <w:tr w:rsidR="00EE3ED5" w:rsidRPr="00333A6F" w14:paraId="7111A4C0" w14:textId="77777777" w:rsidTr="00484258">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90596B9"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Costos finales del proyecto:</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4674273A" w14:textId="77777777" w:rsidR="00EE3ED5" w:rsidRPr="003943C5" w:rsidRDefault="00EE3ED5" w:rsidP="0048425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USD 455.000</w:t>
            </w:r>
          </w:p>
        </w:tc>
      </w:tr>
      <w:tr w:rsidR="00EE3ED5" w:rsidRPr="00333A6F" w14:paraId="496DF296" w14:textId="77777777" w:rsidTr="00484258">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4CEA3AEE"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Donación solicitada:</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50E3ACED" w14:textId="77777777" w:rsidR="00EE3ED5" w:rsidRPr="003943C5" w:rsidRDefault="00EE3ED5" w:rsidP="0048425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USD 360.000</w:t>
            </w:r>
          </w:p>
        </w:tc>
      </w:tr>
      <w:tr w:rsidR="00EE3ED5" w:rsidRPr="00036505" w14:paraId="35791000" w14:textId="77777777" w:rsidTr="00484258">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A005350" w14:textId="77777777" w:rsidR="00EE3ED5" w:rsidRPr="00036505" w:rsidRDefault="00EE3ED5" w:rsidP="00484258">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Gastos de apoyo del organismo de ejecución: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1988F058" w14:textId="77777777" w:rsidR="00EE3ED5" w:rsidRPr="00036505" w:rsidRDefault="00EE3ED5" w:rsidP="0048425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USD 25.200</w:t>
            </w:r>
          </w:p>
        </w:tc>
      </w:tr>
      <w:tr w:rsidR="00EE3ED5" w:rsidRPr="00036505" w14:paraId="3FFB4380" w14:textId="77777777" w:rsidTr="00484258">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067940A" w14:textId="77777777" w:rsidR="00EE3ED5" w:rsidRPr="00036505" w:rsidRDefault="00EE3ED5" w:rsidP="00484258">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 total del proyecto para el Fondo Multilateral:</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0A6F46A" w14:textId="77777777" w:rsidR="00EE3ED5" w:rsidRPr="00036505" w:rsidRDefault="00EE3ED5" w:rsidP="0048425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USD 385.200</w:t>
            </w:r>
          </w:p>
        </w:tc>
      </w:tr>
      <w:tr w:rsidR="00EE3ED5" w:rsidRPr="00036505" w14:paraId="4DC17248" w14:textId="77777777" w:rsidTr="00484258">
        <w:trPr>
          <w:trHeight w:val="11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2559682F" w14:textId="77777777" w:rsidR="00EE3ED5" w:rsidRPr="00036505" w:rsidRDefault="00EE3ED5" w:rsidP="00484258">
            <w:pPr>
              <w:shd w:val="clear" w:color="auto" w:fill="FFFFFF" w:themeFill="background1"/>
              <w:rPr>
                <w:sz w:val="20"/>
                <w:szCs w:val="20"/>
              </w:rPr>
            </w:pPr>
            <w:r>
              <w:rPr>
                <w:sz w:val="20"/>
                <w:szCs w:val="20"/>
              </w:rPr>
              <w:t>Cofinanciación: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71FE8F04" w14:textId="77777777" w:rsidR="00EE3ED5" w:rsidRPr="00036505" w:rsidRDefault="00EE3ED5" w:rsidP="00484258">
            <w:pPr>
              <w:shd w:val="clear" w:color="auto" w:fill="FFFFFF" w:themeFill="background1"/>
              <w:jc w:val="right"/>
              <w:rPr>
                <w:sz w:val="20"/>
                <w:szCs w:val="20"/>
              </w:rPr>
            </w:pPr>
            <w:r>
              <w:rPr>
                <w:sz w:val="20"/>
                <w:szCs w:val="20"/>
              </w:rPr>
              <w:t>USD 95.000</w:t>
            </w:r>
          </w:p>
        </w:tc>
      </w:tr>
      <w:tr w:rsidR="00EE3ED5" w:rsidRPr="00036505" w14:paraId="44A85D66" w14:textId="77777777" w:rsidTr="00484258">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14A084E" w14:textId="77777777" w:rsidR="00EE3ED5" w:rsidRPr="00036505" w:rsidRDefault="00EE3ED5" w:rsidP="00484258">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 xml:space="preserve">Ahorro </w:t>
            </w:r>
            <w:proofErr w:type="spellStart"/>
            <w:r>
              <w:rPr>
                <w:sz w:val="20"/>
              </w:rPr>
              <w:t>ecoenergético</w:t>
            </w:r>
            <w:proofErr w:type="spellEnd"/>
            <w:r>
              <w:rPr>
                <w:sz w:val="20"/>
              </w:rPr>
              <w:t xml:space="preserve"> (kWh/año)</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602D4B23" w14:textId="77777777" w:rsidR="00EE3ED5" w:rsidRPr="00036505" w:rsidRDefault="00EE3ED5" w:rsidP="0048425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*578.200</w:t>
            </w:r>
          </w:p>
        </w:tc>
      </w:tr>
      <w:tr w:rsidR="00EE3ED5" w:rsidRPr="00036505" w14:paraId="05285131" w14:textId="77777777" w:rsidTr="00484258">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A13EA2D" w14:textId="77777777" w:rsidR="00EE3ED5" w:rsidRPr="00036505" w:rsidRDefault="00EE3ED5" w:rsidP="00484258">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Estado de la financiación de la contraparte (S/N):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90B64D7" w14:textId="77777777" w:rsidR="00EE3ED5" w:rsidRPr="00036505" w:rsidRDefault="00EE3ED5" w:rsidP="0048425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S</w:t>
            </w:r>
          </w:p>
        </w:tc>
      </w:tr>
      <w:tr w:rsidR="00EE3ED5" w:rsidRPr="00036505" w14:paraId="4C7F8129" w14:textId="77777777" w:rsidTr="00484258">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76BF8A68" w14:textId="77777777" w:rsidR="00EE3ED5" w:rsidRPr="00036505" w:rsidRDefault="00EE3ED5" w:rsidP="00484258">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Hitos de supervisión del proyecto incluidos (S/N):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D2DAE2B" w14:textId="77777777" w:rsidR="00EE3ED5" w:rsidRPr="00036505" w:rsidRDefault="00EE3ED5" w:rsidP="0048425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S</w:t>
            </w:r>
          </w:p>
        </w:tc>
      </w:tr>
      <w:tr w:rsidR="00EE3ED5" w:rsidRPr="00036505" w14:paraId="20DFB219" w14:textId="77777777" w:rsidTr="00484258">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528ADE0E" w14:textId="77777777" w:rsidR="00EE3ED5" w:rsidRPr="00036505" w:rsidRDefault="00EE3ED5" w:rsidP="00484258">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Normas mínimas de eficiencia energética disponibles para el sector correspondiente (S/N):</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475A8F6" w14:textId="77777777" w:rsidR="00EE3ED5" w:rsidRPr="00036505" w:rsidRDefault="00EE3ED5" w:rsidP="0048425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szCs w:val="20"/>
              </w:rPr>
              <w:t>**N</w:t>
            </w:r>
          </w:p>
        </w:tc>
      </w:tr>
    </w:tbl>
    <w:p w14:paraId="40C01C8F" w14:textId="77777777" w:rsidR="00EE3ED5" w:rsidRPr="00036505" w:rsidRDefault="00EE3ED5" w:rsidP="00EE3ED5">
      <w:pPr>
        <w:shd w:val="clear" w:color="auto" w:fill="FFFFFF" w:themeFill="background1"/>
        <w:rPr>
          <w:sz w:val="18"/>
          <w:szCs w:val="18"/>
        </w:rPr>
      </w:pPr>
      <w:r>
        <w:rPr>
          <w:sz w:val="18"/>
          <w:szCs w:val="18"/>
        </w:rPr>
        <w:t>*Suponiendo un ahorro de al menos el 20 % en el consumo de energía de dos refrigeradores comerciales a base de HFC sustituidos por tecnología HC/HFO</w:t>
      </w:r>
    </w:p>
    <w:p w14:paraId="25146B9F" w14:textId="77777777" w:rsidR="00EE3ED5" w:rsidRPr="00637518" w:rsidRDefault="00EE3ED5" w:rsidP="00EE3ED5">
      <w:pPr>
        <w:shd w:val="clear" w:color="auto" w:fill="FFFFFF" w:themeFill="background1"/>
        <w:spacing w:after="240"/>
        <w:rPr>
          <w:sz w:val="18"/>
          <w:szCs w:val="18"/>
        </w:rPr>
      </w:pPr>
      <w:r>
        <w:rPr>
          <w:sz w:val="18"/>
          <w:szCs w:val="18"/>
        </w:rPr>
        <w:t>**Las normas mínimas de eficiencia energética actuales sólo cubren los acondicionadores de aire residenciales y las unidades de refrigeración domésticas y comerciales autónomas.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EE3ED5" w:rsidRPr="00333A6F" w14:paraId="0A092873" w14:textId="77777777" w:rsidTr="00484258">
        <w:trPr>
          <w:trHeight w:val="296"/>
          <w:jc w:val="center"/>
        </w:trPr>
        <w:tc>
          <w:tcPr>
            <w:tcW w:w="3029" w:type="pct"/>
            <w:tcBorders>
              <w:top w:val="single" w:sz="4" w:space="0" w:color="auto"/>
              <w:left w:val="single" w:sz="4" w:space="0" w:color="auto"/>
              <w:bottom w:val="single" w:sz="4" w:space="0" w:color="auto"/>
              <w:right w:val="single" w:sz="4" w:space="0" w:color="auto"/>
            </w:tcBorders>
            <w:vAlign w:val="center"/>
          </w:tcPr>
          <w:p w14:paraId="1B718C27"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Pr>
                <w:b/>
                <w:sz w:val="20"/>
                <w:szCs w:val="20"/>
              </w:rPr>
              <w:t>RECOMENDACIÓN DE LA SECRETARÍA</w:t>
            </w:r>
          </w:p>
        </w:tc>
        <w:tc>
          <w:tcPr>
            <w:tcW w:w="1971" w:type="pct"/>
            <w:tcBorders>
              <w:top w:val="single" w:sz="4" w:space="0" w:color="auto"/>
              <w:left w:val="single" w:sz="4" w:space="0" w:color="auto"/>
              <w:bottom w:val="single" w:sz="4" w:space="0" w:color="auto"/>
              <w:right w:val="single" w:sz="4" w:space="0" w:color="auto"/>
            </w:tcBorders>
            <w:vAlign w:val="center"/>
          </w:tcPr>
          <w:p w14:paraId="6E1A8264" w14:textId="77777777" w:rsidR="00EE3ED5" w:rsidRPr="00333A6F" w:rsidRDefault="00EE3ED5" w:rsidP="004842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szCs w:val="20"/>
              </w:rPr>
              <w:t>Para consideración particular</w:t>
            </w:r>
          </w:p>
        </w:tc>
      </w:tr>
    </w:tbl>
    <w:p w14:paraId="1C616978" w14:textId="77777777" w:rsidR="00EE3ED5" w:rsidRPr="00333A6F" w:rsidRDefault="00EE3ED5" w:rsidP="00EE3ED5">
      <w:pPr>
        <w:jc w:val="left"/>
        <w:rPr>
          <w:b/>
          <w:highlight w:val="yellow"/>
        </w:rPr>
      </w:pPr>
      <w:r>
        <w:br w:type="page"/>
      </w:r>
    </w:p>
    <w:p w14:paraId="6017E214" w14:textId="77777777" w:rsidR="00EE3ED5" w:rsidRPr="00333A6F" w:rsidRDefault="00EE3ED5" w:rsidP="00EE3ED5">
      <w:pPr>
        <w:tabs>
          <w:tab w:val="left" w:pos="5530"/>
        </w:tabs>
        <w:jc w:val="center"/>
        <w:rPr>
          <w:b/>
        </w:rPr>
      </w:pPr>
      <w:r>
        <w:rPr>
          <w:b/>
        </w:rPr>
        <w:lastRenderedPageBreak/>
        <w:t>DESCRIPCIÓN DEL PROYECTO</w:t>
      </w:r>
    </w:p>
    <w:p w14:paraId="0F491008" w14:textId="77777777" w:rsidR="00EE3ED5" w:rsidRPr="00333A6F" w:rsidRDefault="00EE3ED5" w:rsidP="00EE3ED5">
      <w:pPr>
        <w:spacing w:before="240" w:after="240"/>
        <w:rPr>
          <w:b/>
          <w:bCs/>
        </w:rPr>
      </w:pPr>
      <w:r>
        <w:rPr>
          <w:b/>
          <w:bCs/>
        </w:rPr>
        <w:t>Antecedentes</w:t>
      </w:r>
    </w:p>
    <w:p w14:paraId="00F8B291" w14:textId="77777777" w:rsidR="00EE3ED5" w:rsidRPr="00333A6F" w:rsidRDefault="00EE3ED5" w:rsidP="00EE3ED5">
      <w:pPr>
        <w:pStyle w:val="Heading1"/>
      </w:pPr>
      <w:r>
        <w:t>En nombre del Gobierno de Cuba, el PNUD ha presentado, de conformidad con la decisión 91/65, una solicitud de proyecto piloto para mejorar la eficiencia energética de las tecnologías y equipos de sustitución en el contexto de la reducción de los HFC (actividades sin inversión), por un importe de USD 700.000, más unos gastos de apoyo al organismo de USD 49.000, tal como se presentó originalmente</w:t>
      </w:r>
      <w:r w:rsidRPr="00333A6F">
        <w:rPr>
          <w:vertAlign w:val="superscript"/>
          <w:lang w:val="en-GB"/>
        </w:rPr>
        <w:footnoteReference w:id="3"/>
      </w:r>
      <w:r>
        <w:t>.</w:t>
      </w:r>
    </w:p>
    <w:p w14:paraId="5FE705DE" w14:textId="77777777" w:rsidR="00EE3ED5" w:rsidRPr="00333A6F" w:rsidRDefault="00EE3ED5" w:rsidP="00EE3ED5">
      <w:pPr>
        <w:spacing w:after="240"/>
        <w:rPr>
          <w:b/>
          <w:bCs/>
        </w:rPr>
      </w:pPr>
      <w:r>
        <w:rPr>
          <w:b/>
          <w:bCs/>
        </w:rPr>
        <w:t>Proyecto piloto sobre eficiencia energética</w:t>
      </w:r>
    </w:p>
    <w:p w14:paraId="3CD90166" w14:textId="77777777" w:rsidR="00EE3ED5" w:rsidRPr="001707DC" w:rsidRDefault="00EE3ED5" w:rsidP="00EE3ED5">
      <w:pPr>
        <w:pStyle w:val="Heading1"/>
        <w:rPr>
          <w:color w:val="000000" w:themeColor="text1"/>
        </w:rPr>
      </w:pPr>
      <w:r>
        <w:rPr>
          <w:color w:val="000000" w:themeColor="text1"/>
        </w:rPr>
        <w:t>Cuba ratificó la Enmienda de Kigali el 20 de junio de 2019. El sistema de licencias y cuotas está en vigor, y desde el 1 de enero de 2024 se asignan cuotas de HFC a los importadores. En virtud de la etapa I del Plan de aplicación de la Enmienda de Kigali relativa a los HFC (PAK), aprobado en la 93ª reunión</w:t>
      </w:r>
      <w:r>
        <w:rPr>
          <w:rStyle w:val="FootnoteReference"/>
          <w:color w:val="000000" w:themeColor="text1"/>
          <w:lang w:val="en-GB"/>
        </w:rPr>
        <w:footnoteReference w:id="4"/>
      </w:r>
      <w:r>
        <w:rPr>
          <w:color w:val="000000" w:themeColor="text1"/>
        </w:rPr>
        <w:t>, Cuba se comprometió a reducir su consumo de referencia de HFC en un 10 % antes del 1 de enero de 2029.</w:t>
      </w:r>
    </w:p>
    <w:p w14:paraId="6C176CA3" w14:textId="77777777" w:rsidR="00EE3ED5" w:rsidRPr="005572E4" w:rsidRDefault="00EE3ED5" w:rsidP="00EE3ED5">
      <w:pPr>
        <w:spacing w:after="240"/>
        <w:rPr>
          <w:u w:val="single"/>
        </w:rPr>
      </w:pPr>
      <w:r>
        <w:rPr>
          <w:u w:val="single"/>
        </w:rPr>
        <w:t>Marco político, normativo e institucional</w:t>
      </w:r>
    </w:p>
    <w:p w14:paraId="59AF8719" w14:textId="77777777" w:rsidR="00EE3ED5" w:rsidRPr="005572E4" w:rsidRDefault="00EE3ED5" w:rsidP="00EE3ED5">
      <w:pPr>
        <w:pStyle w:val="Heading1"/>
        <w:rPr>
          <w:rFonts w:eastAsia="SimSun" w:cstheme="minorBidi"/>
          <w:color w:val="0D0D0D" w:themeColor="text1" w:themeTint="F2"/>
        </w:rPr>
      </w:pPr>
      <w:r>
        <w:t>El Ministerio de Energía y Minas se encarga de proponer, dirigir y controlar las políticas del Estado y del Gobierno en el sector energético. La Oficina Nacional para el Control del Uso Racional de la Energía (ONURE), adscrita al Ministerio de Energía y Minas, es la institución encargada de regular, controlar e inspeccionar los procesos de explotación y uso eficiente de la energía. La ONURE emite instrucciones y recomendaciones relacionadas con la eficiencia energética en el sector de la refrigeración y el aire acondicionado (RAC) de los hoteles. El proyecto será ejecutado por la Oficina Técnica del Ozono (OTOZ), en coordinación con la ONURE y el Ministerio de Turismo.</w:t>
      </w:r>
      <w:r>
        <w:rPr>
          <w:color w:val="0D0D0D" w:themeColor="text1" w:themeTint="F2"/>
        </w:rPr>
        <w:t xml:space="preserve"> Cuba ha establecido unas normas mínimas de eficiencia energética (MEPS) para los aparatos de aire acondicionado, los refrigeradores domésticos y los aparatos de refrigeración comercial de pequeña capacidad.</w:t>
      </w:r>
    </w:p>
    <w:p w14:paraId="3DDEBAD9" w14:textId="77777777" w:rsidR="00EE3ED5" w:rsidRPr="005572E4" w:rsidRDefault="00EE3ED5" w:rsidP="00EE3ED5">
      <w:pPr>
        <w:keepNext/>
        <w:suppressAutoHyphens/>
        <w:spacing w:before="240" w:after="240"/>
        <w:rPr>
          <w:u w:val="single"/>
        </w:rPr>
      </w:pPr>
      <w:r>
        <w:rPr>
          <w:u w:val="single"/>
        </w:rPr>
        <w:t>Consumo de HFC e información básica por sectores</w:t>
      </w:r>
    </w:p>
    <w:p w14:paraId="24B2FED6" w14:textId="77777777" w:rsidR="00EE3ED5" w:rsidRPr="0052755C" w:rsidRDefault="00EE3ED5" w:rsidP="00EE3ED5">
      <w:pPr>
        <w:pStyle w:val="Heading1"/>
        <w:shd w:val="clear" w:color="auto" w:fill="FFFFFF" w:themeFill="background1"/>
      </w:pPr>
      <w:r>
        <w:t xml:space="preserve">La base de consumo de HFC para Cuba se ha establecido en 1.030.662 </w:t>
      </w:r>
      <w:proofErr w:type="spellStart"/>
      <w:r>
        <w:t>tons</w:t>
      </w:r>
      <w:proofErr w:type="spellEnd"/>
      <w:r>
        <w:t>. de CO</w:t>
      </w:r>
      <w:r w:rsidRPr="00EE3ED5">
        <w:rPr>
          <w:vertAlign w:val="subscript"/>
        </w:rPr>
        <w:t>2</w:t>
      </w:r>
      <w:r>
        <w:t xml:space="preserve"> equivalente. El cuadro 1 presenta el consumo total de HFC del país de 2020 a 2024.</w:t>
      </w:r>
    </w:p>
    <w:p w14:paraId="01E70FB8" w14:textId="77777777" w:rsidR="00EE3ED5" w:rsidRPr="00B043F4" w:rsidRDefault="00EE3ED5" w:rsidP="00EE3ED5">
      <w:pPr>
        <w:keepNext/>
        <w:spacing w:after="20"/>
        <w:rPr>
          <w:b/>
          <w:bCs/>
        </w:rPr>
      </w:pPr>
      <w:r>
        <w:rPr>
          <w:b/>
          <w:bCs/>
        </w:rPr>
        <w:t>Cuadro 1. Consumo de HCFC en Cuba (datos para 2020-2024 en virtud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619"/>
        <w:gridCol w:w="1522"/>
        <w:gridCol w:w="1524"/>
        <w:gridCol w:w="1524"/>
        <w:gridCol w:w="1524"/>
      </w:tblGrid>
      <w:tr w:rsidR="00EE3ED5" w:rsidRPr="0007013A" w14:paraId="6CEC0E89" w14:textId="77777777" w:rsidTr="00484258">
        <w:trPr>
          <w:trHeight w:val="161"/>
          <w:tblHeader/>
        </w:trPr>
        <w:tc>
          <w:tcPr>
            <w:tcW w:w="875" w:type="pct"/>
            <w:shd w:val="clear" w:color="auto" w:fill="auto"/>
            <w:vAlign w:val="center"/>
          </w:tcPr>
          <w:p w14:paraId="1852AD42" w14:textId="77777777" w:rsidR="00EE3ED5" w:rsidRPr="0007013A" w:rsidRDefault="00EE3ED5" w:rsidP="00484258">
            <w:pPr>
              <w:spacing w:before="20" w:after="20"/>
              <w:jc w:val="center"/>
              <w:rPr>
                <w:b/>
                <w:bCs/>
              </w:rPr>
            </w:pPr>
          </w:p>
        </w:tc>
        <w:tc>
          <w:tcPr>
            <w:tcW w:w="865" w:type="pct"/>
            <w:shd w:val="clear" w:color="auto" w:fill="auto"/>
            <w:noWrap/>
            <w:vAlign w:val="center"/>
            <w:hideMark/>
          </w:tcPr>
          <w:p w14:paraId="36CD8549" w14:textId="77777777" w:rsidR="00EE3ED5" w:rsidRPr="0007013A" w:rsidRDefault="00EE3ED5" w:rsidP="00484258">
            <w:pPr>
              <w:spacing w:before="20" w:after="20"/>
              <w:jc w:val="center"/>
              <w:rPr>
                <w:b/>
                <w:bCs/>
              </w:rPr>
            </w:pPr>
            <w:r>
              <w:rPr>
                <w:b/>
                <w:bCs/>
              </w:rPr>
              <w:t>2020</w:t>
            </w:r>
          </w:p>
        </w:tc>
        <w:tc>
          <w:tcPr>
            <w:tcW w:w="814" w:type="pct"/>
            <w:shd w:val="clear" w:color="auto" w:fill="auto"/>
            <w:noWrap/>
            <w:vAlign w:val="center"/>
            <w:hideMark/>
          </w:tcPr>
          <w:p w14:paraId="057F16DE" w14:textId="77777777" w:rsidR="00EE3ED5" w:rsidRPr="0007013A" w:rsidRDefault="00EE3ED5" w:rsidP="00484258">
            <w:pPr>
              <w:spacing w:before="20" w:after="20"/>
              <w:jc w:val="center"/>
              <w:rPr>
                <w:b/>
                <w:bCs/>
              </w:rPr>
            </w:pPr>
            <w:r>
              <w:rPr>
                <w:b/>
                <w:bCs/>
              </w:rPr>
              <w:t>2021</w:t>
            </w:r>
          </w:p>
        </w:tc>
        <w:tc>
          <w:tcPr>
            <w:tcW w:w="815" w:type="pct"/>
            <w:shd w:val="clear" w:color="auto" w:fill="auto"/>
            <w:noWrap/>
            <w:vAlign w:val="center"/>
            <w:hideMark/>
          </w:tcPr>
          <w:p w14:paraId="779CF1DA" w14:textId="77777777" w:rsidR="00EE3ED5" w:rsidRPr="0007013A" w:rsidRDefault="00EE3ED5" w:rsidP="00484258">
            <w:pPr>
              <w:spacing w:before="20" w:after="20"/>
              <w:jc w:val="center"/>
              <w:rPr>
                <w:b/>
                <w:bCs/>
              </w:rPr>
            </w:pPr>
            <w:r>
              <w:rPr>
                <w:b/>
                <w:bCs/>
              </w:rPr>
              <w:t>2022</w:t>
            </w:r>
          </w:p>
        </w:tc>
        <w:tc>
          <w:tcPr>
            <w:tcW w:w="815" w:type="pct"/>
            <w:shd w:val="clear" w:color="auto" w:fill="auto"/>
            <w:noWrap/>
            <w:vAlign w:val="center"/>
            <w:hideMark/>
          </w:tcPr>
          <w:p w14:paraId="5AF722AB" w14:textId="77777777" w:rsidR="00EE3ED5" w:rsidRPr="0007013A" w:rsidRDefault="00EE3ED5" w:rsidP="00484258">
            <w:pPr>
              <w:spacing w:before="20" w:after="20"/>
              <w:jc w:val="center"/>
              <w:rPr>
                <w:b/>
                <w:bCs/>
              </w:rPr>
            </w:pPr>
            <w:r>
              <w:rPr>
                <w:b/>
                <w:bCs/>
              </w:rPr>
              <w:t>2023</w:t>
            </w:r>
          </w:p>
        </w:tc>
        <w:tc>
          <w:tcPr>
            <w:tcW w:w="815" w:type="pct"/>
          </w:tcPr>
          <w:p w14:paraId="55F9D84E" w14:textId="77777777" w:rsidR="00EE3ED5" w:rsidRPr="0007013A" w:rsidRDefault="00EE3ED5" w:rsidP="00484258">
            <w:pPr>
              <w:spacing w:before="20" w:after="20"/>
              <w:jc w:val="center"/>
              <w:rPr>
                <w:b/>
                <w:bCs/>
              </w:rPr>
            </w:pPr>
            <w:r>
              <w:rPr>
                <w:b/>
                <w:bCs/>
              </w:rPr>
              <w:t>2024</w:t>
            </w:r>
          </w:p>
        </w:tc>
      </w:tr>
      <w:tr w:rsidR="00EE3ED5" w:rsidRPr="0007013A" w14:paraId="12F8F552" w14:textId="77777777" w:rsidTr="00484258">
        <w:trPr>
          <w:trHeight w:val="300"/>
        </w:trPr>
        <w:tc>
          <w:tcPr>
            <w:tcW w:w="875" w:type="pct"/>
            <w:vAlign w:val="center"/>
          </w:tcPr>
          <w:p w14:paraId="36F694AE" w14:textId="77777777" w:rsidR="00EE3ED5" w:rsidRPr="0007013A" w:rsidRDefault="00EE3ED5" w:rsidP="00484258">
            <w:pPr>
              <w:spacing w:before="20" w:after="20"/>
            </w:pPr>
            <w:proofErr w:type="spellStart"/>
            <w:r>
              <w:t>tm</w:t>
            </w:r>
            <w:proofErr w:type="spellEnd"/>
          </w:p>
        </w:tc>
        <w:tc>
          <w:tcPr>
            <w:tcW w:w="865" w:type="pct"/>
            <w:shd w:val="clear" w:color="auto" w:fill="auto"/>
            <w:noWrap/>
            <w:vAlign w:val="center"/>
          </w:tcPr>
          <w:p w14:paraId="2CB2BB3E" w14:textId="77777777" w:rsidR="00EE3ED5" w:rsidRPr="0007013A" w:rsidRDefault="00EE3ED5" w:rsidP="00484258">
            <w:pPr>
              <w:spacing w:before="20" w:after="20"/>
              <w:jc w:val="right"/>
            </w:pPr>
            <w:r>
              <w:t>376,27</w:t>
            </w:r>
          </w:p>
        </w:tc>
        <w:tc>
          <w:tcPr>
            <w:tcW w:w="814" w:type="pct"/>
            <w:shd w:val="clear" w:color="auto" w:fill="auto"/>
            <w:noWrap/>
            <w:vAlign w:val="center"/>
          </w:tcPr>
          <w:p w14:paraId="5FC5FFCE" w14:textId="77777777" w:rsidR="00EE3ED5" w:rsidRPr="0007013A" w:rsidRDefault="00EE3ED5" w:rsidP="00484258">
            <w:pPr>
              <w:spacing w:before="20" w:after="20"/>
              <w:jc w:val="right"/>
            </w:pPr>
            <w:r>
              <w:t>289,99</w:t>
            </w:r>
          </w:p>
        </w:tc>
        <w:tc>
          <w:tcPr>
            <w:tcW w:w="815" w:type="pct"/>
            <w:shd w:val="clear" w:color="auto" w:fill="auto"/>
            <w:noWrap/>
            <w:vAlign w:val="center"/>
          </w:tcPr>
          <w:p w14:paraId="49F36A36" w14:textId="77777777" w:rsidR="00EE3ED5" w:rsidRPr="0007013A" w:rsidRDefault="00EE3ED5" w:rsidP="00484258">
            <w:pPr>
              <w:spacing w:before="20" w:after="20"/>
              <w:jc w:val="right"/>
            </w:pPr>
            <w:r>
              <w:t>439,53</w:t>
            </w:r>
          </w:p>
        </w:tc>
        <w:tc>
          <w:tcPr>
            <w:tcW w:w="815" w:type="pct"/>
            <w:shd w:val="clear" w:color="auto" w:fill="auto"/>
            <w:noWrap/>
            <w:vAlign w:val="center"/>
          </w:tcPr>
          <w:p w14:paraId="1A3E746F" w14:textId="77777777" w:rsidR="00EE3ED5" w:rsidRPr="0007013A" w:rsidRDefault="00EE3ED5" w:rsidP="00484258">
            <w:pPr>
              <w:spacing w:before="20" w:after="20"/>
              <w:jc w:val="right"/>
            </w:pPr>
            <w:r>
              <w:t>687,14</w:t>
            </w:r>
          </w:p>
        </w:tc>
        <w:tc>
          <w:tcPr>
            <w:tcW w:w="815" w:type="pct"/>
          </w:tcPr>
          <w:p w14:paraId="69057F7E" w14:textId="77777777" w:rsidR="00EE3ED5" w:rsidRPr="0007013A" w:rsidRDefault="00EE3ED5" w:rsidP="00484258">
            <w:pPr>
              <w:spacing w:before="20" w:after="20"/>
              <w:jc w:val="right"/>
            </w:pPr>
            <w:r>
              <w:t>339,16</w:t>
            </w:r>
          </w:p>
        </w:tc>
      </w:tr>
      <w:tr w:rsidR="00EE3ED5" w:rsidRPr="0007013A" w14:paraId="001D6EDC" w14:textId="77777777" w:rsidTr="0004281F">
        <w:trPr>
          <w:trHeight w:val="638"/>
        </w:trPr>
        <w:tc>
          <w:tcPr>
            <w:tcW w:w="875" w:type="pct"/>
            <w:vAlign w:val="center"/>
          </w:tcPr>
          <w:p w14:paraId="73E7F785" w14:textId="77777777" w:rsidR="00EE3ED5" w:rsidRPr="0007013A" w:rsidRDefault="00EE3ED5" w:rsidP="00484258">
            <w:pPr>
              <w:spacing w:before="20" w:after="20"/>
            </w:pPr>
            <w:proofErr w:type="spellStart"/>
            <w:r>
              <w:t>Tons</w:t>
            </w:r>
            <w:proofErr w:type="spellEnd"/>
            <w:r>
              <w:t>. de CO</w:t>
            </w:r>
            <w:r w:rsidRPr="00EE3ED5">
              <w:rPr>
                <w:vertAlign w:val="subscript"/>
              </w:rPr>
              <w:t>2</w:t>
            </w:r>
            <w:r>
              <w:t xml:space="preserve"> equivalente</w:t>
            </w:r>
          </w:p>
        </w:tc>
        <w:tc>
          <w:tcPr>
            <w:tcW w:w="865" w:type="pct"/>
            <w:shd w:val="clear" w:color="auto" w:fill="auto"/>
            <w:noWrap/>
            <w:vAlign w:val="center"/>
          </w:tcPr>
          <w:p w14:paraId="250F9404" w14:textId="77777777" w:rsidR="00EE3ED5" w:rsidRPr="0007013A" w:rsidRDefault="00EE3ED5" w:rsidP="00484258">
            <w:pPr>
              <w:spacing w:before="20" w:after="20"/>
              <w:jc w:val="right"/>
            </w:pPr>
            <w:r>
              <w:t>739.658</w:t>
            </w:r>
          </w:p>
        </w:tc>
        <w:tc>
          <w:tcPr>
            <w:tcW w:w="814" w:type="pct"/>
            <w:shd w:val="clear" w:color="auto" w:fill="auto"/>
            <w:noWrap/>
            <w:vAlign w:val="center"/>
          </w:tcPr>
          <w:p w14:paraId="61AE2A1A" w14:textId="77777777" w:rsidR="00EE3ED5" w:rsidRPr="0007013A" w:rsidRDefault="00EE3ED5" w:rsidP="00484258">
            <w:pPr>
              <w:spacing w:before="20" w:after="20"/>
              <w:jc w:val="right"/>
            </w:pPr>
            <w:r>
              <w:t>519.644</w:t>
            </w:r>
          </w:p>
        </w:tc>
        <w:tc>
          <w:tcPr>
            <w:tcW w:w="815" w:type="pct"/>
            <w:shd w:val="clear" w:color="auto" w:fill="auto"/>
            <w:noWrap/>
            <w:vAlign w:val="center"/>
          </w:tcPr>
          <w:p w14:paraId="719220AD" w14:textId="77777777" w:rsidR="00EE3ED5" w:rsidRPr="0007013A" w:rsidRDefault="00EE3ED5" w:rsidP="00484258">
            <w:pPr>
              <w:spacing w:before="20" w:after="20"/>
              <w:jc w:val="right"/>
            </w:pPr>
            <w:r>
              <w:t>882.672</w:t>
            </w:r>
          </w:p>
        </w:tc>
        <w:tc>
          <w:tcPr>
            <w:tcW w:w="815" w:type="pct"/>
            <w:shd w:val="clear" w:color="auto" w:fill="auto"/>
            <w:noWrap/>
            <w:vAlign w:val="center"/>
          </w:tcPr>
          <w:p w14:paraId="0DFC8902" w14:textId="77777777" w:rsidR="00EE3ED5" w:rsidRPr="0007013A" w:rsidRDefault="00EE3ED5" w:rsidP="00484258">
            <w:pPr>
              <w:spacing w:before="20" w:after="20"/>
              <w:jc w:val="right"/>
            </w:pPr>
            <w:r>
              <w:t>1.368.669</w:t>
            </w:r>
          </w:p>
        </w:tc>
        <w:tc>
          <w:tcPr>
            <w:tcW w:w="815" w:type="pct"/>
            <w:vAlign w:val="center"/>
          </w:tcPr>
          <w:p w14:paraId="2C20C474" w14:textId="4B692D6C" w:rsidR="002B287A" w:rsidRPr="0007013A" w:rsidRDefault="002B287A" w:rsidP="002B287A">
            <w:pPr>
              <w:spacing w:before="20" w:after="20"/>
              <w:jc w:val="right"/>
            </w:pPr>
            <w:r>
              <w:t>671.021</w:t>
            </w:r>
          </w:p>
        </w:tc>
      </w:tr>
    </w:tbl>
    <w:p w14:paraId="0432A3CD" w14:textId="77777777" w:rsidR="00EE3ED5" w:rsidRPr="005572E4" w:rsidRDefault="00EE3ED5" w:rsidP="00EE3ED5">
      <w:pPr>
        <w:pStyle w:val="Heading1"/>
        <w:spacing w:before="240"/>
        <w:rPr>
          <w:color w:val="000000" w:themeColor="text1"/>
        </w:rPr>
      </w:pPr>
      <w:r>
        <w:t xml:space="preserve">El descenso del consumo de HFC en 2021, atribuido en gran medida al impacto de la pandemia de COVID-19, fue seguido de un aumento gradual durante 2022 y 2023. En 2023, el consumo superó la base de referencia establecida para los HFC debido a la recuperación económica y </w:t>
      </w:r>
      <w:proofErr w:type="spellStart"/>
      <w:r>
        <w:t>al</w:t>
      </w:r>
      <w:proofErr w:type="spellEnd"/>
      <w:r>
        <w:t xml:space="preserve"> consiguiente consumo adicional en el mantenimiento e instalación de equipos de RAC.</w:t>
      </w:r>
      <w:r>
        <w:rPr>
          <w:color w:val="000000" w:themeColor="text1"/>
        </w:rPr>
        <w:t xml:space="preserve"> </w:t>
      </w:r>
      <w:r>
        <w:t>En 2024, el consumo de HFC volvió a disminuir.</w:t>
      </w:r>
    </w:p>
    <w:p w14:paraId="25C29397" w14:textId="77777777" w:rsidR="00EE3ED5" w:rsidRDefault="00EE3ED5" w:rsidP="00EE3ED5">
      <w:pPr>
        <w:pStyle w:val="Heading1"/>
      </w:pPr>
      <w:r>
        <w:t xml:space="preserve">La demanda de sistemas de RAC en Cuba está creciendo en todos los subsectores, incluido el turismo. El HFC-134a sigue siendo el refrigerante más utilizado en el sector turístico, seguido del R-407C. La mayor demanda de HFC en el sector de los servicios procede de los grandes sistemas de aire acondicionado con elevadas cargas de refrigerante. El consumo de HFC para aplicaciones de refrigerantes </w:t>
      </w:r>
      <w:r>
        <w:lastRenderedPageBreak/>
        <w:t xml:space="preserve">comerciales en 2023 fue de 10 </w:t>
      </w:r>
      <w:proofErr w:type="spellStart"/>
      <w:r>
        <w:t>tm</w:t>
      </w:r>
      <w:proofErr w:type="spellEnd"/>
      <w:r>
        <w:t>, lo que no refleja la demanda real, ya que muchos hoteles que habían cerrado durante la pandemia de COVID-19 aún no habían reabierto en ese momento.</w:t>
      </w:r>
    </w:p>
    <w:p w14:paraId="34A4DED6" w14:textId="77777777" w:rsidR="00EE3ED5" w:rsidRPr="002426BA" w:rsidRDefault="00EE3ED5" w:rsidP="00EE3ED5">
      <w:pPr>
        <w:pStyle w:val="Heading1"/>
        <w:spacing w:after="0"/>
      </w:pPr>
      <w:r>
        <w:t>En términos de consumo de electricidad, el sector de RAC representa aproximadamente el 20 % del uso total nacional, con casi el 13 % del consumo total del sector de RAC en el turismo.</w:t>
      </w:r>
    </w:p>
    <w:p w14:paraId="34057645" w14:textId="77777777" w:rsidR="00EE3ED5" w:rsidRDefault="00EE3ED5" w:rsidP="00EE3ED5">
      <w:pPr>
        <w:keepNext/>
        <w:shd w:val="clear" w:color="auto" w:fill="FFFFFF" w:themeFill="background1"/>
        <w:spacing w:before="240" w:after="240"/>
        <w:rPr>
          <w:u w:val="single"/>
        </w:rPr>
      </w:pPr>
      <w:r>
        <w:rPr>
          <w:u w:val="single"/>
        </w:rPr>
        <w:t>Descripción y objetivo del proyecto</w:t>
      </w:r>
    </w:p>
    <w:p w14:paraId="509711F0" w14:textId="77777777" w:rsidR="00EE3ED5" w:rsidRPr="00D60EF7" w:rsidRDefault="00EE3ED5" w:rsidP="00EE3ED5">
      <w:pPr>
        <w:pStyle w:val="Heading1"/>
      </w:pPr>
      <w:bookmarkStart w:id="3" w:name="_Hlk126662278"/>
      <w:bookmarkStart w:id="4" w:name="_Hlk126934445"/>
      <w:r>
        <w:t>Los beneficiarios del proyecto piloto de sustitución de cinco refrigeradores comerciales a base de HFC-134a por sistemas basados en HFO-1234ze y R-290 representan una gama de emplazamientos, tipos y tamaños de hoteles, con distintos planteamientos y procedimientos, y equipados con refrigeradores comerciales que varían en cuanto a capacidad, ubicación (en el tejado o en el suelo) y tipo de tecnología (agua o aire). El proyecto se concibió para demostrar la adopción de tecnologías de bajo PCA en dichos establecimientos y proponer diferentes opciones de eficiencia energética, garantizando al mismo tiempo su replicabilidad en todo el sector turístico de Cuba. Los cuatro hoteles seleccionados se presentan en el cuadro 2.</w:t>
      </w:r>
    </w:p>
    <w:p w14:paraId="4E9816B7" w14:textId="77777777" w:rsidR="00EE3ED5" w:rsidRPr="00472ADC" w:rsidRDefault="00EE3ED5" w:rsidP="00EE3ED5">
      <w:pPr>
        <w:rPr>
          <w:b/>
          <w:bCs/>
        </w:rPr>
      </w:pPr>
      <w:r>
        <w:rPr>
          <w:b/>
          <w:bCs/>
        </w:rPr>
        <w:t>Cuadro 2. Características de los hoteles seleccionados para el proyecto piloto</w:t>
      </w:r>
    </w:p>
    <w:tbl>
      <w:tblPr>
        <w:tblStyle w:val="TableGrid"/>
        <w:tblW w:w="5000" w:type="pct"/>
        <w:tblCellMar>
          <w:top w:w="6" w:type="dxa"/>
          <w:bottom w:w="6" w:type="dxa"/>
        </w:tblCellMar>
        <w:tblLook w:val="04A0" w:firstRow="1" w:lastRow="0" w:firstColumn="1" w:lastColumn="0" w:noHBand="0" w:noVBand="1"/>
      </w:tblPr>
      <w:tblGrid>
        <w:gridCol w:w="1450"/>
        <w:gridCol w:w="1974"/>
        <w:gridCol w:w="1976"/>
        <w:gridCol w:w="1974"/>
        <w:gridCol w:w="1976"/>
      </w:tblGrid>
      <w:tr w:rsidR="00EE3ED5" w:rsidRPr="00D64647" w14:paraId="741BFB46" w14:textId="77777777" w:rsidTr="00484258">
        <w:trPr>
          <w:trHeight w:val="394"/>
          <w:tblHeader/>
        </w:trPr>
        <w:tc>
          <w:tcPr>
            <w:tcW w:w="773" w:type="pct"/>
            <w:vAlign w:val="center"/>
          </w:tcPr>
          <w:p w14:paraId="3BAC49A4" w14:textId="77777777" w:rsidR="00EE3ED5" w:rsidRPr="00BF7274" w:rsidRDefault="00EE3ED5" w:rsidP="00484258">
            <w:pPr>
              <w:contextualSpacing/>
              <w:jc w:val="left"/>
              <w:rPr>
                <w:b/>
                <w:bCs/>
                <w:sz w:val="20"/>
                <w:szCs w:val="20"/>
              </w:rPr>
            </w:pPr>
          </w:p>
        </w:tc>
        <w:tc>
          <w:tcPr>
            <w:tcW w:w="1056" w:type="pct"/>
            <w:vAlign w:val="center"/>
          </w:tcPr>
          <w:p w14:paraId="5B91E647" w14:textId="77777777" w:rsidR="00EE3ED5" w:rsidRPr="00C7380F" w:rsidRDefault="00EE3ED5" w:rsidP="00484258">
            <w:pPr>
              <w:contextualSpacing/>
              <w:jc w:val="center"/>
              <w:rPr>
                <w:b/>
                <w:bCs/>
                <w:sz w:val="20"/>
                <w:szCs w:val="20"/>
              </w:rPr>
            </w:pPr>
            <w:r>
              <w:rPr>
                <w:b/>
                <w:bCs/>
                <w:sz w:val="20"/>
                <w:szCs w:val="20"/>
              </w:rPr>
              <w:t>Hotel Nacional</w:t>
            </w:r>
          </w:p>
        </w:tc>
        <w:tc>
          <w:tcPr>
            <w:tcW w:w="1057" w:type="pct"/>
            <w:vAlign w:val="center"/>
          </w:tcPr>
          <w:p w14:paraId="073C197F" w14:textId="77777777" w:rsidR="00EE3ED5" w:rsidRPr="00C7380F" w:rsidRDefault="00EE3ED5" w:rsidP="00484258">
            <w:pPr>
              <w:contextualSpacing/>
              <w:jc w:val="center"/>
              <w:rPr>
                <w:b/>
                <w:bCs/>
                <w:sz w:val="20"/>
                <w:szCs w:val="20"/>
              </w:rPr>
            </w:pPr>
            <w:r>
              <w:rPr>
                <w:b/>
                <w:bCs/>
                <w:sz w:val="20"/>
                <w:szCs w:val="20"/>
              </w:rPr>
              <w:t>Villa Cuba</w:t>
            </w:r>
          </w:p>
        </w:tc>
        <w:tc>
          <w:tcPr>
            <w:tcW w:w="1056" w:type="pct"/>
            <w:vAlign w:val="center"/>
          </w:tcPr>
          <w:p w14:paraId="27AADF9A" w14:textId="77777777" w:rsidR="00EE3ED5" w:rsidRPr="00C7380F" w:rsidRDefault="00EE3ED5" w:rsidP="00484258">
            <w:pPr>
              <w:contextualSpacing/>
              <w:jc w:val="center"/>
              <w:rPr>
                <w:b/>
                <w:bCs/>
                <w:sz w:val="20"/>
                <w:szCs w:val="20"/>
              </w:rPr>
            </w:pPr>
            <w:r>
              <w:rPr>
                <w:b/>
                <w:bCs/>
                <w:sz w:val="20"/>
                <w:szCs w:val="20"/>
              </w:rPr>
              <w:t>Princesa del Mar</w:t>
            </w:r>
          </w:p>
        </w:tc>
        <w:tc>
          <w:tcPr>
            <w:tcW w:w="1057" w:type="pct"/>
            <w:vAlign w:val="center"/>
          </w:tcPr>
          <w:p w14:paraId="6150CED7" w14:textId="77777777" w:rsidR="00EE3ED5" w:rsidRPr="00C7380F" w:rsidRDefault="00EE3ED5" w:rsidP="00484258">
            <w:pPr>
              <w:pStyle w:val="Heading2"/>
              <w:numPr>
                <w:ilvl w:val="0"/>
                <w:numId w:val="0"/>
              </w:numPr>
              <w:spacing w:after="0"/>
              <w:contextualSpacing/>
              <w:jc w:val="center"/>
              <w:rPr>
                <w:b/>
                <w:bCs/>
                <w:sz w:val="20"/>
                <w:szCs w:val="20"/>
              </w:rPr>
            </w:pPr>
            <w:r>
              <w:rPr>
                <w:b/>
                <w:bCs/>
                <w:sz w:val="20"/>
                <w:szCs w:val="20"/>
              </w:rPr>
              <w:t>Meliá Las Dunas</w:t>
            </w:r>
          </w:p>
        </w:tc>
      </w:tr>
      <w:tr w:rsidR="00EE3ED5" w:rsidRPr="00451818" w14:paraId="15F14702" w14:textId="77777777" w:rsidTr="00484258">
        <w:trPr>
          <w:trHeight w:val="394"/>
        </w:trPr>
        <w:tc>
          <w:tcPr>
            <w:tcW w:w="773" w:type="pct"/>
          </w:tcPr>
          <w:p w14:paraId="70839F38" w14:textId="77777777" w:rsidR="00EE3ED5" w:rsidRPr="00D64647" w:rsidRDefault="00EE3ED5" w:rsidP="00484258">
            <w:pPr>
              <w:contextualSpacing/>
              <w:jc w:val="left"/>
              <w:rPr>
                <w:b/>
                <w:bCs/>
                <w:sz w:val="20"/>
                <w:szCs w:val="20"/>
              </w:rPr>
            </w:pPr>
            <w:r>
              <w:rPr>
                <w:b/>
                <w:bCs/>
                <w:sz w:val="20"/>
                <w:szCs w:val="20"/>
              </w:rPr>
              <w:t>Ubicación</w:t>
            </w:r>
          </w:p>
        </w:tc>
        <w:tc>
          <w:tcPr>
            <w:tcW w:w="1056" w:type="pct"/>
          </w:tcPr>
          <w:p w14:paraId="04800BAD" w14:textId="77777777" w:rsidR="00EE3ED5" w:rsidRPr="00C7380F" w:rsidRDefault="00EE3ED5" w:rsidP="00484258">
            <w:pPr>
              <w:contextualSpacing/>
              <w:jc w:val="left"/>
              <w:rPr>
                <w:b/>
                <w:bCs/>
                <w:sz w:val="20"/>
                <w:szCs w:val="20"/>
              </w:rPr>
            </w:pPr>
            <w:r>
              <w:rPr>
                <w:sz w:val="20"/>
                <w:szCs w:val="20"/>
              </w:rPr>
              <w:t>La Habana</w:t>
            </w:r>
          </w:p>
        </w:tc>
        <w:tc>
          <w:tcPr>
            <w:tcW w:w="1057" w:type="pct"/>
          </w:tcPr>
          <w:p w14:paraId="3F4CA7B7" w14:textId="77777777" w:rsidR="00EE3ED5" w:rsidRPr="00C7380F" w:rsidRDefault="00EE3ED5" w:rsidP="00484258">
            <w:pPr>
              <w:contextualSpacing/>
              <w:jc w:val="left"/>
              <w:rPr>
                <w:b/>
                <w:bCs/>
                <w:sz w:val="20"/>
                <w:szCs w:val="20"/>
              </w:rPr>
            </w:pPr>
            <w:r>
              <w:rPr>
                <w:sz w:val="20"/>
                <w:szCs w:val="20"/>
              </w:rPr>
              <w:t>Varadero, Matanzas</w:t>
            </w:r>
          </w:p>
        </w:tc>
        <w:tc>
          <w:tcPr>
            <w:tcW w:w="1056" w:type="pct"/>
          </w:tcPr>
          <w:p w14:paraId="7ACAF656" w14:textId="77777777" w:rsidR="00EE3ED5" w:rsidRPr="00C7380F" w:rsidRDefault="00EE3ED5" w:rsidP="00484258">
            <w:pPr>
              <w:contextualSpacing/>
              <w:jc w:val="left"/>
              <w:rPr>
                <w:sz w:val="20"/>
                <w:szCs w:val="20"/>
              </w:rPr>
            </w:pPr>
            <w:r>
              <w:rPr>
                <w:sz w:val="20"/>
                <w:szCs w:val="20"/>
              </w:rPr>
              <w:t>Varadero, Matanzas</w:t>
            </w:r>
          </w:p>
        </w:tc>
        <w:tc>
          <w:tcPr>
            <w:tcW w:w="1057" w:type="pct"/>
          </w:tcPr>
          <w:p w14:paraId="57593FCC" w14:textId="77777777" w:rsidR="00EE3ED5" w:rsidRPr="00163243" w:rsidRDefault="00EE3ED5" w:rsidP="00484258">
            <w:pPr>
              <w:pStyle w:val="Heading2"/>
              <w:numPr>
                <w:ilvl w:val="0"/>
                <w:numId w:val="0"/>
              </w:numPr>
              <w:spacing w:after="0"/>
              <w:contextualSpacing/>
              <w:jc w:val="left"/>
              <w:rPr>
                <w:sz w:val="20"/>
                <w:szCs w:val="20"/>
              </w:rPr>
            </w:pPr>
            <w:r>
              <w:rPr>
                <w:sz w:val="20"/>
                <w:szCs w:val="20"/>
              </w:rPr>
              <w:t>Cayo Santa María, Santa Clara</w:t>
            </w:r>
          </w:p>
        </w:tc>
      </w:tr>
      <w:tr w:rsidR="00EE3ED5" w:rsidRPr="00D64647" w14:paraId="12309D9C" w14:textId="77777777" w:rsidTr="00484258">
        <w:tc>
          <w:tcPr>
            <w:tcW w:w="773" w:type="pct"/>
          </w:tcPr>
          <w:p w14:paraId="643DDFA8" w14:textId="77777777" w:rsidR="00EE3ED5" w:rsidRPr="00D64647" w:rsidRDefault="00EE3ED5" w:rsidP="00484258">
            <w:pPr>
              <w:jc w:val="left"/>
              <w:rPr>
                <w:b/>
                <w:bCs/>
                <w:sz w:val="20"/>
                <w:szCs w:val="20"/>
              </w:rPr>
            </w:pPr>
            <w:r>
              <w:rPr>
                <w:b/>
                <w:bCs/>
                <w:sz w:val="20"/>
                <w:szCs w:val="20"/>
              </w:rPr>
              <w:t>Tipo de hotel</w:t>
            </w:r>
          </w:p>
        </w:tc>
        <w:tc>
          <w:tcPr>
            <w:tcW w:w="1056" w:type="pct"/>
          </w:tcPr>
          <w:p w14:paraId="34BA1842" w14:textId="77777777" w:rsidR="00EE3ED5" w:rsidRPr="00D64647" w:rsidRDefault="00EE3ED5" w:rsidP="00484258">
            <w:pPr>
              <w:jc w:val="left"/>
              <w:rPr>
                <w:sz w:val="20"/>
                <w:szCs w:val="20"/>
              </w:rPr>
            </w:pPr>
            <w:r>
              <w:rPr>
                <w:sz w:val="20"/>
                <w:szCs w:val="20"/>
              </w:rPr>
              <w:t>Edificio urbano vertical de 472 habitaciones</w:t>
            </w:r>
          </w:p>
        </w:tc>
        <w:tc>
          <w:tcPr>
            <w:tcW w:w="1057" w:type="pct"/>
          </w:tcPr>
          <w:p w14:paraId="624168DA" w14:textId="77777777" w:rsidR="00EE3ED5" w:rsidRPr="00D64647" w:rsidRDefault="00EE3ED5" w:rsidP="00484258">
            <w:pPr>
              <w:jc w:val="left"/>
              <w:rPr>
                <w:sz w:val="20"/>
                <w:szCs w:val="20"/>
              </w:rPr>
            </w:pPr>
            <w:r>
              <w:rPr>
                <w:sz w:val="20"/>
                <w:szCs w:val="20"/>
              </w:rPr>
              <w:t>Estructura horizontal con 365 habitaciones</w:t>
            </w:r>
          </w:p>
        </w:tc>
        <w:tc>
          <w:tcPr>
            <w:tcW w:w="1056" w:type="pct"/>
          </w:tcPr>
          <w:p w14:paraId="02605AFA" w14:textId="77777777" w:rsidR="00EE3ED5" w:rsidRPr="00D64647" w:rsidRDefault="00EE3ED5" w:rsidP="00484258">
            <w:pPr>
              <w:jc w:val="left"/>
              <w:rPr>
                <w:sz w:val="20"/>
                <w:szCs w:val="20"/>
              </w:rPr>
            </w:pPr>
            <w:r>
              <w:rPr>
                <w:sz w:val="20"/>
                <w:szCs w:val="20"/>
              </w:rPr>
              <w:t xml:space="preserve">Hotel de playa con 630 habitaciones repartidas entre el edificio principal, </w:t>
            </w:r>
            <w:proofErr w:type="spellStart"/>
            <w:r>
              <w:rPr>
                <w:sz w:val="20"/>
                <w:szCs w:val="20"/>
              </w:rPr>
              <w:t>bungalows</w:t>
            </w:r>
            <w:proofErr w:type="spellEnd"/>
            <w:r>
              <w:rPr>
                <w:sz w:val="20"/>
                <w:szCs w:val="20"/>
              </w:rPr>
              <w:t>, villas y edificios comunes</w:t>
            </w:r>
          </w:p>
        </w:tc>
        <w:tc>
          <w:tcPr>
            <w:tcW w:w="1057" w:type="pct"/>
          </w:tcPr>
          <w:p w14:paraId="458ECBE3" w14:textId="77777777" w:rsidR="00EE3ED5" w:rsidRPr="00D64647" w:rsidRDefault="00EE3ED5" w:rsidP="00484258">
            <w:pPr>
              <w:jc w:val="left"/>
              <w:rPr>
                <w:sz w:val="20"/>
                <w:szCs w:val="20"/>
              </w:rPr>
            </w:pPr>
            <w:r>
              <w:rPr>
                <w:sz w:val="20"/>
                <w:szCs w:val="20"/>
              </w:rPr>
              <w:t xml:space="preserve">Hotel de playa con 925 habitaciones repartidas entre el edificio principal, </w:t>
            </w:r>
            <w:proofErr w:type="spellStart"/>
            <w:r>
              <w:rPr>
                <w:sz w:val="20"/>
                <w:szCs w:val="20"/>
              </w:rPr>
              <w:t>bungalows</w:t>
            </w:r>
            <w:proofErr w:type="spellEnd"/>
            <w:r>
              <w:rPr>
                <w:sz w:val="20"/>
                <w:szCs w:val="20"/>
              </w:rPr>
              <w:t xml:space="preserve"> y edificios comunes</w:t>
            </w:r>
          </w:p>
        </w:tc>
      </w:tr>
      <w:tr w:rsidR="00EE3ED5" w:rsidRPr="00D64647" w14:paraId="12DD01C3" w14:textId="77777777" w:rsidTr="00484258">
        <w:tc>
          <w:tcPr>
            <w:tcW w:w="773" w:type="pct"/>
          </w:tcPr>
          <w:p w14:paraId="6E1B217E" w14:textId="77777777" w:rsidR="00EE3ED5" w:rsidRPr="00D64647" w:rsidRDefault="00EE3ED5" w:rsidP="00484258">
            <w:pPr>
              <w:jc w:val="left"/>
              <w:rPr>
                <w:b/>
                <w:bCs/>
                <w:sz w:val="20"/>
                <w:szCs w:val="20"/>
              </w:rPr>
            </w:pPr>
            <w:r>
              <w:rPr>
                <w:b/>
                <w:bCs/>
                <w:sz w:val="20"/>
                <w:szCs w:val="20"/>
              </w:rPr>
              <w:t>Estructura y capacidad del aire acondicionado (TR)</w:t>
            </w:r>
          </w:p>
        </w:tc>
        <w:tc>
          <w:tcPr>
            <w:tcW w:w="1056" w:type="pct"/>
          </w:tcPr>
          <w:p w14:paraId="21E0C4FA" w14:textId="77777777" w:rsidR="00EE3ED5" w:rsidRPr="00D64647" w:rsidRDefault="00EE3ED5" w:rsidP="00484258">
            <w:pPr>
              <w:ind w:right="-21"/>
              <w:jc w:val="left"/>
              <w:rPr>
                <w:sz w:val="20"/>
                <w:szCs w:val="20"/>
              </w:rPr>
            </w:pPr>
            <w:r>
              <w:rPr>
                <w:sz w:val="20"/>
                <w:szCs w:val="20"/>
              </w:rPr>
              <w:t>4 refrigeradores comerciales de 125-220 TR</w:t>
            </w:r>
          </w:p>
        </w:tc>
        <w:tc>
          <w:tcPr>
            <w:tcW w:w="1057" w:type="pct"/>
          </w:tcPr>
          <w:p w14:paraId="46F17B5E" w14:textId="77777777" w:rsidR="00EE3ED5" w:rsidRPr="00D64647" w:rsidRDefault="00EE3ED5" w:rsidP="00484258">
            <w:pPr>
              <w:ind w:right="-117"/>
              <w:jc w:val="left"/>
              <w:rPr>
                <w:sz w:val="20"/>
                <w:szCs w:val="20"/>
              </w:rPr>
            </w:pPr>
            <w:r>
              <w:rPr>
                <w:sz w:val="20"/>
                <w:szCs w:val="20"/>
              </w:rPr>
              <w:t>3 refrigeradores comerciales de 140 TR</w:t>
            </w:r>
          </w:p>
        </w:tc>
        <w:tc>
          <w:tcPr>
            <w:tcW w:w="1056" w:type="pct"/>
          </w:tcPr>
          <w:p w14:paraId="3916A91B" w14:textId="77777777" w:rsidR="00EE3ED5" w:rsidRPr="00D64647" w:rsidRDefault="00EE3ED5" w:rsidP="00484258">
            <w:pPr>
              <w:ind w:right="-158"/>
              <w:jc w:val="left"/>
              <w:rPr>
                <w:sz w:val="20"/>
                <w:szCs w:val="20"/>
              </w:rPr>
            </w:pPr>
            <w:r>
              <w:rPr>
                <w:sz w:val="20"/>
                <w:szCs w:val="20"/>
              </w:rPr>
              <w:t>10 refrigeradores comerciales de 80 TR</w:t>
            </w:r>
            <w:r>
              <w:rPr>
                <w:sz w:val="20"/>
                <w:szCs w:val="20"/>
              </w:rPr>
              <w:br/>
              <w:t>2 refrigeradores comerciales de 65 TR</w:t>
            </w:r>
          </w:p>
        </w:tc>
        <w:tc>
          <w:tcPr>
            <w:tcW w:w="1057" w:type="pct"/>
          </w:tcPr>
          <w:p w14:paraId="35623020" w14:textId="77777777" w:rsidR="00EE3ED5" w:rsidRPr="00D64647" w:rsidRDefault="00EE3ED5" w:rsidP="00484258">
            <w:pPr>
              <w:ind w:right="-108"/>
              <w:jc w:val="left"/>
              <w:rPr>
                <w:sz w:val="20"/>
                <w:szCs w:val="20"/>
              </w:rPr>
            </w:pPr>
            <w:r>
              <w:rPr>
                <w:sz w:val="20"/>
                <w:szCs w:val="20"/>
              </w:rPr>
              <w:t>14 refrigeradores comerciales de 65 TR</w:t>
            </w:r>
          </w:p>
        </w:tc>
      </w:tr>
      <w:tr w:rsidR="00EE3ED5" w:rsidRPr="00036505" w14:paraId="2D5C683F" w14:textId="77777777" w:rsidTr="00484258">
        <w:tc>
          <w:tcPr>
            <w:tcW w:w="773" w:type="pct"/>
          </w:tcPr>
          <w:p w14:paraId="439949EA" w14:textId="77777777" w:rsidR="00EE3ED5" w:rsidRPr="00036505" w:rsidRDefault="00EE3ED5" w:rsidP="00484258">
            <w:pPr>
              <w:shd w:val="clear" w:color="auto" w:fill="FFFFFF" w:themeFill="background1"/>
              <w:jc w:val="left"/>
              <w:rPr>
                <w:b/>
                <w:bCs/>
                <w:sz w:val="20"/>
                <w:szCs w:val="20"/>
              </w:rPr>
            </w:pPr>
            <w:r>
              <w:rPr>
                <w:b/>
                <w:bCs/>
                <w:sz w:val="20"/>
                <w:szCs w:val="20"/>
              </w:rPr>
              <w:t>Conversión propuesta</w:t>
            </w:r>
          </w:p>
        </w:tc>
        <w:tc>
          <w:tcPr>
            <w:tcW w:w="1056" w:type="pct"/>
          </w:tcPr>
          <w:p w14:paraId="6AB57910" w14:textId="77777777" w:rsidR="00EE3ED5" w:rsidRPr="00036505" w:rsidRDefault="00EE3ED5" w:rsidP="00484258">
            <w:pPr>
              <w:shd w:val="clear" w:color="auto" w:fill="FFFFFF" w:themeFill="background1"/>
              <w:jc w:val="left"/>
              <w:rPr>
                <w:sz w:val="20"/>
                <w:szCs w:val="20"/>
              </w:rPr>
            </w:pPr>
            <w:r>
              <w:rPr>
                <w:sz w:val="20"/>
                <w:szCs w:val="20"/>
              </w:rPr>
              <w:t>Sustituir 2 refrigeradores comerciales (125 y 220 TR) por refrigeradores comerciales basados en HFO-1234ze, con levitación magnética y condensación por agua.</w:t>
            </w:r>
          </w:p>
        </w:tc>
        <w:tc>
          <w:tcPr>
            <w:tcW w:w="1057" w:type="pct"/>
          </w:tcPr>
          <w:p w14:paraId="4EF23999" w14:textId="77777777" w:rsidR="00EE3ED5" w:rsidRPr="00036505" w:rsidRDefault="00EE3ED5" w:rsidP="00484258">
            <w:pPr>
              <w:shd w:val="clear" w:color="auto" w:fill="FFFFFF" w:themeFill="background1"/>
              <w:jc w:val="left"/>
              <w:rPr>
                <w:sz w:val="20"/>
                <w:szCs w:val="20"/>
              </w:rPr>
            </w:pPr>
            <w:r>
              <w:rPr>
                <w:sz w:val="20"/>
                <w:szCs w:val="20"/>
              </w:rPr>
              <w:t>Sustituir 1 refrigerador comercial por uno basado en R-290, con condensación por aire</w:t>
            </w:r>
          </w:p>
        </w:tc>
        <w:tc>
          <w:tcPr>
            <w:tcW w:w="1056" w:type="pct"/>
          </w:tcPr>
          <w:p w14:paraId="3D9873CE" w14:textId="77777777" w:rsidR="00EE3ED5" w:rsidRPr="00036505" w:rsidRDefault="00EE3ED5" w:rsidP="00484258">
            <w:pPr>
              <w:shd w:val="clear" w:color="auto" w:fill="FFFFFF" w:themeFill="background1"/>
              <w:jc w:val="left"/>
              <w:rPr>
                <w:sz w:val="20"/>
                <w:szCs w:val="20"/>
              </w:rPr>
            </w:pPr>
            <w:r>
              <w:rPr>
                <w:sz w:val="20"/>
                <w:szCs w:val="20"/>
              </w:rPr>
              <w:t>Sustituir 1 refrigerador comercial por uno basado en R-290, con condensación por aire</w:t>
            </w:r>
          </w:p>
        </w:tc>
        <w:tc>
          <w:tcPr>
            <w:tcW w:w="1057" w:type="pct"/>
          </w:tcPr>
          <w:p w14:paraId="1C9F7BC8" w14:textId="77777777" w:rsidR="00EE3ED5" w:rsidRPr="00036505" w:rsidRDefault="00EE3ED5" w:rsidP="00484258">
            <w:pPr>
              <w:shd w:val="clear" w:color="auto" w:fill="FFFFFF" w:themeFill="background1"/>
              <w:jc w:val="left"/>
              <w:rPr>
                <w:sz w:val="20"/>
                <w:szCs w:val="20"/>
              </w:rPr>
            </w:pPr>
            <w:r>
              <w:rPr>
                <w:sz w:val="20"/>
                <w:szCs w:val="20"/>
              </w:rPr>
              <w:t>Sustituir 1 refrigerador comercial por uno basado en R-290, con condensación por aire</w:t>
            </w:r>
          </w:p>
        </w:tc>
      </w:tr>
      <w:tr w:rsidR="00EE3ED5" w:rsidRPr="00036505" w14:paraId="655D3A9B" w14:textId="77777777" w:rsidTr="00484258">
        <w:tc>
          <w:tcPr>
            <w:tcW w:w="773" w:type="pct"/>
          </w:tcPr>
          <w:p w14:paraId="4D180264" w14:textId="77777777" w:rsidR="00EE3ED5" w:rsidRPr="00036505" w:rsidRDefault="00EE3ED5" w:rsidP="00484258">
            <w:pPr>
              <w:shd w:val="clear" w:color="auto" w:fill="FFFFFF" w:themeFill="background1"/>
              <w:ind w:right="-220"/>
              <w:jc w:val="left"/>
              <w:rPr>
                <w:b/>
                <w:bCs/>
                <w:sz w:val="20"/>
                <w:szCs w:val="20"/>
              </w:rPr>
            </w:pPr>
            <w:r>
              <w:rPr>
                <w:b/>
                <w:bCs/>
                <w:sz w:val="20"/>
                <w:szCs w:val="20"/>
              </w:rPr>
              <w:t>Refrigerante y carga utilizados actualmente</w:t>
            </w:r>
          </w:p>
        </w:tc>
        <w:tc>
          <w:tcPr>
            <w:tcW w:w="1056" w:type="pct"/>
          </w:tcPr>
          <w:p w14:paraId="2D209770" w14:textId="77777777" w:rsidR="00EE3ED5" w:rsidRPr="00535BC6" w:rsidRDefault="00EE3ED5" w:rsidP="00484258">
            <w:pPr>
              <w:shd w:val="clear" w:color="auto" w:fill="FFFFFF" w:themeFill="background1"/>
              <w:jc w:val="left"/>
              <w:rPr>
                <w:sz w:val="20"/>
                <w:szCs w:val="20"/>
                <w:lang w:val="en-CA"/>
              </w:rPr>
            </w:pPr>
            <w:r w:rsidRPr="00535BC6">
              <w:rPr>
                <w:sz w:val="20"/>
                <w:szCs w:val="20"/>
                <w:lang w:val="en-CA"/>
              </w:rPr>
              <w:t>HFC</w:t>
            </w:r>
            <w:r w:rsidRPr="00535BC6">
              <w:rPr>
                <w:sz w:val="20"/>
                <w:szCs w:val="20"/>
                <w:lang w:val="en-CA"/>
              </w:rPr>
              <w:noBreakHyphen/>
              <w:t>134a (177 kg)</w:t>
            </w:r>
          </w:p>
          <w:p w14:paraId="565E66BF" w14:textId="77777777" w:rsidR="00EE3ED5" w:rsidRPr="00535BC6" w:rsidRDefault="00EE3ED5" w:rsidP="00484258">
            <w:pPr>
              <w:shd w:val="clear" w:color="auto" w:fill="FFFFFF" w:themeFill="background1"/>
              <w:jc w:val="left"/>
              <w:rPr>
                <w:sz w:val="20"/>
                <w:szCs w:val="20"/>
                <w:lang w:val="en-CA"/>
              </w:rPr>
            </w:pPr>
            <w:r w:rsidRPr="00535BC6">
              <w:rPr>
                <w:sz w:val="20"/>
                <w:szCs w:val="20"/>
                <w:lang w:val="en-CA"/>
              </w:rPr>
              <w:t>HFC-134a (245 kg)</w:t>
            </w:r>
          </w:p>
        </w:tc>
        <w:tc>
          <w:tcPr>
            <w:tcW w:w="1057" w:type="pct"/>
          </w:tcPr>
          <w:p w14:paraId="7E989D07" w14:textId="77777777" w:rsidR="00EE3ED5" w:rsidRPr="00036505" w:rsidRDefault="00EE3ED5" w:rsidP="00484258">
            <w:pPr>
              <w:shd w:val="clear" w:color="auto" w:fill="FFFFFF" w:themeFill="background1"/>
              <w:jc w:val="left"/>
              <w:rPr>
                <w:sz w:val="20"/>
                <w:szCs w:val="20"/>
              </w:rPr>
            </w:pPr>
            <w:r>
              <w:rPr>
                <w:sz w:val="20"/>
                <w:szCs w:val="20"/>
              </w:rPr>
              <w:t>HFC</w:t>
            </w:r>
            <w:r>
              <w:rPr>
                <w:sz w:val="20"/>
                <w:szCs w:val="20"/>
              </w:rPr>
              <w:noBreakHyphen/>
              <w:t>134a (255 kg)</w:t>
            </w:r>
          </w:p>
        </w:tc>
        <w:tc>
          <w:tcPr>
            <w:tcW w:w="1056" w:type="pct"/>
          </w:tcPr>
          <w:p w14:paraId="3FCD081C" w14:textId="77777777" w:rsidR="00EE3ED5" w:rsidRPr="00036505" w:rsidRDefault="00EE3ED5" w:rsidP="00484258">
            <w:pPr>
              <w:shd w:val="clear" w:color="auto" w:fill="FFFFFF" w:themeFill="background1"/>
              <w:ind w:right="-158"/>
              <w:jc w:val="left"/>
              <w:rPr>
                <w:sz w:val="20"/>
                <w:szCs w:val="20"/>
              </w:rPr>
            </w:pPr>
            <w:r>
              <w:rPr>
                <w:sz w:val="20"/>
                <w:szCs w:val="20"/>
              </w:rPr>
              <w:t>HFC</w:t>
            </w:r>
            <w:r>
              <w:rPr>
                <w:sz w:val="20"/>
                <w:szCs w:val="20"/>
              </w:rPr>
              <w:noBreakHyphen/>
              <w:t>134a (169 kg)</w:t>
            </w:r>
          </w:p>
        </w:tc>
        <w:tc>
          <w:tcPr>
            <w:tcW w:w="1057" w:type="pct"/>
          </w:tcPr>
          <w:p w14:paraId="37BCE9AC" w14:textId="77777777" w:rsidR="00EE3ED5" w:rsidRPr="00036505" w:rsidRDefault="00EE3ED5" w:rsidP="00484258">
            <w:pPr>
              <w:shd w:val="clear" w:color="auto" w:fill="FFFFFF" w:themeFill="background1"/>
              <w:jc w:val="left"/>
              <w:rPr>
                <w:sz w:val="20"/>
                <w:szCs w:val="20"/>
              </w:rPr>
            </w:pPr>
            <w:r>
              <w:rPr>
                <w:sz w:val="20"/>
                <w:szCs w:val="20"/>
              </w:rPr>
              <w:t>HFC-134a (138 kg)</w:t>
            </w:r>
          </w:p>
        </w:tc>
      </w:tr>
      <w:tr w:rsidR="00EE3ED5" w:rsidRPr="00036505" w14:paraId="79B9E25B" w14:textId="77777777" w:rsidTr="00484258">
        <w:tc>
          <w:tcPr>
            <w:tcW w:w="773" w:type="pct"/>
          </w:tcPr>
          <w:p w14:paraId="449E4551" w14:textId="77777777" w:rsidR="00EE3ED5" w:rsidRPr="00036505" w:rsidRDefault="00EE3ED5" w:rsidP="00484258">
            <w:pPr>
              <w:shd w:val="clear" w:color="auto" w:fill="FFFFFF" w:themeFill="background1"/>
              <w:jc w:val="left"/>
              <w:rPr>
                <w:b/>
                <w:bCs/>
                <w:sz w:val="20"/>
                <w:szCs w:val="20"/>
              </w:rPr>
            </w:pPr>
            <w:r>
              <w:rPr>
                <w:b/>
                <w:bCs/>
                <w:sz w:val="20"/>
                <w:szCs w:val="20"/>
              </w:rPr>
              <w:t xml:space="preserve">Ahorro </w:t>
            </w:r>
            <w:proofErr w:type="spellStart"/>
            <w:r>
              <w:rPr>
                <w:b/>
                <w:bCs/>
                <w:sz w:val="20"/>
                <w:szCs w:val="20"/>
              </w:rPr>
              <w:t>ecoenergético</w:t>
            </w:r>
            <w:proofErr w:type="spellEnd"/>
            <w:r>
              <w:rPr>
                <w:b/>
                <w:bCs/>
                <w:sz w:val="20"/>
                <w:szCs w:val="20"/>
              </w:rPr>
              <w:t xml:space="preserve"> (kWh/año)</w:t>
            </w:r>
          </w:p>
        </w:tc>
        <w:tc>
          <w:tcPr>
            <w:tcW w:w="1056" w:type="pct"/>
          </w:tcPr>
          <w:p w14:paraId="06D61BAE" w14:textId="77777777" w:rsidR="00EE3ED5" w:rsidRPr="00036505" w:rsidRDefault="00EE3ED5" w:rsidP="00484258">
            <w:pPr>
              <w:shd w:val="clear" w:color="auto" w:fill="FFFFFF" w:themeFill="background1"/>
              <w:jc w:val="left"/>
              <w:rPr>
                <w:sz w:val="20"/>
                <w:szCs w:val="20"/>
              </w:rPr>
            </w:pPr>
            <w:r>
              <w:rPr>
                <w:sz w:val="20"/>
                <w:szCs w:val="20"/>
              </w:rPr>
              <w:t>228.200</w:t>
            </w:r>
          </w:p>
          <w:p w14:paraId="5EF0A139" w14:textId="77777777" w:rsidR="00EE3ED5" w:rsidRPr="00036505" w:rsidRDefault="00EE3ED5" w:rsidP="00484258">
            <w:pPr>
              <w:shd w:val="clear" w:color="auto" w:fill="FFFFFF" w:themeFill="background1"/>
              <w:jc w:val="left"/>
              <w:rPr>
                <w:sz w:val="20"/>
                <w:szCs w:val="20"/>
              </w:rPr>
            </w:pPr>
            <w:r>
              <w:rPr>
                <w:sz w:val="20"/>
                <w:szCs w:val="20"/>
              </w:rPr>
              <w:t>382.200</w:t>
            </w:r>
          </w:p>
        </w:tc>
        <w:tc>
          <w:tcPr>
            <w:tcW w:w="1057" w:type="pct"/>
          </w:tcPr>
          <w:p w14:paraId="5065FEB1" w14:textId="77777777" w:rsidR="00EE3ED5" w:rsidRPr="00036505" w:rsidRDefault="00EE3ED5" w:rsidP="00484258">
            <w:pPr>
              <w:shd w:val="clear" w:color="auto" w:fill="FFFFFF" w:themeFill="background1"/>
              <w:jc w:val="left"/>
              <w:rPr>
                <w:sz w:val="20"/>
                <w:szCs w:val="20"/>
              </w:rPr>
            </w:pPr>
            <w:r>
              <w:rPr>
                <w:sz w:val="20"/>
                <w:szCs w:val="20"/>
              </w:rPr>
              <w:t>196.000</w:t>
            </w:r>
          </w:p>
        </w:tc>
        <w:tc>
          <w:tcPr>
            <w:tcW w:w="1056" w:type="pct"/>
          </w:tcPr>
          <w:p w14:paraId="73E8B738" w14:textId="77777777" w:rsidR="00EE3ED5" w:rsidRPr="00036505" w:rsidRDefault="00EE3ED5" w:rsidP="00484258">
            <w:pPr>
              <w:shd w:val="clear" w:color="auto" w:fill="FFFFFF" w:themeFill="background1"/>
              <w:jc w:val="left"/>
              <w:rPr>
                <w:sz w:val="20"/>
                <w:szCs w:val="20"/>
              </w:rPr>
            </w:pPr>
            <w:r>
              <w:rPr>
                <w:sz w:val="20"/>
                <w:szCs w:val="20"/>
              </w:rPr>
              <w:t>130.200</w:t>
            </w:r>
          </w:p>
        </w:tc>
        <w:tc>
          <w:tcPr>
            <w:tcW w:w="1057" w:type="pct"/>
          </w:tcPr>
          <w:p w14:paraId="41C9E744" w14:textId="77777777" w:rsidR="00EE3ED5" w:rsidRPr="00036505" w:rsidRDefault="00EE3ED5" w:rsidP="00484258">
            <w:pPr>
              <w:shd w:val="clear" w:color="auto" w:fill="FFFFFF" w:themeFill="background1"/>
              <w:jc w:val="left"/>
              <w:rPr>
                <w:sz w:val="20"/>
                <w:szCs w:val="20"/>
              </w:rPr>
            </w:pPr>
            <w:r>
              <w:rPr>
                <w:sz w:val="20"/>
                <w:szCs w:val="20"/>
              </w:rPr>
              <w:t>106.400</w:t>
            </w:r>
          </w:p>
        </w:tc>
      </w:tr>
    </w:tbl>
    <w:p w14:paraId="6B2DC846" w14:textId="77777777" w:rsidR="00EE3ED5" w:rsidRDefault="00EE3ED5" w:rsidP="00EE3ED5">
      <w:pPr>
        <w:pStyle w:val="Heading1"/>
        <w:shd w:val="clear" w:color="auto" w:fill="FFFFFF" w:themeFill="background1"/>
        <w:spacing w:before="240"/>
      </w:pPr>
      <w:r>
        <w:t>Para la supervisión, el proyecto propuesto incluye analizadores para la medición y el registro de la energía. El proyecto demostrará el uso de técnicas de supervisión y evaluación, tanto aplicadas a los sistemas existentes para establecer el rendimiento de referencia, como integradas en los nuevos equipos.</w:t>
      </w:r>
    </w:p>
    <w:p w14:paraId="56691226" w14:textId="77777777" w:rsidR="00EE3ED5" w:rsidRDefault="00EE3ED5" w:rsidP="00EE3ED5">
      <w:pPr>
        <w:pStyle w:val="Heading1"/>
      </w:pPr>
      <w:r>
        <w:t xml:space="preserve">El ahorro energético conseguido gracias al proyecto fomentará el interés por replicar la experiencia en todo el sector turístico de Cuba, que presenta una gran demanda de grandes sistemas de aire </w:t>
      </w:r>
      <w:r>
        <w:lastRenderedPageBreak/>
        <w:t xml:space="preserve">acondicionado. Los resultados serán difundidos y promovidos entre las partes intervinientes del sector turístico a través de actividades realizadas por instituciones como la OTOZ, el Instituto de Refrigeración y Aire Acondicionado y la ONURE, dirigidas a técnicos en refrigeración, instituciones académicas, responsables de las decisiones, diseñadores, inversionistas y público en general a través de materiales técnicos, promoción en medios de comunicación y giras tecnológicas. La ONURE regulará y fomentará las tecnologías </w:t>
      </w:r>
      <w:proofErr w:type="spellStart"/>
      <w:r>
        <w:t>ecoenergéticas</w:t>
      </w:r>
      <w:proofErr w:type="spellEnd"/>
      <w:r>
        <w:t xml:space="preserve"> y se encargará del establecimiento de normas mínimas de eficiencia energética para refrigeradores comerciales a través de los procesos pertinentes.</w:t>
      </w:r>
    </w:p>
    <w:p w14:paraId="17EA2B3A" w14:textId="77777777" w:rsidR="00EE3ED5" w:rsidRPr="009A0492" w:rsidRDefault="00EE3ED5" w:rsidP="00EE3ED5">
      <w:pPr>
        <w:pStyle w:val="Heading1"/>
        <w:keepNext/>
        <w:numPr>
          <w:ilvl w:val="0"/>
          <w:numId w:val="0"/>
        </w:numPr>
        <w:spacing w:before="240"/>
        <w:rPr>
          <w:u w:val="single"/>
        </w:rPr>
      </w:pPr>
      <w:r>
        <w:rPr>
          <w:u w:val="single"/>
        </w:rPr>
        <w:t>Actividades propuestas</w:t>
      </w:r>
    </w:p>
    <w:p w14:paraId="0D89075F" w14:textId="77777777" w:rsidR="00EE3ED5" w:rsidRDefault="00EE3ED5" w:rsidP="00EE3ED5">
      <w:pPr>
        <w:pStyle w:val="Heading1"/>
      </w:pPr>
      <w:r>
        <w:t>Tal y como se presentó inicialmente, el PNUD solicitó USD 700.000 para la adquisición de cinco refrigeradores comerciales y cinco dispositivos para controlar su rendimiento en tiempo real, tal y como se detalla en los cuadros 3 y 4.</w:t>
      </w:r>
    </w:p>
    <w:p w14:paraId="5CEC7CEF" w14:textId="77777777" w:rsidR="00EE3ED5" w:rsidRPr="00276D95" w:rsidRDefault="00EE3ED5" w:rsidP="00EE3ED5">
      <w:pPr>
        <w:pStyle w:val="Caption"/>
        <w:keepNext/>
        <w:rPr>
          <w:sz w:val="22"/>
          <w:szCs w:val="22"/>
        </w:rPr>
      </w:pPr>
      <w:r>
        <w:rPr>
          <w:sz w:val="22"/>
          <w:szCs w:val="22"/>
        </w:rPr>
        <w:t>Cuadro 3. Desglose de costos de un proyecto de sustitución de cinco refrigeradores comerciales en cuatro hoteles de Cuba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404"/>
        <w:gridCol w:w="1040"/>
        <w:gridCol w:w="1178"/>
        <w:gridCol w:w="1182"/>
        <w:gridCol w:w="1182"/>
        <w:gridCol w:w="1182"/>
        <w:gridCol w:w="1182"/>
      </w:tblGrid>
      <w:tr w:rsidR="00EE3ED5" w:rsidRPr="00ED74F4" w14:paraId="798F924F" w14:textId="77777777" w:rsidTr="00484258">
        <w:trPr>
          <w:trHeight w:val="224"/>
          <w:tblHeader/>
        </w:trPr>
        <w:tc>
          <w:tcPr>
            <w:tcW w:w="1286" w:type="pct"/>
            <w:shd w:val="clear" w:color="auto" w:fill="auto"/>
            <w:vAlign w:val="center"/>
            <w:hideMark/>
          </w:tcPr>
          <w:p w14:paraId="7781CA37" w14:textId="77777777" w:rsidR="00EE3ED5" w:rsidRPr="00B530AF" w:rsidRDefault="00EE3ED5" w:rsidP="00484258">
            <w:pPr>
              <w:jc w:val="center"/>
              <w:rPr>
                <w:rFonts w:cstheme="minorHAnsi"/>
                <w:b/>
                <w:bCs/>
                <w:color w:val="000000"/>
                <w:sz w:val="20"/>
                <w:szCs w:val="20"/>
              </w:rPr>
            </w:pPr>
          </w:p>
        </w:tc>
        <w:tc>
          <w:tcPr>
            <w:tcW w:w="1186" w:type="pct"/>
            <w:gridSpan w:val="2"/>
            <w:shd w:val="clear" w:color="auto" w:fill="auto"/>
            <w:vAlign w:val="center"/>
            <w:hideMark/>
          </w:tcPr>
          <w:p w14:paraId="4937A7AD" w14:textId="77777777" w:rsidR="00EE3ED5" w:rsidRPr="00ED74F4" w:rsidRDefault="00EE3ED5" w:rsidP="00484258">
            <w:pPr>
              <w:jc w:val="center"/>
              <w:rPr>
                <w:rFonts w:cstheme="minorHAnsi"/>
                <w:b/>
                <w:color w:val="000000"/>
                <w:sz w:val="20"/>
                <w:szCs w:val="20"/>
              </w:rPr>
            </w:pPr>
            <w:r>
              <w:rPr>
                <w:b/>
                <w:color w:val="000000"/>
                <w:sz w:val="20"/>
                <w:szCs w:val="20"/>
              </w:rPr>
              <w:t>Hotel Nacional</w:t>
            </w:r>
          </w:p>
        </w:tc>
        <w:tc>
          <w:tcPr>
            <w:tcW w:w="632" w:type="pct"/>
            <w:shd w:val="clear" w:color="auto" w:fill="auto"/>
            <w:vAlign w:val="center"/>
            <w:hideMark/>
          </w:tcPr>
          <w:p w14:paraId="77286FE3" w14:textId="77777777" w:rsidR="00EE3ED5" w:rsidRPr="00ED74F4" w:rsidRDefault="00EE3ED5" w:rsidP="00484258">
            <w:pPr>
              <w:ind w:left="62"/>
              <w:jc w:val="center"/>
              <w:rPr>
                <w:rFonts w:cstheme="minorHAnsi"/>
                <w:b/>
                <w:color w:val="000000"/>
                <w:sz w:val="20"/>
                <w:szCs w:val="20"/>
              </w:rPr>
            </w:pPr>
            <w:r>
              <w:rPr>
                <w:b/>
                <w:color w:val="000000"/>
                <w:sz w:val="20"/>
                <w:szCs w:val="20"/>
              </w:rPr>
              <w:t>Villa Cuba</w:t>
            </w:r>
          </w:p>
        </w:tc>
        <w:tc>
          <w:tcPr>
            <w:tcW w:w="632" w:type="pct"/>
            <w:vAlign w:val="center"/>
          </w:tcPr>
          <w:p w14:paraId="655941B6" w14:textId="77777777" w:rsidR="00EE3ED5" w:rsidRPr="00ED74F4" w:rsidRDefault="00EE3ED5" w:rsidP="00484258">
            <w:pPr>
              <w:ind w:right="62"/>
              <w:jc w:val="center"/>
              <w:rPr>
                <w:rFonts w:cstheme="minorHAnsi"/>
                <w:b/>
                <w:color w:val="000000"/>
                <w:sz w:val="20"/>
                <w:szCs w:val="20"/>
              </w:rPr>
            </w:pPr>
            <w:r>
              <w:rPr>
                <w:b/>
                <w:sz w:val="20"/>
                <w:szCs w:val="20"/>
              </w:rPr>
              <w:t>Princesa del Mar</w:t>
            </w:r>
          </w:p>
        </w:tc>
        <w:tc>
          <w:tcPr>
            <w:tcW w:w="632" w:type="pct"/>
            <w:shd w:val="clear" w:color="auto" w:fill="auto"/>
            <w:vAlign w:val="center"/>
          </w:tcPr>
          <w:p w14:paraId="2C3AD2D6" w14:textId="77777777" w:rsidR="00EE3ED5" w:rsidRPr="00ED74F4" w:rsidRDefault="00EE3ED5" w:rsidP="00484258">
            <w:pPr>
              <w:ind w:right="58"/>
              <w:jc w:val="center"/>
              <w:rPr>
                <w:rFonts w:cstheme="minorHAnsi"/>
                <w:b/>
                <w:color w:val="000000"/>
                <w:sz w:val="20"/>
                <w:szCs w:val="20"/>
              </w:rPr>
            </w:pPr>
            <w:r>
              <w:rPr>
                <w:b/>
                <w:color w:val="000000"/>
                <w:sz w:val="20"/>
                <w:szCs w:val="20"/>
              </w:rPr>
              <w:t>Meliá Las Dunas</w:t>
            </w:r>
          </w:p>
        </w:tc>
        <w:tc>
          <w:tcPr>
            <w:tcW w:w="632" w:type="pct"/>
            <w:vAlign w:val="center"/>
          </w:tcPr>
          <w:p w14:paraId="67B72EE9" w14:textId="77777777" w:rsidR="00EE3ED5" w:rsidRPr="00ED74F4" w:rsidRDefault="00EE3ED5" w:rsidP="00484258">
            <w:pPr>
              <w:ind w:right="58"/>
              <w:jc w:val="center"/>
              <w:rPr>
                <w:rFonts w:cstheme="minorHAnsi"/>
                <w:b/>
                <w:color w:val="000000"/>
                <w:sz w:val="20"/>
                <w:szCs w:val="20"/>
              </w:rPr>
            </w:pPr>
            <w:r>
              <w:rPr>
                <w:b/>
                <w:color w:val="000000"/>
                <w:sz w:val="20"/>
                <w:szCs w:val="20"/>
              </w:rPr>
              <w:t>Total</w:t>
            </w:r>
          </w:p>
        </w:tc>
      </w:tr>
      <w:tr w:rsidR="00EE3ED5" w:rsidRPr="00ED74F4" w14:paraId="5DD50727" w14:textId="77777777" w:rsidTr="00484258">
        <w:trPr>
          <w:trHeight w:val="43"/>
        </w:trPr>
        <w:tc>
          <w:tcPr>
            <w:tcW w:w="1286" w:type="pct"/>
            <w:shd w:val="clear" w:color="auto" w:fill="auto"/>
            <w:vAlign w:val="center"/>
            <w:hideMark/>
          </w:tcPr>
          <w:p w14:paraId="13ECCF99" w14:textId="77777777" w:rsidR="00EE3ED5" w:rsidRPr="00723177" w:rsidRDefault="00EE3ED5" w:rsidP="00484258">
            <w:pPr>
              <w:ind w:right="-86"/>
              <w:jc w:val="left"/>
              <w:rPr>
                <w:rFonts w:cstheme="minorHAnsi"/>
                <w:color w:val="000000"/>
                <w:sz w:val="20"/>
                <w:szCs w:val="20"/>
              </w:rPr>
            </w:pPr>
            <w:r>
              <w:rPr>
                <w:color w:val="000000"/>
                <w:sz w:val="20"/>
                <w:szCs w:val="20"/>
              </w:rPr>
              <w:t>N</w:t>
            </w:r>
            <w:r>
              <w:rPr>
                <w:color w:val="000000"/>
                <w:sz w:val="20"/>
                <w:szCs w:val="20"/>
                <w:u w:val="single"/>
                <w:vertAlign w:val="superscript"/>
              </w:rPr>
              <w:t>o</w:t>
            </w:r>
            <w:r>
              <w:rPr>
                <w:color w:val="000000"/>
                <w:sz w:val="20"/>
                <w:szCs w:val="20"/>
              </w:rPr>
              <w:t xml:space="preserve"> de refrigeradores comerciales sustituidos</w:t>
            </w:r>
          </w:p>
        </w:tc>
        <w:tc>
          <w:tcPr>
            <w:tcW w:w="556" w:type="pct"/>
            <w:shd w:val="clear" w:color="auto" w:fill="auto"/>
            <w:noWrap/>
            <w:vAlign w:val="center"/>
            <w:hideMark/>
          </w:tcPr>
          <w:p w14:paraId="7EE4CD76" w14:textId="77777777" w:rsidR="00EE3ED5" w:rsidRPr="00723177" w:rsidRDefault="00EE3ED5" w:rsidP="00484258">
            <w:pPr>
              <w:jc w:val="center"/>
              <w:rPr>
                <w:rFonts w:cstheme="minorHAnsi"/>
                <w:color w:val="000000"/>
                <w:sz w:val="20"/>
                <w:szCs w:val="20"/>
              </w:rPr>
            </w:pPr>
            <w:r>
              <w:rPr>
                <w:color w:val="000000"/>
                <w:sz w:val="20"/>
                <w:szCs w:val="20"/>
              </w:rPr>
              <w:t>1</w:t>
            </w:r>
          </w:p>
        </w:tc>
        <w:tc>
          <w:tcPr>
            <w:tcW w:w="630" w:type="pct"/>
            <w:vAlign w:val="center"/>
          </w:tcPr>
          <w:p w14:paraId="2AAB2081" w14:textId="77777777" w:rsidR="00EE3ED5" w:rsidRPr="00723177" w:rsidRDefault="00EE3ED5" w:rsidP="00484258">
            <w:pPr>
              <w:ind w:left="-90"/>
              <w:jc w:val="center"/>
              <w:rPr>
                <w:rFonts w:cstheme="minorHAnsi"/>
                <w:color w:val="000000"/>
                <w:sz w:val="20"/>
                <w:szCs w:val="20"/>
              </w:rPr>
            </w:pPr>
            <w:r>
              <w:rPr>
                <w:color w:val="000000"/>
                <w:sz w:val="20"/>
                <w:szCs w:val="20"/>
              </w:rPr>
              <w:t>1</w:t>
            </w:r>
          </w:p>
        </w:tc>
        <w:tc>
          <w:tcPr>
            <w:tcW w:w="632" w:type="pct"/>
            <w:shd w:val="clear" w:color="auto" w:fill="auto"/>
            <w:noWrap/>
            <w:vAlign w:val="center"/>
            <w:hideMark/>
          </w:tcPr>
          <w:p w14:paraId="020AB96D" w14:textId="77777777" w:rsidR="00EE3ED5" w:rsidRPr="00723177" w:rsidRDefault="00EE3ED5" w:rsidP="00484258">
            <w:pPr>
              <w:jc w:val="center"/>
              <w:rPr>
                <w:rFonts w:cstheme="minorHAnsi"/>
                <w:color w:val="000000"/>
                <w:sz w:val="20"/>
                <w:szCs w:val="20"/>
              </w:rPr>
            </w:pPr>
            <w:r>
              <w:rPr>
                <w:color w:val="000000"/>
                <w:sz w:val="20"/>
                <w:szCs w:val="20"/>
              </w:rPr>
              <w:t>1</w:t>
            </w:r>
          </w:p>
        </w:tc>
        <w:tc>
          <w:tcPr>
            <w:tcW w:w="632" w:type="pct"/>
            <w:vAlign w:val="center"/>
          </w:tcPr>
          <w:p w14:paraId="707845CA" w14:textId="77777777" w:rsidR="00EE3ED5" w:rsidRPr="00723177" w:rsidRDefault="00EE3ED5" w:rsidP="00484258">
            <w:pPr>
              <w:jc w:val="center"/>
              <w:rPr>
                <w:rFonts w:cstheme="minorHAnsi"/>
                <w:color w:val="000000"/>
                <w:sz w:val="20"/>
                <w:szCs w:val="20"/>
              </w:rPr>
            </w:pPr>
            <w:r>
              <w:rPr>
                <w:color w:val="000000"/>
                <w:sz w:val="20"/>
                <w:szCs w:val="20"/>
              </w:rPr>
              <w:t>1</w:t>
            </w:r>
          </w:p>
        </w:tc>
        <w:tc>
          <w:tcPr>
            <w:tcW w:w="632" w:type="pct"/>
            <w:shd w:val="clear" w:color="auto" w:fill="auto"/>
            <w:noWrap/>
            <w:vAlign w:val="center"/>
            <w:hideMark/>
          </w:tcPr>
          <w:p w14:paraId="511A4341" w14:textId="77777777" w:rsidR="00EE3ED5" w:rsidRPr="00723177" w:rsidRDefault="00EE3ED5" w:rsidP="00484258">
            <w:pPr>
              <w:jc w:val="center"/>
              <w:rPr>
                <w:rFonts w:cstheme="minorHAnsi"/>
                <w:color w:val="000000"/>
                <w:sz w:val="20"/>
                <w:szCs w:val="20"/>
              </w:rPr>
            </w:pPr>
            <w:r>
              <w:rPr>
                <w:color w:val="000000"/>
                <w:sz w:val="20"/>
                <w:szCs w:val="20"/>
              </w:rPr>
              <w:t>1</w:t>
            </w:r>
          </w:p>
        </w:tc>
        <w:tc>
          <w:tcPr>
            <w:tcW w:w="632" w:type="pct"/>
            <w:vAlign w:val="center"/>
          </w:tcPr>
          <w:p w14:paraId="77930288" w14:textId="77777777" w:rsidR="00EE3ED5" w:rsidRPr="00A33735" w:rsidRDefault="00EE3ED5" w:rsidP="00484258">
            <w:pPr>
              <w:jc w:val="center"/>
              <w:rPr>
                <w:rFonts w:cstheme="minorHAnsi"/>
                <w:color w:val="000000"/>
                <w:sz w:val="20"/>
                <w:szCs w:val="20"/>
              </w:rPr>
            </w:pPr>
            <w:r>
              <w:rPr>
                <w:color w:val="000000"/>
                <w:sz w:val="20"/>
                <w:szCs w:val="20"/>
              </w:rPr>
              <w:t>5</w:t>
            </w:r>
          </w:p>
        </w:tc>
      </w:tr>
      <w:tr w:rsidR="00EE3ED5" w:rsidRPr="00ED74F4" w14:paraId="58ACCC63" w14:textId="77777777" w:rsidTr="00484258">
        <w:trPr>
          <w:trHeight w:val="43"/>
        </w:trPr>
        <w:tc>
          <w:tcPr>
            <w:tcW w:w="1286" w:type="pct"/>
            <w:shd w:val="clear" w:color="auto" w:fill="auto"/>
            <w:vAlign w:val="center"/>
          </w:tcPr>
          <w:p w14:paraId="508044CD" w14:textId="77777777" w:rsidR="00EE3ED5" w:rsidRPr="00B530AF" w:rsidRDefault="00EE3ED5" w:rsidP="00484258">
            <w:pPr>
              <w:ind w:right="-86"/>
              <w:jc w:val="left"/>
              <w:rPr>
                <w:rFonts w:cstheme="minorHAnsi"/>
                <w:color w:val="000000"/>
                <w:sz w:val="20"/>
                <w:szCs w:val="20"/>
              </w:rPr>
            </w:pPr>
            <w:r>
              <w:rPr>
                <w:color w:val="000000"/>
                <w:sz w:val="20"/>
                <w:szCs w:val="20"/>
              </w:rPr>
              <w:t>Capacidad del refrigerador comercial (TR)</w:t>
            </w:r>
          </w:p>
        </w:tc>
        <w:tc>
          <w:tcPr>
            <w:tcW w:w="556" w:type="pct"/>
            <w:shd w:val="clear" w:color="auto" w:fill="auto"/>
            <w:noWrap/>
            <w:vAlign w:val="center"/>
          </w:tcPr>
          <w:p w14:paraId="63DC39F2" w14:textId="77777777" w:rsidR="00EE3ED5" w:rsidRPr="00B530AF" w:rsidRDefault="00EE3ED5" w:rsidP="00484258">
            <w:pPr>
              <w:jc w:val="center"/>
              <w:rPr>
                <w:rFonts w:cstheme="minorHAnsi"/>
                <w:color w:val="000000"/>
                <w:sz w:val="20"/>
                <w:szCs w:val="20"/>
              </w:rPr>
            </w:pPr>
            <w:r>
              <w:rPr>
                <w:bCs/>
                <w:color w:val="000000"/>
                <w:sz w:val="20"/>
                <w:szCs w:val="20"/>
              </w:rPr>
              <w:t>125</w:t>
            </w:r>
          </w:p>
        </w:tc>
        <w:tc>
          <w:tcPr>
            <w:tcW w:w="630" w:type="pct"/>
            <w:vAlign w:val="center"/>
          </w:tcPr>
          <w:p w14:paraId="12A7F214" w14:textId="77777777" w:rsidR="00EE3ED5" w:rsidRPr="00B530AF" w:rsidRDefault="00EE3ED5" w:rsidP="00484258">
            <w:pPr>
              <w:ind w:left="-90"/>
              <w:jc w:val="center"/>
              <w:rPr>
                <w:rFonts w:cstheme="minorHAnsi"/>
                <w:color w:val="000000"/>
                <w:sz w:val="20"/>
                <w:szCs w:val="20"/>
              </w:rPr>
            </w:pPr>
            <w:r>
              <w:rPr>
                <w:bCs/>
                <w:color w:val="000000"/>
                <w:sz w:val="20"/>
                <w:szCs w:val="20"/>
              </w:rPr>
              <w:t>220</w:t>
            </w:r>
          </w:p>
        </w:tc>
        <w:tc>
          <w:tcPr>
            <w:tcW w:w="632" w:type="pct"/>
            <w:shd w:val="clear" w:color="auto" w:fill="auto"/>
            <w:noWrap/>
            <w:vAlign w:val="center"/>
          </w:tcPr>
          <w:p w14:paraId="4FFE91BA" w14:textId="77777777" w:rsidR="00EE3ED5" w:rsidRPr="00B530AF" w:rsidRDefault="00EE3ED5" w:rsidP="00484258">
            <w:pPr>
              <w:jc w:val="center"/>
              <w:rPr>
                <w:rFonts w:cstheme="minorHAnsi"/>
                <w:color w:val="000000"/>
                <w:sz w:val="20"/>
                <w:szCs w:val="20"/>
              </w:rPr>
            </w:pPr>
            <w:r>
              <w:rPr>
                <w:bCs/>
                <w:color w:val="000000"/>
                <w:sz w:val="20"/>
                <w:szCs w:val="20"/>
              </w:rPr>
              <w:t>140</w:t>
            </w:r>
          </w:p>
        </w:tc>
        <w:tc>
          <w:tcPr>
            <w:tcW w:w="632" w:type="pct"/>
            <w:vAlign w:val="center"/>
          </w:tcPr>
          <w:p w14:paraId="742969B4" w14:textId="77777777" w:rsidR="00EE3ED5" w:rsidRPr="00B530AF" w:rsidRDefault="00EE3ED5" w:rsidP="00484258">
            <w:pPr>
              <w:jc w:val="center"/>
              <w:rPr>
                <w:rFonts w:cstheme="minorHAnsi"/>
                <w:color w:val="000000"/>
                <w:sz w:val="20"/>
                <w:szCs w:val="20"/>
              </w:rPr>
            </w:pPr>
            <w:r>
              <w:rPr>
                <w:bCs/>
                <w:color w:val="000000"/>
                <w:sz w:val="20"/>
                <w:szCs w:val="20"/>
              </w:rPr>
              <w:t>80</w:t>
            </w:r>
          </w:p>
        </w:tc>
        <w:tc>
          <w:tcPr>
            <w:tcW w:w="632" w:type="pct"/>
            <w:shd w:val="clear" w:color="auto" w:fill="auto"/>
            <w:noWrap/>
            <w:vAlign w:val="center"/>
          </w:tcPr>
          <w:p w14:paraId="73C91620" w14:textId="77777777" w:rsidR="00EE3ED5" w:rsidRPr="00B530AF" w:rsidRDefault="00EE3ED5" w:rsidP="00484258">
            <w:pPr>
              <w:jc w:val="center"/>
              <w:rPr>
                <w:rFonts w:cstheme="minorHAnsi"/>
                <w:color w:val="000000"/>
                <w:sz w:val="20"/>
                <w:szCs w:val="20"/>
              </w:rPr>
            </w:pPr>
            <w:r>
              <w:rPr>
                <w:bCs/>
                <w:color w:val="000000"/>
                <w:sz w:val="20"/>
                <w:szCs w:val="20"/>
              </w:rPr>
              <w:t>65</w:t>
            </w:r>
          </w:p>
        </w:tc>
        <w:tc>
          <w:tcPr>
            <w:tcW w:w="632" w:type="pct"/>
            <w:vAlign w:val="center"/>
          </w:tcPr>
          <w:p w14:paraId="0462ADA9" w14:textId="77777777" w:rsidR="00EE3ED5" w:rsidRPr="00A33735" w:rsidRDefault="00EE3ED5" w:rsidP="00484258">
            <w:pPr>
              <w:jc w:val="center"/>
              <w:rPr>
                <w:rFonts w:cstheme="minorHAnsi"/>
                <w:bCs/>
                <w:color w:val="000000"/>
                <w:sz w:val="20"/>
                <w:szCs w:val="20"/>
              </w:rPr>
            </w:pPr>
            <w:r>
              <w:rPr>
                <w:bCs/>
                <w:color w:val="000000"/>
                <w:sz w:val="20"/>
                <w:szCs w:val="20"/>
              </w:rPr>
              <w:t>n/a</w:t>
            </w:r>
          </w:p>
        </w:tc>
      </w:tr>
      <w:tr w:rsidR="00EE3ED5" w:rsidRPr="00ED74F4" w14:paraId="6DB5E343" w14:textId="77777777" w:rsidTr="00484258">
        <w:trPr>
          <w:trHeight w:val="43"/>
        </w:trPr>
        <w:tc>
          <w:tcPr>
            <w:tcW w:w="1286" w:type="pct"/>
            <w:shd w:val="clear" w:color="auto" w:fill="auto"/>
            <w:vAlign w:val="center"/>
          </w:tcPr>
          <w:p w14:paraId="7829E14E" w14:textId="77777777" w:rsidR="00EE3ED5" w:rsidRPr="00E9708F" w:rsidRDefault="00EE3ED5" w:rsidP="00484258">
            <w:pPr>
              <w:ind w:right="-86"/>
              <w:jc w:val="left"/>
              <w:rPr>
                <w:rFonts w:cstheme="minorBidi"/>
                <w:color w:val="000000"/>
                <w:sz w:val="20"/>
                <w:szCs w:val="20"/>
              </w:rPr>
            </w:pPr>
            <w:r>
              <w:rPr>
                <w:color w:val="000000" w:themeColor="text1"/>
                <w:sz w:val="20"/>
                <w:szCs w:val="20"/>
              </w:rPr>
              <w:t>Tecnología de sustitución</w:t>
            </w:r>
          </w:p>
        </w:tc>
        <w:tc>
          <w:tcPr>
            <w:tcW w:w="1186" w:type="pct"/>
            <w:gridSpan w:val="2"/>
            <w:shd w:val="clear" w:color="auto" w:fill="auto"/>
            <w:noWrap/>
            <w:vAlign w:val="center"/>
          </w:tcPr>
          <w:p w14:paraId="79B56A63" w14:textId="77777777" w:rsidR="00EE3ED5" w:rsidRPr="00E9708F" w:rsidRDefault="00EE3ED5" w:rsidP="00484258">
            <w:pPr>
              <w:jc w:val="center"/>
              <w:rPr>
                <w:rFonts w:cstheme="minorHAnsi"/>
                <w:bCs/>
                <w:color w:val="000000"/>
                <w:sz w:val="20"/>
                <w:szCs w:val="20"/>
              </w:rPr>
            </w:pPr>
            <w:r>
              <w:rPr>
                <w:color w:val="000000"/>
                <w:sz w:val="20"/>
                <w:szCs w:val="20"/>
              </w:rPr>
              <w:t>HFO-1234ze</w:t>
            </w:r>
          </w:p>
        </w:tc>
        <w:tc>
          <w:tcPr>
            <w:tcW w:w="632" w:type="pct"/>
            <w:shd w:val="clear" w:color="auto" w:fill="auto"/>
            <w:noWrap/>
            <w:vAlign w:val="center"/>
          </w:tcPr>
          <w:p w14:paraId="3FBF5E50" w14:textId="77777777" w:rsidR="00EE3ED5" w:rsidRPr="00E9708F" w:rsidRDefault="00EE3ED5" w:rsidP="00484258">
            <w:pPr>
              <w:jc w:val="center"/>
              <w:rPr>
                <w:rFonts w:cstheme="minorHAnsi"/>
                <w:bCs/>
                <w:color w:val="000000"/>
                <w:sz w:val="20"/>
                <w:szCs w:val="20"/>
              </w:rPr>
            </w:pPr>
            <w:r>
              <w:rPr>
                <w:color w:val="000000"/>
                <w:sz w:val="20"/>
                <w:szCs w:val="20"/>
              </w:rPr>
              <w:t>R-290</w:t>
            </w:r>
          </w:p>
        </w:tc>
        <w:tc>
          <w:tcPr>
            <w:tcW w:w="632" w:type="pct"/>
            <w:shd w:val="clear" w:color="auto" w:fill="auto"/>
            <w:vAlign w:val="center"/>
          </w:tcPr>
          <w:p w14:paraId="2B91F0C4" w14:textId="77777777" w:rsidR="00EE3ED5" w:rsidRPr="00E9708F" w:rsidRDefault="00EE3ED5" w:rsidP="00484258">
            <w:pPr>
              <w:jc w:val="center"/>
              <w:rPr>
                <w:rFonts w:cstheme="minorHAnsi"/>
                <w:bCs/>
                <w:color w:val="000000"/>
                <w:sz w:val="20"/>
                <w:szCs w:val="20"/>
              </w:rPr>
            </w:pPr>
            <w:r>
              <w:rPr>
                <w:bCs/>
                <w:color w:val="000000"/>
                <w:sz w:val="20"/>
                <w:szCs w:val="20"/>
              </w:rPr>
              <w:t>R-290</w:t>
            </w:r>
          </w:p>
        </w:tc>
        <w:tc>
          <w:tcPr>
            <w:tcW w:w="632" w:type="pct"/>
            <w:shd w:val="clear" w:color="auto" w:fill="auto"/>
            <w:vAlign w:val="center"/>
          </w:tcPr>
          <w:p w14:paraId="18CE508B" w14:textId="77777777" w:rsidR="00EE3ED5" w:rsidRPr="00E9708F" w:rsidRDefault="00EE3ED5" w:rsidP="00484258">
            <w:pPr>
              <w:jc w:val="center"/>
              <w:rPr>
                <w:rFonts w:cstheme="minorHAnsi"/>
                <w:bCs/>
                <w:color w:val="000000"/>
                <w:sz w:val="20"/>
                <w:szCs w:val="20"/>
              </w:rPr>
            </w:pPr>
            <w:r>
              <w:rPr>
                <w:bCs/>
                <w:color w:val="000000"/>
                <w:sz w:val="20"/>
                <w:szCs w:val="20"/>
              </w:rPr>
              <w:t>R-290</w:t>
            </w:r>
          </w:p>
        </w:tc>
        <w:tc>
          <w:tcPr>
            <w:tcW w:w="632" w:type="pct"/>
            <w:vAlign w:val="center"/>
          </w:tcPr>
          <w:p w14:paraId="3DF4A6F5" w14:textId="77777777" w:rsidR="00EE3ED5" w:rsidRPr="00A33735" w:rsidRDefault="00EE3ED5" w:rsidP="00484258">
            <w:pPr>
              <w:jc w:val="center"/>
              <w:rPr>
                <w:rFonts w:cstheme="minorHAnsi"/>
                <w:color w:val="000000"/>
                <w:sz w:val="20"/>
                <w:szCs w:val="20"/>
              </w:rPr>
            </w:pPr>
            <w:r>
              <w:rPr>
                <w:color w:val="000000"/>
                <w:sz w:val="20"/>
                <w:szCs w:val="20"/>
              </w:rPr>
              <w:t>n/a</w:t>
            </w:r>
          </w:p>
        </w:tc>
      </w:tr>
      <w:tr w:rsidR="00EE3ED5" w:rsidRPr="00ED74F4" w14:paraId="6373E337" w14:textId="77777777" w:rsidTr="00484258">
        <w:trPr>
          <w:trHeight w:val="83"/>
        </w:trPr>
        <w:tc>
          <w:tcPr>
            <w:tcW w:w="1286" w:type="pct"/>
            <w:shd w:val="clear" w:color="auto" w:fill="auto"/>
            <w:vAlign w:val="center"/>
            <w:hideMark/>
          </w:tcPr>
          <w:p w14:paraId="75DC6E82" w14:textId="77777777" w:rsidR="00EE3ED5" w:rsidRPr="00B530AF" w:rsidRDefault="00EE3ED5" w:rsidP="00484258">
            <w:pPr>
              <w:jc w:val="left"/>
              <w:rPr>
                <w:rFonts w:cstheme="minorBidi"/>
                <w:color w:val="000000"/>
                <w:sz w:val="20"/>
                <w:szCs w:val="20"/>
              </w:rPr>
            </w:pPr>
            <w:r>
              <w:rPr>
                <w:color w:val="000000" w:themeColor="text1"/>
                <w:sz w:val="20"/>
                <w:szCs w:val="20"/>
              </w:rPr>
              <w:t>Costo por refrigerador comercial (USD)</w:t>
            </w:r>
          </w:p>
        </w:tc>
        <w:tc>
          <w:tcPr>
            <w:tcW w:w="556" w:type="pct"/>
            <w:shd w:val="clear" w:color="auto" w:fill="auto"/>
            <w:noWrap/>
          </w:tcPr>
          <w:p w14:paraId="24886418" w14:textId="77777777" w:rsidR="00EE3ED5" w:rsidRPr="00B530AF" w:rsidRDefault="00EE3ED5" w:rsidP="00484258">
            <w:pPr>
              <w:jc w:val="right"/>
              <w:rPr>
                <w:rFonts w:cstheme="minorHAnsi"/>
                <w:color w:val="000000"/>
                <w:sz w:val="20"/>
                <w:szCs w:val="20"/>
              </w:rPr>
            </w:pPr>
            <w:r>
              <w:rPr>
                <w:sz w:val="20"/>
                <w:szCs w:val="20"/>
              </w:rPr>
              <w:t>145.000</w:t>
            </w:r>
          </w:p>
        </w:tc>
        <w:tc>
          <w:tcPr>
            <w:tcW w:w="630" w:type="pct"/>
          </w:tcPr>
          <w:p w14:paraId="1F74B1BB" w14:textId="77777777" w:rsidR="00EE3ED5" w:rsidRPr="00B530AF" w:rsidRDefault="00EE3ED5" w:rsidP="00484258">
            <w:pPr>
              <w:ind w:left="-90"/>
              <w:jc w:val="right"/>
              <w:rPr>
                <w:rFonts w:cstheme="minorHAnsi"/>
                <w:color w:val="000000"/>
                <w:sz w:val="20"/>
                <w:szCs w:val="20"/>
              </w:rPr>
            </w:pPr>
            <w:r>
              <w:rPr>
                <w:sz w:val="20"/>
                <w:szCs w:val="20"/>
              </w:rPr>
              <w:t>240.000</w:t>
            </w:r>
          </w:p>
        </w:tc>
        <w:tc>
          <w:tcPr>
            <w:tcW w:w="632" w:type="pct"/>
            <w:shd w:val="clear" w:color="auto" w:fill="auto"/>
            <w:noWrap/>
          </w:tcPr>
          <w:p w14:paraId="5AD31193" w14:textId="77777777" w:rsidR="00EE3ED5" w:rsidRPr="00B530AF" w:rsidRDefault="00EE3ED5" w:rsidP="00484258">
            <w:pPr>
              <w:jc w:val="right"/>
              <w:rPr>
                <w:rFonts w:cstheme="minorHAnsi"/>
                <w:color w:val="000000"/>
                <w:sz w:val="20"/>
                <w:szCs w:val="20"/>
              </w:rPr>
            </w:pPr>
            <w:r>
              <w:rPr>
                <w:color w:val="000000"/>
                <w:sz w:val="20"/>
                <w:szCs w:val="20"/>
              </w:rPr>
              <w:t>140.000</w:t>
            </w:r>
          </w:p>
        </w:tc>
        <w:tc>
          <w:tcPr>
            <w:tcW w:w="632" w:type="pct"/>
            <w:shd w:val="clear" w:color="auto" w:fill="auto"/>
          </w:tcPr>
          <w:p w14:paraId="6E56088B" w14:textId="77777777" w:rsidR="00EE3ED5" w:rsidRPr="00B530AF" w:rsidRDefault="00EE3ED5" w:rsidP="00484258">
            <w:pPr>
              <w:jc w:val="right"/>
              <w:rPr>
                <w:rFonts w:cstheme="minorHAnsi"/>
                <w:color w:val="000000"/>
                <w:sz w:val="20"/>
                <w:szCs w:val="20"/>
              </w:rPr>
            </w:pPr>
            <w:r>
              <w:rPr>
                <w:color w:val="000000"/>
                <w:sz w:val="20"/>
                <w:szCs w:val="20"/>
              </w:rPr>
              <w:t>80.000</w:t>
            </w:r>
          </w:p>
        </w:tc>
        <w:tc>
          <w:tcPr>
            <w:tcW w:w="632" w:type="pct"/>
            <w:shd w:val="clear" w:color="auto" w:fill="auto"/>
            <w:noWrap/>
          </w:tcPr>
          <w:p w14:paraId="7592BC05" w14:textId="77777777" w:rsidR="00EE3ED5" w:rsidRPr="00B530AF" w:rsidRDefault="00EE3ED5" w:rsidP="00484258">
            <w:pPr>
              <w:jc w:val="right"/>
              <w:rPr>
                <w:rFonts w:cstheme="minorHAnsi"/>
                <w:color w:val="000000"/>
                <w:sz w:val="20"/>
                <w:szCs w:val="20"/>
              </w:rPr>
            </w:pPr>
            <w:r>
              <w:rPr>
                <w:color w:val="000000"/>
                <w:sz w:val="20"/>
                <w:szCs w:val="20"/>
              </w:rPr>
              <w:t>70.000</w:t>
            </w:r>
          </w:p>
        </w:tc>
        <w:tc>
          <w:tcPr>
            <w:tcW w:w="632" w:type="pct"/>
            <w:vAlign w:val="center"/>
          </w:tcPr>
          <w:p w14:paraId="19441204" w14:textId="77777777" w:rsidR="00EE3ED5" w:rsidRPr="00A33735" w:rsidRDefault="00EE3ED5" w:rsidP="00484258">
            <w:pPr>
              <w:jc w:val="right"/>
              <w:rPr>
                <w:rFonts w:cstheme="minorHAnsi"/>
                <w:color w:val="000000"/>
                <w:sz w:val="20"/>
                <w:szCs w:val="20"/>
              </w:rPr>
            </w:pPr>
            <w:r>
              <w:rPr>
                <w:color w:val="000000"/>
                <w:sz w:val="20"/>
                <w:szCs w:val="20"/>
              </w:rPr>
              <w:t>675.000</w:t>
            </w:r>
          </w:p>
        </w:tc>
      </w:tr>
      <w:tr w:rsidR="00EE3ED5" w:rsidRPr="00ED74F4" w14:paraId="25E539DB" w14:textId="77777777" w:rsidTr="00484258">
        <w:trPr>
          <w:trHeight w:val="230"/>
        </w:trPr>
        <w:tc>
          <w:tcPr>
            <w:tcW w:w="1286" w:type="pct"/>
            <w:shd w:val="clear" w:color="auto" w:fill="auto"/>
            <w:vAlign w:val="center"/>
            <w:hideMark/>
          </w:tcPr>
          <w:p w14:paraId="6FE0A4EC" w14:textId="77777777" w:rsidR="00EE3ED5" w:rsidRPr="003055D4" w:rsidRDefault="00EE3ED5" w:rsidP="00484258">
            <w:pPr>
              <w:tabs>
                <w:tab w:val="left" w:pos="1746"/>
              </w:tabs>
              <w:ind w:right="-86"/>
              <w:jc w:val="left"/>
              <w:rPr>
                <w:rFonts w:cstheme="minorHAnsi"/>
                <w:color w:val="000000"/>
                <w:sz w:val="20"/>
                <w:szCs w:val="20"/>
              </w:rPr>
            </w:pPr>
            <w:r>
              <w:rPr>
                <w:color w:val="000000" w:themeColor="text1"/>
                <w:sz w:val="20"/>
                <w:szCs w:val="20"/>
              </w:rPr>
              <w:t>Costo unitario del dispositivo de medición del rendimiento (USD)</w:t>
            </w:r>
          </w:p>
        </w:tc>
        <w:tc>
          <w:tcPr>
            <w:tcW w:w="556" w:type="pct"/>
            <w:shd w:val="clear" w:color="auto" w:fill="auto"/>
            <w:noWrap/>
            <w:vAlign w:val="center"/>
            <w:hideMark/>
          </w:tcPr>
          <w:p w14:paraId="1823D9D0" w14:textId="77777777" w:rsidR="00EE3ED5" w:rsidRPr="00B530AF" w:rsidRDefault="00EE3ED5" w:rsidP="00484258">
            <w:pPr>
              <w:jc w:val="right"/>
              <w:rPr>
                <w:rFonts w:cstheme="minorHAnsi"/>
                <w:color w:val="000000"/>
                <w:sz w:val="20"/>
                <w:szCs w:val="20"/>
              </w:rPr>
            </w:pPr>
            <w:r>
              <w:rPr>
                <w:color w:val="000000"/>
                <w:sz w:val="20"/>
                <w:szCs w:val="20"/>
              </w:rPr>
              <w:t>5.000</w:t>
            </w:r>
          </w:p>
        </w:tc>
        <w:tc>
          <w:tcPr>
            <w:tcW w:w="630" w:type="pct"/>
            <w:vAlign w:val="center"/>
          </w:tcPr>
          <w:p w14:paraId="3267BF94" w14:textId="77777777" w:rsidR="00EE3ED5" w:rsidRPr="00B530AF" w:rsidRDefault="00EE3ED5" w:rsidP="00484258">
            <w:pPr>
              <w:ind w:left="-90"/>
              <w:jc w:val="right"/>
              <w:rPr>
                <w:rFonts w:cstheme="minorHAnsi"/>
                <w:color w:val="000000"/>
                <w:sz w:val="20"/>
                <w:szCs w:val="20"/>
              </w:rPr>
            </w:pPr>
            <w:r>
              <w:rPr>
                <w:color w:val="000000"/>
                <w:sz w:val="20"/>
                <w:szCs w:val="20"/>
              </w:rPr>
              <w:t>5.000</w:t>
            </w:r>
          </w:p>
        </w:tc>
        <w:tc>
          <w:tcPr>
            <w:tcW w:w="632" w:type="pct"/>
            <w:shd w:val="clear" w:color="auto" w:fill="auto"/>
            <w:noWrap/>
            <w:vAlign w:val="center"/>
            <w:hideMark/>
          </w:tcPr>
          <w:p w14:paraId="512D6163" w14:textId="77777777" w:rsidR="00EE3ED5" w:rsidRPr="00B530AF" w:rsidRDefault="00EE3ED5" w:rsidP="00484258">
            <w:pPr>
              <w:jc w:val="right"/>
              <w:rPr>
                <w:rFonts w:cstheme="minorHAnsi"/>
                <w:color w:val="000000"/>
                <w:sz w:val="20"/>
                <w:szCs w:val="20"/>
              </w:rPr>
            </w:pPr>
            <w:r>
              <w:rPr>
                <w:color w:val="000000"/>
                <w:sz w:val="20"/>
                <w:szCs w:val="20"/>
              </w:rPr>
              <w:t>5.000</w:t>
            </w:r>
          </w:p>
        </w:tc>
        <w:tc>
          <w:tcPr>
            <w:tcW w:w="632" w:type="pct"/>
            <w:vAlign w:val="center"/>
          </w:tcPr>
          <w:p w14:paraId="54FDFDE3" w14:textId="77777777" w:rsidR="00EE3ED5" w:rsidRPr="00B530AF" w:rsidRDefault="00EE3ED5" w:rsidP="00484258">
            <w:pPr>
              <w:jc w:val="right"/>
              <w:rPr>
                <w:rFonts w:cstheme="minorHAnsi"/>
                <w:color w:val="000000"/>
                <w:sz w:val="20"/>
                <w:szCs w:val="20"/>
              </w:rPr>
            </w:pPr>
            <w:r>
              <w:rPr>
                <w:color w:val="000000"/>
                <w:sz w:val="20"/>
                <w:szCs w:val="20"/>
              </w:rPr>
              <w:t>5.000</w:t>
            </w:r>
          </w:p>
        </w:tc>
        <w:tc>
          <w:tcPr>
            <w:tcW w:w="632" w:type="pct"/>
            <w:shd w:val="clear" w:color="auto" w:fill="auto"/>
            <w:noWrap/>
            <w:vAlign w:val="center"/>
            <w:hideMark/>
          </w:tcPr>
          <w:p w14:paraId="2F01CF06" w14:textId="77777777" w:rsidR="00EE3ED5" w:rsidRPr="00B530AF" w:rsidRDefault="00EE3ED5" w:rsidP="00484258">
            <w:pPr>
              <w:jc w:val="right"/>
              <w:rPr>
                <w:rFonts w:cstheme="minorHAnsi"/>
                <w:color w:val="000000"/>
                <w:sz w:val="20"/>
                <w:szCs w:val="20"/>
              </w:rPr>
            </w:pPr>
            <w:r>
              <w:rPr>
                <w:color w:val="000000"/>
                <w:sz w:val="20"/>
                <w:szCs w:val="20"/>
              </w:rPr>
              <w:t>5.000</w:t>
            </w:r>
          </w:p>
        </w:tc>
        <w:tc>
          <w:tcPr>
            <w:tcW w:w="632" w:type="pct"/>
            <w:vAlign w:val="center"/>
          </w:tcPr>
          <w:p w14:paraId="736FDFAF" w14:textId="77777777" w:rsidR="00EE3ED5" w:rsidRPr="00A33735" w:rsidRDefault="00EE3ED5" w:rsidP="00484258">
            <w:pPr>
              <w:jc w:val="right"/>
              <w:rPr>
                <w:rFonts w:cstheme="minorHAnsi"/>
                <w:color w:val="000000"/>
                <w:sz w:val="20"/>
                <w:szCs w:val="20"/>
              </w:rPr>
            </w:pPr>
            <w:r>
              <w:rPr>
                <w:color w:val="000000"/>
                <w:sz w:val="20"/>
                <w:szCs w:val="20"/>
              </w:rPr>
              <w:t>25.000</w:t>
            </w:r>
          </w:p>
        </w:tc>
      </w:tr>
      <w:tr w:rsidR="00EE3ED5" w:rsidRPr="00ED74F4" w14:paraId="20CC4D5B" w14:textId="77777777" w:rsidTr="00484258">
        <w:trPr>
          <w:trHeight w:val="43"/>
        </w:trPr>
        <w:tc>
          <w:tcPr>
            <w:tcW w:w="1286" w:type="pct"/>
            <w:shd w:val="clear" w:color="auto" w:fill="auto"/>
            <w:vAlign w:val="center"/>
            <w:hideMark/>
          </w:tcPr>
          <w:p w14:paraId="65E95502" w14:textId="77777777" w:rsidR="00EE3ED5" w:rsidRPr="00B530AF" w:rsidRDefault="00EE3ED5" w:rsidP="00484258">
            <w:pPr>
              <w:jc w:val="left"/>
              <w:rPr>
                <w:rFonts w:cstheme="minorBidi"/>
                <w:b/>
                <w:bCs/>
                <w:color w:val="000000"/>
                <w:sz w:val="20"/>
                <w:szCs w:val="20"/>
              </w:rPr>
            </w:pPr>
            <w:r>
              <w:rPr>
                <w:b/>
                <w:bCs/>
                <w:color w:val="000000" w:themeColor="text1"/>
                <w:sz w:val="20"/>
                <w:szCs w:val="20"/>
              </w:rPr>
              <w:t>Total (USD)</w:t>
            </w:r>
          </w:p>
        </w:tc>
        <w:tc>
          <w:tcPr>
            <w:tcW w:w="556" w:type="pct"/>
            <w:shd w:val="clear" w:color="auto" w:fill="auto"/>
            <w:noWrap/>
          </w:tcPr>
          <w:p w14:paraId="436F0E62" w14:textId="77777777" w:rsidR="00EE3ED5" w:rsidRPr="00B530AF" w:rsidRDefault="00EE3ED5" w:rsidP="00484258">
            <w:pPr>
              <w:jc w:val="right"/>
              <w:rPr>
                <w:rFonts w:cstheme="minorHAnsi"/>
                <w:b/>
                <w:color w:val="000000"/>
                <w:sz w:val="20"/>
                <w:szCs w:val="20"/>
              </w:rPr>
            </w:pPr>
            <w:r>
              <w:rPr>
                <w:b/>
                <w:sz w:val="20"/>
                <w:szCs w:val="20"/>
              </w:rPr>
              <w:t>150.000</w:t>
            </w:r>
          </w:p>
        </w:tc>
        <w:tc>
          <w:tcPr>
            <w:tcW w:w="630" w:type="pct"/>
          </w:tcPr>
          <w:p w14:paraId="1687AB95" w14:textId="77777777" w:rsidR="00EE3ED5" w:rsidRPr="00B530AF" w:rsidRDefault="00EE3ED5" w:rsidP="00484258">
            <w:pPr>
              <w:ind w:left="-90"/>
              <w:jc w:val="right"/>
              <w:rPr>
                <w:rFonts w:cstheme="minorHAnsi"/>
                <w:b/>
                <w:color w:val="000000"/>
                <w:sz w:val="20"/>
                <w:szCs w:val="20"/>
              </w:rPr>
            </w:pPr>
            <w:r>
              <w:rPr>
                <w:b/>
                <w:sz w:val="20"/>
                <w:szCs w:val="20"/>
              </w:rPr>
              <w:t>245.000</w:t>
            </w:r>
          </w:p>
        </w:tc>
        <w:tc>
          <w:tcPr>
            <w:tcW w:w="632" w:type="pct"/>
            <w:shd w:val="clear" w:color="auto" w:fill="auto"/>
            <w:noWrap/>
          </w:tcPr>
          <w:p w14:paraId="6DCE2EC5" w14:textId="77777777" w:rsidR="00EE3ED5" w:rsidRPr="00B530AF" w:rsidRDefault="00EE3ED5" w:rsidP="00484258">
            <w:pPr>
              <w:jc w:val="right"/>
              <w:rPr>
                <w:rFonts w:cstheme="minorHAnsi"/>
                <w:b/>
                <w:color w:val="000000"/>
                <w:sz w:val="20"/>
                <w:szCs w:val="20"/>
              </w:rPr>
            </w:pPr>
            <w:r>
              <w:rPr>
                <w:b/>
                <w:color w:val="000000"/>
                <w:sz w:val="20"/>
                <w:szCs w:val="20"/>
              </w:rPr>
              <w:t>145.000</w:t>
            </w:r>
          </w:p>
        </w:tc>
        <w:tc>
          <w:tcPr>
            <w:tcW w:w="632" w:type="pct"/>
            <w:shd w:val="clear" w:color="auto" w:fill="auto"/>
          </w:tcPr>
          <w:p w14:paraId="19E52BE3" w14:textId="77777777" w:rsidR="00EE3ED5" w:rsidRPr="00B530AF" w:rsidRDefault="00EE3ED5" w:rsidP="00484258">
            <w:pPr>
              <w:jc w:val="right"/>
              <w:rPr>
                <w:rFonts w:cstheme="minorHAnsi"/>
                <w:b/>
                <w:color w:val="000000"/>
                <w:sz w:val="20"/>
                <w:szCs w:val="20"/>
              </w:rPr>
            </w:pPr>
            <w:r>
              <w:rPr>
                <w:b/>
                <w:color w:val="000000"/>
                <w:sz w:val="20"/>
                <w:szCs w:val="20"/>
              </w:rPr>
              <w:t>85.000</w:t>
            </w:r>
          </w:p>
        </w:tc>
        <w:tc>
          <w:tcPr>
            <w:tcW w:w="632" w:type="pct"/>
            <w:shd w:val="clear" w:color="auto" w:fill="auto"/>
            <w:noWrap/>
          </w:tcPr>
          <w:p w14:paraId="07D161BC" w14:textId="77777777" w:rsidR="00EE3ED5" w:rsidRPr="00B530AF" w:rsidRDefault="00EE3ED5" w:rsidP="00484258">
            <w:pPr>
              <w:jc w:val="right"/>
              <w:rPr>
                <w:rFonts w:cstheme="minorHAnsi"/>
                <w:b/>
                <w:color w:val="000000"/>
                <w:sz w:val="20"/>
                <w:szCs w:val="20"/>
              </w:rPr>
            </w:pPr>
            <w:r>
              <w:rPr>
                <w:b/>
                <w:color w:val="000000"/>
                <w:sz w:val="20"/>
                <w:szCs w:val="20"/>
              </w:rPr>
              <w:t>75.000</w:t>
            </w:r>
          </w:p>
        </w:tc>
        <w:tc>
          <w:tcPr>
            <w:tcW w:w="632" w:type="pct"/>
            <w:vAlign w:val="center"/>
          </w:tcPr>
          <w:p w14:paraId="069F1A9B" w14:textId="77777777" w:rsidR="00EE3ED5" w:rsidRPr="00A33735" w:rsidRDefault="00EE3ED5" w:rsidP="00484258">
            <w:pPr>
              <w:jc w:val="right"/>
              <w:rPr>
                <w:rFonts w:cstheme="minorHAnsi"/>
                <w:b/>
                <w:color w:val="000000"/>
                <w:sz w:val="20"/>
                <w:szCs w:val="20"/>
              </w:rPr>
            </w:pPr>
            <w:r>
              <w:rPr>
                <w:b/>
                <w:color w:val="000000"/>
                <w:sz w:val="20"/>
                <w:szCs w:val="20"/>
              </w:rPr>
              <w:t>700.000</w:t>
            </w:r>
          </w:p>
        </w:tc>
      </w:tr>
    </w:tbl>
    <w:p w14:paraId="58C05381" w14:textId="77777777" w:rsidR="00EE3ED5" w:rsidRDefault="00EE3ED5" w:rsidP="00EE3ED5">
      <w:pPr>
        <w:pStyle w:val="Heading1"/>
        <w:spacing w:before="240"/>
        <w:rPr>
          <w:b/>
          <w:bCs/>
        </w:rPr>
      </w:pPr>
      <w:r>
        <w:t>Como se muestra en el cuadro 4, el Gobierno de Cuba cofinanciaría las mediciones del consumo de energía que se realizarían antes y durante el proyecto, así como el diseño y la instalación de los nuevos sistemas, el montaje de los equipos y las obras de construcción de las instalaciones, las tuberías y los materiales, la capacitación de 20 técnicos y gestores de mantenimiento en materia de supervisión del rendimiento, recopilación de datos y mantenimiento de los sistemas cargados con refrigerantes inflamables, y la promoción de tecnologías eficientes mediante la difusión de los resultados del proyecto y la distribución de material técnico sobre tecnologías de sustitución para lograr una alta replicabilidad.</w:t>
      </w:r>
    </w:p>
    <w:p w14:paraId="65506596" w14:textId="77777777" w:rsidR="00EE3ED5" w:rsidRDefault="00EE3ED5" w:rsidP="00EE3ED5">
      <w:pPr>
        <w:keepNext/>
        <w:shd w:val="clear" w:color="auto" w:fill="FFFFFF" w:themeFill="background1"/>
        <w:rPr>
          <w:b/>
          <w:bCs/>
        </w:rPr>
      </w:pPr>
      <w:r>
        <w:rPr>
          <w:b/>
          <w:bCs/>
        </w:rPr>
        <w:t>Cuadro 4. Presupuesto total del proyecto y desglose de las fuentes de financiamiento, tal y como se ha presentado (USD)</w:t>
      </w:r>
    </w:p>
    <w:tbl>
      <w:tblPr>
        <w:tblW w:w="5000" w:type="pct"/>
        <w:tblLook w:val="04A0" w:firstRow="1" w:lastRow="0" w:firstColumn="1" w:lastColumn="0" w:noHBand="0" w:noVBand="1"/>
      </w:tblPr>
      <w:tblGrid>
        <w:gridCol w:w="4587"/>
        <w:gridCol w:w="1474"/>
        <w:gridCol w:w="1550"/>
        <w:gridCol w:w="1739"/>
      </w:tblGrid>
      <w:tr w:rsidR="00EE3ED5" w:rsidRPr="008B23F4" w14:paraId="10B2E4D0" w14:textId="77777777" w:rsidTr="00484258">
        <w:trPr>
          <w:trHeight w:val="324"/>
        </w:trPr>
        <w:tc>
          <w:tcPr>
            <w:tcW w:w="24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5610A5" w14:textId="77777777" w:rsidR="00EE3ED5" w:rsidRPr="008B23F4" w:rsidRDefault="00EE3ED5" w:rsidP="00484258">
            <w:pPr>
              <w:jc w:val="center"/>
              <w:rPr>
                <w:b/>
                <w:bCs/>
                <w:color w:val="000000"/>
                <w:sz w:val="20"/>
                <w:szCs w:val="20"/>
              </w:rPr>
            </w:pPr>
            <w:r>
              <w:rPr>
                <w:b/>
                <w:bCs/>
                <w:sz w:val="20"/>
                <w:szCs w:val="20"/>
              </w:rPr>
              <w:t>Componente</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78C96C05" w14:textId="77777777" w:rsidR="00EE3ED5" w:rsidRPr="008B23F4" w:rsidRDefault="00EE3ED5" w:rsidP="00484258">
            <w:pPr>
              <w:jc w:val="center"/>
              <w:rPr>
                <w:b/>
                <w:bCs/>
                <w:color w:val="000000"/>
                <w:sz w:val="20"/>
                <w:szCs w:val="20"/>
              </w:rPr>
            </w:pPr>
            <w:r>
              <w:rPr>
                <w:b/>
                <w:bCs/>
                <w:sz w:val="20"/>
                <w:szCs w:val="20"/>
              </w:rPr>
              <w:t>Total</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6241F31A" w14:textId="77777777" w:rsidR="00EE3ED5" w:rsidRPr="008B23F4" w:rsidRDefault="00EE3ED5" w:rsidP="00484258">
            <w:pPr>
              <w:jc w:val="center"/>
              <w:rPr>
                <w:b/>
                <w:bCs/>
                <w:color w:val="000000"/>
                <w:sz w:val="20"/>
                <w:szCs w:val="20"/>
              </w:rPr>
            </w:pPr>
            <w:r>
              <w:rPr>
                <w:b/>
                <w:bCs/>
                <w:sz w:val="20"/>
                <w:szCs w:val="20"/>
              </w:rPr>
              <w:t>Financiamiento del FML</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17180CE1" w14:textId="77777777" w:rsidR="00EE3ED5" w:rsidRPr="008B23F4" w:rsidRDefault="00EE3ED5" w:rsidP="00484258">
            <w:pPr>
              <w:jc w:val="center"/>
              <w:rPr>
                <w:b/>
                <w:bCs/>
                <w:color w:val="000000"/>
                <w:sz w:val="20"/>
                <w:szCs w:val="20"/>
              </w:rPr>
            </w:pPr>
            <w:r>
              <w:rPr>
                <w:b/>
                <w:bCs/>
                <w:sz w:val="20"/>
                <w:szCs w:val="20"/>
              </w:rPr>
              <w:t>Cofinanciamiento</w:t>
            </w:r>
          </w:p>
        </w:tc>
      </w:tr>
      <w:tr w:rsidR="00EE3ED5" w:rsidRPr="008B23F4" w14:paraId="315602F8"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A00C792" w14:textId="77777777" w:rsidR="00EE3ED5" w:rsidRPr="008B23F4" w:rsidRDefault="00EE3ED5" w:rsidP="00484258">
            <w:pPr>
              <w:rPr>
                <w:color w:val="000000"/>
                <w:sz w:val="20"/>
                <w:szCs w:val="20"/>
              </w:rPr>
            </w:pPr>
            <w:r>
              <w:rPr>
                <w:color w:val="000000" w:themeColor="text1"/>
                <w:sz w:val="20"/>
                <w:szCs w:val="20"/>
              </w:rPr>
              <w:t>Adquisición de refrigeradores comerciales (5)</w:t>
            </w:r>
          </w:p>
        </w:tc>
        <w:tc>
          <w:tcPr>
            <w:tcW w:w="834" w:type="pct"/>
            <w:tcBorders>
              <w:top w:val="nil"/>
              <w:left w:val="nil"/>
              <w:bottom w:val="single" w:sz="4" w:space="0" w:color="auto"/>
              <w:right w:val="single" w:sz="4" w:space="0" w:color="auto"/>
            </w:tcBorders>
            <w:shd w:val="clear" w:color="auto" w:fill="auto"/>
            <w:vAlign w:val="center"/>
            <w:hideMark/>
          </w:tcPr>
          <w:p w14:paraId="4AF4F4DE" w14:textId="77777777" w:rsidR="00EE3ED5" w:rsidRPr="008B23F4" w:rsidRDefault="00EE3ED5" w:rsidP="00484258">
            <w:pPr>
              <w:jc w:val="right"/>
              <w:rPr>
                <w:color w:val="000000"/>
                <w:sz w:val="20"/>
                <w:szCs w:val="20"/>
              </w:rPr>
            </w:pPr>
            <w:r>
              <w:rPr>
                <w:color w:val="000000" w:themeColor="text1"/>
                <w:sz w:val="20"/>
                <w:szCs w:val="20"/>
              </w:rPr>
              <w:t>675.000</w:t>
            </w:r>
          </w:p>
        </w:tc>
        <w:tc>
          <w:tcPr>
            <w:tcW w:w="834" w:type="pct"/>
            <w:tcBorders>
              <w:top w:val="nil"/>
              <w:left w:val="nil"/>
              <w:bottom w:val="single" w:sz="4" w:space="0" w:color="auto"/>
              <w:right w:val="single" w:sz="4" w:space="0" w:color="auto"/>
            </w:tcBorders>
            <w:shd w:val="clear" w:color="auto" w:fill="auto"/>
            <w:vAlign w:val="center"/>
            <w:hideMark/>
          </w:tcPr>
          <w:p w14:paraId="3262D7C5" w14:textId="77777777" w:rsidR="00EE3ED5" w:rsidRPr="008B23F4" w:rsidRDefault="00EE3ED5" w:rsidP="00484258">
            <w:pPr>
              <w:jc w:val="right"/>
              <w:rPr>
                <w:color w:val="000000"/>
                <w:sz w:val="20"/>
                <w:szCs w:val="20"/>
              </w:rPr>
            </w:pPr>
            <w:r>
              <w:rPr>
                <w:color w:val="000000"/>
                <w:sz w:val="20"/>
                <w:szCs w:val="20"/>
              </w:rPr>
              <w:t>675.000</w:t>
            </w:r>
          </w:p>
        </w:tc>
        <w:tc>
          <w:tcPr>
            <w:tcW w:w="834" w:type="pct"/>
            <w:tcBorders>
              <w:top w:val="nil"/>
              <w:left w:val="nil"/>
              <w:bottom w:val="single" w:sz="4" w:space="0" w:color="auto"/>
              <w:right w:val="single" w:sz="4" w:space="0" w:color="auto"/>
            </w:tcBorders>
            <w:shd w:val="clear" w:color="auto" w:fill="auto"/>
            <w:vAlign w:val="center"/>
            <w:hideMark/>
          </w:tcPr>
          <w:p w14:paraId="14FC625B" w14:textId="77777777" w:rsidR="00EE3ED5" w:rsidRPr="008B23F4" w:rsidRDefault="00EE3ED5" w:rsidP="00484258">
            <w:pPr>
              <w:jc w:val="right"/>
              <w:rPr>
                <w:color w:val="000000"/>
                <w:sz w:val="20"/>
                <w:szCs w:val="20"/>
              </w:rPr>
            </w:pPr>
            <w:r>
              <w:rPr>
                <w:color w:val="000000" w:themeColor="text1"/>
                <w:sz w:val="20"/>
                <w:szCs w:val="20"/>
              </w:rPr>
              <w:t>0</w:t>
            </w:r>
          </w:p>
        </w:tc>
      </w:tr>
      <w:tr w:rsidR="00EE3ED5" w:rsidRPr="008B23F4" w14:paraId="7EF28AD1"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4BBCA9A0" w14:textId="77777777" w:rsidR="00EE3ED5" w:rsidRPr="008B23F4" w:rsidRDefault="00EE3ED5" w:rsidP="00484258">
            <w:pPr>
              <w:rPr>
                <w:color w:val="000000"/>
                <w:sz w:val="20"/>
                <w:szCs w:val="20"/>
              </w:rPr>
            </w:pPr>
            <w:r>
              <w:rPr>
                <w:color w:val="000000" w:themeColor="text1"/>
                <w:sz w:val="20"/>
                <w:szCs w:val="20"/>
              </w:rPr>
              <w:t>Adquisición de dispositivos de medición del rendimiento (5)</w:t>
            </w:r>
          </w:p>
        </w:tc>
        <w:tc>
          <w:tcPr>
            <w:tcW w:w="834" w:type="pct"/>
            <w:tcBorders>
              <w:top w:val="nil"/>
              <w:left w:val="nil"/>
              <w:bottom w:val="single" w:sz="4" w:space="0" w:color="auto"/>
              <w:right w:val="single" w:sz="4" w:space="0" w:color="auto"/>
            </w:tcBorders>
            <w:shd w:val="clear" w:color="auto" w:fill="auto"/>
            <w:vAlign w:val="center"/>
            <w:hideMark/>
          </w:tcPr>
          <w:p w14:paraId="1FC44E8C" w14:textId="77777777" w:rsidR="00EE3ED5" w:rsidRPr="008B23F4" w:rsidRDefault="00EE3ED5" w:rsidP="00484258">
            <w:pPr>
              <w:jc w:val="right"/>
              <w:rPr>
                <w:color w:val="000000"/>
                <w:sz w:val="20"/>
                <w:szCs w:val="20"/>
              </w:rPr>
            </w:pPr>
            <w:r>
              <w:rPr>
                <w:color w:val="000000"/>
                <w:sz w:val="20"/>
                <w:szCs w:val="20"/>
              </w:rPr>
              <w:t>25.000</w:t>
            </w:r>
          </w:p>
        </w:tc>
        <w:tc>
          <w:tcPr>
            <w:tcW w:w="834" w:type="pct"/>
            <w:tcBorders>
              <w:top w:val="nil"/>
              <w:left w:val="nil"/>
              <w:bottom w:val="single" w:sz="4" w:space="0" w:color="auto"/>
              <w:right w:val="single" w:sz="4" w:space="0" w:color="auto"/>
            </w:tcBorders>
            <w:shd w:val="clear" w:color="auto" w:fill="auto"/>
            <w:vAlign w:val="center"/>
            <w:hideMark/>
          </w:tcPr>
          <w:p w14:paraId="49060828" w14:textId="77777777" w:rsidR="00EE3ED5" w:rsidRPr="008B23F4" w:rsidRDefault="00EE3ED5" w:rsidP="00484258">
            <w:pPr>
              <w:jc w:val="right"/>
              <w:rPr>
                <w:color w:val="000000"/>
                <w:sz w:val="20"/>
                <w:szCs w:val="20"/>
              </w:rPr>
            </w:pPr>
            <w:r>
              <w:rPr>
                <w:color w:val="000000" w:themeColor="text1"/>
                <w:sz w:val="20"/>
                <w:szCs w:val="20"/>
              </w:rPr>
              <w:t>25.000</w:t>
            </w:r>
          </w:p>
        </w:tc>
        <w:tc>
          <w:tcPr>
            <w:tcW w:w="834" w:type="pct"/>
            <w:tcBorders>
              <w:top w:val="nil"/>
              <w:left w:val="nil"/>
              <w:bottom w:val="single" w:sz="4" w:space="0" w:color="auto"/>
              <w:right w:val="single" w:sz="4" w:space="0" w:color="auto"/>
            </w:tcBorders>
            <w:shd w:val="clear" w:color="auto" w:fill="auto"/>
            <w:vAlign w:val="center"/>
            <w:hideMark/>
          </w:tcPr>
          <w:p w14:paraId="0773C252" w14:textId="77777777" w:rsidR="00EE3ED5" w:rsidRPr="008B23F4" w:rsidRDefault="00EE3ED5" w:rsidP="00484258">
            <w:pPr>
              <w:jc w:val="right"/>
              <w:rPr>
                <w:color w:val="000000"/>
                <w:sz w:val="20"/>
                <w:szCs w:val="20"/>
              </w:rPr>
            </w:pPr>
            <w:r>
              <w:rPr>
                <w:color w:val="000000" w:themeColor="text1"/>
                <w:sz w:val="20"/>
                <w:szCs w:val="20"/>
              </w:rPr>
              <w:t xml:space="preserve">0 </w:t>
            </w:r>
          </w:p>
        </w:tc>
      </w:tr>
      <w:tr w:rsidR="00EE3ED5" w:rsidRPr="008B23F4" w14:paraId="1B30D5BE"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9C47B9F" w14:textId="77777777" w:rsidR="00EE3ED5" w:rsidRPr="008B23F4" w:rsidRDefault="00EE3ED5" w:rsidP="00484258">
            <w:pPr>
              <w:rPr>
                <w:color w:val="000000"/>
                <w:sz w:val="20"/>
                <w:szCs w:val="20"/>
              </w:rPr>
            </w:pPr>
            <w:r>
              <w:rPr>
                <w:color w:val="000000"/>
                <w:sz w:val="20"/>
                <w:szCs w:val="20"/>
              </w:rPr>
              <w:t>Medición del consumo de energía</w:t>
            </w:r>
          </w:p>
        </w:tc>
        <w:tc>
          <w:tcPr>
            <w:tcW w:w="834" w:type="pct"/>
            <w:tcBorders>
              <w:top w:val="nil"/>
              <w:left w:val="nil"/>
              <w:bottom w:val="single" w:sz="4" w:space="0" w:color="auto"/>
              <w:right w:val="single" w:sz="4" w:space="0" w:color="auto"/>
            </w:tcBorders>
            <w:shd w:val="clear" w:color="auto" w:fill="auto"/>
            <w:vAlign w:val="center"/>
            <w:hideMark/>
          </w:tcPr>
          <w:p w14:paraId="41C75ACD" w14:textId="77777777" w:rsidR="00EE3ED5" w:rsidRPr="008B23F4" w:rsidRDefault="00EE3ED5" w:rsidP="00484258">
            <w:pPr>
              <w:jc w:val="right"/>
              <w:rPr>
                <w:color w:val="000000"/>
                <w:sz w:val="20"/>
                <w:szCs w:val="20"/>
              </w:rPr>
            </w:pPr>
            <w:r>
              <w:rPr>
                <w:color w:val="000000" w:themeColor="text1"/>
                <w:sz w:val="20"/>
                <w:szCs w:val="20"/>
              </w:rPr>
              <w:t>33.750</w:t>
            </w:r>
          </w:p>
        </w:tc>
        <w:tc>
          <w:tcPr>
            <w:tcW w:w="834" w:type="pct"/>
            <w:tcBorders>
              <w:top w:val="nil"/>
              <w:left w:val="nil"/>
              <w:bottom w:val="single" w:sz="4" w:space="0" w:color="auto"/>
              <w:right w:val="single" w:sz="4" w:space="0" w:color="auto"/>
            </w:tcBorders>
            <w:shd w:val="clear" w:color="auto" w:fill="auto"/>
            <w:vAlign w:val="center"/>
            <w:hideMark/>
          </w:tcPr>
          <w:p w14:paraId="17F354B9" w14:textId="77777777" w:rsidR="00EE3ED5" w:rsidRPr="008B23F4" w:rsidRDefault="00EE3ED5" w:rsidP="00484258">
            <w:pPr>
              <w:jc w:val="right"/>
              <w:rPr>
                <w:color w:val="000000"/>
                <w:sz w:val="20"/>
                <w:szCs w:val="20"/>
              </w:rPr>
            </w:pPr>
            <w:r>
              <w:rPr>
                <w:color w:val="000000" w:themeColor="text1"/>
                <w:sz w:val="20"/>
                <w:szCs w:val="20"/>
              </w:rPr>
              <w:t>0</w:t>
            </w:r>
          </w:p>
        </w:tc>
        <w:tc>
          <w:tcPr>
            <w:tcW w:w="834" w:type="pct"/>
            <w:tcBorders>
              <w:top w:val="nil"/>
              <w:left w:val="nil"/>
              <w:bottom w:val="single" w:sz="4" w:space="0" w:color="auto"/>
              <w:right w:val="single" w:sz="4" w:space="0" w:color="auto"/>
            </w:tcBorders>
            <w:shd w:val="clear" w:color="auto" w:fill="auto"/>
            <w:vAlign w:val="center"/>
            <w:hideMark/>
          </w:tcPr>
          <w:p w14:paraId="6D060669" w14:textId="77777777" w:rsidR="00EE3ED5" w:rsidRPr="008B23F4" w:rsidRDefault="00EE3ED5" w:rsidP="00484258">
            <w:pPr>
              <w:jc w:val="right"/>
              <w:rPr>
                <w:color w:val="000000"/>
                <w:sz w:val="20"/>
                <w:szCs w:val="20"/>
              </w:rPr>
            </w:pPr>
            <w:r>
              <w:rPr>
                <w:color w:val="000000" w:themeColor="text1"/>
                <w:sz w:val="20"/>
                <w:szCs w:val="20"/>
              </w:rPr>
              <w:t>33.750</w:t>
            </w:r>
          </w:p>
        </w:tc>
      </w:tr>
      <w:tr w:rsidR="00EE3ED5" w:rsidRPr="008B23F4" w14:paraId="11654600"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3B84AD92" w14:textId="77777777" w:rsidR="00EE3ED5" w:rsidRPr="008B23F4" w:rsidRDefault="00EE3ED5" w:rsidP="00484258">
            <w:pPr>
              <w:rPr>
                <w:color w:val="000000"/>
                <w:sz w:val="20"/>
                <w:szCs w:val="20"/>
              </w:rPr>
            </w:pPr>
            <w:r>
              <w:rPr>
                <w:color w:val="000000" w:themeColor="text1"/>
                <w:sz w:val="20"/>
                <w:szCs w:val="20"/>
              </w:rPr>
              <w:t>Diseño e instalación del sistema</w:t>
            </w:r>
          </w:p>
        </w:tc>
        <w:tc>
          <w:tcPr>
            <w:tcW w:w="834" w:type="pct"/>
            <w:tcBorders>
              <w:top w:val="nil"/>
              <w:left w:val="nil"/>
              <w:bottom w:val="single" w:sz="4" w:space="0" w:color="auto"/>
              <w:right w:val="single" w:sz="4" w:space="0" w:color="auto"/>
            </w:tcBorders>
            <w:shd w:val="clear" w:color="auto" w:fill="auto"/>
            <w:vAlign w:val="center"/>
            <w:hideMark/>
          </w:tcPr>
          <w:p w14:paraId="6C0381D1" w14:textId="77777777" w:rsidR="00EE3ED5" w:rsidRPr="008B23F4" w:rsidRDefault="00EE3ED5" w:rsidP="00484258">
            <w:pPr>
              <w:jc w:val="right"/>
              <w:rPr>
                <w:color w:val="000000"/>
                <w:sz w:val="20"/>
                <w:szCs w:val="20"/>
              </w:rPr>
            </w:pPr>
            <w:r>
              <w:rPr>
                <w:color w:val="000000" w:themeColor="text1"/>
                <w:sz w:val="20"/>
                <w:szCs w:val="20"/>
              </w:rPr>
              <w:t>101.250</w:t>
            </w:r>
          </w:p>
        </w:tc>
        <w:tc>
          <w:tcPr>
            <w:tcW w:w="834" w:type="pct"/>
            <w:tcBorders>
              <w:top w:val="nil"/>
              <w:left w:val="nil"/>
              <w:bottom w:val="single" w:sz="4" w:space="0" w:color="auto"/>
              <w:right w:val="single" w:sz="4" w:space="0" w:color="auto"/>
            </w:tcBorders>
            <w:shd w:val="clear" w:color="auto" w:fill="auto"/>
            <w:vAlign w:val="center"/>
            <w:hideMark/>
          </w:tcPr>
          <w:p w14:paraId="5D982F94" w14:textId="77777777" w:rsidR="00EE3ED5" w:rsidRPr="008B23F4" w:rsidRDefault="00EE3ED5" w:rsidP="00484258">
            <w:pPr>
              <w:jc w:val="right"/>
              <w:rPr>
                <w:color w:val="000000"/>
                <w:sz w:val="20"/>
                <w:szCs w:val="20"/>
              </w:rPr>
            </w:pPr>
            <w:r>
              <w:rPr>
                <w:color w:val="000000" w:themeColor="text1"/>
                <w:sz w:val="20"/>
                <w:szCs w:val="20"/>
              </w:rPr>
              <w:t>0</w:t>
            </w:r>
          </w:p>
        </w:tc>
        <w:tc>
          <w:tcPr>
            <w:tcW w:w="834" w:type="pct"/>
            <w:tcBorders>
              <w:top w:val="nil"/>
              <w:left w:val="nil"/>
              <w:bottom w:val="single" w:sz="4" w:space="0" w:color="auto"/>
              <w:right w:val="single" w:sz="4" w:space="0" w:color="auto"/>
            </w:tcBorders>
            <w:shd w:val="clear" w:color="auto" w:fill="auto"/>
            <w:vAlign w:val="center"/>
            <w:hideMark/>
          </w:tcPr>
          <w:p w14:paraId="326615F6" w14:textId="77777777" w:rsidR="00EE3ED5" w:rsidRPr="008B23F4" w:rsidRDefault="00EE3ED5" w:rsidP="00484258">
            <w:pPr>
              <w:jc w:val="right"/>
              <w:rPr>
                <w:color w:val="000000"/>
                <w:sz w:val="20"/>
                <w:szCs w:val="20"/>
              </w:rPr>
            </w:pPr>
            <w:r>
              <w:rPr>
                <w:color w:val="000000" w:themeColor="text1"/>
                <w:sz w:val="20"/>
                <w:szCs w:val="20"/>
              </w:rPr>
              <w:t>101.250</w:t>
            </w:r>
          </w:p>
        </w:tc>
      </w:tr>
      <w:tr w:rsidR="00EE3ED5" w:rsidRPr="008B23F4" w14:paraId="7179BB75"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753B3A59" w14:textId="77777777" w:rsidR="00EE3ED5" w:rsidRPr="008B23F4" w:rsidRDefault="00EE3ED5" w:rsidP="00484258">
            <w:pPr>
              <w:rPr>
                <w:color w:val="000000"/>
                <w:sz w:val="20"/>
                <w:szCs w:val="20"/>
              </w:rPr>
            </w:pPr>
            <w:r>
              <w:rPr>
                <w:color w:val="000000"/>
                <w:sz w:val="20"/>
                <w:szCs w:val="20"/>
              </w:rPr>
              <w:t>Montaje de equipos y trabajos de construcción</w:t>
            </w:r>
          </w:p>
        </w:tc>
        <w:tc>
          <w:tcPr>
            <w:tcW w:w="834" w:type="pct"/>
            <w:tcBorders>
              <w:top w:val="nil"/>
              <w:left w:val="nil"/>
              <w:bottom w:val="single" w:sz="4" w:space="0" w:color="auto"/>
              <w:right w:val="single" w:sz="4" w:space="0" w:color="auto"/>
            </w:tcBorders>
            <w:shd w:val="clear" w:color="auto" w:fill="auto"/>
            <w:vAlign w:val="center"/>
            <w:hideMark/>
          </w:tcPr>
          <w:p w14:paraId="7C3A6C0D" w14:textId="77777777" w:rsidR="00EE3ED5" w:rsidRPr="008B23F4" w:rsidRDefault="00EE3ED5" w:rsidP="00484258">
            <w:pPr>
              <w:jc w:val="right"/>
              <w:rPr>
                <w:color w:val="000000"/>
                <w:sz w:val="20"/>
                <w:szCs w:val="20"/>
              </w:rPr>
            </w:pPr>
            <w:r>
              <w:rPr>
                <w:color w:val="000000"/>
                <w:sz w:val="20"/>
                <w:szCs w:val="20"/>
              </w:rPr>
              <w:t>101.250</w:t>
            </w:r>
          </w:p>
        </w:tc>
        <w:tc>
          <w:tcPr>
            <w:tcW w:w="834" w:type="pct"/>
            <w:tcBorders>
              <w:top w:val="nil"/>
              <w:left w:val="nil"/>
              <w:bottom w:val="single" w:sz="4" w:space="0" w:color="auto"/>
              <w:right w:val="single" w:sz="4" w:space="0" w:color="auto"/>
            </w:tcBorders>
            <w:shd w:val="clear" w:color="auto" w:fill="auto"/>
            <w:vAlign w:val="center"/>
            <w:hideMark/>
          </w:tcPr>
          <w:p w14:paraId="68503B83" w14:textId="77777777" w:rsidR="00EE3ED5" w:rsidRPr="008B23F4" w:rsidRDefault="00EE3ED5" w:rsidP="00484258">
            <w:pPr>
              <w:jc w:val="right"/>
              <w:rPr>
                <w:color w:val="000000"/>
                <w:sz w:val="20"/>
                <w:szCs w:val="20"/>
              </w:rPr>
            </w:pPr>
            <w:r>
              <w:rPr>
                <w:color w:val="000000" w:themeColor="text1"/>
                <w:sz w:val="20"/>
                <w:szCs w:val="20"/>
              </w:rPr>
              <w:t>0</w:t>
            </w:r>
          </w:p>
        </w:tc>
        <w:tc>
          <w:tcPr>
            <w:tcW w:w="834" w:type="pct"/>
            <w:tcBorders>
              <w:top w:val="nil"/>
              <w:left w:val="nil"/>
              <w:bottom w:val="single" w:sz="4" w:space="0" w:color="auto"/>
              <w:right w:val="single" w:sz="4" w:space="0" w:color="auto"/>
            </w:tcBorders>
            <w:shd w:val="clear" w:color="auto" w:fill="auto"/>
            <w:vAlign w:val="center"/>
            <w:hideMark/>
          </w:tcPr>
          <w:p w14:paraId="6907F61E" w14:textId="77777777" w:rsidR="00EE3ED5" w:rsidRPr="008B23F4" w:rsidRDefault="00EE3ED5" w:rsidP="00484258">
            <w:pPr>
              <w:jc w:val="right"/>
              <w:rPr>
                <w:color w:val="000000"/>
                <w:sz w:val="20"/>
                <w:szCs w:val="20"/>
              </w:rPr>
            </w:pPr>
            <w:r>
              <w:rPr>
                <w:color w:val="000000" w:themeColor="text1"/>
                <w:sz w:val="20"/>
                <w:szCs w:val="20"/>
              </w:rPr>
              <w:t>101.250</w:t>
            </w:r>
          </w:p>
        </w:tc>
      </w:tr>
      <w:tr w:rsidR="00EE3ED5" w:rsidRPr="008B23F4" w14:paraId="5329B55C"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6195A2F" w14:textId="77777777" w:rsidR="00EE3ED5" w:rsidRPr="008B23F4" w:rsidRDefault="00EE3ED5" w:rsidP="00484258">
            <w:pPr>
              <w:rPr>
                <w:color w:val="000000"/>
                <w:sz w:val="20"/>
                <w:szCs w:val="20"/>
              </w:rPr>
            </w:pPr>
            <w:r>
              <w:rPr>
                <w:color w:val="000000"/>
                <w:sz w:val="20"/>
                <w:szCs w:val="20"/>
              </w:rPr>
              <w:t>Capacitación del personal técnico y logístico</w:t>
            </w:r>
          </w:p>
        </w:tc>
        <w:tc>
          <w:tcPr>
            <w:tcW w:w="834" w:type="pct"/>
            <w:tcBorders>
              <w:top w:val="nil"/>
              <w:left w:val="nil"/>
              <w:bottom w:val="single" w:sz="4" w:space="0" w:color="auto"/>
              <w:right w:val="single" w:sz="4" w:space="0" w:color="auto"/>
            </w:tcBorders>
            <w:shd w:val="clear" w:color="auto" w:fill="auto"/>
            <w:vAlign w:val="center"/>
            <w:hideMark/>
          </w:tcPr>
          <w:p w14:paraId="75A59F74" w14:textId="77777777" w:rsidR="00EE3ED5" w:rsidRPr="008B23F4" w:rsidRDefault="00EE3ED5" w:rsidP="00484258">
            <w:pPr>
              <w:jc w:val="right"/>
              <w:rPr>
                <w:color w:val="000000"/>
                <w:sz w:val="20"/>
                <w:szCs w:val="20"/>
              </w:rPr>
            </w:pPr>
            <w:r>
              <w:rPr>
                <w:color w:val="000000"/>
                <w:sz w:val="20"/>
                <w:szCs w:val="20"/>
              </w:rPr>
              <w:t>67.500</w:t>
            </w:r>
          </w:p>
        </w:tc>
        <w:tc>
          <w:tcPr>
            <w:tcW w:w="834" w:type="pct"/>
            <w:tcBorders>
              <w:top w:val="nil"/>
              <w:left w:val="nil"/>
              <w:bottom w:val="single" w:sz="4" w:space="0" w:color="auto"/>
              <w:right w:val="single" w:sz="4" w:space="0" w:color="auto"/>
            </w:tcBorders>
            <w:shd w:val="clear" w:color="auto" w:fill="auto"/>
            <w:vAlign w:val="center"/>
            <w:hideMark/>
          </w:tcPr>
          <w:p w14:paraId="6DE311EF" w14:textId="77777777" w:rsidR="00EE3ED5" w:rsidRPr="008B23F4" w:rsidRDefault="00EE3ED5" w:rsidP="00484258">
            <w:pPr>
              <w:jc w:val="right"/>
              <w:rPr>
                <w:color w:val="000000"/>
                <w:sz w:val="20"/>
                <w:szCs w:val="20"/>
              </w:rPr>
            </w:pPr>
            <w:r>
              <w:rPr>
                <w:color w:val="000000" w:themeColor="text1"/>
                <w:sz w:val="20"/>
                <w:szCs w:val="20"/>
              </w:rPr>
              <w:t>0</w:t>
            </w:r>
          </w:p>
        </w:tc>
        <w:tc>
          <w:tcPr>
            <w:tcW w:w="834" w:type="pct"/>
            <w:tcBorders>
              <w:top w:val="nil"/>
              <w:left w:val="nil"/>
              <w:bottom w:val="single" w:sz="4" w:space="0" w:color="auto"/>
              <w:right w:val="single" w:sz="4" w:space="0" w:color="auto"/>
            </w:tcBorders>
            <w:shd w:val="clear" w:color="auto" w:fill="auto"/>
            <w:vAlign w:val="center"/>
            <w:hideMark/>
          </w:tcPr>
          <w:p w14:paraId="3B33F423" w14:textId="77777777" w:rsidR="00EE3ED5" w:rsidRPr="008B23F4" w:rsidRDefault="00EE3ED5" w:rsidP="00484258">
            <w:pPr>
              <w:jc w:val="right"/>
              <w:rPr>
                <w:color w:val="000000"/>
                <w:sz w:val="20"/>
                <w:szCs w:val="20"/>
              </w:rPr>
            </w:pPr>
            <w:r>
              <w:rPr>
                <w:color w:val="000000" w:themeColor="text1"/>
                <w:sz w:val="20"/>
                <w:szCs w:val="20"/>
              </w:rPr>
              <w:t>67.500</w:t>
            </w:r>
          </w:p>
        </w:tc>
      </w:tr>
      <w:tr w:rsidR="00EE3ED5" w:rsidRPr="008B23F4" w14:paraId="1514D1BC" w14:textId="77777777" w:rsidTr="00484258">
        <w:trPr>
          <w:trHeight w:val="116"/>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21F71AD" w14:textId="77777777" w:rsidR="00EE3ED5" w:rsidRPr="008B23F4" w:rsidRDefault="00EE3ED5" w:rsidP="00484258">
            <w:pPr>
              <w:rPr>
                <w:color w:val="000000"/>
                <w:sz w:val="20"/>
                <w:szCs w:val="20"/>
              </w:rPr>
            </w:pPr>
            <w:r>
              <w:rPr>
                <w:color w:val="000000"/>
                <w:sz w:val="20"/>
                <w:szCs w:val="20"/>
              </w:rPr>
              <w:t>Fomento de tecnologías de sustitución eficientes</w:t>
            </w:r>
          </w:p>
        </w:tc>
        <w:tc>
          <w:tcPr>
            <w:tcW w:w="834" w:type="pct"/>
            <w:tcBorders>
              <w:top w:val="nil"/>
              <w:left w:val="nil"/>
              <w:bottom w:val="single" w:sz="4" w:space="0" w:color="auto"/>
              <w:right w:val="single" w:sz="4" w:space="0" w:color="auto"/>
            </w:tcBorders>
            <w:shd w:val="clear" w:color="auto" w:fill="auto"/>
            <w:vAlign w:val="center"/>
            <w:hideMark/>
          </w:tcPr>
          <w:p w14:paraId="0B58B8DE" w14:textId="77777777" w:rsidR="00EE3ED5" w:rsidRPr="008B23F4" w:rsidRDefault="00EE3ED5" w:rsidP="00484258">
            <w:pPr>
              <w:jc w:val="right"/>
              <w:rPr>
                <w:color w:val="000000"/>
                <w:sz w:val="20"/>
                <w:szCs w:val="20"/>
              </w:rPr>
            </w:pPr>
            <w:r>
              <w:rPr>
                <w:color w:val="000000"/>
                <w:sz w:val="20"/>
                <w:szCs w:val="20"/>
              </w:rPr>
              <w:t>13.500</w:t>
            </w:r>
          </w:p>
        </w:tc>
        <w:tc>
          <w:tcPr>
            <w:tcW w:w="834" w:type="pct"/>
            <w:tcBorders>
              <w:top w:val="nil"/>
              <w:left w:val="nil"/>
              <w:bottom w:val="single" w:sz="4" w:space="0" w:color="auto"/>
              <w:right w:val="single" w:sz="4" w:space="0" w:color="auto"/>
            </w:tcBorders>
            <w:shd w:val="clear" w:color="auto" w:fill="auto"/>
            <w:vAlign w:val="center"/>
            <w:hideMark/>
          </w:tcPr>
          <w:p w14:paraId="65B8C6E9" w14:textId="77777777" w:rsidR="00EE3ED5" w:rsidRPr="008B23F4" w:rsidRDefault="00EE3ED5" w:rsidP="00484258">
            <w:pPr>
              <w:jc w:val="right"/>
              <w:rPr>
                <w:color w:val="000000"/>
                <w:sz w:val="20"/>
                <w:szCs w:val="20"/>
              </w:rPr>
            </w:pPr>
            <w:r>
              <w:rPr>
                <w:color w:val="000000" w:themeColor="text1"/>
                <w:sz w:val="20"/>
                <w:szCs w:val="20"/>
              </w:rPr>
              <w:t>0</w:t>
            </w:r>
          </w:p>
        </w:tc>
        <w:tc>
          <w:tcPr>
            <w:tcW w:w="834" w:type="pct"/>
            <w:tcBorders>
              <w:top w:val="nil"/>
              <w:left w:val="nil"/>
              <w:bottom w:val="single" w:sz="4" w:space="0" w:color="auto"/>
              <w:right w:val="single" w:sz="4" w:space="0" w:color="auto"/>
            </w:tcBorders>
            <w:shd w:val="clear" w:color="auto" w:fill="auto"/>
            <w:vAlign w:val="center"/>
            <w:hideMark/>
          </w:tcPr>
          <w:p w14:paraId="7CB3B432" w14:textId="77777777" w:rsidR="00EE3ED5" w:rsidRPr="008B23F4" w:rsidRDefault="00EE3ED5" w:rsidP="00484258">
            <w:pPr>
              <w:jc w:val="right"/>
              <w:rPr>
                <w:color w:val="000000"/>
                <w:sz w:val="20"/>
                <w:szCs w:val="20"/>
              </w:rPr>
            </w:pPr>
            <w:r>
              <w:rPr>
                <w:color w:val="000000" w:themeColor="text1"/>
                <w:sz w:val="20"/>
                <w:szCs w:val="20"/>
              </w:rPr>
              <w:t>13.500</w:t>
            </w:r>
          </w:p>
        </w:tc>
      </w:tr>
      <w:tr w:rsidR="00EE3ED5" w:rsidRPr="008B23F4" w14:paraId="2FC5602B" w14:textId="77777777" w:rsidTr="00484258">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5ABEDE9B" w14:textId="77777777" w:rsidR="00EE3ED5" w:rsidRPr="00DE58EF" w:rsidRDefault="00EE3ED5" w:rsidP="00484258">
            <w:pPr>
              <w:ind w:right="67"/>
              <w:jc w:val="right"/>
              <w:rPr>
                <w:b/>
                <w:bCs/>
                <w:color w:val="000000"/>
                <w:sz w:val="20"/>
                <w:szCs w:val="20"/>
              </w:rPr>
            </w:pPr>
            <w:r>
              <w:rPr>
                <w:b/>
                <w:bCs/>
                <w:color w:val="000000"/>
                <w:sz w:val="20"/>
                <w:szCs w:val="20"/>
              </w:rPr>
              <w:t>Total</w:t>
            </w:r>
          </w:p>
        </w:tc>
        <w:tc>
          <w:tcPr>
            <w:tcW w:w="834" w:type="pct"/>
            <w:tcBorders>
              <w:top w:val="nil"/>
              <w:left w:val="nil"/>
              <w:bottom w:val="single" w:sz="4" w:space="0" w:color="auto"/>
              <w:right w:val="single" w:sz="4" w:space="0" w:color="auto"/>
            </w:tcBorders>
            <w:shd w:val="clear" w:color="auto" w:fill="auto"/>
            <w:vAlign w:val="center"/>
            <w:hideMark/>
          </w:tcPr>
          <w:p w14:paraId="676EBAD2" w14:textId="77777777" w:rsidR="00EE3ED5" w:rsidRPr="00DE58EF" w:rsidRDefault="00EE3ED5" w:rsidP="00484258">
            <w:pPr>
              <w:jc w:val="right"/>
              <w:rPr>
                <w:b/>
                <w:bCs/>
                <w:color w:val="000000"/>
                <w:sz w:val="20"/>
                <w:szCs w:val="20"/>
              </w:rPr>
            </w:pPr>
            <w:r>
              <w:rPr>
                <w:b/>
                <w:bCs/>
                <w:color w:val="000000" w:themeColor="text1"/>
                <w:sz w:val="20"/>
                <w:szCs w:val="20"/>
              </w:rPr>
              <w:t>1.017.250</w:t>
            </w:r>
          </w:p>
        </w:tc>
        <w:tc>
          <w:tcPr>
            <w:tcW w:w="834" w:type="pct"/>
            <w:tcBorders>
              <w:top w:val="nil"/>
              <w:left w:val="nil"/>
              <w:bottom w:val="single" w:sz="4" w:space="0" w:color="auto"/>
              <w:right w:val="single" w:sz="4" w:space="0" w:color="auto"/>
            </w:tcBorders>
            <w:shd w:val="clear" w:color="auto" w:fill="auto"/>
            <w:vAlign w:val="center"/>
            <w:hideMark/>
          </w:tcPr>
          <w:p w14:paraId="1E01F451" w14:textId="77777777" w:rsidR="00EE3ED5" w:rsidRPr="00DE58EF" w:rsidRDefault="00EE3ED5" w:rsidP="00484258">
            <w:pPr>
              <w:jc w:val="right"/>
              <w:rPr>
                <w:b/>
                <w:bCs/>
                <w:color w:val="000000"/>
                <w:sz w:val="20"/>
                <w:szCs w:val="20"/>
              </w:rPr>
            </w:pPr>
            <w:r>
              <w:rPr>
                <w:b/>
                <w:bCs/>
                <w:color w:val="000000" w:themeColor="text1"/>
                <w:sz w:val="20"/>
                <w:szCs w:val="20"/>
              </w:rPr>
              <w:t>700.000</w:t>
            </w:r>
          </w:p>
        </w:tc>
        <w:tc>
          <w:tcPr>
            <w:tcW w:w="834" w:type="pct"/>
            <w:tcBorders>
              <w:top w:val="nil"/>
              <w:left w:val="nil"/>
              <w:bottom w:val="single" w:sz="4" w:space="0" w:color="auto"/>
              <w:right w:val="single" w:sz="4" w:space="0" w:color="auto"/>
            </w:tcBorders>
            <w:shd w:val="clear" w:color="auto" w:fill="auto"/>
            <w:vAlign w:val="center"/>
            <w:hideMark/>
          </w:tcPr>
          <w:p w14:paraId="4C067BBA" w14:textId="77777777" w:rsidR="00EE3ED5" w:rsidRPr="00DE58EF" w:rsidRDefault="00EE3ED5" w:rsidP="00484258">
            <w:pPr>
              <w:jc w:val="right"/>
              <w:rPr>
                <w:b/>
                <w:bCs/>
                <w:color w:val="000000"/>
                <w:sz w:val="20"/>
                <w:szCs w:val="20"/>
              </w:rPr>
            </w:pPr>
            <w:r>
              <w:rPr>
                <w:b/>
                <w:bCs/>
                <w:color w:val="000000" w:themeColor="text1"/>
                <w:sz w:val="20"/>
                <w:szCs w:val="20"/>
              </w:rPr>
              <w:t>317.250</w:t>
            </w:r>
          </w:p>
        </w:tc>
      </w:tr>
    </w:tbl>
    <w:p w14:paraId="4207240B" w14:textId="77777777" w:rsidR="00EE3ED5" w:rsidRPr="00333A6F" w:rsidRDefault="00EE3ED5" w:rsidP="00EE3ED5">
      <w:pPr>
        <w:spacing w:before="240" w:after="240"/>
      </w:pPr>
      <w:proofErr w:type="gramStart"/>
      <w:r>
        <w:rPr>
          <w:u w:val="single"/>
        </w:rPr>
        <w:t>Total</w:t>
      </w:r>
      <w:proofErr w:type="gramEnd"/>
      <w:r>
        <w:rPr>
          <w:u w:val="single"/>
        </w:rPr>
        <w:t xml:space="preserve"> de costos del proyecto piloto</w:t>
      </w:r>
    </w:p>
    <w:p w14:paraId="26FE8C58" w14:textId="77777777" w:rsidR="00EE3ED5" w:rsidRPr="00333A6F" w:rsidRDefault="00EE3ED5" w:rsidP="00EE3ED5">
      <w:pPr>
        <w:pStyle w:val="Heading1"/>
        <w:shd w:val="clear" w:color="auto" w:fill="FFFFFF" w:themeFill="background1"/>
      </w:pPr>
      <w:r>
        <w:lastRenderedPageBreak/>
        <w:t xml:space="preserve">El proyecto, con un costo total de USD 700.000, más los gastos de apoyo al organismo, como se ha presentado inicialmente, se ejecutará entre julio de 2025 y junio de 2028 y se espera que se haya completado durante los 36 meses siguientes a la aprobación. El Gobierno de Cuba aportará un cofinanciamiento de USD 317.250, como se indica en el cuadro 4. </w:t>
      </w:r>
    </w:p>
    <w:bookmarkEnd w:id="3"/>
    <w:bookmarkEnd w:id="4"/>
    <w:p w14:paraId="0E5AD75A" w14:textId="77777777" w:rsidR="00EE3ED5" w:rsidRPr="00333A6F" w:rsidRDefault="00EE3ED5" w:rsidP="00EE3ED5">
      <w:pPr>
        <w:keepNext/>
        <w:spacing w:before="360" w:after="240"/>
        <w:jc w:val="center"/>
        <w:rPr>
          <w:b/>
          <w:bCs/>
        </w:rPr>
      </w:pPr>
      <w:r>
        <w:rPr>
          <w:b/>
          <w:bCs/>
        </w:rPr>
        <w:t>OBSERVACIONES Y RECOMENDACIONES DE LA SECRETARÍA</w:t>
      </w:r>
    </w:p>
    <w:p w14:paraId="4E0440D5" w14:textId="77777777" w:rsidR="00EE3ED5" w:rsidRPr="00333A6F" w:rsidRDefault="00EE3ED5" w:rsidP="00EE3ED5">
      <w:pPr>
        <w:keepNext/>
        <w:spacing w:before="240" w:after="240"/>
        <w:rPr>
          <w:b/>
          <w:bCs/>
        </w:rPr>
      </w:pPr>
      <w:r>
        <w:rPr>
          <w:b/>
          <w:bCs/>
        </w:rPr>
        <w:t>OBSERVACIONES</w:t>
      </w:r>
    </w:p>
    <w:p w14:paraId="1437FA82" w14:textId="77777777" w:rsidR="00EE3ED5" w:rsidRDefault="00EE3ED5" w:rsidP="00EE3ED5">
      <w:pPr>
        <w:pStyle w:val="Heading1"/>
      </w:pPr>
      <w:r>
        <w:t>La Secretaría ha revisado la propuesta de proyecto a la luz de las actividades descritas en las decisiones 89/6 y 91/65, así como las que se están llevando a cabo en el marco de la etapa I del PAK.</w:t>
      </w:r>
    </w:p>
    <w:p w14:paraId="4291F982" w14:textId="77777777" w:rsidR="00EE3ED5" w:rsidRPr="00333A6F" w:rsidRDefault="00EE3ED5" w:rsidP="00EE3ED5">
      <w:pPr>
        <w:keepNext/>
        <w:spacing w:after="240"/>
        <w:rPr>
          <w:u w:val="single"/>
        </w:rPr>
      </w:pPr>
      <w:r>
        <w:rPr>
          <w:u w:val="single"/>
        </w:rPr>
        <w:t>Relación con la reducción de los HFC y el Plan de aplicación de la Enmienda de Kigali relativa a los HFC</w:t>
      </w:r>
    </w:p>
    <w:p w14:paraId="751DD77A" w14:textId="77777777" w:rsidR="00EE3ED5" w:rsidRPr="002A4F7D" w:rsidRDefault="00EE3ED5" w:rsidP="00EE3ED5">
      <w:pPr>
        <w:pStyle w:val="Heading1"/>
        <w:keepNext/>
        <w:shd w:val="clear" w:color="auto" w:fill="FFFFFF" w:themeFill="background1"/>
      </w:pPr>
      <w:r>
        <w:t>Ante la petición de que se aclararan los vínculos entre el PAK y el proyecto piloto, el PNUD afirmó que el proyecto apoyaría las medidas adoptadas por el país para cumplir con la reducción del 10 % de la base de referencia para el año 2029, centrándose en el sector de servicios de RAC. En particular, este proyecto estará vinculado al componente 1 del PAK (Apoyo al desarrollo de un contexto institucional para promover el uso adecuado de sustancias de bajo PCA en el marco de la aplicación de la Enmienda de Kigali), que contribuirá a desarrollar mecanismos de coordinación interinstitucional para facilitar la aplicación de los acuerdos de la Enmienda de Kigali, así como la difusión y sensibilización a escala nacional sobre el uso de refrigerantes de bajo PCA. También está vinculado al componente 3 del PAK (Desarrollo de actividades para facilitar la reducción de la demanda de HFC de alto PCA), a través de la capacitación y la sensibilización de los usuarios finales para promover y adoptar nuevas tecnologías de bajo PCA. El proyecto complementará la adopción de tecnologías de bajo PCA, la capacidad de las entidades nacionales para gestionar tecnologías alternativas y promoverá el establecimiento de normas y reglamentos para fomentar la adopción de nuevas tecnologías.</w:t>
      </w:r>
    </w:p>
    <w:p w14:paraId="14E048B4" w14:textId="77777777" w:rsidR="00EE3ED5" w:rsidRPr="005572E4" w:rsidRDefault="00EE3ED5" w:rsidP="00EE3ED5">
      <w:pPr>
        <w:pStyle w:val="Heading1"/>
        <w:rPr>
          <w:rFonts w:eastAsia="SimSun"/>
        </w:rPr>
      </w:pPr>
      <w:r>
        <w:t>De conformidad con la decisión 91/65(b)(</w:t>
      </w:r>
      <w:proofErr w:type="spellStart"/>
      <w:r>
        <w:t>iv</w:t>
      </w:r>
      <w:proofErr w:type="spellEnd"/>
      <w:r>
        <w:t>), se ha recibido confirmación del Gobierno de Cuba.</w:t>
      </w:r>
    </w:p>
    <w:p w14:paraId="7B51CBB9" w14:textId="77777777" w:rsidR="00EE3ED5" w:rsidRPr="00686262" w:rsidRDefault="00EE3ED5" w:rsidP="00EE3ED5">
      <w:pPr>
        <w:pStyle w:val="Heading1"/>
        <w:keepNext/>
        <w:numPr>
          <w:ilvl w:val="0"/>
          <w:numId w:val="0"/>
        </w:numPr>
        <w:shd w:val="clear" w:color="auto" w:fill="FFFFFF" w:themeFill="background1"/>
        <w:spacing w:before="240"/>
        <w:rPr>
          <w:u w:val="single"/>
        </w:rPr>
      </w:pPr>
      <w:r>
        <w:rPr>
          <w:u w:val="single"/>
        </w:rPr>
        <w:t>Marco político, normativo e institucional y desarrollo de normas mínimas de eficiencia energética</w:t>
      </w:r>
    </w:p>
    <w:p w14:paraId="0C016A1A" w14:textId="77777777" w:rsidR="00EE3ED5" w:rsidRPr="00692549" w:rsidRDefault="00EE3ED5" w:rsidP="00EE3ED5">
      <w:pPr>
        <w:pStyle w:val="Heading1"/>
      </w:pPr>
      <w:r>
        <w:t>En respuesta a diversas preguntas, el PNUD explicó que, aunque en la actualidad no existían normas mínimas de eficiencia energética para aparatos comerciales de aire acondicionado en Cuba, la participación e implicación de la ONURE en el desarrollo y ejecución de este proyecto piloto ayudaría a establecer dichas normas para refrigeradores comerciales y otros sistemas comerciales de aire acondicionado, e introduciría un paquete normativo para el cumplimiento obligatorio de las normas mínimas de eficiencia energética en el sector turístico, que podría aplicarse posteriormente a otros sectores en los que se utilicen sistemas similares de aire acondicionado de gran tamaño.</w:t>
      </w:r>
    </w:p>
    <w:p w14:paraId="2D501E85" w14:textId="77777777" w:rsidR="00EE3ED5" w:rsidRPr="00036505" w:rsidRDefault="00EE3ED5" w:rsidP="00EE3ED5">
      <w:pPr>
        <w:pStyle w:val="Heading1"/>
      </w:pPr>
      <w:r>
        <w:t>En cuanto a la replicabilidad de los resultados del proyecto, el PNUD informó a la Secretaría de que, debido a la participación de la ONURE, es decir, la institución que aprueba las nuevas inversiones en el país y está a cargo de la aplicación de normas mínimas de eficiencia energética, los resultados del proyecto contribuirían a las instrucciones y reglamentos de las políticas ambientales y energéticas pertinentes en consonancia con los objetivos del proyecto piloto con respecto a la reducción de las emisiones de CO</w:t>
      </w:r>
      <w:r w:rsidRPr="00EE3ED5">
        <w:rPr>
          <w:vertAlign w:val="subscript"/>
        </w:rPr>
        <w:t>2</w:t>
      </w:r>
      <w:r>
        <w:t xml:space="preserve"> mediante el uso de tecnologías de sustitución eficientes. ONURE utilizará los resultados para fomentar las inversiones en tecnologías </w:t>
      </w:r>
      <w:proofErr w:type="spellStart"/>
      <w:r>
        <w:t>ecoenergéticas</w:t>
      </w:r>
      <w:proofErr w:type="spellEnd"/>
      <w:r>
        <w:t xml:space="preserve"> basadas en refrigerantes de bajo PCA en el sector turístico y en otras aplicaciones de refrigeradores comerciales. El rendimiento de esta tecnología se daría a conocer en la región a través de la cooperación sur-sur y otros actos regionales pertinentes.</w:t>
      </w:r>
    </w:p>
    <w:p w14:paraId="75AF9B32" w14:textId="77777777" w:rsidR="00EE3ED5" w:rsidRPr="00EE3ED5" w:rsidRDefault="00EE3ED5" w:rsidP="00EE3ED5">
      <w:pPr>
        <w:pStyle w:val="Heading1"/>
        <w:numPr>
          <w:ilvl w:val="0"/>
          <w:numId w:val="0"/>
        </w:numPr>
        <w:rPr>
          <w:u w:val="single"/>
        </w:rPr>
      </w:pPr>
      <w:r w:rsidRPr="00EE3ED5">
        <w:rPr>
          <w:u w:val="single"/>
        </w:rPr>
        <w:t>Cuestiones técnicas y de costos</w:t>
      </w:r>
    </w:p>
    <w:p w14:paraId="6CE1C6EC" w14:textId="77777777" w:rsidR="00EE3ED5" w:rsidRPr="00D75029" w:rsidRDefault="00EE3ED5" w:rsidP="00EE3ED5">
      <w:pPr>
        <w:pStyle w:val="Heading1"/>
      </w:pPr>
      <w:r>
        <w:lastRenderedPageBreak/>
        <w:t xml:space="preserve">En respuesta a una pregunta sobre la disponibilidad y viabilidad de las tecnologías propuestas (R-290 y HFO-1234ze), el PNUD informó a la Secretaría de que los refrigerantes de hidrocarburos (HC), como el R-290 y el R-600a, se utilizaban ampliamente en Cuba para la refrigeración doméstica y comercial; y que con el apoyo técnico adecuado sobre las operaciones y el mantenimiento seguros de los refrigeradores comerciales basados en HC, los equipos podrían funcionar de manera eficiente. Aunque la tecnología basada en </w:t>
      </w:r>
      <w:proofErr w:type="spellStart"/>
      <w:r>
        <w:t>hidrofluoroolefinas</w:t>
      </w:r>
      <w:proofErr w:type="spellEnd"/>
      <w:r>
        <w:t xml:space="preserve"> (HFO) aún no se ha utilizado en Cuba, el PNUD afirmó que el personal técnico del país y los ingenieros que trabajan en el sector de mantenimiento de RAC estaban formados y eran capaces de manejar las nuevas tecnologías; con el apoyo de los proveedores de tecnología, los equipos pueden funcionar de forma eficiente. El PNUD añadió que los importadores y distribuidores de refrigerantes disponían de las condiciones y los conocimientos necesarios para comercializar HFO en caso necesario. En cuanto al cofinanciamiento en los cálculos de costos, el PNUD informó de que se consideraba como porcentaje del costo del equipo.</w:t>
      </w:r>
    </w:p>
    <w:p w14:paraId="2C992C05" w14:textId="77777777" w:rsidR="00EE3ED5" w:rsidRDefault="00EE3ED5" w:rsidP="00EE3ED5">
      <w:pPr>
        <w:pStyle w:val="Heading1"/>
      </w:pPr>
      <w:r>
        <w:t>La Secretaría preguntó por los motivos por los que era necesario demostrar dos tecnologías diferentes en lugar de una. El PNUD explicó que, para introducir en el país las últimas tecnologías en refrigeradores comerciales, era esencial considerar tanto las opciones de HC como las de HFO. Según el PNUD, mientras que los refrigeradores comerciales a base de HC son adecuados para aplicaciones más pequeñas utilizadas en complejos turísticos debido a su eficiencia y ventajas medioambientales, pueden plantear problemas de seguridad en instalaciones de mayor capacidad. Por otro lado, los refrigeradores comerciales con HFO son ideales para edificios más grandes por sus menores riesgos de seguridad, pero conllevan costos más elevados. Por lo tanto, no es factible elegir sólo una tecnología; una combinación de HC para aplicaciones más pequeñas y HFO para edificios más grandes garantiza la preparación para futuros cambios sin limitaciones. Dado que la demostración de la tecnología puede realizarse eficazmente mediante la selección de dos emplazamientos (uno para el R-290 y otro para el HFO-1234ze), tras las conversaciones mantenidas entre la Secretaría y el PNUD, se acordó que el número de emplazamientos se reduciría de cinco a dos. El PNUD confirmó además que los equipos sustituidos serían desmantelados y eliminados.</w:t>
      </w:r>
    </w:p>
    <w:p w14:paraId="0B3A7F08" w14:textId="77777777" w:rsidR="00EE3ED5" w:rsidRPr="00EA1407" w:rsidRDefault="00EE3ED5" w:rsidP="00EE3ED5">
      <w:pPr>
        <w:pStyle w:val="Heading1"/>
        <w:rPr>
          <w:color w:val="000000" w:themeColor="text1"/>
        </w:rPr>
      </w:pPr>
      <w:r>
        <w:rPr>
          <w:color w:val="000000" w:themeColor="text1"/>
        </w:rPr>
        <w:t xml:space="preserve">El presupuesto del proyecto se ajustó en función de la priorización de los refrigeradores comerciales que debían incluirse. El ajuste más significativo se refiere a la reducción del número de sustituciones de demostración, de cinco refrigeradores comerciales en cuatro emplazamientos a dos refrigeradores comerciales en dos emplazamientos. </w:t>
      </w:r>
      <w:r>
        <w:t xml:space="preserve">La Secretaría consultó al PNUD sobre el cofinanciamiento, basándose en otros proyectos similares. </w:t>
      </w:r>
      <w:r>
        <w:rPr>
          <w:color w:val="000000" w:themeColor="text1"/>
        </w:rPr>
        <w:t>El costo total revisado de la propuesta asciende a USD 455.000, como se indica en el cuadro 5.</w:t>
      </w:r>
    </w:p>
    <w:p w14:paraId="5E2806C2" w14:textId="77777777" w:rsidR="00EE3ED5" w:rsidRDefault="00EE3ED5" w:rsidP="00EE3ED5">
      <w:pPr>
        <w:shd w:val="clear" w:color="auto" w:fill="FFFFFF" w:themeFill="background1"/>
        <w:rPr>
          <w:b/>
          <w:bCs/>
        </w:rPr>
      </w:pPr>
      <w:r>
        <w:rPr>
          <w:b/>
          <w:bCs/>
        </w:rPr>
        <w:t>Cuadro 5. Presupuesto total del proyecto y desglose de las fuentes de financiamiento (USD)</w:t>
      </w:r>
    </w:p>
    <w:tbl>
      <w:tblPr>
        <w:tblW w:w="5000" w:type="pct"/>
        <w:tblLayout w:type="fixed"/>
        <w:tblLook w:val="04A0" w:firstRow="1" w:lastRow="0" w:firstColumn="1" w:lastColumn="0" w:noHBand="0" w:noVBand="1"/>
      </w:tblPr>
      <w:tblGrid>
        <w:gridCol w:w="5333"/>
        <w:gridCol w:w="1012"/>
        <w:gridCol w:w="1610"/>
        <w:gridCol w:w="1395"/>
      </w:tblGrid>
      <w:tr w:rsidR="00EE3ED5" w:rsidRPr="008B23F4" w14:paraId="4BF17701" w14:textId="77777777" w:rsidTr="00484258">
        <w:trPr>
          <w:trHeight w:val="97"/>
        </w:trPr>
        <w:tc>
          <w:tcPr>
            <w:tcW w:w="285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82ACD" w14:textId="77777777" w:rsidR="00EE3ED5" w:rsidRPr="008B23F4" w:rsidRDefault="00EE3ED5" w:rsidP="00484258">
            <w:pPr>
              <w:jc w:val="center"/>
              <w:rPr>
                <w:b/>
                <w:bCs/>
                <w:color w:val="000000"/>
                <w:sz w:val="20"/>
                <w:szCs w:val="20"/>
              </w:rPr>
            </w:pPr>
            <w:r>
              <w:rPr>
                <w:b/>
                <w:bCs/>
                <w:sz w:val="20"/>
                <w:szCs w:val="20"/>
              </w:rPr>
              <w:t>Componente</w:t>
            </w:r>
          </w:p>
        </w:tc>
        <w:tc>
          <w:tcPr>
            <w:tcW w:w="541" w:type="pct"/>
            <w:tcBorders>
              <w:top w:val="single" w:sz="4" w:space="0" w:color="auto"/>
              <w:left w:val="nil"/>
              <w:bottom w:val="single" w:sz="4" w:space="0" w:color="auto"/>
              <w:right w:val="single" w:sz="4" w:space="0" w:color="auto"/>
            </w:tcBorders>
            <w:shd w:val="clear" w:color="000000" w:fill="FFFFFF"/>
            <w:vAlign w:val="center"/>
            <w:hideMark/>
          </w:tcPr>
          <w:p w14:paraId="28AECAA6" w14:textId="77777777" w:rsidR="00EE3ED5" w:rsidRPr="008B23F4" w:rsidRDefault="00EE3ED5" w:rsidP="00484258">
            <w:pPr>
              <w:jc w:val="center"/>
              <w:rPr>
                <w:b/>
                <w:bCs/>
                <w:color w:val="000000"/>
                <w:sz w:val="20"/>
                <w:szCs w:val="20"/>
              </w:rPr>
            </w:pPr>
            <w:r>
              <w:rPr>
                <w:b/>
                <w:bCs/>
                <w:sz w:val="20"/>
                <w:szCs w:val="20"/>
              </w:rPr>
              <w:t>Total</w:t>
            </w:r>
          </w:p>
        </w:tc>
        <w:tc>
          <w:tcPr>
            <w:tcW w:w="861" w:type="pct"/>
            <w:tcBorders>
              <w:top w:val="single" w:sz="4" w:space="0" w:color="auto"/>
              <w:left w:val="nil"/>
              <w:bottom w:val="single" w:sz="4" w:space="0" w:color="auto"/>
              <w:right w:val="single" w:sz="4" w:space="0" w:color="auto"/>
            </w:tcBorders>
            <w:shd w:val="clear" w:color="000000" w:fill="FFFFFF"/>
            <w:vAlign w:val="center"/>
            <w:hideMark/>
          </w:tcPr>
          <w:p w14:paraId="54A1036B" w14:textId="77777777" w:rsidR="00EE3ED5" w:rsidRPr="008B23F4" w:rsidRDefault="00EE3ED5" w:rsidP="00484258">
            <w:pPr>
              <w:jc w:val="center"/>
              <w:rPr>
                <w:b/>
                <w:bCs/>
                <w:color w:val="000000"/>
                <w:sz w:val="20"/>
                <w:szCs w:val="20"/>
              </w:rPr>
            </w:pPr>
            <w:r>
              <w:rPr>
                <w:b/>
                <w:bCs/>
                <w:sz w:val="20"/>
                <w:szCs w:val="20"/>
              </w:rPr>
              <w:t>Financiamiento del FML</w:t>
            </w:r>
          </w:p>
        </w:tc>
        <w:tc>
          <w:tcPr>
            <w:tcW w:w="747" w:type="pct"/>
            <w:tcBorders>
              <w:top w:val="single" w:sz="4" w:space="0" w:color="auto"/>
              <w:left w:val="nil"/>
              <w:bottom w:val="single" w:sz="4" w:space="0" w:color="auto"/>
              <w:right w:val="single" w:sz="4" w:space="0" w:color="auto"/>
            </w:tcBorders>
            <w:shd w:val="clear" w:color="000000" w:fill="FFFFFF"/>
            <w:vAlign w:val="center"/>
            <w:hideMark/>
          </w:tcPr>
          <w:p w14:paraId="400CF3CB" w14:textId="28F0A5FD" w:rsidR="00EE3ED5" w:rsidRPr="008B23F4" w:rsidRDefault="00EE3ED5" w:rsidP="00484258">
            <w:pPr>
              <w:jc w:val="center"/>
              <w:rPr>
                <w:b/>
                <w:bCs/>
                <w:color w:val="000000"/>
                <w:sz w:val="20"/>
                <w:szCs w:val="20"/>
              </w:rPr>
            </w:pPr>
            <w:proofErr w:type="gramStart"/>
            <w:r>
              <w:rPr>
                <w:b/>
                <w:bCs/>
                <w:sz w:val="20"/>
                <w:szCs w:val="20"/>
              </w:rPr>
              <w:t>Cofinancia-miento</w:t>
            </w:r>
            <w:proofErr w:type="gramEnd"/>
          </w:p>
        </w:tc>
      </w:tr>
      <w:tr w:rsidR="00EE3ED5" w:rsidRPr="008B23F4" w14:paraId="4021FED1"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096F4D6A" w14:textId="77777777" w:rsidR="00EE3ED5" w:rsidRPr="008B23F4" w:rsidRDefault="00EE3ED5" w:rsidP="00484258">
            <w:pPr>
              <w:rPr>
                <w:color w:val="000000"/>
                <w:sz w:val="20"/>
                <w:szCs w:val="20"/>
              </w:rPr>
            </w:pPr>
            <w:r>
              <w:rPr>
                <w:color w:val="000000" w:themeColor="text1"/>
                <w:sz w:val="20"/>
                <w:szCs w:val="20"/>
              </w:rPr>
              <w:t>Adquisición de refrigeradores comerciales (2)</w:t>
            </w:r>
          </w:p>
        </w:tc>
        <w:tc>
          <w:tcPr>
            <w:tcW w:w="541" w:type="pct"/>
            <w:tcBorders>
              <w:top w:val="nil"/>
              <w:left w:val="nil"/>
              <w:bottom w:val="single" w:sz="4" w:space="0" w:color="auto"/>
              <w:right w:val="single" w:sz="4" w:space="0" w:color="auto"/>
            </w:tcBorders>
            <w:shd w:val="clear" w:color="auto" w:fill="auto"/>
            <w:vAlign w:val="center"/>
            <w:hideMark/>
          </w:tcPr>
          <w:p w14:paraId="0DF98C24" w14:textId="77777777" w:rsidR="00EE3ED5" w:rsidRPr="008B23F4" w:rsidRDefault="00EE3ED5" w:rsidP="00484258">
            <w:pPr>
              <w:jc w:val="right"/>
              <w:rPr>
                <w:color w:val="000000"/>
                <w:sz w:val="20"/>
                <w:szCs w:val="20"/>
              </w:rPr>
            </w:pPr>
            <w:r>
              <w:rPr>
                <w:color w:val="000000" w:themeColor="text1"/>
                <w:sz w:val="20"/>
                <w:szCs w:val="20"/>
              </w:rPr>
              <w:t>350.000</w:t>
            </w:r>
          </w:p>
        </w:tc>
        <w:tc>
          <w:tcPr>
            <w:tcW w:w="861" w:type="pct"/>
            <w:tcBorders>
              <w:top w:val="nil"/>
              <w:left w:val="nil"/>
              <w:bottom w:val="single" w:sz="4" w:space="0" w:color="auto"/>
              <w:right w:val="single" w:sz="4" w:space="0" w:color="auto"/>
            </w:tcBorders>
            <w:shd w:val="clear" w:color="auto" w:fill="auto"/>
            <w:vAlign w:val="center"/>
            <w:hideMark/>
          </w:tcPr>
          <w:p w14:paraId="3981F022" w14:textId="77777777" w:rsidR="00EE3ED5" w:rsidRPr="008B23F4" w:rsidRDefault="00EE3ED5" w:rsidP="00484258">
            <w:pPr>
              <w:jc w:val="right"/>
              <w:rPr>
                <w:color w:val="000000"/>
                <w:sz w:val="20"/>
                <w:szCs w:val="20"/>
              </w:rPr>
            </w:pPr>
            <w:r>
              <w:rPr>
                <w:color w:val="000000"/>
                <w:sz w:val="20"/>
                <w:szCs w:val="20"/>
              </w:rPr>
              <w:t>350.000</w:t>
            </w:r>
          </w:p>
        </w:tc>
        <w:tc>
          <w:tcPr>
            <w:tcW w:w="747" w:type="pct"/>
            <w:tcBorders>
              <w:top w:val="nil"/>
              <w:left w:val="nil"/>
              <w:bottom w:val="single" w:sz="4" w:space="0" w:color="auto"/>
              <w:right w:val="single" w:sz="4" w:space="0" w:color="auto"/>
            </w:tcBorders>
            <w:shd w:val="clear" w:color="auto" w:fill="auto"/>
            <w:vAlign w:val="center"/>
            <w:hideMark/>
          </w:tcPr>
          <w:p w14:paraId="48E624E3" w14:textId="77777777" w:rsidR="00EE3ED5" w:rsidRPr="008B23F4" w:rsidRDefault="00EE3ED5" w:rsidP="00484258">
            <w:pPr>
              <w:jc w:val="right"/>
              <w:rPr>
                <w:color w:val="000000"/>
                <w:sz w:val="20"/>
                <w:szCs w:val="20"/>
              </w:rPr>
            </w:pPr>
            <w:r>
              <w:rPr>
                <w:color w:val="000000" w:themeColor="text1"/>
                <w:sz w:val="20"/>
                <w:szCs w:val="20"/>
              </w:rPr>
              <w:t>0</w:t>
            </w:r>
          </w:p>
        </w:tc>
      </w:tr>
      <w:tr w:rsidR="00EE3ED5" w:rsidRPr="008B23F4" w14:paraId="64771476"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73397668" w14:textId="77777777" w:rsidR="00EE3ED5" w:rsidRPr="008B23F4" w:rsidRDefault="00EE3ED5" w:rsidP="00484258">
            <w:pPr>
              <w:rPr>
                <w:color w:val="000000"/>
                <w:sz w:val="20"/>
                <w:szCs w:val="20"/>
              </w:rPr>
            </w:pPr>
            <w:r>
              <w:rPr>
                <w:color w:val="000000" w:themeColor="text1"/>
                <w:sz w:val="20"/>
                <w:szCs w:val="20"/>
              </w:rPr>
              <w:t>Adquisición de dispositivos de medición del rendimiento (2)</w:t>
            </w:r>
          </w:p>
        </w:tc>
        <w:tc>
          <w:tcPr>
            <w:tcW w:w="541" w:type="pct"/>
            <w:tcBorders>
              <w:top w:val="nil"/>
              <w:left w:val="nil"/>
              <w:bottom w:val="single" w:sz="4" w:space="0" w:color="auto"/>
              <w:right w:val="single" w:sz="4" w:space="0" w:color="auto"/>
            </w:tcBorders>
            <w:shd w:val="clear" w:color="auto" w:fill="auto"/>
            <w:vAlign w:val="center"/>
            <w:hideMark/>
          </w:tcPr>
          <w:p w14:paraId="7E8075DA" w14:textId="77777777" w:rsidR="00EE3ED5" w:rsidRPr="008B23F4" w:rsidRDefault="00EE3ED5" w:rsidP="00484258">
            <w:pPr>
              <w:jc w:val="right"/>
              <w:rPr>
                <w:color w:val="000000"/>
                <w:sz w:val="20"/>
                <w:szCs w:val="20"/>
              </w:rPr>
            </w:pPr>
            <w:r>
              <w:rPr>
                <w:color w:val="000000"/>
                <w:sz w:val="20"/>
                <w:szCs w:val="20"/>
              </w:rPr>
              <w:t>10.000</w:t>
            </w:r>
          </w:p>
        </w:tc>
        <w:tc>
          <w:tcPr>
            <w:tcW w:w="861" w:type="pct"/>
            <w:tcBorders>
              <w:top w:val="nil"/>
              <w:left w:val="nil"/>
              <w:bottom w:val="single" w:sz="4" w:space="0" w:color="auto"/>
              <w:right w:val="single" w:sz="4" w:space="0" w:color="auto"/>
            </w:tcBorders>
            <w:shd w:val="clear" w:color="auto" w:fill="auto"/>
            <w:vAlign w:val="center"/>
            <w:hideMark/>
          </w:tcPr>
          <w:p w14:paraId="213638FD" w14:textId="77777777" w:rsidR="00EE3ED5" w:rsidRPr="008B23F4" w:rsidRDefault="00EE3ED5" w:rsidP="00484258">
            <w:pPr>
              <w:jc w:val="right"/>
              <w:rPr>
                <w:color w:val="000000"/>
                <w:sz w:val="20"/>
                <w:szCs w:val="20"/>
              </w:rPr>
            </w:pPr>
            <w:r>
              <w:rPr>
                <w:color w:val="000000" w:themeColor="text1"/>
                <w:sz w:val="20"/>
                <w:szCs w:val="20"/>
              </w:rPr>
              <w:t>10.000</w:t>
            </w:r>
          </w:p>
        </w:tc>
        <w:tc>
          <w:tcPr>
            <w:tcW w:w="747" w:type="pct"/>
            <w:tcBorders>
              <w:top w:val="nil"/>
              <w:left w:val="nil"/>
              <w:bottom w:val="single" w:sz="4" w:space="0" w:color="auto"/>
              <w:right w:val="single" w:sz="4" w:space="0" w:color="auto"/>
            </w:tcBorders>
            <w:shd w:val="clear" w:color="auto" w:fill="auto"/>
            <w:vAlign w:val="center"/>
            <w:hideMark/>
          </w:tcPr>
          <w:p w14:paraId="38350113" w14:textId="77777777" w:rsidR="00EE3ED5" w:rsidRPr="008B23F4" w:rsidRDefault="00EE3ED5" w:rsidP="00484258">
            <w:pPr>
              <w:jc w:val="right"/>
              <w:rPr>
                <w:color w:val="000000"/>
                <w:sz w:val="20"/>
                <w:szCs w:val="20"/>
              </w:rPr>
            </w:pPr>
            <w:r>
              <w:rPr>
                <w:color w:val="000000" w:themeColor="text1"/>
                <w:sz w:val="20"/>
                <w:szCs w:val="20"/>
              </w:rPr>
              <w:t>0</w:t>
            </w:r>
          </w:p>
        </w:tc>
      </w:tr>
      <w:tr w:rsidR="00EE3ED5" w:rsidRPr="008B23F4" w14:paraId="11738704"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758D58C" w14:textId="77777777" w:rsidR="00EE3ED5" w:rsidRPr="008B23F4" w:rsidRDefault="00EE3ED5" w:rsidP="00484258">
            <w:pPr>
              <w:rPr>
                <w:color w:val="000000"/>
                <w:sz w:val="20"/>
                <w:szCs w:val="20"/>
              </w:rPr>
            </w:pPr>
            <w:r>
              <w:rPr>
                <w:color w:val="000000"/>
                <w:sz w:val="20"/>
                <w:szCs w:val="20"/>
              </w:rPr>
              <w:t>Medición del consumo de energía</w:t>
            </w:r>
          </w:p>
        </w:tc>
        <w:tc>
          <w:tcPr>
            <w:tcW w:w="541" w:type="pct"/>
            <w:tcBorders>
              <w:top w:val="nil"/>
              <w:left w:val="nil"/>
              <w:bottom w:val="single" w:sz="4" w:space="0" w:color="auto"/>
              <w:right w:val="single" w:sz="4" w:space="0" w:color="auto"/>
            </w:tcBorders>
            <w:shd w:val="clear" w:color="auto" w:fill="auto"/>
            <w:vAlign w:val="center"/>
            <w:hideMark/>
          </w:tcPr>
          <w:p w14:paraId="36053E2B" w14:textId="77777777" w:rsidR="00EE3ED5" w:rsidRPr="008B23F4" w:rsidRDefault="00EE3ED5" w:rsidP="00484258">
            <w:pPr>
              <w:jc w:val="right"/>
              <w:rPr>
                <w:color w:val="000000"/>
                <w:sz w:val="20"/>
                <w:szCs w:val="20"/>
              </w:rPr>
            </w:pPr>
            <w:r>
              <w:rPr>
                <w:color w:val="000000" w:themeColor="text1"/>
                <w:sz w:val="20"/>
                <w:szCs w:val="20"/>
              </w:rPr>
              <w:t>14.000</w:t>
            </w:r>
          </w:p>
        </w:tc>
        <w:tc>
          <w:tcPr>
            <w:tcW w:w="861" w:type="pct"/>
            <w:tcBorders>
              <w:top w:val="nil"/>
              <w:left w:val="nil"/>
              <w:bottom w:val="single" w:sz="4" w:space="0" w:color="auto"/>
              <w:right w:val="single" w:sz="4" w:space="0" w:color="auto"/>
            </w:tcBorders>
            <w:shd w:val="clear" w:color="auto" w:fill="auto"/>
            <w:vAlign w:val="center"/>
            <w:hideMark/>
          </w:tcPr>
          <w:p w14:paraId="022EB717" w14:textId="77777777" w:rsidR="00EE3ED5" w:rsidRPr="008B23F4" w:rsidRDefault="00EE3ED5" w:rsidP="00484258">
            <w:pPr>
              <w:jc w:val="right"/>
              <w:rPr>
                <w:color w:val="000000"/>
                <w:sz w:val="20"/>
                <w:szCs w:val="20"/>
              </w:rPr>
            </w:pPr>
            <w:r>
              <w:rPr>
                <w:color w:val="000000" w:themeColor="text1"/>
                <w:sz w:val="20"/>
                <w:szCs w:val="20"/>
              </w:rPr>
              <w:t>0</w:t>
            </w:r>
          </w:p>
        </w:tc>
        <w:tc>
          <w:tcPr>
            <w:tcW w:w="747" w:type="pct"/>
            <w:tcBorders>
              <w:top w:val="nil"/>
              <w:left w:val="nil"/>
              <w:bottom w:val="single" w:sz="4" w:space="0" w:color="auto"/>
              <w:right w:val="single" w:sz="4" w:space="0" w:color="auto"/>
            </w:tcBorders>
            <w:shd w:val="clear" w:color="auto" w:fill="auto"/>
            <w:vAlign w:val="center"/>
            <w:hideMark/>
          </w:tcPr>
          <w:p w14:paraId="55329B10" w14:textId="77777777" w:rsidR="00EE3ED5" w:rsidRPr="008B23F4" w:rsidRDefault="00EE3ED5" w:rsidP="00484258">
            <w:pPr>
              <w:jc w:val="right"/>
              <w:rPr>
                <w:color w:val="000000"/>
                <w:sz w:val="20"/>
                <w:szCs w:val="20"/>
              </w:rPr>
            </w:pPr>
            <w:r>
              <w:rPr>
                <w:color w:val="000000" w:themeColor="text1"/>
                <w:sz w:val="20"/>
                <w:szCs w:val="20"/>
              </w:rPr>
              <w:t>14.000</w:t>
            </w:r>
          </w:p>
        </w:tc>
      </w:tr>
      <w:tr w:rsidR="00EE3ED5" w:rsidRPr="008B23F4" w14:paraId="58BF476F"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180F5289" w14:textId="77777777" w:rsidR="00EE3ED5" w:rsidRPr="008B23F4" w:rsidRDefault="00EE3ED5" w:rsidP="00484258">
            <w:pPr>
              <w:rPr>
                <w:color w:val="000000"/>
                <w:sz w:val="20"/>
                <w:szCs w:val="20"/>
              </w:rPr>
            </w:pPr>
            <w:r>
              <w:rPr>
                <w:color w:val="000000" w:themeColor="text1"/>
                <w:sz w:val="20"/>
                <w:szCs w:val="20"/>
              </w:rPr>
              <w:t>Diseño e instalación del sistema</w:t>
            </w:r>
          </w:p>
        </w:tc>
        <w:tc>
          <w:tcPr>
            <w:tcW w:w="541" w:type="pct"/>
            <w:tcBorders>
              <w:top w:val="nil"/>
              <w:left w:val="nil"/>
              <w:bottom w:val="single" w:sz="4" w:space="0" w:color="auto"/>
              <w:right w:val="single" w:sz="4" w:space="0" w:color="auto"/>
            </w:tcBorders>
            <w:shd w:val="clear" w:color="auto" w:fill="auto"/>
            <w:vAlign w:val="center"/>
            <w:hideMark/>
          </w:tcPr>
          <w:p w14:paraId="1EDE2072" w14:textId="77777777" w:rsidR="00EE3ED5" w:rsidRPr="008B23F4" w:rsidRDefault="00EE3ED5" w:rsidP="00484258">
            <w:pPr>
              <w:jc w:val="right"/>
              <w:rPr>
                <w:color w:val="000000"/>
                <w:sz w:val="20"/>
                <w:szCs w:val="20"/>
              </w:rPr>
            </w:pPr>
            <w:r>
              <w:rPr>
                <w:color w:val="000000" w:themeColor="text1"/>
                <w:sz w:val="20"/>
                <w:szCs w:val="20"/>
              </w:rPr>
              <w:t>20.000</w:t>
            </w:r>
          </w:p>
        </w:tc>
        <w:tc>
          <w:tcPr>
            <w:tcW w:w="861" w:type="pct"/>
            <w:tcBorders>
              <w:top w:val="nil"/>
              <w:left w:val="nil"/>
              <w:bottom w:val="single" w:sz="4" w:space="0" w:color="auto"/>
              <w:right w:val="single" w:sz="4" w:space="0" w:color="auto"/>
            </w:tcBorders>
            <w:shd w:val="clear" w:color="auto" w:fill="auto"/>
            <w:vAlign w:val="center"/>
            <w:hideMark/>
          </w:tcPr>
          <w:p w14:paraId="4A8F849D" w14:textId="77777777" w:rsidR="00EE3ED5" w:rsidRPr="008B23F4" w:rsidRDefault="00EE3ED5" w:rsidP="00484258">
            <w:pPr>
              <w:jc w:val="right"/>
              <w:rPr>
                <w:color w:val="000000"/>
                <w:sz w:val="20"/>
                <w:szCs w:val="20"/>
              </w:rPr>
            </w:pPr>
            <w:r>
              <w:rPr>
                <w:color w:val="000000" w:themeColor="text1"/>
                <w:sz w:val="20"/>
                <w:szCs w:val="20"/>
              </w:rPr>
              <w:t>0</w:t>
            </w:r>
          </w:p>
        </w:tc>
        <w:tc>
          <w:tcPr>
            <w:tcW w:w="747" w:type="pct"/>
            <w:tcBorders>
              <w:top w:val="nil"/>
              <w:left w:val="nil"/>
              <w:bottom w:val="single" w:sz="4" w:space="0" w:color="auto"/>
              <w:right w:val="single" w:sz="4" w:space="0" w:color="auto"/>
            </w:tcBorders>
            <w:shd w:val="clear" w:color="auto" w:fill="auto"/>
            <w:vAlign w:val="center"/>
            <w:hideMark/>
          </w:tcPr>
          <w:p w14:paraId="7EDF54A5" w14:textId="77777777" w:rsidR="00EE3ED5" w:rsidRPr="008B23F4" w:rsidRDefault="00EE3ED5" w:rsidP="00484258">
            <w:pPr>
              <w:jc w:val="right"/>
              <w:rPr>
                <w:color w:val="000000"/>
                <w:sz w:val="20"/>
                <w:szCs w:val="20"/>
              </w:rPr>
            </w:pPr>
            <w:r>
              <w:rPr>
                <w:color w:val="000000" w:themeColor="text1"/>
                <w:sz w:val="20"/>
                <w:szCs w:val="20"/>
              </w:rPr>
              <w:t>20.000</w:t>
            </w:r>
          </w:p>
        </w:tc>
      </w:tr>
      <w:tr w:rsidR="00EE3ED5" w:rsidRPr="008B23F4" w14:paraId="325AE907"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3D245327" w14:textId="77777777" w:rsidR="00EE3ED5" w:rsidRPr="008B23F4" w:rsidRDefault="00EE3ED5" w:rsidP="00484258">
            <w:pPr>
              <w:rPr>
                <w:color w:val="000000"/>
                <w:sz w:val="20"/>
                <w:szCs w:val="20"/>
              </w:rPr>
            </w:pPr>
            <w:r>
              <w:rPr>
                <w:color w:val="000000"/>
                <w:sz w:val="20"/>
                <w:szCs w:val="20"/>
              </w:rPr>
              <w:t>Montaje de equipos y trabajos de construcción</w:t>
            </w:r>
          </w:p>
        </w:tc>
        <w:tc>
          <w:tcPr>
            <w:tcW w:w="541" w:type="pct"/>
            <w:tcBorders>
              <w:top w:val="nil"/>
              <w:left w:val="nil"/>
              <w:bottom w:val="single" w:sz="4" w:space="0" w:color="auto"/>
              <w:right w:val="single" w:sz="4" w:space="0" w:color="auto"/>
            </w:tcBorders>
            <w:shd w:val="clear" w:color="auto" w:fill="auto"/>
            <w:vAlign w:val="center"/>
            <w:hideMark/>
          </w:tcPr>
          <w:p w14:paraId="3596D33D" w14:textId="77777777" w:rsidR="00EE3ED5" w:rsidRPr="008B23F4" w:rsidRDefault="00EE3ED5" w:rsidP="00484258">
            <w:pPr>
              <w:jc w:val="right"/>
              <w:rPr>
                <w:color w:val="000000"/>
                <w:sz w:val="20"/>
                <w:szCs w:val="20"/>
              </w:rPr>
            </w:pPr>
            <w:r>
              <w:rPr>
                <w:color w:val="000000"/>
                <w:sz w:val="20"/>
                <w:szCs w:val="20"/>
              </w:rPr>
              <w:t>50.000</w:t>
            </w:r>
          </w:p>
        </w:tc>
        <w:tc>
          <w:tcPr>
            <w:tcW w:w="861" w:type="pct"/>
            <w:tcBorders>
              <w:top w:val="nil"/>
              <w:left w:val="nil"/>
              <w:bottom w:val="single" w:sz="4" w:space="0" w:color="auto"/>
              <w:right w:val="single" w:sz="4" w:space="0" w:color="auto"/>
            </w:tcBorders>
            <w:shd w:val="clear" w:color="auto" w:fill="auto"/>
            <w:vAlign w:val="center"/>
            <w:hideMark/>
          </w:tcPr>
          <w:p w14:paraId="76329D5A" w14:textId="77777777" w:rsidR="00EE3ED5" w:rsidRPr="008B23F4" w:rsidRDefault="00EE3ED5" w:rsidP="00484258">
            <w:pPr>
              <w:jc w:val="right"/>
              <w:rPr>
                <w:color w:val="000000"/>
                <w:sz w:val="20"/>
                <w:szCs w:val="20"/>
              </w:rPr>
            </w:pPr>
            <w:r>
              <w:rPr>
                <w:color w:val="000000" w:themeColor="text1"/>
                <w:sz w:val="20"/>
                <w:szCs w:val="20"/>
              </w:rPr>
              <w:t>0</w:t>
            </w:r>
          </w:p>
        </w:tc>
        <w:tc>
          <w:tcPr>
            <w:tcW w:w="747" w:type="pct"/>
            <w:tcBorders>
              <w:top w:val="nil"/>
              <w:left w:val="nil"/>
              <w:bottom w:val="single" w:sz="4" w:space="0" w:color="auto"/>
              <w:right w:val="single" w:sz="4" w:space="0" w:color="auto"/>
            </w:tcBorders>
            <w:shd w:val="clear" w:color="auto" w:fill="auto"/>
            <w:vAlign w:val="center"/>
            <w:hideMark/>
          </w:tcPr>
          <w:p w14:paraId="0ECB8FDE" w14:textId="77777777" w:rsidR="00EE3ED5" w:rsidRPr="008B23F4" w:rsidRDefault="00EE3ED5" w:rsidP="00484258">
            <w:pPr>
              <w:jc w:val="right"/>
              <w:rPr>
                <w:color w:val="000000"/>
                <w:sz w:val="20"/>
                <w:szCs w:val="20"/>
              </w:rPr>
            </w:pPr>
            <w:r>
              <w:rPr>
                <w:color w:val="000000" w:themeColor="text1"/>
                <w:sz w:val="20"/>
                <w:szCs w:val="20"/>
              </w:rPr>
              <w:t>50.000</w:t>
            </w:r>
          </w:p>
        </w:tc>
      </w:tr>
      <w:tr w:rsidR="00EE3ED5" w:rsidRPr="008B23F4" w14:paraId="44C3D040"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4AA7FEB" w14:textId="77777777" w:rsidR="00EE3ED5" w:rsidRPr="008B23F4" w:rsidRDefault="00EE3ED5" w:rsidP="00484258">
            <w:pPr>
              <w:rPr>
                <w:color w:val="000000"/>
                <w:sz w:val="20"/>
                <w:szCs w:val="20"/>
              </w:rPr>
            </w:pPr>
            <w:r>
              <w:rPr>
                <w:color w:val="000000"/>
                <w:sz w:val="20"/>
                <w:szCs w:val="20"/>
              </w:rPr>
              <w:t>Capacitación del personal técnico y logístico</w:t>
            </w:r>
          </w:p>
        </w:tc>
        <w:tc>
          <w:tcPr>
            <w:tcW w:w="541" w:type="pct"/>
            <w:tcBorders>
              <w:top w:val="nil"/>
              <w:left w:val="nil"/>
              <w:bottom w:val="single" w:sz="4" w:space="0" w:color="auto"/>
              <w:right w:val="single" w:sz="4" w:space="0" w:color="auto"/>
            </w:tcBorders>
            <w:shd w:val="clear" w:color="auto" w:fill="auto"/>
            <w:vAlign w:val="center"/>
            <w:hideMark/>
          </w:tcPr>
          <w:p w14:paraId="7BFA340F" w14:textId="77777777" w:rsidR="00EE3ED5" w:rsidRPr="008B23F4" w:rsidRDefault="00EE3ED5" w:rsidP="00484258">
            <w:pPr>
              <w:jc w:val="right"/>
              <w:rPr>
                <w:color w:val="000000"/>
                <w:sz w:val="20"/>
                <w:szCs w:val="20"/>
              </w:rPr>
            </w:pPr>
            <w:r>
              <w:rPr>
                <w:color w:val="000000"/>
                <w:sz w:val="20"/>
                <w:szCs w:val="20"/>
              </w:rPr>
              <w:t>7.000</w:t>
            </w:r>
          </w:p>
        </w:tc>
        <w:tc>
          <w:tcPr>
            <w:tcW w:w="861" w:type="pct"/>
            <w:tcBorders>
              <w:top w:val="nil"/>
              <w:left w:val="nil"/>
              <w:bottom w:val="single" w:sz="4" w:space="0" w:color="auto"/>
              <w:right w:val="single" w:sz="4" w:space="0" w:color="auto"/>
            </w:tcBorders>
            <w:shd w:val="clear" w:color="auto" w:fill="auto"/>
            <w:vAlign w:val="center"/>
            <w:hideMark/>
          </w:tcPr>
          <w:p w14:paraId="48AC0D8C" w14:textId="77777777" w:rsidR="00EE3ED5" w:rsidRPr="008B23F4" w:rsidRDefault="00EE3ED5" w:rsidP="00484258">
            <w:pPr>
              <w:jc w:val="right"/>
              <w:rPr>
                <w:color w:val="000000"/>
                <w:sz w:val="20"/>
                <w:szCs w:val="20"/>
              </w:rPr>
            </w:pPr>
            <w:r>
              <w:rPr>
                <w:color w:val="000000" w:themeColor="text1"/>
                <w:sz w:val="20"/>
                <w:szCs w:val="20"/>
              </w:rPr>
              <w:t>0</w:t>
            </w:r>
          </w:p>
        </w:tc>
        <w:tc>
          <w:tcPr>
            <w:tcW w:w="747" w:type="pct"/>
            <w:tcBorders>
              <w:top w:val="nil"/>
              <w:left w:val="nil"/>
              <w:bottom w:val="single" w:sz="4" w:space="0" w:color="auto"/>
              <w:right w:val="single" w:sz="4" w:space="0" w:color="auto"/>
            </w:tcBorders>
            <w:shd w:val="clear" w:color="auto" w:fill="auto"/>
            <w:vAlign w:val="center"/>
            <w:hideMark/>
          </w:tcPr>
          <w:p w14:paraId="0B90957F" w14:textId="77777777" w:rsidR="00EE3ED5" w:rsidRPr="008B23F4" w:rsidRDefault="00EE3ED5" w:rsidP="00484258">
            <w:pPr>
              <w:jc w:val="right"/>
              <w:rPr>
                <w:color w:val="000000"/>
                <w:sz w:val="20"/>
                <w:szCs w:val="20"/>
              </w:rPr>
            </w:pPr>
            <w:r>
              <w:rPr>
                <w:color w:val="000000" w:themeColor="text1"/>
                <w:sz w:val="20"/>
                <w:szCs w:val="20"/>
              </w:rPr>
              <w:t>7.000</w:t>
            </w:r>
          </w:p>
        </w:tc>
      </w:tr>
      <w:tr w:rsidR="00EE3ED5" w:rsidRPr="008B23F4" w14:paraId="027F5ECB" w14:textId="77777777" w:rsidTr="00484258">
        <w:trPr>
          <w:trHeight w:val="116"/>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2718FA0C" w14:textId="77777777" w:rsidR="00EE3ED5" w:rsidRPr="008B23F4" w:rsidRDefault="00EE3ED5" w:rsidP="00484258">
            <w:pPr>
              <w:rPr>
                <w:color w:val="000000"/>
                <w:sz w:val="20"/>
                <w:szCs w:val="20"/>
              </w:rPr>
            </w:pPr>
            <w:r>
              <w:rPr>
                <w:color w:val="000000"/>
                <w:sz w:val="20"/>
                <w:szCs w:val="20"/>
              </w:rPr>
              <w:t>Fomento de tecnologías de sustitución eficientes</w:t>
            </w:r>
          </w:p>
        </w:tc>
        <w:tc>
          <w:tcPr>
            <w:tcW w:w="541" w:type="pct"/>
            <w:tcBorders>
              <w:top w:val="nil"/>
              <w:left w:val="nil"/>
              <w:bottom w:val="single" w:sz="4" w:space="0" w:color="auto"/>
              <w:right w:val="single" w:sz="4" w:space="0" w:color="auto"/>
            </w:tcBorders>
            <w:shd w:val="clear" w:color="auto" w:fill="auto"/>
            <w:vAlign w:val="center"/>
            <w:hideMark/>
          </w:tcPr>
          <w:p w14:paraId="043D6D30" w14:textId="77777777" w:rsidR="00EE3ED5" w:rsidRPr="008B23F4" w:rsidRDefault="00EE3ED5" w:rsidP="00484258">
            <w:pPr>
              <w:jc w:val="right"/>
              <w:rPr>
                <w:color w:val="000000"/>
                <w:sz w:val="20"/>
                <w:szCs w:val="20"/>
              </w:rPr>
            </w:pPr>
            <w:r>
              <w:rPr>
                <w:color w:val="000000"/>
                <w:sz w:val="20"/>
                <w:szCs w:val="20"/>
              </w:rPr>
              <w:t>4.000</w:t>
            </w:r>
          </w:p>
        </w:tc>
        <w:tc>
          <w:tcPr>
            <w:tcW w:w="861" w:type="pct"/>
            <w:tcBorders>
              <w:top w:val="nil"/>
              <w:left w:val="nil"/>
              <w:bottom w:val="single" w:sz="4" w:space="0" w:color="auto"/>
              <w:right w:val="single" w:sz="4" w:space="0" w:color="auto"/>
            </w:tcBorders>
            <w:shd w:val="clear" w:color="auto" w:fill="auto"/>
            <w:vAlign w:val="center"/>
            <w:hideMark/>
          </w:tcPr>
          <w:p w14:paraId="43928136" w14:textId="77777777" w:rsidR="00EE3ED5" w:rsidRPr="008B23F4" w:rsidRDefault="00EE3ED5" w:rsidP="00484258">
            <w:pPr>
              <w:jc w:val="right"/>
              <w:rPr>
                <w:color w:val="000000"/>
                <w:sz w:val="20"/>
                <w:szCs w:val="20"/>
              </w:rPr>
            </w:pPr>
            <w:r>
              <w:rPr>
                <w:color w:val="000000" w:themeColor="text1"/>
                <w:sz w:val="20"/>
                <w:szCs w:val="20"/>
              </w:rPr>
              <w:t>0</w:t>
            </w:r>
          </w:p>
        </w:tc>
        <w:tc>
          <w:tcPr>
            <w:tcW w:w="747" w:type="pct"/>
            <w:tcBorders>
              <w:top w:val="nil"/>
              <w:left w:val="nil"/>
              <w:bottom w:val="single" w:sz="4" w:space="0" w:color="auto"/>
              <w:right w:val="single" w:sz="4" w:space="0" w:color="auto"/>
            </w:tcBorders>
            <w:shd w:val="clear" w:color="auto" w:fill="auto"/>
            <w:vAlign w:val="center"/>
            <w:hideMark/>
          </w:tcPr>
          <w:p w14:paraId="6673C5FD" w14:textId="77777777" w:rsidR="00EE3ED5" w:rsidRPr="008B23F4" w:rsidRDefault="00EE3ED5" w:rsidP="00484258">
            <w:pPr>
              <w:jc w:val="right"/>
              <w:rPr>
                <w:color w:val="000000"/>
                <w:sz w:val="20"/>
                <w:szCs w:val="20"/>
              </w:rPr>
            </w:pPr>
            <w:r>
              <w:rPr>
                <w:color w:val="000000" w:themeColor="text1"/>
                <w:sz w:val="20"/>
                <w:szCs w:val="20"/>
              </w:rPr>
              <w:t>4.000</w:t>
            </w:r>
          </w:p>
        </w:tc>
      </w:tr>
      <w:tr w:rsidR="00EE3ED5" w:rsidRPr="008B23F4" w14:paraId="2DF27831" w14:textId="77777777" w:rsidTr="00484258">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B644A17" w14:textId="77777777" w:rsidR="00EE3ED5" w:rsidRPr="00DE58EF" w:rsidRDefault="00EE3ED5" w:rsidP="00484258">
            <w:pPr>
              <w:ind w:right="67"/>
              <w:jc w:val="right"/>
              <w:rPr>
                <w:b/>
                <w:bCs/>
                <w:color w:val="000000"/>
                <w:sz w:val="20"/>
                <w:szCs w:val="20"/>
              </w:rPr>
            </w:pPr>
            <w:r>
              <w:rPr>
                <w:b/>
                <w:bCs/>
                <w:color w:val="000000"/>
                <w:sz w:val="20"/>
                <w:szCs w:val="20"/>
              </w:rPr>
              <w:t>Total</w:t>
            </w:r>
          </w:p>
        </w:tc>
        <w:tc>
          <w:tcPr>
            <w:tcW w:w="541" w:type="pct"/>
            <w:tcBorders>
              <w:top w:val="nil"/>
              <w:left w:val="nil"/>
              <w:bottom w:val="single" w:sz="4" w:space="0" w:color="auto"/>
              <w:right w:val="single" w:sz="4" w:space="0" w:color="auto"/>
            </w:tcBorders>
            <w:shd w:val="clear" w:color="auto" w:fill="auto"/>
            <w:vAlign w:val="center"/>
            <w:hideMark/>
          </w:tcPr>
          <w:p w14:paraId="017B44FB" w14:textId="77777777" w:rsidR="00EE3ED5" w:rsidRPr="00DE58EF" w:rsidRDefault="00EE3ED5" w:rsidP="00484258">
            <w:pPr>
              <w:jc w:val="right"/>
              <w:rPr>
                <w:b/>
                <w:bCs/>
                <w:color w:val="000000"/>
                <w:sz w:val="20"/>
                <w:szCs w:val="20"/>
              </w:rPr>
            </w:pPr>
            <w:r>
              <w:rPr>
                <w:b/>
                <w:bCs/>
                <w:color w:val="000000" w:themeColor="text1"/>
                <w:sz w:val="20"/>
                <w:szCs w:val="20"/>
              </w:rPr>
              <w:t>455.000</w:t>
            </w:r>
          </w:p>
        </w:tc>
        <w:tc>
          <w:tcPr>
            <w:tcW w:w="861" w:type="pct"/>
            <w:tcBorders>
              <w:top w:val="nil"/>
              <w:left w:val="nil"/>
              <w:bottom w:val="single" w:sz="4" w:space="0" w:color="auto"/>
              <w:right w:val="single" w:sz="4" w:space="0" w:color="auto"/>
            </w:tcBorders>
            <w:shd w:val="clear" w:color="auto" w:fill="auto"/>
            <w:vAlign w:val="center"/>
            <w:hideMark/>
          </w:tcPr>
          <w:p w14:paraId="7111F585" w14:textId="77777777" w:rsidR="00EE3ED5" w:rsidRPr="00DE58EF" w:rsidRDefault="00EE3ED5" w:rsidP="00484258">
            <w:pPr>
              <w:jc w:val="right"/>
              <w:rPr>
                <w:b/>
                <w:bCs/>
                <w:color w:val="000000"/>
                <w:sz w:val="20"/>
                <w:szCs w:val="20"/>
              </w:rPr>
            </w:pPr>
            <w:r>
              <w:rPr>
                <w:b/>
                <w:bCs/>
                <w:color w:val="000000" w:themeColor="text1"/>
                <w:sz w:val="20"/>
                <w:szCs w:val="20"/>
              </w:rPr>
              <w:t>360.000</w:t>
            </w:r>
          </w:p>
        </w:tc>
        <w:tc>
          <w:tcPr>
            <w:tcW w:w="747" w:type="pct"/>
            <w:tcBorders>
              <w:top w:val="nil"/>
              <w:left w:val="nil"/>
              <w:bottom w:val="single" w:sz="4" w:space="0" w:color="auto"/>
              <w:right w:val="single" w:sz="4" w:space="0" w:color="auto"/>
            </w:tcBorders>
            <w:shd w:val="clear" w:color="auto" w:fill="auto"/>
            <w:vAlign w:val="center"/>
            <w:hideMark/>
          </w:tcPr>
          <w:p w14:paraId="5904F331" w14:textId="77777777" w:rsidR="00EE3ED5" w:rsidRPr="00DE58EF" w:rsidRDefault="00EE3ED5" w:rsidP="00484258">
            <w:pPr>
              <w:jc w:val="right"/>
              <w:rPr>
                <w:b/>
                <w:bCs/>
                <w:color w:val="000000"/>
                <w:sz w:val="20"/>
                <w:szCs w:val="20"/>
              </w:rPr>
            </w:pPr>
            <w:r>
              <w:rPr>
                <w:b/>
                <w:bCs/>
                <w:color w:val="000000" w:themeColor="text1"/>
                <w:sz w:val="20"/>
                <w:szCs w:val="20"/>
              </w:rPr>
              <w:t>95.000</w:t>
            </w:r>
          </w:p>
        </w:tc>
      </w:tr>
    </w:tbl>
    <w:p w14:paraId="49F9BE07" w14:textId="77777777" w:rsidR="00EE3ED5" w:rsidRPr="00E62144" w:rsidRDefault="00EE3ED5" w:rsidP="00EE3ED5">
      <w:pPr>
        <w:spacing w:before="240" w:after="240"/>
        <w:rPr>
          <w:u w:val="single"/>
        </w:rPr>
      </w:pPr>
      <w:r>
        <w:rPr>
          <w:u w:val="single"/>
        </w:rPr>
        <w:t>Mejoras de la eficiencia energética y estimaciones preliminares del ahorro de electricidad</w:t>
      </w:r>
    </w:p>
    <w:p w14:paraId="0CFBDE4D" w14:textId="77777777" w:rsidR="00EE3ED5" w:rsidRPr="00036505" w:rsidRDefault="00EE3ED5" w:rsidP="00EE3ED5">
      <w:pPr>
        <w:pStyle w:val="Heading1"/>
        <w:spacing w:before="240"/>
        <w:rPr>
          <w:color w:val="000000" w:themeColor="text1"/>
        </w:rPr>
      </w:pPr>
      <w:r>
        <w:t>El PNUD estimó que se obtendría un ahorro energético de al menos el 20 % (578.200 kWh) con la sustitución de dos refrigeradores comerciales por sistemas de alta eficiencia que utilizan refrigerantes de bajo PCA. A una tarifa de USD 0,20 por kWh, se calcula que el ahorro anual en costos de electricidad ascenderá a USD 115.640.</w:t>
      </w:r>
    </w:p>
    <w:p w14:paraId="358BD596" w14:textId="77777777" w:rsidR="00EE3ED5" w:rsidRDefault="00EE3ED5" w:rsidP="00EE3ED5">
      <w:pPr>
        <w:pStyle w:val="Heading1"/>
        <w:numPr>
          <w:ilvl w:val="0"/>
          <w:numId w:val="0"/>
        </w:numPr>
        <w:spacing w:before="240"/>
        <w:rPr>
          <w:color w:val="000000" w:themeColor="text1"/>
        </w:rPr>
      </w:pPr>
      <w:r>
        <w:rPr>
          <w:u w:val="single"/>
        </w:rPr>
        <w:t>Sostenibilidad del proyecto piloto y evaluación de los riesgos</w:t>
      </w:r>
    </w:p>
    <w:p w14:paraId="508DBC60" w14:textId="77777777" w:rsidR="00EE3ED5" w:rsidRPr="00692549" w:rsidRDefault="00EE3ED5" w:rsidP="00EE3ED5">
      <w:pPr>
        <w:pStyle w:val="Heading1"/>
        <w:rPr>
          <w:rFonts w:eastAsia="SimSun"/>
        </w:rPr>
      </w:pPr>
      <w:r>
        <w:lastRenderedPageBreak/>
        <w:t>Se llevó a cabo un análisis de riesgos para identificar los factores que podrían afectar al proyecto o ser generados por su ejecución. El proyecto se enfrenta a varios riesgos, entre ellos las demoras en la adquisición de refrigeradores comerciales debido a los diversos procesos de aprobación de los hoteles y a las decisiones gubernamentales sobre la asignación de fondos. También preocupan los problemas de seguridad y la disponibilidad de tecnologías alternativas en el mercado. Para mitigar estos riesgos y minimizar el impacto de los factores externos, el proyecto planificará las adquisiciones con antelación, sensibilizará sobre el uso seguro de refrigerantes inflamables, garantizará una capacitación adecuada en materia de seguridad y supervisará de cerca las modalidades de ejecución, la disponibilidad en el mercado de productos a base de HC y HFO y el presupuesto para las actividades. Unas conversaciones desde el primer momento y una información clara garantizarán el compromiso y asegurarán una planificación informada.</w:t>
      </w:r>
    </w:p>
    <w:p w14:paraId="68808364" w14:textId="77777777" w:rsidR="00EE3ED5" w:rsidRPr="00333A6F" w:rsidRDefault="00EE3ED5" w:rsidP="00EE3ED5">
      <w:pPr>
        <w:keepNext/>
        <w:spacing w:before="360" w:after="240"/>
      </w:pPr>
      <w:r>
        <w:rPr>
          <w:b/>
        </w:rPr>
        <w:t>RECOMENDACIÓN</w:t>
      </w:r>
    </w:p>
    <w:p w14:paraId="253D8F56" w14:textId="77777777" w:rsidR="00EE3ED5" w:rsidRPr="00F54CD0" w:rsidRDefault="00EE3ED5" w:rsidP="00EE3ED5">
      <w:pPr>
        <w:pStyle w:val="Heading1"/>
        <w:shd w:val="clear" w:color="auto" w:fill="FFFFFF" w:themeFill="background1"/>
      </w:pPr>
      <w:r>
        <w:t xml:space="preserve">El Comité Ejecutivo podría considerar la aprobación del proyecto piloto para mantener y/o mejorar la eficiencia energética de las tecnologías y equipos de sustitución en el contexto de la reducción de los HFC (actividades sin inversión): Introducción de tecnología de refrigeración </w:t>
      </w:r>
      <w:proofErr w:type="spellStart"/>
      <w:r>
        <w:t>ecoenergética</w:t>
      </w:r>
      <w:proofErr w:type="spellEnd"/>
      <w:r>
        <w:t xml:space="preserve"> con bajo PCA en refrigeradores comerciales del sector turístico, por un importe de USD 360.000, más USD 25.200 en concepto de gastos de apoyo al organismo, para el PNUD:</w:t>
      </w:r>
    </w:p>
    <w:p w14:paraId="45B0A152" w14:textId="77777777" w:rsidR="00EE3ED5" w:rsidRPr="00333A6F" w:rsidRDefault="00EE3ED5" w:rsidP="00EE3ED5">
      <w:pPr>
        <w:pStyle w:val="Heading2"/>
        <w:keepNext/>
        <w:widowControl/>
        <w:shd w:val="clear" w:color="auto" w:fill="FFFFFF" w:themeFill="background1"/>
      </w:pPr>
      <w:r>
        <w:t>Que el Gobierno de Cuba se ha comprometido a cumplir las condiciones mencionadas en la decisión 91/65(b)(</w:t>
      </w:r>
      <w:proofErr w:type="spellStart"/>
      <w:r>
        <w:t>iv</w:t>
      </w:r>
      <w:proofErr w:type="spellEnd"/>
      <w:r>
        <w:t>) b. a d.; y</w:t>
      </w:r>
    </w:p>
    <w:p w14:paraId="2429A0C8" w14:textId="77777777" w:rsidR="00EE3ED5" w:rsidRPr="00036505" w:rsidRDefault="00EE3ED5" w:rsidP="00EE3ED5">
      <w:pPr>
        <w:pStyle w:val="Heading2"/>
        <w:numPr>
          <w:ilvl w:val="1"/>
          <w:numId w:val="2"/>
        </w:numPr>
      </w:pPr>
      <w:r>
        <w:t>Que el proyecto se completará operativamente a más tardar el 30 de junio de 2028, y que se presentaría un informe detallado del proyecto al Comité Ejecutivo en un plazo de seis meses a partir de la fecha de terminación del proyecto.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E3ED5" w:rsidRPr="009B0D30" w14:paraId="3F81588E" w14:textId="77777777" w:rsidTr="00484258">
        <w:trPr>
          <w:trHeight w:val="342"/>
        </w:trPr>
        <w:tc>
          <w:tcPr>
            <w:tcW w:w="1871" w:type="dxa"/>
          </w:tcPr>
          <w:p w14:paraId="6C09D1E6" w14:textId="77777777" w:rsidR="00EE3ED5" w:rsidRPr="009B0D30" w:rsidRDefault="00EE3ED5" w:rsidP="00484258">
            <w:pPr>
              <w:jc w:val="center"/>
            </w:pPr>
          </w:p>
        </w:tc>
        <w:tc>
          <w:tcPr>
            <w:tcW w:w="1872" w:type="dxa"/>
          </w:tcPr>
          <w:p w14:paraId="4FC65C11" w14:textId="77777777" w:rsidR="00EE3ED5" w:rsidRPr="009B0D30" w:rsidRDefault="00EE3ED5" w:rsidP="00484258">
            <w:pPr>
              <w:jc w:val="center"/>
            </w:pPr>
          </w:p>
        </w:tc>
        <w:tc>
          <w:tcPr>
            <w:tcW w:w="1872" w:type="dxa"/>
            <w:tcBorders>
              <w:bottom w:val="single" w:sz="4" w:space="0" w:color="auto"/>
            </w:tcBorders>
          </w:tcPr>
          <w:p w14:paraId="07C6C73B" w14:textId="77777777" w:rsidR="00EE3ED5" w:rsidRPr="009B0D30" w:rsidRDefault="00EE3ED5" w:rsidP="00484258">
            <w:pPr>
              <w:jc w:val="center"/>
            </w:pPr>
          </w:p>
        </w:tc>
        <w:tc>
          <w:tcPr>
            <w:tcW w:w="1872" w:type="dxa"/>
          </w:tcPr>
          <w:p w14:paraId="6FD5C7BF" w14:textId="77777777" w:rsidR="00EE3ED5" w:rsidRPr="009B0D30" w:rsidRDefault="00EE3ED5" w:rsidP="00484258">
            <w:pPr>
              <w:jc w:val="center"/>
            </w:pPr>
          </w:p>
        </w:tc>
        <w:tc>
          <w:tcPr>
            <w:tcW w:w="1873" w:type="dxa"/>
          </w:tcPr>
          <w:p w14:paraId="775CD5C2" w14:textId="77777777" w:rsidR="00EE3ED5" w:rsidRPr="009B0D30" w:rsidRDefault="00EE3ED5" w:rsidP="00484258">
            <w:pPr>
              <w:jc w:val="center"/>
            </w:pPr>
          </w:p>
        </w:tc>
      </w:tr>
    </w:tbl>
    <w:p w14:paraId="602F1AC6" w14:textId="77777777" w:rsidR="00EE3ED5" w:rsidRPr="00814B37" w:rsidRDefault="00EE3ED5" w:rsidP="00EE3ED5">
      <w:pPr>
        <w:jc w:val="center"/>
        <w:rPr>
          <w:sz w:val="12"/>
          <w:szCs w:val="12"/>
          <w:vertAlign w:val="subscript"/>
        </w:rPr>
      </w:pPr>
    </w:p>
    <w:p w14:paraId="33BA8A6D" w14:textId="77777777" w:rsidR="005210E4" w:rsidRDefault="005210E4" w:rsidP="00EE3ED5">
      <w:pPr>
        <w:pStyle w:val="Heading1"/>
        <w:numPr>
          <w:ilvl w:val="0"/>
          <w:numId w:val="0"/>
        </w:numPr>
      </w:pPr>
    </w:p>
    <w:sectPr w:rsidR="005210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7622" w14:textId="77777777" w:rsidR="00714E04" w:rsidRDefault="00714E04" w:rsidP="004A504B">
      <w:r>
        <w:separator/>
      </w:r>
    </w:p>
  </w:endnote>
  <w:endnote w:type="continuationSeparator" w:id="0">
    <w:p w14:paraId="19240FA6" w14:textId="77777777" w:rsidR="00714E04" w:rsidRDefault="00714E04" w:rsidP="004A504B">
      <w:r>
        <w:continuationSeparator/>
      </w:r>
    </w:p>
  </w:endnote>
  <w:endnote w:type="continuationNotice" w:id="1">
    <w:p w14:paraId="1B226004" w14:textId="77777777" w:rsidR="00714E04" w:rsidRDefault="00714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365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0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32FB" w14:textId="5AE3BE11" w:rsidR="004E7F9C" w:rsidRDefault="004E7F9C" w:rsidP="0060006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6AF0" w14:textId="77777777" w:rsidR="00714E04" w:rsidRDefault="00714E04" w:rsidP="004A504B">
      <w:r>
        <w:separator/>
      </w:r>
    </w:p>
  </w:footnote>
  <w:footnote w:type="continuationSeparator" w:id="0">
    <w:p w14:paraId="31E47425" w14:textId="77777777" w:rsidR="00714E04" w:rsidRDefault="00714E04" w:rsidP="004A504B">
      <w:r>
        <w:continuationSeparator/>
      </w:r>
    </w:p>
  </w:footnote>
  <w:footnote w:type="continuationNotice" w:id="1">
    <w:p w14:paraId="0CADAD81" w14:textId="77777777" w:rsidR="00714E04" w:rsidRDefault="00714E04"/>
  </w:footnote>
  <w:footnote w:id="2">
    <w:p w14:paraId="7361743C" w14:textId="56F93BAF" w:rsidR="0079781A" w:rsidRPr="001E1147" w:rsidRDefault="0079781A" w:rsidP="0099013C">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3">
    <w:p w14:paraId="0A22F9F2" w14:textId="77777777" w:rsidR="00EE3ED5" w:rsidRPr="005F0570" w:rsidRDefault="00EE3ED5" w:rsidP="00EE3ED5">
      <w:pPr>
        <w:pStyle w:val="FootnoteText"/>
        <w:rPr>
          <w:sz w:val="19"/>
          <w:szCs w:val="19"/>
        </w:rPr>
      </w:pPr>
      <w:r>
        <w:rPr>
          <w:rStyle w:val="FootnoteReference"/>
          <w:sz w:val="19"/>
          <w:szCs w:val="19"/>
          <w:lang w:val="en-GB"/>
        </w:rPr>
        <w:footnoteRef/>
      </w:r>
      <w:r>
        <w:rPr>
          <w:sz w:val="19"/>
          <w:szCs w:val="19"/>
        </w:rPr>
        <w:t xml:space="preserve">  Según carta de 11 de febrero de 2025 del Ministerio de Ciencia, Tecnología y Medio Ambiente de Cuba al PNUD.</w:t>
      </w:r>
    </w:p>
  </w:footnote>
  <w:footnote w:id="4">
    <w:p w14:paraId="7ADB6E7C" w14:textId="77777777" w:rsidR="00EE3ED5" w:rsidRPr="00E55C1A" w:rsidRDefault="00EE3ED5" w:rsidP="00EE3ED5">
      <w:pPr>
        <w:pStyle w:val="FootnoteText"/>
      </w:pPr>
      <w:r>
        <w:rPr>
          <w:rStyle w:val="FootnoteReference"/>
        </w:rPr>
        <w:footnoteRef/>
      </w:r>
      <w:r>
        <w:t xml:space="preserve"> Decisión 93/59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F860" w14:textId="50FA60EC" w:rsidR="00DC6A10" w:rsidRPr="0033525D" w:rsidRDefault="0060006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w:t>
    </w:r>
    <w:r w:rsidR="00EE3ED5">
      <w:t>31</w:t>
    </w:r>
    <w:r>
      <w:fldChar w:fldCharType="end"/>
    </w:r>
  </w:p>
  <w:p w14:paraId="3AE6626D" w14:textId="77777777" w:rsidR="00DC6A10" w:rsidRPr="0033525D" w:rsidRDefault="00DC6A10"/>
  <w:p w14:paraId="335ACA7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3048" w14:textId="651BBD9B" w:rsidR="00DC6A10" w:rsidRPr="0033525D" w:rsidRDefault="0060006E" w:rsidP="000E00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w:t>
    </w:r>
    <w:r w:rsidR="00EF14DE">
      <w:t>31</w:t>
    </w:r>
    <w:r>
      <w:fldChar w:fldCharType="end"/>
    </w:r>
  </w:p>
  <w:p w14:paraId="39CF0DA1" w14:textId="77777777" w:rsidR="00DC6A10" w:rsidRPr="0033525D" w:rsidRDefault="00DC6A10" w:rsidP="000E00D7">
    <w:pPr>
      <w:jc w:val="right"/>
    </w:pPr>
  </w:p>
  <w:p w14:paraId="574A9A4D" w14:textId="77777777" w:rsidR="00DC6A10" w:rsidRPr="0033525D" w:rsidRDefault="00DC6A10" w:rsidP="000E00D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489832122">
    <w:abstractNumId w:val="12"/>
  </w:num>
  <w:num w:numId="22" w16cid:durableId="561411719">
    <w:abstractNumId w:val="17"/>
  </w:num>
  <w:num w:numId="23" w16cid:durableId="9706404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FED"/>
    <w:rsid w:val="0000177E"/>
    <w:rsid w:val="0000434E"/>
    <w:rsid w:val="000158C0"/>
    <w:rsid w:val="000211A9"/>
    <w:rsid w:val="00021238"/>
    <w:rsid w:val="00022071"/>
    <w:rsid w:val="00023963"/>
    <w:rsid w:val="00026A9B"/>
    <w:rsid w:val="00031260"/>
    <w:rsid w:val="0003681A"/>
    <w:rsid w:val="000371D4"/>
    <w:rsid w:val="000372B7"/>
    <w:rsid w:val="0004281F"/>
    <w:rsid w:val="000441F0"/>
    <w:rsid w:val="00044AE3"/>
    <w:rsid w:val="00050F6E"/>
    <w:rsid w:val="00051676"/>
    <w:rsid w:val="00054A92"/>
    <w:rsid w:val="0005653F"/>
    <w:rsid w:val="00061EC2"/>
    <w:rsid w:val="00063B71"/>
    <w:rsid w:val="00064340"/>
    <w:rsid w:val="00066496"/>
    <w:rsid w:val="000667E0"/>
    <w:rsid w:val="00066CE8"/>
    <w:rsid w:val="000705F4"/>
    <w:rsid w:val="00080ED0"/>
    <w:rsid w:val="00085B8F"/>
    <w:rsid w:val="00090481"/>
    <w:rsid w:val="00090C70"/>
    <w:rsid w:val="0009104F"/>
    <w:rsid w:val="000961FB"/>
    <w:rsid w:val="000A21DD"/>
    <w:rsid w:val="000A23E5"/>
    <w:rsid w:val="000A3826"/>
    <w:rsid w:val="000A52E3"/>
    <w:rsid w:val="000A6C26"/>
    <w:rsid w:val="000A7B0C"/>
    <w:rsid w:val="000B36C8"/>
    <w:rsid w:val="000B63B1"/>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E87"/>
    <w:rsid w:val="00126146"/>
    <w:rsid w:val="001327A2"/>
    <w:rsid w:val="00135980"/>
    <w:rsid w:val="00137395"/>
    <w:rsid w:val="0013786F"/>
    <w:rsid w:val="00137B1F"/>
    <w:rsid w:val="00144FD0"/>
    <w:rsid w:val="00157D56"/>
    <w:rsid w:val="00164719"/>
    <w:rsid w:val="00165B76"/>
    <w:rsid w:val="00166CE2"/>
    <w:rsid w:val="00166FC4"/>
    <w:rsid w:val="001677AC"/>
    <w:rsid w:val="00171705"/>
    <w:rsid w:val="00175437"/>
    <w:rsid w:val="001804EA"/>
    <w:rsid w:val="001824EF"/>
    <w:rsid w:val="00183656"/>
    <w:rsid w:val="00190A61"/>
    <w:rsid w:val="0019438F"/>
    <w:rsid w:val="00197179"/>
    <w:rsid w:val="001A2215"/>
    <w:rsid w:val="001A2271"/>
    <w:rsid w:val="001A3342"/>
    <w:rsid w:val="001A3E3D"/>
    <w:rsid w:val="001A48B6"/>
    <w:rsid w:val="001A7049"/>
    <w:rsid w:val="001B1E40"/>
    <w:rsid w:val="001B351E"/>
    <w:rsid w:val="001B42CD"/>
    <w:rsid w:val="001B74FB"/>
    <w:rsid w:val="001B7584"/>
    <w:rsid w:val="001B7BD5"/>
    <w:rsid w:val="001C32B2"/>
    <w:rsid w:val="001C4D6F"/>
    <w:rsid w:val="001C764E"/>
    <w:rsid w:val="001D3F73"/>
    <w:rsid w:val="001D448A"/>
    <w:rsid w:val="001D61C4"/>
    <w:rsid w:val="001E1052"/>
    <w:rsid w:val="001E21B1"/>
    <w:rsid w:val="001E2F93"/>
    <w:rsid w:val="001E41AA"/>
    <w:rsid w:val="001E4554"/>
    <w:rsid w:val="001E61E5"/>
    <w:rsid w:val="001F2159"/>
    <w:rsid w:val="001F53FD"/>
    <w:rsid w:val="001F7512"/>
    <w:rsid w:val="00204325"/>
    <w:rsid w:val="002055A1"/>
    <w:rsid w:val="00210B8B"/>
    <w:rsid w:val="00214863"/>
    <w:rsid w:val="002156B4"/>
    <w:rsid w:val="002164C6"/>
    <w:rsid w:val="00224FCD"/>
    <w:rsid w:val="002300E6"/>
    <w:rsid w:val="00231A83"/>
    <w:rsid w:val="00241703"/>
    <w:rsid w:val="00246BF7"/>
    <w:rsid w:val="00253222"/>
    <w:rsid w:val="00257453"/>
    <w:rsid w:val="00261C13"/>
    <w:rsid w:val="002621FE"/>
    <w:rsid w:val="00262847"/>
    <w:rsid w:val="00272E0D"/>
    <w:rsid w:val="0027344F"/>
    <w:rsid w:val="0027363B"/>
    <w:rsid w:val="002741B1"/>
    <w:rsid w:val="00281BB2"/>
    <w:rsid w:val="0028294A"/>
    <w:rsid w:val="0028746E"/>
    <w:rsid w:val="00297B64"/>
    <w:rsid w:val="002A03C3"/>
    <w:rsid w:val="002A1329"/>
    <w:rsid w:val="002A45E8"/>
    <w:rsid w:val="002A5E8F"/>
    <w:rsid w:val="002B254E"/>
    <w:rsid w:val="002B287A"/>
    <w:rsid w:val="002B4CE8"/>
    <w:rsid w:val="002B72E9"/>
    <w:rsid w:val="002C4520"/>
    <w:rsid w:val="002C7178"/>
    <w:rsid w:val="002C7998"/>
    <w:rsid w:val="002D6F77"/>
    <w:rsid w:val="002D6F78"/>
    <w:rsid w:val="002F1E53"/>
    <w:rsid w:val="002F2CAA"/>
    <w:rsid w:val="002F4CD1"/>
    <w:rsid w:val="002F7645"/>
    <w:rsid w:val="0030052C"/>
    <w:rsid w:val="003023A2"/>
    <w:rsid w:val="0030404A"/>
    <w:rsid w:val="00307457"/>
    <w:rsid w:val="00316AB5"/>
    <w:rsid w:val="003306E1"/>
    <w:rsid w:val="003320E4"/>
    <w:rsid w:val="00332D1C"/>
    <w:rsid w:val="0033525D"/>
    <w:rsid w:val="003414F3"/>
    <w:rsid w:val="00341984"/>
    <w:rsid w:val="00343DC2"/>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C0E"/>
    <w:rsid w:val="003C740A"/>
    <w:rsid w:val="003C7A51"/>
    <w:rsid w:val="003D16E6"/>
    <w:rsid w:val="003D2B78"/>
    <w:rsid w:val="003D2BDE"/>
    <w:rsid w:val="003D398F"/>
    <w:rsid w:val="003D42A6"/>
    <w:rsid w:val="003D4F21"/>
    <w:rsid w:val="003D4FAC"/>
    <w:rsid w:val="003D5312"/>
    <w:rsid w:val="003E1885"/>
    <w:rsid w:val="003E1FB4"/>
    <w:rsid w:val="003E7906"/>
    <w:rsid w:val="003F000F"/>
    <w:rsid w:val="003F1FC1"/>
    <w:rsid w:val="003F3C50"/>
    <w:rsid w:val="003F626D"/>
    <w:rsid w:val="003F77F9"/>
    <w:rsid w:val="00406202"/>
    <w:rsid w:val="00406A6A"/>
    <w:rsid w:val="00406B22"/>
    <w:rsid w:val="00407147"/>
    <w:rsid w:val="004078FA"/>
    <w:rsid w:val="00411F3C"/>
    <w:rsid w:val="0041212A"/>
    <w:rsid w:val="00417B3D"/>
    <w:rsid w:val="00417B82"/>
    <w:rsid w:val="00422202"/>
    <w:rsid w:val="004239D0"/>
    <w:rsid w:val="0042702D"/>
    <w:rsid w:val="00431E08"/>
    <w:rsid w:val="004328A7"/>
    <w:rsid w:val="0043416E"/>
    <w:rsid w:val="00434C74"/>
    <w:rsid w:val="00437368"/>
    <w:rsid w:val="00447B4E"/>
    <w:rsid w:val="00456EB4"/>
    <w:rsid w:val="00457410"/>
    <w:rsid w:val="00457827"/>
    <w:rsid w:val="004645A4"/>
    <w:rsid w:val="00470027"/>
    <w:rsid w:val="004718F3"/>
    <w:rsid w:val="00475040"/>
    <w:rsid w:val="00490C06"/>
    <w:rsid w:val="00493D40"/>
    <w:rsid w:val="00493EE3"/>
    <w:rsid w:val="004967B6"/>
    <w:rsid w:val="004A504B"/>
    <w:rsid w:val="004A6911"/>
    <w:rsid w:val="004A73C2"/>
    <w:rsid w:val="004B08AF"/>
    <w:rsid w:val="004B1EFB"/>
    <w:rsid w:val="004B3652"/>
    <w:rsid w:val="004B54E0"/>
    <w:rsid w:val="004B7384"/>
    <w:rsid w:val="004B7D77"/>
    <w:rsid w:val="004C4269"/>
    <w:rsid w:val="004C66C6"/>
    <w:rsid w:val="004D17F3"/>
    <w:rsid w:val="004D3D17"/>
    <w:rsid w:val="004D6236"/>
    <w:rsid w:val="004D6AE2"/>
    <w:rsid w:val="004D7F90"/>
    <w:rsid w:val="004E4DBB"/>
    <w:rsid w:val="004E4E41"/>
    <w:rsid w:val="004E545A"/>
    <w:rsid w:val="004E73DB"/>
    <w:rsid w:val="004E7F9C"/>
    <w:rsid w:val="004F3493"/>
    <w:rsid w:val="004F36F6"/>
    <w:rsid w:val="004F5143"/>
    <w:rsid w:val="004F5B78"/>
    <w:rsid w:val="004F5E79"/>
    <w:rsid w:val="00511229"/>
    <w:rsid w:val="005116C3"/>
    <w:rsid w:val="00512B09"/>
    <w:rsid w:val="00513D69"/>
    <w:rsid w:val="00516DCD"/>
    <w:rsid w:val="005210E4"/>
    <w:rsid w:val="005220ED"/>
    <w:rsid w:val="00524761"/>
    <w:rsid w:val="005261D1"/>
    <w:rsid w:val="00532250"/>
    <w:rsid w:val="00533796"/>
    <w:rsid w:val="00533B28"/>
    <w:rsid w:val="00537343"/>
    <w:rsid w:val="005424FA"/>
    <w:rsid w:val="005516F3"/>
    <w:rsid w:val="00552239"/>
    <w:rsid w:val="00555D75"/>
    <w:rsid w:val="00560123"/>
    <w:rsid w:val="00560DF0"/>
    <w:rsid w:val="00561325"/>
    <w:rsid w:val="0056184C"/>
    <w:rsid w:val="00562D83"/>
    <w:rsid w:val="0056759C"/>
    <w:rsid w:val="00584E1E"/>
    <w:rsid w:val="0059513E"/>
    <w:rsid w:val="005A6AA4"/>
    <w:rsid w:val="005A6D9F"/>
    <w:rsid w:val="005B48FF"/>
    <w:rsid w:val="005B50A5"/>
    <w:rsid w:val="005B6F65"/>
    <w:rsid w:val="005C1E32"/>
    <w:rsid w:val="005C670D"/>
    <w:rsid w:val="005D15E9"/>
    <w:rsid w:val="005D243D"/>
    <w:rsid w:val="005D363F"/>
    <w:rsid w:val="005D42D4"/>
    <w:rsid w:val="005D7C29"/>
    <w:rsid w:val="005E0B67"/>
    <w:rsid w:val="005E0ECB"/>
    <w:rsid w:val="005E40E6"/>
    <w:rsid w:val="005F2A75"/>
    <w:rsid w:val="0060006E"/>
    <w:rsid w:val="006025C3"/>
    <w:rsid w:val="0060309E"/>
    <w:rsid w:val="006037A9"/>
    <w:rsid w:val="00604C15"/>
    <w:rsid w:val="00613EEF"/>
    <w:rsid w:val="0061450A"/>
    <w:rsid w:val="00614A35"/>
    <w:rsid w:val="006158D5"/>
    <w:rsid w:val="00615DCE"/>
    <w:rsid w:val="00625D83"/>
    <w:rsid w:val="00630B89"/>
    <w:rsid w:val="006310DF"/>
    <w:rsid w:val="00633E6B"/>
    <w:rsid w:val="0064605E"/>
    <w:rsid w:val="00651984"/>
    <w:rsid w:val="006623E7"/>
    <w:rsid w:val="00662B80"/>
    <w:rsid w:val="0066768F"/>
    <w:rsid w:val="00670B5A"/>
    <w:rsid w:val="00670F6C"/>
    <w:rsid w:val="00671364"/>
    <w:rsid w:val="00672896"/>
    <w:rsid w:val="00673577"/>
    <w:rsid w:val="00674E0D"/>
    <w:rsid w:val="00676E58"/>
    <w:rsid w:val="00680A19"/>
    <w:rsid w:val="00680B9E"/>
    <w:rsid w:val="00682253"/>
    <w:rsid w:val="006824FD"/>
    <w:rsid w:val="00682710"/>
    <w:rsid w:val="00682E5E"/>
    <w:rsid w:val="006852C7"/>
    <w:rsid w:val="006852CE"/>
    <w:rsid w:val="00692D14"/>
    <w:rsid w:val="00693B79"/>
    <w:rsid w:val="006A016D"/>
    <w:rsid w:val="006A7A3B"/>
    <w:rsid w:val="006B42D9"/>
    <w:rsid w:val="006B65C7"/>
    <w:rsid w:val="006C081D"/>
    <w:rsid w:val="006C1727"/>
    <w:rsid w:val="006C32FD"/>
    <w:rsid w:val="006C39CE"/>
    <w:rsid w:val="006C5F8A"/>
    <w:rsid w:val="006C65D1"/>
    <w:rsid w:val="006D0CE1"/>
    <w:rsid w:val="006D0FCC"/>
    <w:rsid w:val="006D21F5"/>
    <w:rsid w:val="006D27DA"/>
    <w:rsid w:val="006D3089"/>
    <w:rsid w:val="006D69CE"/>
    <w:rsid w:val="006D7D83"/>
    <w:rsid w:val="006E126D"/>
    <w:rsid w:val="006E1FC3"/>
    <w:rsid w:val="006E3B9C"/>
    <w:rsid w:val="006F3C11"/>
    <w:rsid w:val="006F446A"/>
    <w:rsid w:val="006F7092"/>
    <w:rsid w:val="00700E3B"/>
    <w:rsid w:val="00704CE9"/>
    <w:rsid w:val="0070616B"/>
    <w:rsid w:val="00706295"/>
    <w:rsid w:val="00706FDA"/>
    <w:rsid w:val="00707C14"/>
    <w:rsid w:val="0071012F"/>
    <w:rsid w:val="00711F9A"/>
    <w:rsid w:val="00713810"/>
    <w:rsid w:val="00714E04"/>
    <w:rsid w:val="00717AD1"/>
    <w:rsid w:val="00720DE2"/>
    <w:rsid w:val="007215DD"/>
    <w:rsid w:val="00722069"/>
    <w:rsid w:val="007303A5"/>
    <w:rsid w:val="00730B3E"/>
    <w:rsid w:val="00733B09"/>
    <w:rsid w:val="0073420B"/>
    <w:rsid w:val="00735D4F"/>
    <w:rsid w:val="00736367"/>
    <w:rsid w:val="0073794B"/>
    <w:rsid w:val="00740BC7"/>
    <w:rsid w:val="0074558B"/>
    <w:rsid w:val="007458DA"/>
    <w:rsid w:val="00745970"/>
    <w:rsid w:val="0074760E"/>
    <w:rsid w:val="007548C4"/>
    <w:rsid w:val="00754ABA"/>
    <w:rsid w:val="007636EE"/>
    <w:rsid w:val="007656D6"/>
    <w:rsid w:val="0077013A"/>
    <w:rsid w:val="00773F2D"/>
    <w:rsid w:val="00775121"/>
    <w:rsid w:val="007772DA"/>
    <w:rsid w:val="00780E2A"/>
    <w:rsid w:val="00781807"/>
    <w:rsid w:val="007825E9"/>
    <w:rsid w:val="00782B0D"/>
    <w:rsid w:val="00787AFC"/>
    <w:rsid w:val="007916C3"/>
    <w:rsid w:val="00792168"/>
    <w:rsid w:val="00792F39"/>
    <w:rsid w:val="0079378C"/>
    <w:rsid w:val="007947E1"/>
    <w:rsid w:val="0079781A"/>
    <w:rsid w:val="007A1546"/>
    <w:rsid w:val="007A228C"/>
    <w:rsid w:val="007A368E"/>
    <w:rsid w:val="007A5868"/>
    <w:rsid w:val="007A6B1F"/>
    <w:rsid w:val="007B04CE"/>
    <w:rsid w:val="007B2497"/>
    <w:rsid w:val="007B329D"/>
    <w:rsid w:val="007B6871"/>
    <w:rsid w:val="007B7A2F"/>
    <w:rsid w:val="007C1DE4"/>
    <w:rsid w:val="007C2B69"/>
    <w:rsid w:val="007C32EE"/>
    <w:rsid w:val="007C33BF"/>
    <w:rsid w:val="007C3D33"/>
    <w:rsid w:val="007C5C72"/>
    <w:rsid w:val="007D294A"/>
    <w:rsid w:val="007D47D2"/>
    <w:rsid w:val="007D6EC0"/>
    <w:rsid w:val="007D7E1D"/>
    <w:rsid w:val="007E0D34"/>
    <w:rsid w:val="007E482B"/>
    <w:rsid w:val="007E503C"/>
    <w:rsid w:val="007E5A5F"/>
    <w:rsid w:val="007E7197"/>
    <w:rsid w:val="007E77BD"/>
    <w:rsid w:val="007F1CAD"/>
    <w:rsid w:val="007F3718"/>
    <w:rsid w:val="007F469E"/>
    <w:rsid w:val="00801D16"/>
    <w:rsid w:val="0080345C"/>
    <w:rsid w:val="008040F4"/>
    <w:rsid w:val="00805B9B"/>
    <w:rsid w:val="008067F4"/>
    <w:rsid w:val="00812A2B"/>
    <w:rsid w:val="00813914"/>
    <w:rsid w:val="00813E46"/>
    <w:rsid w:val="00820B6C"/>
    <w:rsid w:val="008216BF"/>
    <w:rsid w:val="008239A8"/>
    <w:rsid w:val="00823DBE"/>
    <w:rsid w:val="00824FDC"/>
    <w:rsid w:val="0082522F"/>
    <w:rsid w:val="00831979"/>
    <w:rsid w:val="00832415"/>
    <w:rsid w:val="00832AFB"/>
    <w:rsid w:val="00844E3D"/>
    <w:rsid w:val="00851352"/>
    <w:rsid w:val="00857077"/>
    <w:rsid w:val="00863230"/>
    <w:rsid w:val="00865BD0"/>
    <w:rsid w:val="00867B98"/>
    <w:rsid w:val="008717D8"/>
    <w:rsid w:val="008720ED"/>
    <w:rsid w:val="0087215C"/>
    <w:rsid w:val="00875D25"/>
    <w:rsid w:val="00880E35"/>
    <w:rsid w:val="00885645"/>
    <w:rsid w:val="008875FE"/>
    <w:rsid w:val="00887F8E"/>
    <w:rsid w:val="008911D2"/>
    <w:rsid w:val="00892167"/>
    <w:rsid w:val="00894373"/>
    <w:rsid w:val="00896234"/>
    <w:rsid w:val="00897E43"/>
    <w:rsid w:val="008A085D"/>
    <w:rsid w:val="008A2CA1"/>
    <w:rsid w:val="008A35FD"/>
    <w:rsid w:val="008A43AF"/>
    <w:rsid w:val="008A46CB"/>
    <w:rsid w:val="008A5C69"/>
    <w:rsid w:val="008B0291"/>
    <w:rsid w:val="008B6DB3"/>
    <w:rsid w:val="008C222B"/>
    <w:rsid w:val="008C5738"/>
    <w:rsid w:val="008C7EAD"/>
    <w:rsid w:val="008D0CFE"/>
    <w:rsid w:val="008D256C"/>
    <w:rsid w:val="008D3676"/>
    <w:rsid w:val="008D53FE"/>
    <w:rsid w:val="008D6152"/>
    <w:rsid w:val="008D6CDC"/>
    <w:rsid w:val="008E0B47"/>
    <w:rsid w:val="008E5C0D"/>
    <w:rsid w:val="008E61C4"/>
    <w:rsid w:val="008E7BA9"/>
    <w:rsid w:val="008F0F81"/>
    <w:rsid w:val="008F19C4"/>
    <w:rsid w:val="008F27BF"/>
    <w:rsid w:val="008F2CF4"/>
    <w:rsid w:val="008F2E64"/>
    <w:rsid w:val="008F41FA"/>
    <w:rsid w:val="008F7986"/>
    <w:rsid w:val="009016A8"/>
    <w:rsid w:val="00901AC7"/>
    <w:rsid w:val="00906016"/>
    <w:rsid w:val="009142EC"/>
    <w:rsid w:val="009145E4"/>
    <w:rsid w:val="009154C3"/>
    <w:rsid w:val="009231A2"/>
    <w:rsid w:val="00923540"/>
    <w:rsid w:val="00926767"/>
    <w:rsid w:val="0092781F"/>
    <w:rsid w:val="0093449F"/>
    <w:rsid w:val="00935531"/>
    <w:rsid w:val="009361D5"/>
    <w:rsid w:val="00937710"/>
    <w:rsid w:val="00941559"/>
    <w:rsid w:val="00941D92"/>
    <w:rsid w:val="009428A4"/>
    <w:rsid w:val="009519FB"/>
    <w:rsid w:val="00962C50"/>
    <w:rsid w:val="00964A36"/>
    <w:rsid w:val="0096506D"/>
    <w:rsid w:val="00965928"/>
    <w:rsid w:val="009659F4"/>
    <w:rsid w:val="00970AB7"/>
    <w:rsid w:val="00970D60"/>
    <w:rsid w:val="00971330"/>
    <w:rsid w:val="009743E3"/>
    <w:rsid w:val="00983B27"/>
    <w:rsid w:val="009874D0"/>
    <w:rsid w:val="0099013C"/>
    <w:rsid w:val="00991105"/>
    <w:rsid w:val="0099390E"/>
    <w:rsid w:val="0099437D"/>
    <w:rsid w:val="00994774"/>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8B9"/>
    <w:rsid w:val="009D7C51"/>
    <w:rsid w:val="009E196C"/>
    <w:rsid w:val="009E3402"/>
    <w:rsid w:val="009E4495"/>
    <w:rsid w:val="009E696E"/>
    <w:rsid w:val="009E6A0A"/>
    <w:rsid w:val="009F1EC7"/>
    <w:rsid w:val="009F36BF"/>
    <w:rsid w:val="009F5D3A"/>
    <w:rsid w:val="00A111B6"/>
    <w:rsid w:val="00A13416"/>
    <w:rsid w:val="00A257D8"/>
    <w:rsid w:val="00A26D27"/>
    <w:rsid w:val="00A3214A"/>
    <w:rsid w:val="00A376EE"/>
    <w:rsid w:val="00A4251A"/>
    <w:rsid w:val="00A42A99"/>
    <w:rsid w:val="00A43A84"/>
    <w:rsid w:val="00A50B8D"/>
    <w:rsid w:val="00A5151A"/>
    <w:rsid w:val="00A550A3"/>
    <w:rsid w:val="00A551B5"/>
    <w:rsid w:val="00A57634"/>
    <w:rsid w:val="00A57E0A"/>
    <w:rsid w:val="00A63C34"/>
    <w:rsid w:val="00A74647"/>
    <w:rsid w:val="00A757F8"/>
    <w:rsid w:val="00A77919"/>
    <w:rsid w:val="00A805C2"/>
    <w:rsid w:val="00A81890"/>
    <w:rsid w:val="00A823F6"/>
    <w:rsid w:val="00A85046"/>
    <w:rsid w:val="00A8719E"/>
    <w:rsid w:val="00A91A81"/>
    <w:rsid w:val="00A962A0"/>
    <w:rsid w:val="00A96960"/>
    <w:rsid w:val="00A97F69"/>
    <w:rsid w:val="00AA0A89"/>
    <w:rsid w:val="00AA4565"/>
    <w:rsid w:val="00AA45FB"/>
    <w:rsid w:val="00AA5368"/>
    <w:rsid w:val="00AA6429"/>
    <w:rsid w:val="00AB2F74"/>
    <w:rsid w:val="00AB4B3F"/>
    <w:rsid w:val="00AB4F27"/>
    <w:rsid w:val="00AC01AA"/>
    <w:rsid w:val="00AC35FD"/>
    <w:rsid w:val="00AC3EE9"/>
    <w:rsid w:val="00AC4F72"/>
    <w:rsid w:val="00AC5041"/>
    <w:rsid w:val="00AC5D7C"/>
    <w:rsid w:val="00AC6F3F"/>
    <w:rsid w:val="00AD00B1"/>
    <w:rsid w:val="00AD5AA3"/>
    <w:rsid w:val="00AD7E31"/>
    <w:rsid w:val="00AE482E"/>
    <w:rsid w:val="00AF0EA0"/>
    <w:rsid w:val="00AF1B39"/>
    <w:rsid w:val="00AF2376"/>
    <w:rsid w:val="00AF66B2"/>
    <w:rsid w:val="00AF741A"/>
    <w:rsid w:val="00B01ADB"/>
    <w:rsid w:val="00B039F6"/>
    <w:rsid w:val="00B04161"/>
    <w:rsid w:val="00B056F9"/>
    <w:rsid w:val="00B11E3D"/>
    <w:rsid w:val="00B14D2C"/>
    <w:rsid w:val="00B14DF4"/>
    <w:rsid w:val="00B16863"/>
    <w:rsid w:val="00B17E82"/>
    <w:rsid w:val="00B32B7B"/>
    <w:rsid w:val="00B3684E"/>
    <w:rsid w:val="00B40EAB"/>
    <w:rsid w:val="00B417A2"/>
    <w:rsid w:val="00B4575A"/>
    <w:rsid w:val="00B4683F"/>
    <w:rsid w:val="00B51D38"/>
    <w:rsid w:val="00B54A17"/>
    <w:rsid w:val="00B575BA"/>
    <w:rsid w:val="00B57CCE"/>
    <w:rsid w:val="00B6143E"/>
    <w:rsid w:val="00B61E49"/>
    <w:rsid w:val="00B65F79"/>
    <w:rsid w:val="00B71608"/>
    <w:rsid w:val="00B7637F"/>
    <w:rsid w:val="00B76429"/>
    <w:rsid w:val="00B82686"/>
    <w:rsid w:val="00B86471"/>
    <w:rsid w:val="00B87597"/>
    <w:rsid w:val="00B929F6"/>
    <w:rsid w:val="00B92ABB"/>
    <w:rsid w:val="00B94444"/>
    <w:rsid w:val="00B956D4"/>
    <w:rsid w:val="00B966E3"/>
    <w:rsid w:val="00B97446"/>
    <w:rsid w:val="00BA088E"/>
    <w:rsid w:val="00BA156D"/>
    <w:rsid w:val="00BA4C63"/>
    <w:rsid w:val="00BA4EBF"/>
    <w:rsid w:val="00BA691F"/>
    <w:rsid w:val="00BA7432"/>
    <w:rsid w:val="00BB2764"/>
    <w:rsid w:val="00BB35BC"/>
    <w:rsid w:val="00BB52C0"/>
    <w:rsid w:val="00BC1AA0"/>
    <w:rsid w:val="00BC2495"/>
    <w:rsid w:val="00BC314A"/>
    <w:rsid w:val="00BC7EB9"/>
    <w:rsid w:val="00BD2643"/>
    <w:rsid w:val="00BD3606"/>
    <w:rsid w:val="00BD56B1"/>
    <w:rsid w:val="00BD6558"/>
    <w:rsid w:val="00BE178B"/>
    <w:rsid w:val="00BE6626"/>
    <w:rsid w:val="00BF2AD7"/>
    <w:rsid w:val="00BF2F76"/>
    <w:rsid w:val="00BF3022"/>
    <w:rsid w:val="00BF3214"/>
    <w:rsid w:val="00BF49B9"/>
    <w:rsid w:val="00BF5573"/>
    <w:rsid w:val="00BF5DE4"/>
    <w:rsid w:val="00C02305"/>
    <w:rsid w:val="00C0487F"/>
    <w:rsid w:val="00C05FAB"/>
    <w:rsid w:val="00C109AF"/>
    <w:rsid w:val="00C10C22"/>
    <w:rsid w:val="00C15867"/>
    <w:rsid w:val="00C17F3F"/>
    <w:rsid w:val="00C2176F"/>
    <w:rsid w:val="00C2186E"/>
    <w:rsid w:val="00C22398"/>
    <w:rsid w:val="00C2296D"/>
    <w:rsid w:val="00C23155"/>
    <w:rsid w:val="00C241E5"/>
    <w:rsid w:val="00C27B06"/>
    <w:rsid w:val="00C33E3A"/>
    <w:rsid w:val="00C3404E"/>
    <w:rsid w:val="00C40C41"/>
    <w:rsid w:val="00C42945"/>
    <w:rsid w:val="00C429FF"/>
    <w:rsid w:val="00C45885"/>
    <w:rsid w:val="00C4609E"/>
    <w:rsid w:val="00C50E5C"/>
    <w:rsid w:val="00C50F22"/>
    <w:rsid w:val="00C54225"/>
    <w:rsid w:val="00C556FF"/>
    <w:rsid w:val="00C57860"/>
    <w:rsid w:val="00C57971"/>
    <w:rsid w:val="00C61308"/>
    <w:rsid w:val="00C61C32"/>
    <w:rsid w:val="00C646BC"/>
    <w:rsid w:val="00C65BD7"/>
    <w:rsid w:val="00C670FA"/>
    <w:rsid w:val="00C70CE8"/>
    <w:rsid w:val="00C70F76"/>
    <w:rsid w:val="00C736E1"/>
    <w:rsid w:val="00C76493"/>
    <w:rsid w:val="00C768B3"/>
    <w:rsid w:val="00C76BA4"/>
    <w:rsid w:val="00C83A48"/>
    <w:rsid w:val="00C85865"/>
    <w:rsid w:val="00C85E85"/>
    <w:rsid w:val="00C926C8"/>
    <w:rsid w:val="00C96CDA"/>
    <w:rsid w:val="00CA2EAE"/>
    <w:rsid w:val="00CA4AC1"/>
    <w:rsid w:val="00CA59FB"/>
    <w:rsid w:val="00CA5AFE"/>
    <w:rsid w:val="00CB0316"/>
    <w:rsid w:val="00CB0B11"/>
    <w:rsid w:val="00CB1DBA"/>
    <w:rsid w:val="00CB2497"/>
    <w:rsid w:val="00CB31AD"/>
    <w:rsid w:val="00CB426A"/>
    <w:rsid w:val="00CB44C6"/>
    <w:rsid w:val="00CB527F"/>
    <w:rsid w:val="00CB5354"/>
    <w:rsid w:val="00CB704B"/>
    <w:rsid w:val="00CC1A0A"/>
    <w:rsid w:val="00CC2712"/>
    <w:rsid w:val="00CC3006"/>
    <w:rsid w:val="00CC3C9E"/>
    <w:rsid w:val="00CC6A14"/>
    <w:rsid w:val="00CC70A3"/>
    <w:rsid w:val="00CD019D"/>
    <w:rsid w:val="00CD4442"/>
    <w:rsid w:val="00CD53C3"/>
    <w:rsid w:val="00CD574E"/>
    <w:rsid w:val="00CD6B39"/>
    <w:rsid w:val="00CE4C22"/>
    <w:rsid w:val="00CE76E5"/>
    <w:rsid w:val="00CF1814"/>
    <w:rsid w:val="00CF2B14"/>
    <w:rsid w:val="00CF41EC"/>
    <w:rsid w:val="00CF544E"/>
    <w:rsid w:val="00CF548A"/>
    <w:rsid w:val="00CF5D04"/>
    <w:rsid w:val="00CF7556"/>
    <w:rsid w:val="00D037C6"/>
    <w:rsid w:val="00D047D5"/>
    <w:rsid w:val="00D04DE4"/>
    <w:rsid w:val="00D04F26"/>
    <w:rsid w:val="00D063F1"/>
    <w:rsid w:val="00D11735"/>
    <w:rsid w:val="00D1197D"/>
    <w:rsid w:val="00D14B70"/>
    <w:rsid w:val="00D14F22"/>
    <w:rsid w:val="00D16973"/>
    <w:rsid w:val="00D20B01"/>
    <w:rsid w:val="00D22C42"/>
    <w:rsid w:val="00D25267"/>
    <w:rsid w:val="00D25DB9"/>
    <w:rsid w:val="00D27258"/>
    <w:rsid w:val="00D31842"/>
    <w:rsid w:val="00D42768"/>
    <w:rsid w:val="00D429EA"/>
    <w:rsid w:val="00D42EDF"/>
    <w:rsid w:val="00D4700A"/>
    <w:rsid w:val="00D4741C"/>
    <w:rsid w:val="00D542A2"/>
    <w:rsid w:val="00D57918"/>
    <w:rsid w:val="00D6347C"/>
    <w:rsid w:val="00D634FD"/>
    <w:rsid w:val="00D67A28"/>
    <w:rsid w:val="00D67AC8"/>
    <w:rsid w:val="00D7083C"/>
    <w:rsid w:val="00D72EE4"/>
    <w:rsid w:val="00D73DC6"/>
    <w:rsid w:val="00D74C1A"/>
    <w:rsid w:val="00D754C1"/>
    <w:rsid w:val="00D75D31"/>
    <w:rsid w:val="00D77393"/>
    <w:rsid w:val="00D77A35"/>
    <w:rsid w:val="00D80ABA"/>
    <w:rsid w:val="00D81B3E"/>
    <w:rsid w:val="00D82D0E"/>
    <w:rsid w:val="00D90C70"/>
    <w:rsid w:val="00D90E49"/>
    <w:rsid w:val="00D96ADE"/>
    <w:rsid w:val="00D973EE"/>
    <w:rsid w:val="00DA0CE2"/>
    <w:rsid w:val="00DA19B0"/>
    <w:rsid w:val="00DA2387"/>
    <w:rsid w:val="00DB1682"/>
    <w:rsid w:val="00DB4C52"/>
    <w:rsid w:val="00DC2E03"/>
    <w:rsid w:val="00DC6A10"/>
    <w:rsid w:val="00DD0DED"/>
    <w:rsid w:val="00DD46A4"/>
    <w:rsid w:val="00DE657E"/>
    <w:rsid w:val="00DF4704"/>
    <w:rsid w:val="00E024AA"/>
    <w:rsid w:val="00E05C02"/>
    <w:rsid w:val="00E06B62"/>
    <w:rsid w:val="00E07D6F"/>
    <w:rsid w:val="00E15C77"/>
    <w:rsid w:val="00E1618E"/>
    <w:rsid w:val="00E1693E"/>
    <w:rsid w:val="00E219FE"/>
    <w:rsid w:val="00E241C3"/>
    <w:rsid w:val="00E250F1"/>
    <w:rsid w:val="00E304A7"/>
    <w:rsid w:val="00E31276"/>
    <w:rsid w:val="00E31385"/>
    <w:rsid w:val="00E34DF2"/>
    <w:rsid w:val="00E3550D"/>
    <w:rsid w:val="00E35DA9"/>
    <w:rsid w:val="00E47408"/>
    <w:rsid w:val="00E51273"/>
    <w:rsid w:val="00E52838"/>
    <w:rsid w:val="00E55D2F"/>
    <w:rsid w:val="00E56005"/>
    <w:rsid w:val="00E56C60"/>
    <w:rsid w:val="00E614E0"/>
    <w:rsid w:val="00E61C71"/>
    <w:rsid w:val="00E659E3"/>
    <w:rsid w:val="00E6695A"/>
    <w:rsid w:val="00E71226"/>
    <w:rsid w:val="00E7187B"/>
    <w:rsid w:val="00E73F7F"/>
    <w:rsid w:val="00E753E8"/>
    <w:rsid w:val="00E76A7A"/>
    <w:rsid w:val="00E80778"/>
    <w:rsid w:val="00E84E63"/>
    <w:rsid w:val="00E85409"/>
    <w:rsid w:val="00E92807"/>
    <w:rsid w:val="00E9339B"/>
    <w:rsid w:val="00EA429F"/>
    <w:rsid w:val="00EA4F9E"/>
    <w:rsid w:val="00EA63CA"/>
    <w:rsid w:val="00EA6D3B"/>
    <w:rsid w:val="00EB00AD"/>
    <w:rsid w:val="00EB136C"/>
    <w:rsid w:val="00EB480E"/>
    <w:rsid w:val="00EB5EC6"/>
    <w:rsid w:val="00EB7FC9"/>
    <w:rsid w:val="00EC15D1"/>
    <w:rsid w:val="00EC2B41"/>
    <w:rsid w:val="00EC3B63"/>
    <w:rsid w:val="00EC557D"/>
    <w:rsid w:val="00ED0B01"/>
    <w:rsid w:val="00ED27E8"/>
    <w:rsid w:val="00ED4942"/>
    <w:rsid w:val="00ED52F4"/>
    <w:rsid w:val="00ED671C"/>
    <w:rsid w:val="00ED7137"/>
    <w:rsid w:val="00EE2FA2"/>
    <w:rsid w:val="00EE3ED5"/>
    <w:rsid w:val="00EE436D"/>
    <w:rsid w:val="00EE43EF"/>
    <w:rsid w:val="00EE4FD2"/>
    <w:rsid w:val="00EF06EA"/>
    <w:rsid w:val="00EF14DE"/>
    <w:rsid w:val="00EF391E"/>
    <w:rsid w:val="00EF4C1F"/>
    <w:rsid w:val="00F00580"/>
    <w:rsid w:val="00F0447D"/>
    <w:rsid w:val="00F07604"/>
    <w:rsid w:val="00F10225"/>
    <w:rsid w:val="00F21088"/>
    <w:rsid w:val="00F23117"/>
    <w:rsid w:val="00F326BF"/>
    <w:rsid w:val="00F327E7"/>
    <w:rsid w:val="00F337E8"/>
    <w:rsid w:val="00F35746"/>
    <w:rsid w:val="00F4155F"/>
    <w:rsid w:val="00F447C7"/>
    <w:rsid w:val="00F459B4"/>
    <w:rsid w:val="00F45EB0"/>
    <w:rsid w:val="00F5211B"/>
    <w:rsid w:val="00F52649"/>
    <w:rsid w:val="00F554A9"/>
    <w:rsid w:val="00F5658A"/>
    <w:rsid w:val="00F716FD"/>
    <w:rsid w:val="00F7418F"/>
    <w:rsid w:val="00F751B9"/>
    <w:rsid w:val="00F802B0"/>
    <w:rsid w:val="00F80355"/>
    <w:rsid w:val="00F80ED7"/>
    <w:rsid w:val="00F84C3C"/>
    <w:rsid w:val="00F87C43"/>
    <w:rsid w:val="00F911FE"/>
    <w:rsid w:val="00F945D0"/>
    <w:rsid w:val="00FA1A3E"/>
    <w:rsid w:val="00FA4349"/>
    <w:rsid w:val="00FA5722"/>
    <w:rsid w:val="00FA58B1"/>
    <w:rsid w:val="00FA6889"/>
    <w:rsid w:val="00FB0C81"/>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8E3EC"/>
  <w15:docId w15:val="{FA7C4D4E-C8D2-46A1-A2C5-05953C6A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BB35B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597"/>
    <w:pPr>
      <w:spacing w:after="160" w:line="240" w:lineRule="exact"/>
    </w:pPr>
    <w:rPr>
      <w:sz w:val="20"/>
      <w:szCs w:val="20"/>
      <w:vertAlign w:val="superscript"/>
    </w:rPr>
  </w:style>
  <w:style w:type="character" w:customStyle="1" w:styleId="normaltextrun">
    <w:name w:val="normaltextrun"/>
    <w:basedOn w:val="DefaultParagraphFont"/>
    <w:rsid w:val="00B87597"/>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E3ED5"/>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E3ED5"/>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E3ED5"/>
    <w:rPr>
      <w:sz w:val="22"/>
      <w:szCs w:val="22"/>
    </w:rPr>
  </w:style>
  <w:style w:type="paragraph" w:styleId="Caption">
    <w:name w:val="caption"/>
    <w:basedOn w:val="Normal"/>
    <w:next w:val="Normal"/>
    <w:qFormat/>
    <w:rsid w:val="00EE3ED5"/>
    <w:rPr>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29707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2969">
      <w:bodyDiv w:val="1"/>
      <w:marLeft w:val="0"/>
      <w:marRight w:val="0"/>
      <w:marTop w:val="0"/>
      <w:marBottom w:val="0"/>
      <w:divBdr>
        <w:top w:val="none" w:sz="0" w:space="0" w:color="auto"/>
        <w:left w:val="none" w:sz="0" w:space="0" w:color="auto"/>
        <w:bottom w:val="none" w:sz="0" w:space="0" w:color="auto"/>
        <w:right w:val="none" w:sz="0" w:space="0" w:color="auto"/>
      </w:divBdr>
    </w:div>
    <w:div w:id="1497648140">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1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b93c647f-d63b-431a-95c8-8e00048cff23"/>
    <ds:schemaRef ds:uri="http://purl.org/dc/elements/1.1/"/>
    <ds:schemaRef ds:uri="http://schemas.microsoft.com/office/2006/documentManagement/types"/>
    <ds:schemaRef ds:uri="http://schemas.openxmlformats.org/package/2006/metadata/core-properties"/>
    <ds:schemaRef ds:uri="http://purl.org/dc/dcmitype/"/>
    <ds:schemaRef ds:uri="eb6c2e4c-3f1c-4103-a37b-37c984dbe58f"/>
    <ds:schemaRef ds:uri="http://purl.org/dc/terms/"/>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21</TotalTime>
  <Pages>8</Pages>
  <Words>3495</Words>
  <Characters>19054</Characters>
  <Application>Microsoft Office Word</Application>
  <DocSecurity>0</DocSecurity>
  <Lines>544</Lines>
  <Paragraphs>331</Paragraphs>
  <ScaleCrop>false</ScaleCrop>
  <HeadingPairs>
    <vt:vector size="2" baseType="variant">
      <vt:variant>
        <vt:lpstr>Title</vt:lpstr>
      </vt:variant>
      <vt:variant>
        <vt:i4>1</vt:i4>
      </vt:variant>
    </vt:vector>
  </HeadingPairs>
  <TitlesOfParts>
    <vt:vector size="1" baseType="lpstr">
      <vt:lpstr>Análisis adicional de la cuestión de los hfc contenidos en los polioles premezclados importados en el sector de las espumas de poliuretano en los países sujetos al artículo 5 (decisión 95/88(b))</vt:lpstr>
    </vt:vector>
  </TitlesOfParts>
  <Company>UNMFS</Company>
  <LinksUpToDate>false</LinksUpToDate>
  <CharactersWithSpaces>22218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adicional de la cuestión de los hfc contenidos en los polioles premezclados importados en el sector de las espumas de poliuretano en los países sujetos al artículo 5 (decisión 95/88(b))</dc:title>
  <dc:creator>Alejandro Ramirez-Pabon</dc:creator>
  <cp:keywords>96th ExCom</cp:keywords>
  <dc:description>Source doc. 9588</dc:description>
  <cp:lastModifiedBy>Angela Xue He Yan</cp:lastModifiedBy>
  <cp:revision>8</cp:revision>
  <cp:lastPrinted>2001-05-26T16:40:00Z</cp:lastPrinted>
  <dcterms:created xsi:type="dcterms:W3CDTF">2025-04-29T17:37:00Z</dcterms:created>
  <dcterms:modified xsi:type="dcterms:W3CDTF">2025-05-01T19:00:00Z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