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theme/themeOverride1.xml" ContentType="application/vnd.openxmlformats-officedocument.themeOverrid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charts/colors1.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DB276E" w14:paraId="04865616" w14:textId="77777777">
        <w:trPr>
          <w:trHeight w:val="720"/>
        </w:trPr>
        <w:tc>
          <w:tcPr>
            <w:tcW w:w="7061" w:type="dxa"/>
            <w:gridSpan w:val="2"/>
            <w:tcBorders>
              <w:bottom w:val="single" w:sz="18" w:space="0" w:color="auto"/>
            </w:tcBorders>
          </w:tcPr>
          <w:p w14:paraId="264EDE27" w14:textId="77777777" w:rsidR="00441083" w:rsidRPr="00DB276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DB276E">
              <w:rPr>
                <w:rFonts w:ascii="Univers" w:hAnsi="Univers"/>
                <w:b/>
                <w:sz w:val="28"/>
                <w:szCs w:val="28"/>
                <w:lang w:val="fr-CA"/>
              </w:rPr>
              <w:t>NATIONS</w:t>
            </w:r>
          </w:p>
          <w:p w14:paraId="3AAD35FD" w14:textId="77777777" w:rsidR="00441083" w:rsidRPr="00DB276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DB276E">
              <w:rPr>
                <w:rFonts w:ascii="Univers" w:hAnsi="Univers"/>
                <w:b/>
                <w:sz w:val="28"/>
                <w:szCs w:val="28"/>
                <w:lang w:val="fr-CA"/>
              </w:rPr>
              <w:t xml:space="preserve">UNIES </w:t>
            </w:r>
          </w:p>
        </w:tc>
        <w:tc>
          <w:tcPr>
            <w:tcW w:w="3544" w:type="dxa"/>
            <w:tcBorders>
              <w:bottom w:val="single" w:sz="18" w:space="0" w:color="auto"/>
            </w:tcBorders>
          </w:tcPr>
          <w:p w14:paraId="21FD111D" w14:textId="77777777" w:rsidR="00441083" w:rsidRPr="00DB276E" w:rsidRDefault="00E60D9C">
            <w:pPr>
              <w:tabs>
                <w:tab w:val="left" w:pos="3010"/>
              </w:tabs>
              <w:jc w:val="center"/>
              <w:rPr>
                <w:sz w:val="52"/>
                <w:szCs w:val="52"/>
                <w:lang w:val="fr-CA"/>
              </w:rPr>
            </w:pPr>
            <w:r w:rsidRPr="00DB276E">
              <w:rPr>
                <w:rFonts w:ascii="Univers Bold" w:hAnsi="Univers Bold"/>
                <w:b/>
                <w:sz w:val="72"/>
                <w:lang w:val="fr-CA"/>
              </w:rPr>
              <w:t xml:space="preserve">          EP</w:t>
            </w:r>
          </w:p>
        </w:tc>
      </w:tr>
      <w:tr w:rsidR="00441083" w:rsidRPr="00DB276E" w14:paraId="5136DD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A14796" w14:textId="77777777" w:rsidR="00441083" w:rsidRPr="00DB276E" w:rsidRDefault="00C6443E">
            <w:pPr>
              <w:spacing w:before="120"/>
              <w:rPr>
                <w:lang w:val="fr-CA"/>
              </w:rPr>
            </w:pPr>
            <w:r w:rsidRPr="00DB276E">
              <w:rPr>
                <w:noProof/>
                <w:lang w:val="en-US"/>
              </w:rPr>
              <w:drawing>
                <wp:anchor distT="0" distB="0" distL="114300" distR="114300" simplePos="0" relativeHeight="251660288" behindDoc="0" locked="0" layoutInCell="1" allowOverlap="1" wp14:anchorId="66B786E6" wp14:editId="29BF11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DB276E">
              <w:rPr>
                <w:noProof/>
                <w:lang w:val="en-US"/>
              </w:rPr>
              <w:drawing>
                <wp:anchor distT="0" distB="0" distL="114300" distR="114300" simplePos="0" relativeHeight="251661312" behindDoc="1" locked="0" layoutInCell="0" allowOverlap="1" wp14:anchorId="221317F0" wp14:editId="518A279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64404CF" w14:textId="77777777" w:rsidR="00441083" w:rsidRPr="009E41C8"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A793F54" w14:textId="77777777" w:rsidR="00441083" w:rsidRPr="009E41C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9E41C8">
              <w:rPr>
                <w:rFonts w:ascii="Univers" w:hAnsi="Univers"/>
                <w:b/>
                <w:sz w:val="32"/>
                <w:lang w:val="fr-CA"/>
              </w:rPr>
              <w:t>Programme des</w:t>
            </w:r>
          </w:p>
          <w:p w14:paraId="487F7A51" w14:textId="77777777" w:rsidR="00441083" w:rsidRPr="009E41C8" w:rsidRDefault="00E60D9C">
            <w:pPr>
              <w:rPr>
                <w:rFonts w:ascii="Univers" w:hAnsi="Univers"/>
                <w:b/>
                <w:sz w:val="32"/>
                <w:lang w:val="fr-CA"/>
              </w:rPr>
            </w:pPr>
            <w:r w:rsidRPr="009E41C8">
              <w:rPr>
                <w:rFonts w:ascii="Univers" w:hAnsi="Univers"/>
                <w:b/>
                <w:sz w:val="32"/>
                <w:lang w:val="fr-CA"/>
              </w:rPr>
              <w:t>Nations Unies pour</w:t>
            </w:r>
          </w:p>
          <w:p w14:paraId="5D84587B" w14:textId="77777777" w:rsidR="00441083" w:rsidRPr="009E41C8" w:rsidRDefault="00E60D9C">
            <w:pPr>
              <w:rPr>
                <w:rFonts w:ascii="Univers" w:hAnsi="Univers"/>
                <w:b/>
                <w:sz w:val="32"/>
                <w:lang w:val="fr-CA"/>
              </w:rPr>
            </w:pPr>
            <w:r w:rsidRPr="009E41C8">
              <w:rPr>
                <w:rFonts w:ascii="Univers" w:hAnsi="Univers"/>
                <w:b/>
                <w:sz w:val="32"/>
                <w:lang w:val="fr-CA"/>
              </w:rPr>
              <w:t>l’environnement</w:t>
            </w:r>
          </w:p>
          <w:p w14:paraId="39434578" w14:textId="77777777" w:rsidR="00441083" w:rsidRPr="009E41C8" w:rsidRDefault="00E60D9C">
            <w:pPr>
              <w:spacing w:before="720"/>
              <w:ind w:left="158"/>
              <w:rPr>
                <w:lang w:val="fr-CA"/>
              </w:rPr>
            </w:pPr>
            <w:r w:rsidRPr="009E41C8">
              <w:rPr>
                <w:lang w:val="fr-CA"/>
              </w:rPr>
              <w:t xml:space="preserve"> </w:t>
            </w:r>
          </w:p>
        </w:tc>
        <w:tc>
          <w:tcPr>
            <w:tcW w:w="3544" w:type="dxa"/>
            <w:tcBorders>
              <w:top w:val="nil"/>
              <w:left w:val="nil"/>
              <w:bottom w:val="single" w:sz="36" w:space="0" w:color="auto"/>
              <w:right w:val="nil"/>
            </w:tcBorders>
          </w:tcPr>
          <w:p w14:paraId="64CCDDD0" w14:textId="77777777" w:rsidR="00441083" w:rsidRPr="009E41C8" w:rsidRDefault="00441083">
            <w:pPr>
              <w:rPr>
                <w:lang w:val="fr-CA"/>
              </w:rPr>
            </w:pPr>
          </w:p>
          <w:p w14:paraId="226670DF" w14:textId="77777777" w:rsidR="00441083" w:rsidRPr="009E41C8" w:rsidRDefault="00E60D9C">
            <w:pPr>
              <w:rPr>
                <w:lang w:val="fr-CA"/>
              </w:rPr>
            </w:pPr>
            <w:r w:rsidRPr="009E41C8">
              <w:rPr>
                <w:lang w:val="fr-CA"/>
              </w:rPr>
              <w:t>Distr.</w:t>
            </w:r>
          </w:p>
          <w:p w14:paraId="4F04DB99" w14:textId="77777777" w:rsidR="00441083" w:rsidRPr="009E41C8" w:rsidRDefault="00E60D9C" w:rsidP="00DD3433">
            <w:pPr>
              <w:rPr>
                <w:lang w:val="fr-CA"/>
              </w:rPr>
            </w:pPr>
            <w:r w:rsidRPr="009E41C8">
              <w:rPr>
                <w:lang w:val="fr-CA"/>
              </w:rPr>
              <w:t>G</w:t>
            </w:r>
            <w:r w:rsidR="00DD3433" w:rsidRPr="009E41C8">
              <w:rPr>
                <w:lang w:val="fr-CA"/>
              </w:rPr>
              <w:t>É</w:t>
            </w:r>
            <w:r w:rsidRPr="009E41C8">
              <w:rPr>
                <w:lang w:val="fr-CA"/>
              </w:rPr>
              <w:t>N</w:t>
            </w:r>
            <w:r w:rsidR="00DD3433" w:rsidRPr="009E41C8">
              <w:rPr>
                <w:lang w:val="fr-CA"/>
              </w:rPr>
              <w:t>É</w:t>
            </w:r>
            <w:r w:rsidRPr="009E41C8">
              <w:rPr>
                <w:lang w:val="fr-CA"/>
              </w:rPr>
              <w:t>RAL</w:t>
            </w:r>
            <w:r w:rsidR="00FF3CF1" w:rsidRPr="009E41C8">
              <w:rPr>
                <w:lang w:val="fr-CA"/>
              </w:rPr>
              <w:t>E</w:t>
            </w:r>
          </w:p>
          <w:p w14:paraId="08696C74" w14:textId="77777777" w:rsidR="00441083" w:rsidRPr="009E41C8" w:rsidRDefault="00441083">
            <w:pPr>
              <w:rPr>
                <w:lang w:val="fr-CA"/>
              </w:rPr>
            </w:pPr>
          </w:p>
          <w:p w14:paraId="4F7258E2" w14:textId="6799AE33" w:rsidR="00441083" w:rsidRPr="009E41C8" w:rsidRDefault="00E60D9C">
            <w:pPr>
              <w:rPr>
                <w:lang w:val="fr-CA"/>
              </w:rPr>
            </w:pPr>
            <w:r w:rsidRPr="009E41C8">
              <w:rPr>
                <w:lang w:val="fr-CA"/>
              </w:rPr>
              <w:fldChar w:fldCharType="begin"/>
            </w:r>
            <w:r w:rsidRPr="009E41C8">
              <w:rPr>
                <w:lang w:val="fr-CA"/>
              </w:rPr>
              <w:instrText xml:space="preserve"> DOCPROPERTY "Document number"  \* MERGEFORMAT </w:instrText>
            </w:r>
            <w:r w:rsidRPr="009E41C8">
              <w:rPr>
                <w:lang w:val="fr-CA"/>
              </w:rPr>
              <w:fldChar w:fldCharType="separate"/>
            </w:r>
            <w:r w:rsidR="00003C73" w:rsidRPr="009E41C8">
              <w:rPr>
                <w:lang w:val="fr-CA"/>
              </w:rPr>
              <w:t>UNEP/OzL.Pro/ExCom/86/95</w:t>
            </w:r>
            <w:r w:rsidRPr="009E41C8">
              <w:rPr>
                <w:lang w:val="fr-CA"/>
              </w:rPr>
              <w:fldChar w:fldCharType="end"/>
            </w:r>
          </w:p>
          <w:p w14:paraId="0DBCC0E2" w14:textId="049A4088" w:rsidR="008E579E" w:rsidRPr="009E41C8" w:rsidRDefault="008E579E">
            <w:pPr>
              <w:rPr>
                <w:lang w:val="fr-CA"/>
              </w:rPr>
            </w:pPr>
            <w:r w:rsidRPr="009E41C8">
              <w:rPr>
                <w:lang w:val="fr-CA"/>
              </w:rPr>
              <w:t>26 janvier 2021</w:t>
            </w:r>
          </w:p>
          <w:p w14:paraId="60686752" w14:textId="77777777" w:rsidR="00441083" w:rsidRPr="009E41C8" w:rsidRDefault="00FC5578">
            <w:pPr>
              <w:rPr>
                <w:caps/>
                <w:lang w:val="fr-CA"/>
              </w:rPr>
            </w:pPr>
            <w:r w:rsidRPr="009E41C8">
              <w:rPr>
                <w:caps/>
                <w:lang w:val="fr-CA"/>
              </w:rPr>
              <w:br/>
            </w:r>
            <w:r w:rsidR="00E60D9C" w:rsidRPr="009E41C8">
              <w:rPr>
                <w:caps/>
                <w:lang w:val="fr-CA"/>
              </w:rPr>
              <w:t>FRANÇAIS</w:t>
            </w:r>
          </w:p>
          <w:p w14:paraId="2050A782" w14:textId="77777777" w:rsidR="00441083" w:rsidRPr="009E41C8" w:rsidRDefault="00E60D9C">
            <w:pPr>
              <w:rPr>
                <w:lang w:val="fr-CA"/>
              </w:rPr>
            </w:pPr>
            <w:r w:rsidRPr="009E41C8">
              <w:rPr>
                <w:lang w:val="fr-CA"/>
              </w:rPr>
              <w:t xml:space="preserve">ORIGINAL: </w:t>
            </w:r>
            <w:r w:rsidR="0091161A" w:rsidRPr="009E41C8">
              <w:rPr>
                <w:lang w:val="fr-CA"/>
              </w:rPr>
              <w:t>ANGLAIS</w:t>
            </w:r>
          </w:p>
        </w:tc>
      </w:tr>
    </w:tbl>
    <w:p w14:paraId="48D8D010" w14:textId="77777777" w:rsidR="00441083" w:rsidRPr="00DB276E" w:rsidRDefault="00E60D9C" w:rsidP="00DD3433">
      <w:pPr>
        <w:jc w:val="left"/>
        <w:rPr>
          <w:lang w:val="fr-CA"/>
        </w:rPr>
      </w:pPr>
      <w:r w:rsidRPr="00DB276E">
        <w:rPr>
          <w:lang w:val="fr-CA"/>
        </w:rPr>
        <w:t>COMIT</w:t>
      </w:r>
      <w:r w:rsidR="00DD3433" w:rsidRPr="00DB276E">
        <w:rPr>
          <w:lang w:val="fr-CA"/>
        </w:rPr>
        <w:t>É</w:t>
      </w:r>
      <w:r w:rsidRPr="00DB276E">
        <w:rPr>
          <w:lang w:val="fr-CA"/>
        </w:rPr>
        <w:t xml:space="preserve"> EX</w:t>
      </w:r>
      <w:r w:rsidR="00DD3433" w:rsidRPr="00DB276E">
        <w:rPr>
          <w:lang w:val="fr-CA"/>
        </w:rPr>
        <w:t xml:space="preserve">ÉCUTIF </w:t>
      </w:r>
      <w:r w:rsidR="00DD3433" w:rsidRPr="00DB276E">
        <w:rPr>
          <w:lang w:val="fr-CA"/>
        </w:rPr>
        <w:br/>
        <w:t xml:space="preserve">  DU FONDS MULTILATÉ</w:t>
      </w:r>
      <w:r w:rsidRPr="00DB276E">
        <w:rPr>
          <w:lang w:val="fr-CA"/>
        </w:rPr>
        <w:t xml:space="preserve">RAL AUX FINS </w:t>
      </w:r>
      <w:r w:rsidRPr="00DB276E">
        <w:rPr>
          <w:lang w:val="fr-CA"/>
        </w:rPr>
        <w:br/>
        <w:t xml:space="preserve">  D’APPLICATION DU PROTOCOLE DE MONTR</w:t>
      </w:r>
      <w:r w:rsidR="00DD3433" w:rsidRPr="00DB276E">
        <w:rPr>
          <w:lang w:val="fr-CA"/>
        </w:rPr>
        <w:t>É</w:t>
      </w:r>
      <w:r w:rsidRPr="00DB276E">
        <w:rPr>
          <w:lang w:val="fr-CA"/>
        </w:rPr>
        <w:t>AL</w:t>
      </w:r>
      <w:r w:rsidRPr="00DB276E">
        <w:rPr>
          <w:lang w:val="fr-CA"/>
        </w:rPr>
        <w:br/>
      </w:r>
      <w:r w:rsidR="00E54871" w:rsidRPr="00DB276E">
        <w:rPr>
          <w:lang w:val="fr-CA"/>
        </w:rPr>
        <w:t>Quatre</w:t>
      </w:r>
      <w:r w:rsidRPr="00DB276E">
        <w:rPr>
          <w:lang w:val="fr-CA"/>
        </w:rPr>
        <w:t>-</w:t>
      </w:r>
      <w:r w:rsidR="00E54871" w:rsidRPr="00DB276E">
        <w:rPr>
          <w:lang w:val="fr-CA"/>
        </w:rPr>
        <w:t>vingt</w:t>
      </w:r>
      <w:r w:rsidR="009666A1" w:rsidRPr="00DB276E">
        <w:rPr>
          <w:lang w:val="fr-CA"/>
        </w:rPr>
        <w:t>-</w:t>
      </w:r>
      <w:r w:rsidR="009568BB" w:rsidRPr="00DB276E">
        <w:rPr>
          <w:lang w:val="fr-CA"/>
        </w:rPr>
        <w:t>six</w:t>
      </w:r>
      <w:r w:rsidR="004C2C87" w:rsidRPr="00DB276E">
        <w:rPr>
          <w:lang w:val="fr-CA"/>
        </w:rPr>
        <w:t>i</w:t>
      </w:r>
      <w:r w:rsidR="00E54871" w:rsidRPr="00DB276E">
        <w:rPr>
          <w:lang w:val="fr-CA"/>
        </w:rPr>
        <w:t>ème</w:t>
      </w:r>
      <w:r w:rsidR="00FC5578" w:rsidRPr="00DB276E">
        <w:rPr>
          <w:lang w:val="fr-CA"/>
        </w:rPr>
        <w:t xml:space="preserve"> </w:t>
      </w:r>
      <w:r w:rsidRPr="00DB276E">
        <w:rPr>
          <w:lang w:val="fr-CA"/>
        </w:rPr>
        <w:t>réunion</w:t>
      </w:r>
    </w:p>
    <w:p w14:paraId="40B2D5A5" w14:textId="77777777" w:rsidR="00C27322" w:rsidRPr="00DB276E" w:rsidRDefault="00C27322" w:rsidP="00C27322">
      <w:pPr>
        <w:jc w:val="left"/>
        <w:rPr>
          <w:lang w:val="fr-CA"/>
        </w:rPr>
      </w:pPr>
      <w:r w:rsidRPr="00DB276E">
        <w:rPr>
          <w:lang w:val="fr-CA"/>
        </w:rPr>
        <w:t>Montréal, 2</w:t>
      </w:r>
      <w:r w:rsidR="00812387" w:rsidRPr="00DB276E">
        <w:rPr>
          <w:lang w:val="fr-CA"/>
        </w:rPr>
        <w:t xml:space="preserve"> – 6 novembre</w:t>
      </w:r>
      <w:r w:rsidRPr="00DB276E">
        <w:rPr>
          <w:lang w:val="fr-CA"/>
        </w:rPr>
        <w:t xml:space="preserve"> 2020</w:t>
      </w:r>
    </w:p>
    <w:p w14:paraId="27BB00FF" w14:textId="745DED0B" w:rsidR="00441083" w:rsidRPr="00DB276E" w:rsidRDefault="00C27322" w:rsidP="00AC013C">
      <w:pPr>
        <w:jc w:val="left"/>
        <w:rPr>
          <w:lang w:val="fr-CA"/>
        </w:rPr>
      </w:pPr>
      <w:r w:rsidRPr="00DB276E">
        <w:rPr>
          <w:lang w:val="fr-CA"/>
        </w:rPr>
        <w:t>Reportée:</w:t>
      </w:r>
      <w:r w:rsidR="00FC5578" w:rsidRPr="00DB276E">
        <w:rPr>
          <w:lang w:val="fr-CA"/>
        </w:rPr>
        <w:t xml:space="preserve"> </w:t>
      </w:r>
      <w:r w:rsidR="00812387" w:rsidRPr="00DB276E">
        <w:rPr>
          <w:lang w:val="fr-CA"/>
        </w:rPr>
        <w:t>8</w:t>
      </w:r>
      <w:r w:rsidR="00AC013C" w:rsidRPr="00DB276E">
        <w:rPr>
          <w:lang w:val="fr-CA"/>
        </w:rPr>
        <w:t xml:space="preserve"> </w:t>
      </w:r>
      <w:r w:rsidR="00E60D9C" w:rsidRPr="00DB276E">
        <w:rPr>
          <w:lang w:val="fr-CA"/>
        </w:rPr>
        <w:t xml:space="preserve">– </w:t>
      </w:r>
      <w:r w:rsidR="00812387" w:rsidRPr="00DB276E">
        <w:rPr>
          <w:lang w:val="fr-CA"/>
        </w:rPr>
        <w:t>1</w:t>
      </w:r>
      <w:r w:rsidR="009666A1" w:rsidRPr="00DB276E">
        <w:rPr>
          <w:lang w:val="fr-CA"/>
        </w:rPr>
        <w:t xml:space="preserve">2 </w:t>
      </w:r>
      <w:r w:rsidR="00812387" w:rsidRPr="00DB276E">
        <w:rPr>
          <w:lang w:val="fr-CA"/>
        </w:rPr>
        <w:t>mars</w:t>
      </w:r>
      <w:r w:rsidR="009666A1" w:rsidRPr="00DB276E">
        <w:rPr>
          <w:lang w:val="fr-CA"/>
        </w:rPr>
        <w:t xml:space="preserve"> 202</w:t>
      </w:r>
      <w:r w:rsidR="00812387" w:rsidRPr="00DB276E">
        <w:rPr>
          <w:lang w:val="fr-CA"/>
        </w:rPr>
        <w:t>1</w:t>
      </w:r>
      <w:r w:rsidR="001A6821">
        <w:rPr>
          <w:rStyle w:val="FootnoteReference"/>
          <w:lang w:val="fr-CA"/>
        </w:rPr>
        <w:footnoteReference w:id="1"/>
      </w:r>
    </w:p>
    <w:p w14:paraId="1D4124EC" w14:textId="0CC8D006" w:rsidR="00F46F86" w:rsidRDefault="00F46F86" w:rsidP="00F46F86">
      <w:pPr>
        <w:jc w:val="left"/>
        <w:rPr>
          <w:lang w:val="fr-CA"/>
        </w:rPr>
      </w:pPr>
    </w:p>
    <w:p w14:paraId="0EE1271C" w14:textId="77777777" w:rsidR="008E579E" w:rsidRPr="00231312" w:rsidRDefault="008E579E" w:rsidP="00F46F86">
      <w:pPr>
        <w:jc w:val="left"/>
        <w:rPr>
          <w:sz w:val="20"/>
          <w:szCs w:val="20"/>
          <w:lang w:val="fr-CA"/>
        </w:rPr>
      </w:pPr>
    </w:p>
    <w:p w14:paraId="4D54EADF" w14:textId="77777777" w:rsidR="00EE541E" w:rsidRDefault="00003C73" w:rsidP="00003C73">
      <w:pPr>
        <w:jc w:val="center"/>
        <w:rPr>
          <w:b/>
          <w:lang w:val="fr"/>
        </w:rPr>
      </w:pPr>
      <w:r w:rsidRPr="00003C73">
        <w:rPr>
          <w:b/>
          <w:lang w:val="fr"/>
        </w:rPr>
        <w:t xml:space="preserve">PRINCIPAUX ASPECTS LIÉS AUX TECHNOLOGIES DE CONTRÔLE </w:t>
      </w:r>
    </w:p>
    <w:p w14:paraId="675A9B9F" w14:textId="5B93BA0A" w:rsidR="00003C73" w:rsidRDefault="00003C73" w:rsidP="00003C73">
      <w:pPr>
        <w:jc w:val="center"/>
        <w:rPr>
          <w:b/>
          <w:lang w:val="fr"/>
        </w:rPr>
      </w:pPr>
      <w:r w:rsidRPr="00003C73">
        <w:rPr>
          <w:b/>
          <w:lang w:val="fr"/>
        </w:rPr>
        <w:t>DU SOUS-PRODUIT HFC-23 : ARGENTINE (DÉCISIONS 90/90 ET 84/90)</w:t>
      </w:r>
    </w:p>
    <w:p w14:paraId="15254F8D" w14:textId="77777777" w:rsidR="008E579E" w:rsidRPr="00EE541E" w:rsidRDefault="008E579E" w:rsidP="00003C73">
      <w:pPr>
        <w:jc w:val="center"/>
        <w:rPr>
          <w:b/>
          <w:lang w:val="fr-CA"/>
        </w:rPr>
      </w:pPr>
    </w:p>
    <w:p w14:paraId="1B7D71AD" w14:textId="77777777" w:rsidR="00003C73" w:rsidRPr="00EE541E" w:rsidRDefault="00003C73" w:rsidP="00003C73">
      <w:pPr>
        <w:rPr>
          <w:u w:val="single"/>
          <w:lang w:val="fr-CA"/>
        </w:rPr>
      </w:pPr>
      <w:r w:rsidRPr="00003C73">
        <w:rPr>
          <w:u w:val="single"/>
          <w:lang w:val="fr"/>
        </w:rPr>
        <w:t>Contexte</w:t>
      </w:r>
    </w:p>
    <w:p w14:paraId="367EBEC8" w14:textId="77777777" w:rsidR="00003C73" w:rsidRPr="00EE541E" w:rsidRDefault="00003C73" w:rsidP="00003C73">
      <w:pPr>
        <w:rPr>
          <w:lang w:val="fr-CA"/>
        </w:rPr>
      </w:pPr>
    </w:p>
    <w:p w14:paraId="3769DCB1" w14:textId="4BD0727C" w:rsidR="00003C73" w:rsidRPr="00EE541E" w:rsidRDefault="00003C73" w:rsidP="00003C73">
      <w:pPr>
        <w:numPr>
          <w:ilvl w:val="0"/>
          <w:numId w:val="1"/>
        </w:numPr>
        <w:spacing w:after="240"/>
        <w:outlineLvl w:val="0"/>
        <w:rPr>
          <w:lang w:val="fr-CA"/>
        </w:rPr>
      </w:pPr>
      <w:r w:rsidRPr="00003C73">
        <w:rPr>
          <w:lang w:val="fr"/>
        </w:rPr>
        <w:t>À sa 83</w:t>
      </w:r>
      <w:r w:rsidRPr="00003C73">
        <w:rPr>
          <w:vertAlign w:val="superscript"/>
          <w:lang w:val="fr"/>
        </w:rPr>
        <w:t>e</w:t>
      </w:r>
      <w:r w:rsidRPr="00003C73">
        <w:rPr>
          <w:lang w:val="fr"/>
        </w:rPr>
        <w:t xml:space="preserve"> réunion, le Comité exécutif a examiné les différentes options décrites par la proposition de projet de contrôle et d'élimination des émissions de HFC-23 par Frio Industrias Argentinas (FIASA), pour un co</w:t>
      </w:r>
      <w:r w:rsidR="00663B35">
        <w:rPr>
          <w:lang w:val="fr"/>
        </w:rPr>
        <w:t>ût total situé entre 10 867 000</w:t>
      </w:r>
      <w:r w:rsidR="00663B35" w:rsidRPr="00003C73">
        <w:rPr>
          <w:lang w:val="fr"/>
        </w:rPr>
        <w:t> $US</w:t>
      </w:r>
      <w:r w:rsidRPr="00003C73">
        <w:rPr>
          <w:lang w:val="fr"/>
        </w:rPr>
        <w:t>, frais d'appui d'age</w:t>
      </w:r>
      <w:r w:rsidR="00663B35">
        <w:rPr>
          <w:lang w:val="fr"/>
        </w:rPr>
        <w:t>nce en sus à hauteur de 760 690</w:t>
      </w:r>
      <w:r w:rsidR="00663B35" w:rsidRPr="00003C73">
        <w:rPr>
          <w:lang w:val="fr"/>
        </w:rPr>
        <w:t> $US</w:t>
      </w:r>
      <w:r w:rsidRPr="00003C73">
        <w:rPr>
          <w:lang w:val="fr"/>
        </w:rPr>
        <w:t xml:space="preserve">, et 59 667 000 $US, frais d'appui d'agence en sus </w:t>
      </w:r>
      <w:bdo w:val="ltr">
        <w:r w:rsidR="00663B35">
          <w:rPr>
            <w:lang w:val="fr"/>
          </w:rPr>
          <w:t>à hauteur de 4 176 690</w:t>
        </w:r>
        <w:r w:rsidR="00663B35" w:rsidRPr="00003C73">
          <w:rPr>
            <w:lang w:val="fr"/>
          </w:rPr>
          <w:t> $US</w:t>
        </w:r>
        <w:r w:rsidRPr="00003C73">
          <w:rPr>
            <w:lang w:val="fr"/>
          </w:rPr>
          <w:t xml:space="preserve">, tels que soumis </w:t>
        </w:r>
        <w:r w:rsidRPr="00EE541E">
          <w:rPr>
            <w:lang w:val="fr-CA"/>
          </w:rPr>
          <w:t>initialement.</w:t>
        </w:r>
        <w:r w:rsidRPr="00003C73">
          <w:rPr>
            <w:vertAlign w:val="superscript"/>
            <w:lang w:val="fr"/>
          </w:rPr>
          <w:footnoteReference w:id="2"/>
        </w:r>
        <w:r w:rsidRPr="00003C73">
          <w:rPr>
            <w:lang w:val="fr"/>
          </w:rPr>
          <w:t xml:space="preserve"> </w:t>
        </w:r>
        <w:r w:rsidRPr="00EE541E">
          <w:rPr>
            <w:lang w:val="fr-CA"/>
          </w:rPr>
          <w:t>Suite aux débats, qui ont eu lieu en session plénière et dans un groupe de contact, le Comité exécutif a reporté</w:t>
        </w:r>
        <w:r w:rsidRPr="00003C73">
          <w:rPr>
            <w:lang w:val="fr"/>
          </w:rPr>
          <w:t xml:space="preserve"> à la 84</w:t>
        </w:r>
        <w:r w:rsidRPr="00003C73">
          <w:rPr>
            <w:vertAlign w:val="superscript"/>
            <w:lang w:val="fr"/>
          </w:rPr>
          <w:t>e</w:t>
        </w:r>
        <w:r w:rsidRPr="00003C73">
          <w:rPr>
            <w:lang w:val="fr"/>
          </w:rPr>
          <w:t xml:space="preserve"> réunion un examen plus approfondi de la proposition de projet (décision 83/66 (b)).</w:t>
        </w:r>
        <w:r w:rsidRPr="00EE541E">
          <w:rPr>
            <w:lang w:val="fr-CA"/>
          </w:rPr>
          <w:t>‬</w:t>
        </w:r>
        <w:r w:rsidRPr="00EE541E">
          <w:rPr>
            <w:lang w:val="fr-CA"/>
          </w:rPr>
          <w:t>‬</w:t>
        </w:r>
        <w:r w:rsidRPr="00EE541E">
          <w:rPr>
            <w:lang w:val="fr-CA"/>
          </w:rPr>
          <w:t>‬</w:t>
        </w:r>
        <w:r w:rsidR="00B379AB" w:rsidRPr="00EE541E">
          <w:rPr>
            <w:lang w:val="fr-CA"/>
          </w:rPr>
          <w:t>‬</w:t>
        </w:r>
        <w:r w:rsidR="0009775D" w:rsidRPr="0009775D">
          <w:rPr>
            <w:lang w:val="fr-CA"/>
          </w:rPr>
          <w:t>‬</w:t>
        </w:r>
      </w:bdo>
    </w:p>
    <w:p w14:paraId="73444A90" w14:textId="0975C19E" w:rsidR="00003C73" w:rsidRPr="00EE541E" w:rsidRDefault="00003C73" w:rsidP="00003C73">
      <w:pPr>
        <w:numPr>
          <w:ilvl w:val="0"/>
          <w:numId w:val="1"/>
        </w:numPr>
        <w:tabs>
          <w:tab w:val="clear" w:pos="0"/>
          <w:tab w:val="num" w:pos="-1620"/>
        </w:tabs>
        <w:spacing w:after="240"/>
        <w:outlineLvl w:val="0"/>
        <w:rPr>
          <w:lang w:val="fr-CA"/>
        </w:rPr>
      </w:pPr>
      <w:r w:rsidRPr="00003C73">
        <w:rPr>
          <w:lang w:val="fr"/>
        </w:rPr>
        <w:t>À sa 84</w:t>
      </w:r>
      <w:r w:rsidRPr="00003C73">
        <w:rPr>
          <w:vertAlign w:val="superscript"/>
          <w:lang w:val="fr"/>
        </w:rPr>
        <w:t>e</w:t>
      </w:r>
      <w:r w:rsidRPr="00003C73">
        <w:rPr>
          <w:lang w:val="fr"/>
        </w:rPr>
        <w:t xml:space="preserve"> réunion, le Comité exécutif a examiné une proposition de projet visant à contrôler et éliminer les émissions du sous-produit HFC-23 par la FIASA, pour un coût total compris entre </w:t>
      </w:r>
      <w:r w:rsidR="00663B35">
        <w:rPr>
          <w:lang w:val="fr"/>
        </w:rPr>
        <w:br/>
        <w:t>10 867 000</w:t>
      </w:r>
      <w:r w:rsidR="00663B35" w:rsidRPr="00003C73">
        <w:rPr>
          <w:lang w:val="fr"/>
        </w:rPr>
        <w:t xml:space="preserve"> $US </w:t>
      </w:r>
      <w:r w:rsidRPr="00003C73">
        <w:rPr>
          <w:lang w:val="fr"/>
        </w:rPr>
        <w:t xml:space="preserve">et 59 </w:t>
      </w:r>
      <w:r w:rsidR="00663B35">
        <w:rPr>
          <w:lang w:val="fr"/>
        </w:rPr>
        <w:t>667 000</w:t>
      </w:r>
      <w:r w:rsidR="00663B35" w:rsidRPr="00003C73">
        <w:rPr>
          <w:lang w:val="fr"/>
        </w:rPr>
        <w:t> $US</w:t>
      </w:r>
      <w:r w:rsidRPr="00003C73">
        <w:rPr>
          <w:lang w:val="fr"/>
        </w:rPr>
        <w:t>, frais d'appui d'agence en sus,</w:t>
      </w:r>
      <w:r w:rsidRPr="00003C73">
        <w:rPr>
          <w:vertAlign w:val="superscript"/>
          <w:lang w:val="fr"/>
        </w:rPr>
        <w:footnoteReference w:id="3"/>
      </w:r>
      <w:r w:rsidRPr="00003C73">
        <w:rPr>
          <w:lang w:val="fr"/>
        </w:rPr>
        <w:t xml:space="preserve"> tel que soumis initialement, conformément à la décision 83/66 b). Après en avoir conféré, le Comité exécutif a décidé de reporter à la 85 </w:t>
      </w:r>
      <w:r w:rsidRPr="00003C73">
        <w:rPr>
          <w:vertAlign w:val="superscript"/>
          <w:lang w:val="fr"/>
        </w:rPr>
        <w:t xml:space="preserve">e </w:t>
      </w:r>
      <w:r w:rsidRPr="00003C73">
        <w:rPr>
          <w:lang w:val="fr"/>
        </w:rPr>
        <w:t>réunion son examen du projet de contrôle des émissions du sous-produit HFC-23 en Argentine (décision 84/90 (a)).</w:t>
      </w:r>
    </w:p>
    <w:p w14:paraId="1DED7578" w14:textId="77777777" w:rsidR="00003C73" w:rsidRPr="00EE541E" w:rsidRDefault="00003C73" w:rsidP="00003C73">
      <w:pPr>
        <w:numPr>
          <w:ilvl w:val="0"/>
          <w:numId w:val="1"/>
        </w:numPr>
        <w:tabs>
          <w:tab w:val="clear" w:pos="0"/>
          <w:tab w:val="num" w:pos="-2340"/>
        </w:tabs>
        <w:spacing w:after="240"/>
        <w:outlineLvl w:val="0"/>
        <w:rPr>
          <w:lang w:val="fr-CA"/>
        </w:rPr>
      </w:pPr>
      <w:r w:rsidRPr="00003C73">
        <w:rPr>
          <w:lang w:val="fr"/>
        </w:rPr>
        <w:t>Un membre a déclaré que malgré les grandes réalisations passées du Protocole de Montréal, la 84</w:t>
      </w:r>
      <w:r w:rsidRPr="00003C73">
        <w:rPr>
          <w:vertAlign w:val="superscript"/>
          <w:lang w:val="fr"/>
        </w:rPr>
        <w:t>e</w:t>
      </w:r>
      <w:r w:rsidRPr="00003C73">
        <w:rPr>
          <w:lang w:val="fr"/>
        </w:rPr>
        <w:t> réunion resterait probablement dans les mémoires comme celle où ses rouages auront échoué à trouver une solution qui permettrait aux pays visés à l'Article 5 de produire du HCFC-22 en respectant les mesures de contrôle des émissions de HFC-23. L’Article 10 du Protocole crée l’obligation de fournir un soutien financier aux pays visés à l'Article 5, et le Comité exécutif avait, à ce égard, échoué. Cela posait un problème non seulement pour les pays visés à l'Article 5 producteurs de HCFC-22, mais pour tous les pays visés à l'Article 5. Le membre soulèverait donc la question auprès du Comité d’application et du Groupe de travail à composition non limitée.</w:t>
      </w:r>
    </w:p>
    <w:p w14:paraId="39C03983" w14:textId="657F535F" w:rsidR="00003C73" w:rsidRPr="00EE541E" w:rsidRDefault="00003C73" w:rsidP="008759F7">
      <w:pPr>
        <w:widowControl w:val="0"/>
        <w:numPr>
          <w:ilvl w:val="0"/>
          <w:numId w:val="1"/>
        </w:numPr>
        <w:spacing w:after="240"/>
        <w:outlineLvl w:val="0"/>
        <w:rPr>
          <w:lang w:val="fr-CA"/>
        </w:rPr>
      </w:pPr>
      <w:r w:rsidRPr="00003C73">
        <w:rPr>
          <w:lang w:val="fr"/>
        </w:rPr>
        <w:lastRenderedPageBreak/>
        <w:t>Conformément à la décision 84/90 a), et agissant au nom du Gouvernement argentin, l'ONUDI a soumis à la 85</w:t>
      </w:r>
      <w:r w:rsidRPr="00003C73">
        <w:rPr>
          <w:vertAlign w:val="superscript"/>
          <w:lang w:val="fr"/>
        </w:rPr>
        <w:t xml:space="preserve">e </w:t>
      </w:r>
      <w:r w:rsidRPr="00003C73">
        <w:rPr>
          <w:lang w:val="fr"/>
        </w:rPr>
        <w:t>réunion une proposition de projet</w:t>
      </w:r>
      <w:r w:rsidRPr="00003C73">
        <w:rPr>
          <w:vertAlign w:val="superscript"/>
          <w:lang w:val="fr"/>
        </w:rPr>
        <w:footnoteReference w:id="4"/>
      </w:r>
      <w:r w:rsidRPr="00003C73">
        <w:rPr>
          <w:lang w:val="fr"/>
        </w:rPr>
        <w:t xml:space="preserve"> qui   des informations relatives à la production de </w:t>
      </w:r>
      <w:r w:rsidR="008E579E">
        <w:rPr>
          <w:lang w:val="fr"/>
        </w:rPr>
        <w:br/>
      </w:r>
      <w:r w:rsidRPr="00003C73">
        <w:rPr>
          <w:lang w:val="fr"/>
        </w:rPr>
        <w:t>HCFC-22 par la FIASA en 2019, aux retombées possibles de la crise économique d'août 2019 et à la gestion du sous-produit HFC-23.</w:t>
      </w:r>
    </w:p>
    <w:p w14:paraId="1E6B23EB" w14:textId="6B5D6E95" w:rsidR="00003C73" w:rsidRPr="00EE541E" w:rsidRDefault="00003C73" w:rsidP="00003C73">
      <w:pPr>
        <w:numPr>
          <w:ilvl w:val="0"/>
          <w:numId w:val="1"/>
        </w:numPr>
        <w:tabs>
          <w:tab w:val="clear" w:pos="0"/>
          <w:tab w:val="num" w:pos="-3060"/>
        </w:tabs>
        <w:spacing w:after="240"/>
        <w:outlineLvl w:val="0"/>
        <w:rPr>
          <w:sz w:val="24"/>
          <w:szCs w:val="24"/>
          <w:lang w:val="fr-CA" w:eastAsia="en-CA"/>
        </w:rPr>
      </w:pPr>
      <w:r w:rsidRPr="00003C73">
        <w:rPr>
          <w:lang w:val="fr"/>
        </w:rPr>
        <w:t>Cela étant, conformément aux processus d'approbation intersessions établis pour les 85</w:t>
      </w:r>
      <w:r w:rsidRPr="00003C73">
        <w:rPr>
          <w:vertAlign w:val="superscript"/>
          <w:lang w:val="fr"/>
        </w:rPr>
        <w:t xml:space="preserve">e </w:t>
      </w:r>
      <w:r w:rsidRPr="00003C73">
        <w:rPr>
          <w:lang w:val="fr"/>
        </w:rPr>
        <w:t xml:space="preserve">et </w:t>
      </w:r>
      <w:r>
        <w:rPr>
          <w:lang w:val="fr"/>
        </w:rPr>
        <w:br/>
      </w:r>
      <w:r w:rsidRPr="00003C73">
        <w:rPr>
          <w:lang w:val="fr"/>
        </w:rPr>
        <w:t>86</w:t>
      </w:r>
      <w:r w:rsidRPr="00003C73">
        <w:rPr>
          <w:vertAlign w:val="superscript"/>
          <w:lang w:val="fr"/>
        </w:rPr>
        <w:t xml:space="preserve">e </w:t>
      </w:r>
      <w:r w:rsidRPr="00003C73">
        <w:rPr>
          <w:lang w:val="fr"/>
        </w:rPr>
        <w:t>réunions, le Comité exécutif a décidé d'examiner la proposition de projet à sa 86</w:t>
      </w:r>
      <w:r w:rsidRPr="00003C73">
        <w:rPr>
          <w:vertAlign w:val="superscript"/>
          <w:lang w:val="fr"/>
        </w:rPr>
        <w:t xml:space="preserve">e </w:t>
      </w:r>
      <w:r w:rsidRPr="00003C73">
        <w:rPr>
          <w:lang w:val="fr"/>
        </w:rPr>
        <w:t>réunion (en mars 2021).</w:t>
      </w:r>
      <w:r w:rsidRPr="00003C73">
        <w:rPr>
          <w:vertAlign w:val="superscript"/>
          <w:lang w:val="fr"/>
        </w:rPr>
        <w:footnoteReference w:id="5"/>
      </w:r>
      <w:r w:rsidRPr="00003C73">
        <w:rPr>
          <w:sz w:val="24"/>
          <w:szCs w:val="24"/>
          <w:lang w:val="fr" w:eastAsia="fr"/>
        </w:rPr>
        <w:t xml:space="preserve"> </w:t>
      </w:r>
    </w:p>
    <w:p w14:paraId="32E1B580" w14:textId="1169BE58" w:rsidR="00003C73" w:rsidRPr="00EE541E" w:rsidRDefault="00003C73" w:rsidP="008E579E">
      <w:pPr>
        <w:numPr>
          <w:ilvl w:val="0"/>
          <w:numId w:val="1"/>
        </w:numPr>
        <w:spacing w:after="240"/>
        <w:outlineLvl w:val="0"/>
        <w:rPr>
          <w:lang w:val="fr-CA" w:eastAsia="en-CA"/>
        </w:rPr>
      </w:pPr>
      <w:r w:rsidRPr="00003C73">
        <w:rPr>
          <w:lang w:val="fr"/>
        </w:rPr>
        <w:t>Pour plus de commodité, le Secrétariat a joint au présent document les documents du projet soumis aux 83</w:t>
      </w:r>
      <w:r w:rsidRPr="00003C73">
        <w:rPr>
          <w:vertAlign w:val="superscript"/>
          <w:lang w:val="fr"/>
        </w:rPr>
        <w:t>e</w:t>
      </w:r>
      <w:r w:rsidRPr="00003C73">
        <w:rPr>
          <w:lang w:val="fr"/>
        </w:rPr>
        <w:t>, 84</w:t>
      </w:r>
      <w:r w:rsidRPr="00003C73">
        <w:rPr>
          <w:vertAlign w:val="superscript"/>
          <w:lang w:val="fr"/>
        </w:rPr>
        <w:t>e</w:t>
      </w:r>
      <w:r w:rsidRPr="00003C73">
        <w:rPr>
          <w:lang w:val="fr"/>
        </w:rPr>
        <w:t xml:space="preserve"> et 85</w:t>
      </w:r>
      <w:r w:rsidRPr="00003C73">
        <w:rPr>
          <w:vertAlign w:val="superscript"/>
          <w:lang w:val="fr"/>
        </w:rPr>
        <w:t>e</w:t>
      </w:r>
      <w:r w:rsidRPr="00003C73">
        <w:rPr>
          <w:lang w:val="fr"/>
        </w:rPr>
        <w:t xml:space="preserve"> réunions.</w:t>
      </w:r>
    </w:p>
    <w:p w14:paraId="17FCCBE4" w14:textId="77777777" w:rsidR="00003C73" w:rsidRPr="00EE541E" w:rsidRDefault="00003C73" w:rsidP="008759F7">
      <w:pPr>
        <w:widowControl w:val="0"/>
        <w:rPr>
          <w:b/>
          <w:lang w:val="fr-CA"/>
        </w:rPr>
      </w:pPr>
      <w:r w:rsidRPr="00003C73">
        <w:rPr>
          <w:b/>
          <w:lang w:val="fr"/>
        </w:rPr>
        <w:t>Informations complémentaires soumises à la 86</w:t>
      </w:r>
      <w:r w:rsidRPr="00003C73">
        <w:rPr>
          <w:b/>
          <w:vertAlign w:val="superscript"/>
          <w:lang w:val="fr"/>
        </w:rPr>
        <w:t xml:space="preserve">e </w:t>
      </w:r>
      <w:r w:rsidRPr="00003C73">
        <w:rPr>
          <w:b/>
          <w:lang w:val="fr"/>
        </w:rPr>
        <w:t>réunion</w:t>
      </w:r>
    </w:p>
    <w:p w14:paraId="58269BE1" w14:textId="77777777" w:rsidR="00003C73" w:rsidRPr="00EE541E" w:rsidRDefault="00003C73" w:rsidP="00003C73">
      <w:pPr>
        <w:keepNext/>
        <w:keepLines/>
        <w:rPr>
          <w:b/>
          <w:lang w:val="fr-CA"/>
        </w:rPr>
      </w:pPr>
    </w:p>
    <w:p w14:paraId="5C36ED77" w14:textId="7819B4E9" w:rsidR="00003C73" w:rsidRPr="00EE541E" w:rsidRDefault="00003C73" w:rsidP="00003C73">
      <w:pPr>
        <w:numPr>
          <w:ilvl w:val="0"/>
          <w:numId w:val="1"/>
        </w:numPr>
        <w:spacing w:after="240"/>
        <w:outlineLvl w:val="0"/>
        <w:rPr>
          <w:lang w:val="fr-CA"/>
        </w:rPr>
      </w:pPr>
      <w:r w:rsidRPr="00003C73">
        <w:rPr>
          <w:lang w:val="fr"/>
        </w:rPr>
        <w:t xml:space="preserve">Notant que le Comité exécutif n'a pas été en mesure d'examiner la proposition de projet soumise par le Gouvernement argentin en 2020, le Secrétariat a demandé des informations supplémentaires à l'ONUDI concernant la production de HCFC-22 de la FIASA en 2020 et la gestion du sous-produit </w:t>
      </w:r>
      <w:r>
        <w:rPr>
          <w:lang w:val="fr"/>
        </w:rPr>
        <w:br/>
      </w:r>
      <w:r w:rsidRPr="00003C73">
        <w:rPr>
          <w:lang w:val="fr"/>
        </w:rPr>
        <w:t>HFC-23.</w:t>
      </w:r>
    </w:p>
    <w:p w14:paraId="4240C932" w14:textId="477AE887" w:rsidR="00003C73" w:rsidRPr="00EE541E" w:rsidRDefault="00003C73" w:rsidP="00003C73">
      <w:pPr>
        <w:numPr>
          <w:ilvl w:val="0"/>
          <w:numId w:val="1"/>
        </w:numPr>
        <w:spacing w:after="240"/>
        <w:outlineLvl w:val="0"/>
        <w:rPr>
          <w:lang w:val="fr-CA"/>
        </w:rPr>
      </w:pPr>
      <w:r w:rsidRPr="00003C73">
        <w:rPr>
          <w:lang w:val="fr"/>
        </w:rPr>
        <w:t xml:space="preserve">Sur la base des informations supplémentaires fournies par l'ONUDI, le présent document contient une évaluation actualisée des coûts des deux options proposées par le Gouvernement pour que ce dernier soit en mesure de se conformer au contrôle des émissions du sous-produit HFC-23, à savoir la fermeture de l'usine de production de HCFC-22 (option 1) ou le redémarrage de l'incinérateur si la production de </w:t>
      </w:r>
      <w:r>
        <w:rPr>
          <w:lang w:val="fr"/>
        </w:rPr>
        <w:br/>
      </w:r>
      <w:r w:rsidRPr="00003C73">
        <w:rPr>
          <w:lang w:val="fr"/>
        </w:rPr>
        <w:t xml:space="preserve">HCFC-22 devait se poursuivre (option 2) ; il présente également les vues exprimées par le Gouvernement argentin et présente des conclusions ainsi qu'une recommandation. Les questions d’orientation soulevées par le projet sont débattues dans le document UNEP/OzL.Pro/ExCom/86/94 intitulé </w:t>
      </w:r>
      <w:r w:rsidRPr="00003C73">
        <w:rPr>
          <w:i/>
          <w:lang w:val="fr"/>
        </w:rPr>
        <w:t xml:space="preserve">Principaux aspects liés aux technologies de contrôle du sous-produit HFC-23 </w:t>
      </w:r>
      <w:r w:rsidRPr="00003C73">
        <w:rPr>
          <w:lang w:val="fr"/>
        </w:rPr>
        <w:t>(décisions 84/90 et 84/91).</w:t>
      </w:r>
    </w:p>
    <w:p w14:paraId="4A734A45" w14:textId="33F5ECEC" w:rsidR="00003C73" w:rsidRPr="00EE541E" w:rsidRDefault="00003C73" w:rsidP="00003C73">
      <w:pPr>
        <w:rPr>
          <w:u w:val="single"/>
          <w:lang w:val="fr-CA"/>
        </w:rPr>
      </w:pPr>
      <w:r w:rsidRPr="00003C73">
        <w:rPr>
          <w:u w:val="single"/>
          <w:lang w:val="fr"/>
        </w:rPr>
        <w:t xml:space="preserve">Informations mises à jour sur l'état actuel de la production de HCFC-22 et le contrôle du sous-produit </w:t>
      </w:r>
      <w:r>
        <w:rPr>
          <w:u w:val="single"/>
          <w:lang w:val="fr"/>
        </w:rPr>
        <w:br/>
      </w:r>
      <w:r w:rsidRPr="00003C73">
        <w:rPr>
          <w:u w:val="single"/>
          <w:lang w:val="fr"/>
        </w:rPr>
        <w:t>HFC-23 par la FIASA</w:t>
      </w:r>
    </w:p>
    <w:p w14:paraId="43F5215E" w14:textId="77777777" w:rsidR="00003C73" w:rsidRPr="00EE541E" w:rsidRDefault="00003C73" w:rsidP="00003C73">
      <w:pPr>
        <w:rPr>
          <w:lang w:val="fr-CA"/>
        </w:rPr>
      </w:pPr>
    </w:p>
    <w:p w14:paraId="2E0DE6FF" w14:textId="26D64A89" w:rsidR="00003C73" w:rsidRPr="00EE541E" w:rsidRDefault="00003C73" w:rsidP="00003C73">
      <w:pPr>
        <w:numPr>
          <w:ilvl w:val="0"/>
          <w:numId w:val="1"/>
        </w:numPr>
        <w:tabs>
          <w:tab w:val="clear" w:pos="0"/>
          <w:tab w:val="num" w:pos="-2340"/>
        </w:tabs>
        <w:spacing w:after="240"/>
        <w:outlineLvl w:val="0"/>
        <w:rPr>
          <w:lang w:val="fr-CA"/>
        </w:rPr>
      </w:pPr>
      <w:r w:rsidRPr="00003C73">
        <w:rPr>
          <w:lang w:val="fr"/>
        </w:rPr>
        <w:t xml:space="preserve">L'ONUDI a confirmé qu'en 2020, la FIASA avait continué de produire du HCFC-22, qu'il n'y avait pas de changement dans l'emploi auquel cette substance est destinée et que l'entreprise avait continué à rejeter dans l'atmosphère tous le sous-produit HFC-23 généré au cours de la production de HCFC-22. Aucune information n'a été fournie sur les quantités de HCFC-22 produites ou vendues, le prix du </w:t>
      </w:r>
      <w:r>
        <w:rPr>
          <w:lang w:val="fr"/>
        </w:rPr>
        <w:br/>
      </w:r>
      <w:r w:rsidRPr="00003C73">
        <w:rPr>
          <w:lang w:val="fr"/>
        </w:rPr>
        <w:t xml:space="preserve">HCFC-22 ou le nombre de jours pendant lesquels la chaîne de production de HCFC-22  a été en service. </w:t>
      </w:r>
    </w:p>
    <w:p w14:paraId="666381ED" w14:textId="61F89C66" w:rsidR="00003C73" w:rsidRDefault="00003C73" w:rsidP="008759F7">
      <w:pPr>
        <w:widowControl w:val="0"/>
        <w:rPr>
          <w:u w:val="single"/>
          <w:lang w:val="fr"/>
        </w:rPr>
      </w:pPr>
      <w:r w:rsidRPr="00003C73">
        <w:rPr>
          <w:u w:val="single"/>
          <w:lang w:val="fr"/>
        </w:rPr>
        <w:t>Informations mises à jour sur la situation économique en Argentine</w:t>
      </w:r>
    </w:p>
    <w:p w14:paraId="1994DE8E" w14:textId="77777777" w:rsidR="008759F7" w:rsidRDefault="008759F7" w:rsidP="008759F7">
      <w:pPr>
        <w:widowControl w:val="0"/>
        <w:rPr>
          <w:u w:val="single"/>
          <w:lang w:val="fr"/>
        </w:rPr>
      </w:pPr>
    </w:p>
    <w:p w14:paraId="46467452" w14:textId="19F270CF" w:rsidR="00003C73" w:rsidRPr="00EE541E" w:rsidRDefault="00003C73" w:rsidP="008759F7">
      <w:pPr>
        <w:widowControl w:val="0"/>
        <w:numPr>
          <w:ilvl w:val="0"/>
          <w:numId w:val="1"/>
        </w:numPr>
        <w:spacing w:after="240"/>
        <w:outlineLvl w:val="0"/>
        <w:rPr>
          <w:lang w:val="fr-CA"/>
        </w:rPr>
      </w:pPr>
      <w:r w:rsidRPr="00003C73">
        <w:rPr>
          <w:lang w:val="fr"/>
        </w:rPr>
        <w:t>Selon les prévisions de la Banque mondiale, le produit intérieur brut de l'Argentine devrait perdre</w:t>
      </w:r>
      <w:r w:rsidR="008759F7">
        <w:rPr>
          <w:lang w:val="fr"/>
        </w:rPr>
        <w:t xml:space="preserve"> </w:t>
      </w:r>
      <w:r w:rsidRPr="00003C73">
        <w:rPr>
          <w:lang w:val="fr"/>
        </w:rPr>
        <w:t>10,6% en 2020.</w:t>
      </w:r>
      <w:r w:rsidRPr="00003C73">
        <w:rPr>
          <w:vertAlign w:val="superscript"/>
          <w:lang w:val="fr"/>
        </w:rPr>
        <w:footnoteReference w:id="6"/>
      </w:r>
      <w:r w:rsidRPr="00003C73">
        <w:rPr>
          <w:lang w:val="fr"/>
        </w:rPr>
        <w:t xml:space="preserve"> Compte tenu des circonstances économiques exceptionnelles causées par la pandémie à COVID-19 et du fait qu'aucune autre information sur le niveau de production, les ventes et le cours du HCFC-22 produit par l'entreprise n'était disponible pour l'année 2020, le Secrétariat n'a pas modifié son </w:t>
      </w:r>
      <w:r w:rsidRPr="00003C73">
        <w:rPr>
          <w:lang w:val="fr"/>
        </w:rPr>
        <w:lastRenderedPageBreak/>
        <w:t>évaluation de la viabilité de la production de HCFC-22 à la FIASA figurant dans le document de projet</w:t>
      </w:r>
      <w:bookmarkStart w:id="0" w:name="_GoBack"/>
      <w:bookmarkEnd w:id="0"/>
      <w:r w:rsidRPr="00003C73">
        <w:rPr>
          <w:lang w:val="fr"/>
        </w:rPr>
        <w:t xml:space="preserve"> soumis à la 85</w:t>
      </w:r>
      <w:r w:rsidRPr="00003C73">
        <w:rPr>
          <w:vertAlign w:val="superscript"/>
          <w:lang w:val="fr"/>
        </w:rPr>
        <w:t>e</w:t>
      </w:r>
      <w:r w:rsidRPr="00003C73">
        <w:rPr>
          <w:lang w:val="fr"/>
        </w:rPr>
        <w:t xml:space="preserve"> réunion. Toutefois, le Secrétariat note la tendance du peso argentin (ARS) à une dévaluation continue depuis que la proposition de projet a été soumise à la 83</w:t>
      </w:r>
      <w:r w:rsidRPr="00003C73">
        <w:rPr>
          <w:vertAlign w:val="superscript"/>
          <w:lang w:val="fr"/>
        </w:rPr>
        <w:t>e</w:t>
      </w:r>
      <w:r w:rsidRPr="00003C73">
        <w:rPr>
          <w:lang w:val="fr"/>
        </w:rPr>
        <w:t xml:space="preserve"> réunion</w:t>
      </w:r>
      <w:r w:rsidRPr="00003C73">
        <w:rPr>
          <w:vertAlign w:val="superscript"/>
          <w:lang w:val="fr"/>
        </w:rPr>
        <w:footnoteReference w:id="7"/>
      </w:r>
      <w:r w:rsidRPr="00003C73">
        <w:rPr>
          <w:lang w:val="fr"/>
        </w:rPr>
        <w:t xml:space="preserve"> est de nature à exacerber les difficultés rencontrées par la FIASA sur le plan financier, ses revenus provenant exclusivement de ventes réalisées en monnaie locale alors qu'elle achète ses matières premières sur le marché international ; il est en outre à craindre que le marasme économique ne fasse encore baisser ses ventes de HCFC-22.</w:t>
      </w:r>
    </w:p>
    <w:p w14:paraId="17E946BB" w14:textId="77777777" w:rsidR="00003C73" w:rsidRPr="00EE541E" w:rsidRDefault="00003C73" w:rsidP="008759F7">
      <w:pPr>
        <w:widowControl w:val="0"/>
        <w:numPr>
          <w:ilvl w:val="0"/>
          <w:numId w:val="1"/>
        </w:numPr>
        <w:spacing w:after="240"/>
        <w:outlineLvl w:val="0"/>
        <w:rPr>
          <w:u w:val="single"/>
          <w:lang w:val="fr-CA"/>
        </w:rPr>
      </w:pPr>
      <w:r w:rsidRPr="00003C73">
        <w:rPr>
          <w:lang w:val="fr"/>
        </w:rPr>
        <w:t>Bien que le Secrétariat ne soit pas revenu sur son évaluation de la viabilité financière de la production de HCFC-22 de l'entreprise concernée, il a mis à jour son évaluation des coûts de fermeture et de redémarrage de l'incinérateur dans le cadre d'une poursuite de la production de HCFC-22, en tenant compte d'un calendrier de fermeture révisé (lequel ferait augmenter  les indemnités de départ des employés dans la devise nationale), de la dévaluation continue du peso argentin, de l'inflation et d'un retard dans le début de la destruction du HFC-23.</w:t>
      </w:r>
    </w:p>
    <w:p w14:paraId="6B4B3EB6" w14:textId="77777777" w:rsidR="00003C73" w:rsidRPr="00EE541E" w:rsidRDefault="00003C73" w:rsidP="00003C73">
      <w:pPr>
        <w:rPr>
          <w:u w:val="single"/>
          <w:lang w:val="fr-CA"/>
        </w:rPr>
      </w:pPr>
      <w:r w:rsidRPr="00003C73">
        <w:rPr>
          <w:u w:val="single"/>
          <w:lang w:val="fr"/>
        </w:rPr>
        <w:t>Analyse approfondie de l'option 1 : arrêt de la production de HCFC-22 à la FIASA</w:t>
      </w:r>
    </w:p>
    <w:p w14:paraId="40B1B099" w14:textId="77777777" w:rsidR="00003C73" w:rsidRPr="00EE541E" w:rsidRDefault="00003C73" w:rsidP="00003C73">
      <w:pPr>
        <w:rPr>
          <w:i/>
          <w:lang w:val="fr-CA"/>
        </w:rPr>
      </w:pPr>
    </w:p>
    <w:p w14:paraId="7BD0A762" w14:textId="77777777" w:rsidR="00003C73" w:rsidRPr="00EE541E" w:rsidRDefault="00003C73" w:rsidP="00003C73">
      <w:pPr>
        <w:numPr>
          <w:ilvl w:val="0"/>
          <w:numId w:val="1"/>
        </w:numPr>
        <w:spacing w:after="240"/>
        <w:outlineLvl w:val="0"/>
        <w:rPr>
          <w:lang w:val="fr-CA"/>
        </w:rPr>
      </w:pPr>
      <w:r w:rsidRPr="00003C73">
        <w:rPr>
          <w:lang w:val="fr"/>
        </w:rPr>
        <w:t>Dans le descriptif de projet soumis à la 85</w:t>
      </w:r>
      <w:r w:rsidRPr="00003C73">
        <w:rPr>
          <w:vertAlign w:val="superscript"/>
          <w:lang w:val="fr"/>
        </w:rPr>
        <w:t xml:space="preserve">e </w:t>
      </w:r>
      <w:r w:rsidRPr="00003C73">
        <w:rPr>
          <w:lang w:val="fr"/>
        </w:rPr>
        <w:t>réunion, le Secrétariat a déterminé les indemnités de départ des 48 employés que l'ONUDI a répertoriés, dans la proposition de projet examinée à la 84</w:t>
      </w:r>
      <w:r w:rsidRPr="00003C73">
        <w:rPr>
          <w:vertAlign w:val="superscript"/>
          <w:lang w:val="fr"/>
        </w:rPr>
        <w:t xml:space="preserve">e </w:t>
      </w:r>
      <w:r w:rsidRPr="00003C73">
        <w:rPr>
          <w:lang w:val="fr"/>
        </w:rPr>
        <w:t>réunion</w:t>
      </w:r>
      <w:r w:rsidRPr="00003C73">
        <w:rPr>
          <w:vertAlign w:val="superscript"/>
          <w:lang w:val="fr"/>
        </w:rPr>
        <w:footnoteReference w:id="8"/>
      </w:r>
      <w:r w:rsidRPr="00003C73">
        <w:rPr>
          <w:lang w:val="fr"/>
        </w:rPr>
        <w:t>, comme travaillant principalement à la production de HCFC-22. Une indemnité de départ doit être accordée à tous les employés qui sont licenciés sans motif valable. Certains des 48 employés répertoriés comme travaillant principalement à la production de HCFC</w:t>
      </w:r>
      <w:r w:rsidRPr="00003C73">
        <w:rPr>
          <w:lang w:val="fr"/>
        </w:rPr>
        <w:noBreakHyphen/>
        <w:t>22 pourraient être employés par la FIASA à d'autres activités après la fermeture de leur chaîne de production, mais le Secrétariat n'a pas les informations nécessaires pour les dénombrer.</w:t>
      </w:r>
    </w:p>
    <w:p w14:paraId="0EB25796" w14:textId="77777777" w:rsidR="00003C73" w:rsidRPr="00EE541E" w:rsidRDefault="00003C73" w:rsidP="00003C73">
      <w:pPr>
        <w:numPr>
          <w:ilvl w:val="0"/>
          <w:numId w:val="1"/>
        </w:numPr>
        <w:spacing w:after="240"/>
        <w:outlineLvl w:val="0"/>
        <w:rPr>
          <w:kern w:val="36"/>
          <w:lang w:val="fr-CA"/>
        </w:rPr>
      </w:pPr>
      <w:r w:rsidRPr="00003C73">
        <w:rPr>
          <w:lang w:val="fr"/>
        </w:rPr>
        <w:t>Le total des indemnités de départ présenté dans le projet soumis à la 85</w:t>
      </w:r>
      <w:r w:rsidRPr="00003C73">
        <w:rPr>
          <w:vertAlign w:val="superscript"/>
          <w:lang w:val="fr"/>
        </w:rPr>
        <w:t>e</w:t>
      </w:r>
      <w:r w:rsidRPr="00003C73">
        <w:rPr>
          <w:lang w:val="fr"/>
        </w:rPr>
        <w:t xml:space="preserve"> la réunion a été calculé sur la base d'un licenciement des 48 employés concernés pour le 29 février 2020, du taux de change en vigueur le 26 juin 2020 et d'un décret en vigueur du Ministère de la justice et des droits de l'homme qui double l'indemnisation des employés licenciés sans justes motifs. En droit argentin, l'indemnité de départ est fonction de l'ancienneté ; par conséquent, le total des indemnités de départ dues aux 48 employés, estimé à 2 017 835 $US dans la proposition de projet soumise à la 85</w:t>
      </w:r>
      <w:r w:rsidRPr="00003C73">
        <w:rPr>
          <w:vertAlign w:val="superscript"/>
          <w:lang w:val="fr"/>
        </w:rPr>
        <w:t xml:space="preserve">e </w:t>
      </w:r>
      <w:r w:rsidRPr="00003C73">
        <w:rPr>
          <w:lang w:val="fr"/>
        </w:rPr>
        <w:t>réunion, continuera d'augmenter en pesos argentins jusqu'au licenciement effectif de ces employés suite à la fermeture de la chaîne de production de HCFC-22.</w:t>
      </w:r>
      <w:r w:rsidRPr="00003C73">
        <w:rPr>
          <w:vertAlign w:val="superscript"/>
          <w:lang w:val="fr"/>
        </w:rPr>
        <w:footnoteReference w:id="9"/>
      </w:r>
      <w:r w:rsidRPr="00003C73">
        <w:rPr>
          <w:lang w:val="fr"/>
        </w:rPr>
        <w:t xml:space="preserve"> Au moment de la rédaction du présent document, il n'était pas possible de calculer cette augmentation en pesos. Le Secrétariat publiera un addendum au présent document sur la base des informations à fournir par l'ONUDI</w:t>
      </w:r>
      <w:r w:rsidRPr="00003C73">
        <w:rPr>
          <w:kern w:val="36"/>
          <w:lang w:val="fr"/>
        </w:rPr>
        <w:t xml:space="preserve"> et le taux de change à ce moment-là ; il reviendra par ailleurs à l'ONUDI de confirmer si le décret prévoyant le doublement des indemnisations a été prorogé en 2021.</w:t>
      </w:r>
    </w:p>
    <w:p w14:paraId="6AD6C811" w14:textId="52281776" w:rsidR="00003C73" w:rsidRPr="00EE541E" w:rsidRDefault="00003C73" w:rsidP="00003C73">
      <w:pPr>
        <w:numPr>
          <w:ilvl w:val="0"/>
          <w:numId w:val="1"/>
        </w:numPr>
        <w:spacing w:after="240"/>
        <w:outlineLvl w:val="0"/>
        <w:rPr>
          <w:lang w:val="fr-CA"/>
        </w:rPr>
      </w:pPr>
      <w:r w:rsidRPr="00003C73">
        <w:rPr>
          <w:lang w:val="fr"/>
        </w:rPr>
        <w:t xml:space="preserve">Le Secrétariat considère que le coût de la fermeture correspondrait exactement à l'indemnité de départ à verser aux 48 employés : le Secrétariat et le consultant indépendant ont estimé que le manque à gagner serait nul. </w:t>
      </w:r>
    </w:p>
    <w:p w14:paraId="4CC62551" w14:textId="516CB938" w:rsidR="00003C73" w:rsidRDefault="00003C73" w:rsidP="00EE541E">
      <w:pPr>
        <w:keepNext/>
        <w:keepLines/>
        <w:rPr>
          <w:u w:val="single"/>
          <w:lang w:val="fr"/>
        </w:rPr>
      </w:pPr>
      <w:r w:rsidRPr="00003C73">
        <w:rPr>
          <w:u w:val="single"/>
          <w:lang w:val="fr"/>
        </w:rPr>
        <w:lastRenderedPageBreak/>
        <w:t xml:space="preserve">Analyse approfondie de l'option 2 : redémarrage de l'incinérateur et poursuite de la production de </w:t>
      </w:r>
      <w:r>
        <w:rPr>
          <w:u w:val="single"/>
          <w:lang w:val="fr"/>
        </w:rPr>
        <w:br/>
      </w:r>
      <w:r w:rsidRPr="00003C73">
        <w:rPr>
          <w:u w:val="single"/>
          <w:lang w:val="fr"/>
        </w:rPr>
        <w:t>HCFC-22</w:t>
      </w:r>
    </w:p>
    <w:p w14:paraId="530A6E03" w14:textId="77777777" w:rsidR="00E04A88" w:rsidRPr="00EE541E" w:rsidRDefault="00E04A88" w:rsidP="00EE541E">
      <w:pPr>
        <w:keepNext/>
        <w:keepLines/>
        <w:rPr>
          <w:u w:val="single"/>
          <w:lang w:val="fr-CA"/>
        </w:rPr>
      </w:pPr>
    </w:p>
    <w:p w14:paraId="563AE5C0" w14:textId="59B1C542" w:rsidR="00003C73" w:rsidRDefault="00003C73" w:rsidP="00EE541E">
      <w:pPr>
        <w:keepNext/>
        <w:keepLines/>
        <w:rPr>
          <w:i/>
          <w:lang w:val="fr"/>
        </w:rPr>
      </w:pPr>
      <w:r w:rsidRPr="00003C73">
        <w:rPr>
          <w:i/>
          <w:lang w:val="fr"/>
        </w:rPr>
        <w:t>Surcoûts d’investissement</w:t>
      </w:r>
    </w:p>
    <w:p w14:paraId="13E9661F" w14:textId="77777777" w:rsidR="00EE541E" w:rsidRPr="00B379AB" w:rsidRDefault="00EE541E" w:rsidP="00EE541E">
      <w:pPr>
        <w:keepNext/>
        <w:keepLines/>
        <w:rPr>
          <w:i/>
          <w:lang w:val="en-US"/>
        </w:rPr>
      </w:pPr>
    </w:p>
    <w:p w14:paraId="3427A021" w14:textId="2D5FD45B" w:rsidR="00003C73" w:rsidRPr="00EE541E" w:rsidRDefault="00003C73" w:rsidP="00EE541E">
      <w:pPr>
        <w:keepNext/>
        <w:keepLines/>
        <w:numPr>
          <w:ilvl w:val="0"/>
          <w:numId w:val="1"/>
        </w:numPr>
        <w:spacing w:after="240"/>
        <w:outlineLvl w:val="0"/>
        <w:rPr>
          <w:lang w:val="fr-CA"/>
        </w:rPr>
      </w:pPr>
      <w:r w:rsidRPr="00003C73">
        <w:rPr>
          <w:lang w:val="fr"/>
        </w:rPr>
        <w:t>Tenant compte du temps écoulé depuis la présentation du projet à la 83</w:t>
      </w:r>
      <w:r w:rsidRPr="00003C73">
        <w:rPr>
          <w:vertAlign w:val="superscript"/>
          <w:lang w:val="fr"/>
        </w:rPr>
        <w:t>e</w:t>
      </w:r>
      <w:r w:rsidRPr="00003C73">
        <w:rPr>
          <w:lang w:val="fr"/>
        </w:rPr>
        <w:t xml:space="preserve"> réunion, l'ONUDI a proposé des surcoûts</w:t>
      </w:r>
      <w:r w:rsidR="00663B35">
        <w:rPr>
          <w:lang w:val="fr"/>
        </w:rPr>
        <w:t xml:space="preserve"> d'investissements de 1 369 863</w:t>
      </w:r>
      <w:r w:rsidR="00663B35" w:rsidRPr="00003C73">
        <w:rPr>
          <w:lang w:val="fr"/>
        </w:rPr>
        <w:t> $US</w:t>
      </w:r>
      <w:r w:rsidRPr="00003C73">
        <w:rPr>
          <w:lang w:val="fr"/>
        </w:rPr>
        <w:t>, sur la base d'une augmentation de 5%, due à l'inflation, pour : les coûts estimés par le Secrétariat pour la remise à neuf de l'incinérateur et présentés à la 83</w:t>
      </w:r>
      <w:r w:rsidRPr="00003C73">
        <w:rPr>
          <w:vertAlign w:val="superscript"/>
          <w:lang w:val="fr"/>
        </w:rPr>
        <w:t xml:space="preserve">e </w:t>
      </w:r>
      <w:r w:rsidRPr="00003C73">
        <w:rPr>
          <w:lang w:val="fr"/>
        </w:rPr>
        <w:t>réunion, les coûts de la zéolithe pour le générateur d'oxygène, calculés par l'ONUDI, et les coûts liés à l'épurateur des gaz de ventilation en fin de circuit ainsi que la construction devant abriter l'incinérateur cryogénique, après avoir réduit ces deux derniers coût</w:t>
      </w:r>
      <w:r w:rsidR="00AD676F">
        <w:rPr>
          <w:lang w:val="fr"/>
        </w:rPr>
        <w:t>s de 50 et 20 pour cent</w:t>
      </w:r>
      <w:r w:rsidRPr="00003C73">
        <w:rPr>
          <w:lang w:val="fr"/>
        </w:rPr>
        <w:t>, respectivement ; ainsi que de menus ajustements aux coûts de livraison, d'installation et de mise en service (tableau 1).</w:t>
      </w:r>
    </w:p>
    <w:p w14:paraId="6F36D559" w14:textId="38F4A11A" w:rsidR="00003C73" w:rsidRPr="00EE541E" w:rsidRDefault="00003C73" w:rsidP="00003C73">
      <w:pPr>
        <w:numPr>
          <w:ilvl w:val="0"/>
          <w:numId w:val="1"/>
        </w:numPr>
        <w:spacing w:after="240"/>
        <w:outlineLvl w:val="0"/>
        <w:rPr>
          <w:lang w:val="fr-CA" w:eastAsia="es-AR"/>
        </w:rPr>
      </w:pPr>
      <w:r w:rsidRPr="00003C73">
        <w:rPr>
          <w:lang w:val="fr" w:eastAsia="es-AR"/>
        </w:rPr>
        <w:t>Le Secrétariat a demandé à l'ONUDI de se procurer un devis mis à jour pour la rénovation de l'incinérateur auprès du fournisseur de technologie. Sur la base de ce document, le Secrétariat a adapté son évaluation des surcoûts d'investissement y r</w:t>
      </w:r>
      <w:r w:rsidR="00663B35">
        <w:rPr>
          <w:lang w:val="fr" w:eastAsia="es-AR"/>
        </w:rPr>
        <w:t>elatifs, qui était de 1 265 128</w:t>
      </w:r>
      <w:r w:rsidR="00663B35" w:rsidRPr="00003C73">
        <w:rPr>
          <w:lang w:val="fr"/>
        </w:rPr>
        <w:t> $US</w:t>
      </w:r>
      <w:r w:rsidR="00663B35" w:rsidRPr="00003C73">
        <w:rPr>
          <w:lang w:val="fr" w:eastAsia="es-AR"/>
        </w:rPr>
        <w:t xml:space="preserve"> </w:t>
      </w:r>
      <w:r w:rsidRPr="00003C73">
        <w:rPr>
          <w:lang w:val="fr" w:eastAsia="es-AR"/>
        </w:rPr>
        <w:t>lors de</w:t>
      </w:r>
      <w:r w:rsidRPr="00003C73">
        <w:rPr>
          <w:vertAlign w:val="superscript"/>
          <w:lang w:val="fr" w:eastAsia="es-AR"/>
        </w:rPr>
        <w:t xml:space="preserve"> </w:t>
      </w:r>
      <w:r w:rsidRPr="00003C73">
        <w:rPr>
          <w:lang w:val="fr" w:eastAsia="es-AR"/>
        </w:rPr>
        <w:t xml:space="preserve">la soumission à la </w:t>
      </w:r>
      <w:r>
        <w:rPr>
          <w:lang w:val="fr" w:eastAsia="es-AR"/>
        </w:rPr>
        <w:br/>
      </w:r>
      <w:r w:rsidRPr="00003C73">
        <w:rPr>
          <w:lang w:val="fr" w:eastAsia="es-AR"/>
        </w:rPr>
        <w:t>83</w:t>
      </w:r>
      <w:r w:rsidRPr="00003C73">
        <w:rPr>
          <w:vertAlign w:val="superscript"/>
          <w:lang w:val="fr" w:eastAsia="es-AR"/>
        </w:rPr>
        <w:t>e</w:t>
      </w:r>
      <w:r w:rsidRPr="00003C73">
        <w:rPr>
          <w:lang w:val="fr" w:eastAsia="es-AR"/>
        </w:rPr>
        <w:t xml:space="preserve"> réunion, pour tenir compte des éléments ci-après (Tableau 1) :</w:t>
      </w:r>
    </w:p>
    <w:p w14:paraId="520834CC" w14:textId="7C2CE7DA" w:rsidR="008759F7" w:rsidRPr="00EE541E" w:rsidRDefault="00003C73" w:rsidP="00231312">
      <w:pPr>
        <w:pStyle w:val="ListParagraph"/>
        <w:widowControl w:val="0"/>
        <w:numPr>
          <w:ilvl w:val="0"/>
          <w:numId w:val="29"/>
        </w:numPr>
        <w:tabs>
          <w:tab w:val="num" w:pos="792"/>
        </w:tabs>
        <w:spacing w:after="240"/>
        <w:ind w:left="1418" w:hanging="709"/>
        <w:outlineLvl w:val="1"/>
        <w:rPr>
          <w:lang w:val="fr-CA"/>
        </w:rPr>
      </w:pPr>
      <w:r w:rsidRPr="00E04A88">
        <w:rPr>
          <w:lang w:val="fr"/>
        </w:rPr>
        <w:t>Le coût de rénovation de l'incinérateur, qui montre une augmentation de 5</w:t>
      </w:r>
      <w:r w:rsidR="00663B35" w:rsidRPr="00E04A88">
        <w:rPr>
          <w:lang w:val="fr"/>
        </w:rPr>
        <w:t>%</w:t>
      </w:r>
      <w:r w:rsidRPr="00E04A88">
        <w:rPr>
          <w:lang w:val="fr"/>
        </w:rPr>
        <w:t>, comme en</w:t>
      </w:r>
      <w:r w:rsidR="00E04A88">
        <w:rPr>
          <w:lang w:val="fr"/>
        </w:rPr>
        <w:t xml:space="preserve"> </w:t>
      </w:r>
      <w:r w:rsidRPr="00E04A88">
        <w:rPr>
          <w:lang w:val="fr"/>
        </w:rPr>
        <w:t>témoigne le devis mis à jour transmis par le fournisseur de technologie ; le renforcement de l'euro face au dollar US depuis la 83</w:t>
      </w:r>
      <w:r w:rsidRPr="00E04A88">
        <w:rPr>
          <w:vertAlign w:val="superscript"/>
          <w:lang w:val="fr"/>
        </w:rPr>
        <w:t>e</w:t>
      </w:r>
      <w:r w:rsidRPr="00E04A88">
        <w:rPr>
          <w:lang w:val="fr"/>
        </w:rPr>
        <w:t xml:space="preserve"> réunion ; et, conformément à l'approche retenue à la</w:t>
      </w:r>
      <w:r w:rsidRPr="00E04A88">
        <w:rPr>
          <w:vertAlign w:val="superscript"/>
          <w:lang w:val="fr"/>
        </w:rPr>
        <w:t xml:space="preserve"> </w:t>
      </w:r>
      <w:r w:rsidRPr="00E04A88">
        <w:rPr>
          <w:lang w:val="fr"/>
        </w:rPr>
        <w:t>83</w:t>
      </w:r>
      <w:r w:rsidRPr="00E04A88">
        <w:rPr>
          <w:vertAlign w:val="superscript"/>
          <w:lang w:val="fr"/>
        </w:rPr>
        <w:t>e</w:t>
      </w:r>
      <w:r w:rsidRPr="00E04A88">
        <w:rPr>
          <w:lang w:val="fr"/>
        </w:rPr>
        <w:t xml:space="preserve"> r</w:t>
      </w:r>
      <w:r w:rsidR="00AD676F" w:rsidRPr="00E04A88">
        <w:rPr>
          <w:lang w:val="fr"/>
        </w:rPr>
        <w:t>éunion, le fait que 95%</w:t>
      </w:r>
      <w:r w:rsidRPr="00E04A88">
        <w:rPr>
          <w:lang w:val="fr"/>
        </w:rPr>
        <w:t xml:space="preserve"> de la partie du devis</w:t>
      </w:r>
      <w:r w:rsidRPr="00E04A88">
        <w:rPr>
          <w:vertAlign w:val="superscript"/>
          <w:lang w:val="fr"/>
        </w:rPr>
        <w:t xml:space="preserve"> </w:t>
      </w:r>
      <w:r w:rsidRPr="00E04A88">
        <w:rPr>
          <w:lang w:val="fr"/>
        </w:rPr>
        <w:t xml:space="preserve">qui concerne l'achat d'équipements </w:t>
      </w:r>
      <w:r w:rsidR="00495653">
        <w:rPr>
          <w:lang w:val="fr"/>
        </w:rPr>
        <w:br/>
      </w:r>
      <w:r w:rsidRPr="00E04A88">
        <w:rPr>
          <w:lang w:val="fr"/>
        </w:rPr>
        <w:t>(à savoir la pompe de recirculation d'acide fluorhydrique, la pompe de recirculation des liquides, les vannes manuelles et les raccords ainsi que les réparations de la tuyauterie et les matériaux nécessaires à la rénovation) pourraient être achetés sur place à moindre frais, ce qui permet d'estimer le coût de la rénovat</w:t>
      </w:r>
      <w:r w:rsidR="00663B35" w:rsidRPr="00E04A88">
        <w:rPr>
          <w:lang w:val="fr"/>
        </w:rPr>
        <w:t>ion de l'incinérateur à 979 776 $US</w:t>
      </w:r>
      <w:r w:rsidRPr="00E04A88">
        <w:rPr>
          <w:lang w:val="fr"/>
        </w:rPr>
        <w:t>;</w:t>
      </w:r>
    </w:p>
    <w:p w14:paraId="3917819B" w14:textId="77777777" w:rsidR="008759F7" w:rsidRPr="00EE541E" w:rsidRDefault="008759F7" w:rsidP="008759F7">
      <w:pPr>
        <w:pStyle w:val="ListParagraph"/>
        <w:widowControl w:val="0"/>
        <w:tabs>
          <w:tab w:val="num" w:pos="792"/>
        </w:tabs>
        <w:spacing w:after="240"/>
        <w:ind w:left="792"/>
        <w:outlineLvl w:val="1"/>
        <w:rPr>
          <w:sz w:val="20"/>
          <w:szCs w:val="20"/>
          <w:lang w:val="fr-CA"/>
        </w:rPr>
      </w:pPr>
    </w:p>
    <w:p w14:paraId="5776FDA5" w14:textId="4D38ADFB" w:rsidR="008759F7" w:rsidRPr="00EE541E" w:rsidRDefault="00003C73" w:rsidP="00231312">
      <w:pPr>
        <w:pStyle w:val="ListParagraph"/>
        <w:widowControl w:val="0"/>
        <w:numPr>
          <w:ilvl w:val="0"/>
          <w:numId w:val="29"/>
        </w:numPr>
        <w:tabs>
          <w:tab w:val="num" w:pos="1418"/>
        </w:tabs>
        <w:spacing w:after="240"/>
        <w:ind w:left="1418" w:hanging="709"/>
        <w:outlineLvl w:val="1"/>
        <w:rPr>
          <w:lang w:val="fr-CA" w:eastAsia="es-AR"/>
        </w:rPr>
      </w:pPr>
      <w:r w:rsidRPr="008759F7">
        <w:rPr>
          <w:lang w:val="fr"/>
        </w:rPr>
        <w:t xml:space="preserve">Le devis conservant les mêmes coûts de main-d'œuvre que lors de la soumission à la </w:t>
      </w:r>
      <w:r w:rsidR="00E04A88">
        <w:rPr>
          <w:lang w:val="fr"/>
        </w:rPr>
        <w:br/>
      </w:r>
      <w:r w:rsidRPr="008759F7">
        <w:rPr>
          <w:lang w:val="fr"/>
        </w:rPr>
        <w:t>83</w:t>
      </w:r>
      <w:r w:rsidRPr="008759F7">
        <w:rPr>
          <w:vertAlign w:val="superscript"/>
          <w:lang w:val="fr"/>
        </w:rPr>
        <w:t>e</w:t>
      </w:r>
      <w:r w:rsidRPr="008759F7">
        <w:rPr>
          <w:lang w:val="fr"/>
        </w:rPr>
        <w:t xml:space="preserve"> réunion, les coûts de pose et de mise en service restent inchangés ;</w:t>
      </w:r>
    </w:p>
    <w:p w14:paraId="7130842A" w14:textId="77777777" w:rsidR="008759F7" w:rsidRPr="00EE541E" w:rsidRDefault="008759F7" w:rsidP="008759F7">
      <w:pPr>
        <w:pStyle w:val="ListParagraph"/>
        <w:widowControl w:val="0"/>
        <w:spacing w:after="240"/>
        <w:outlineLvl w:val="1"/>
        <w:rPr>
          <w:sz w:val="20"/>
          <w:szCs w:val="20"/>
          <w:lang w:val="fr-CA" w:eastAsia="es-AR"/>
        </w:rPr>
      </w:pPr>
    </w:p>
    <w:p w14:paraId="5CD139A7" w14:textId="07177980" w:rsidR="00003C73" w:rsidRPr="00EE541E" w:rsidRDefault="00003C73" w:rsidP="00231312">
      <w:pPr>
        <w:pStyle w:val="ListParagraph"/>
        <w:widowControl w:val="0"/>
        <w:numPr>
          <w:ilvl w:val="0"/>
          <w:numId w:val="29"/>
        </w:numPr>
        <w:tabs>
          <w:tab w:val="num" w:pos="-2160"/>
        </w:tabs>
        <w:spacing w:after="240"/>
        <w:ind w:left="1418" w:hanging="709"/>
        <w:outlineLvl w:val="1"/>
        <w:rPr>
          <w:lang w:val="fr-CA" w:eastAsia="es-AR"/>
        </w:rPr>
      </w:pPr>
      <w:r w:rsidRPr="00003C73">
        <w:rPr>
          <w:lang w:val="fr" w:eastAsia="es-AR"/>
        </w:rPr>
        <w:t>L'ajustement aux niveaux de prix sur place (à savoir les coûts de construction supplémentaires encourus par la FIASA, la construction d'un bâtiment pour abriter le réservoir cryogénique et des frais d'enregistrement uniques) pour tenir compte de l'inflation et de la dévaluation du peso argentin ; et</w:t>
      </w:r>
    </w:p>
    <w:p w14:paraId="2A9CD16F" w14:textId="77777777" w:rsidR="008759F7" w:rsidRPr="00EE541E" w:rsidRDefault="008759F7" w:rsidP="008759F7">
      <w:pPr>
        <w:pStyle w:val="ListParagraph"/>
        <w:widowControl w:val="0"/>
        <w:tabs>
          <w:tab w:val="num" w:pos="-2160"/>
        </w:tabs>
        <w:spacing w:after="240"/>
        <w:outlineLvl w:val="1"/>
        <w:rPr>
          <w:sz w:val="20"/>
          <w:szCs w:val="20"/>
          <w:lang w:val="fr-CA" w:eastAsia="es-AR"/>
        </w:rPr>
      </w:pPr>
    </w:p>
    <w:p w14:paraId="619D93DB" w14:textId="629469D8" w:rsidR="00003C73" w:rsidRPr="00EE541E" w:rsidRDefault="00003C73" w:rsidP="00231312">
      <w:pPr>
        <w:pStyle w:val="ListParagraph"/>
        <w:widowControl w:val="0"/>
        <w:numPr>
          <w:ilvl w:val="0"/>
          <w:numId w:val="29"/>
        </w:numPr>
        <w:ind w:left="1418" w:hanging="709"/>
        <w:outlineLvl w:val="1"/>
        <w:rPr>
          <w:lang w:val="fr-CA"/>
        </w:rPr>
      </w:pPr>
      <w:r w:rsidRPr="008759F7">
        <w:rPr>
          <w:lang w:val="fr"/>
        </w:rPr>
        <w:t>Comme indiqué à la 83</w:t>
      </w:r>
      <w:r w:rsidRPr="008759F7">
        <w:rPr>
          <w:vertAlign w:val="superscript"/>
          <w:lang w:val="fr"/>
        </w:rPr>
        <w:t xml:space="preserve">e </w:t>
      </w:r>
      <w:r w:rsidRPr="008759F7">
        <w:rPr>
          <w:lang w:val="fr"/>
        </w:rPr>
        <w:t>réunion, le fait que ni le prix de l'épurateur de gaz en fin de circuit (recouvert de polytétrafluoroéthylène) ni celui de la zéolithe destinée au générateur d'oxygène d'adsorption modulée en pression n'ont augmenté.</w:t>
      </w:r>
    </w:p>
    <w:p w14:paraId="72AD6373" w14:textId="2CCB9E67" w:rsidR="00231312" w:rsidRPr="00EE541E" w:rsidRDefault="00231312" w:rsidP="00231312">
      <w:pPr>
        <w:widowControl w:val="0"/>
        <w:outlineLvl w:val="1"/>
        <w:rPr>
          <w:sz w:val="20"/>
          <w:szCs w:val="20"/>
          <w:lang w:val="fr-CA"/>
        </w:rPr>
      </w:pPr>
    </w:p>
    <w:p w14:paraId="753E30BE" w14:textId="77777777" w:rsidR="00003C73" w:rsidRPr="00EE541E" w:rsidRDefault="00003C73" w:rsidP="00231312">
      <w:pPr>
        <w:rPr>
          <w:lang w:val="fr-CA"/>
        </w:rPr>
      </w:pPr>
      <w:r w:rsidRPr="00003C73">
        <w:rPr>
          <w:b/>
          <w:lang w:val="fr"/>
        </w:rPr>
        <w:t>Tableau 1. Surcoûts d'investissement destinés à la rénovation de l'incinérateur ($US)</w:t>
      </w:r>
    </w:p>
    <w:tbl>
      <w:tblPr>
        <w:tblW w:w="5003" w:type="pct"/>
        <w:tblInd w:w="-5" w:type="dxa"/>
        <w:tblLayout w:type="fixed"/>
        <w:tblLook w:val="04A0" w:firstRow="1" w:lastRow="0" w:firstColumn="1" w:lastColumn="0" w:noHBand="0" w:noVBand="1"/>
      </w:tblPr>
      <w:tblGrid>
        <w:gridCol w:w="3542"/>
        <w:gridCol w:w="1416"/>
        <w:gridCol w:w="1420"/>
        <w:gridCol w:w="1475"/>
        <w:gridCol w:w="1503"/>
      </w:tblGrid>
      <w:tr w:rsidR="00A73149" w:rsidRPr="00003C73" w14:paraId="4BE6602D" w14:textId="77777777" w:rsidTr="00A73149">
        <w:trPr>
          <w:trHeight w:val="71"/>
          <w:tblHeader/>
        </w:trPr>
        <w:tc>
          <w:tcPr>
            <w:tcW w:w="1893" w:type="pct"/>
            <w:vMerge w:val="restart"/>
            <w:tcBorders>
              <w:top w:val="single" w:sz="4" w:space="0" w:color="auto"/>
              <w:left w:val="single" w:sz="4" w:space="0" w:color="auto"/>
              <w:right w:val="nil"/>
            </w:tcBorders>
            <w:shd w:val="clear" w:color="auto" w:fill="auto"/>
            <w:noWrap/>
            <w:vAlign w:val="center"/>
            <w:hideMark/>
          </w:tcPr>
          <w:p w14:paraId="6DE0D059" w14:textId="77777777" w:rsidR="00003C73" w:rsidRPr="00003C73" w:rsidRDefault="00003C73" w:rsidP="00003C73">
            <w:pPr>
              <w:jc w:val="left"/>
              <w:rPr>
                <w:sz w:val="19"/>
                <w:szCs w:val="19"/>
                <w:lang w:val="en-CA" w:eastAsia="en-CA"/>
              </w:rPr>
            </w:pPr>
            <w:r w:rsidRPr="00003C73">
              <w:rPr>
                <w:b/>
                <w:bCs/>
                <w:color w:val="000000"/>
                <w:sz w:val="19"/>
                <w:szCs w:val="19"/>
                <w:lang w:val="fr" w:eastAsia="fr"/>
              </w:rPr>
              <w:t>Description</w:t>
            </w:r>
          </w:p>
        </w:tc>
        <w:tc>
          <w:tcPr>
            <w:tcW w:w="1516" w:type="pct"/>
            <w:gridSpan w:val="2"/>
            <w:tcBorders>
              <w:top w:val="single" w:sz="4" w:space="0" w:color="auto"/>
              <w:left w:val="single" w:sz="4" w:space="0" w:color="auto"/>
              <w:bottom w:val="single" w:sz="4" w:space="0" w:color="auto"/>
              <w:right w:val="single" w:sz="4" w:space="0" w:color="auto"/>
            </w:tcBorders>
            <w:shd w:val="clear" w:color="auto" w:fill="auto"/>
            <w:hideMark/>
          </w:tcPr>
          <w:p w14:paraId="64A5D2C0" w14:textId="77777777" w:rsidR="00003C73" w:rsidRPr="00003C73" w:rsidRDefault="00003C73" w:rsidP="00003C73">
            <w:pPr>
              <w:jc w:val="center"/>
              <w:rPr>
                <w:b/>
                <w:bCs/>
                <w:color w:val="000000"/>
                <w:sz w:val="19"/>
                <w:szCs w:val="19"/>
                <w:lang w:val="en-CA" w:eastAsia="en-CA"/>
              </w:rPr>
            </w:pPr>
            <w:r w:rsidRPr="00003C73">
              <w:rPr>
                <w:b/>
                <w:bCs/>
                <w:color w:val="000000"/>
                <w:sz w:val="19"/>
                <w:szCs w:val="19"/>
                <w:lang w:val="fr" w:eastAsia="fr"/>
              </w:rPr>
              <w:t>83</w:t>
            </w:r>
            <w:r w:rsidRPr="00003C73">
              <w:rPr>
                <w:b/>
                <w:bCs/>
                <w:color w:val="000000"/>
                <w:sz w:val="19"/>
                <w:szCs w:val="19"/>
                <w:vertAlign w:val="superscript"/>
                <w:lang w:val="fr" w:eastAsia="fr"/>
              </w:rPr>
              <w:t>e</w:t>
            </w:r>
            <w:r w:rsidRPr="00003C73">
              <w:rPr>
                <w:b/>
                <w:bCs/>
                <w:color w:val="000000"/>
                <w:sz w:val="19"/>
                <w:szCs w:val="19"/>
                <w:lang w:val="fr" w:eastAsia="fr"/>
              </w:rPr>
              <w:t xml:space="preserve"> réunion</w:t>
            </w:r>
          </w:p>
        </w:tc>
        <w:tc>
          <w:tcPr>
            <w:tcW w:w="1591" w:type="pct"/>
            <w:gridSpan w:val="2"/>
            <w:tcBorders>
              <w:top w:val="single" w:sz="4" w:space="0" w:color="auto"/>
              <w:left w:val="nil"/>
              <w:bottom w:val="single" w:sz="4" w:space="0" w:color="auto"/>
              <w:right w:val="single" w:sz="4" w:space="0" w:color="auto"/>
            </w:tcBorders>
            <w:shd w:val="clear" w:color="auto" w:fill="auto"/>
            <w:hideMark/>
          </w:tcPr>
          <w:p w14:paraId="489309A8" w14:textId="77777777" w:rsidR="00003C73" w:rsidRPr="00003C73" w:rsidRDefault="00003C73" w:rsidP="00003C73">
            <w:pPr>
              <w:jc w:val="center"/>
              <w:rPr>
                <w:b/>
                <w:bCs/>
                <w:color w:val="000000"/>
                <w:sz w:val="19"/>
                <w:szCs w:val="19"/>
                <w:lang w:val="en-CA" w:eastAsia="en-CA"/>
              </w:rPr>
            </w:pPr>
            <w:r w:rsidRPr="00003C73">
              <w:rPr>
                <w:b/>
                <w:bCs/>
                <w:color w:val="000000"/>
                <w:sz w:val="19"/>
                <w:szCs w:val="19"/>
                <w:lang w:val="fr" w:eastAsia="fr"/>
              </w:rPr>
              <w:t>86</w:t>
            </w:r>
            <w:r w:rsidRPr="00003C73">
              <w:rPr>
                <w:b/>
                <w:bCs/>
                <w:color w:val="000000"/>
                <w:sz w:val="19"/>
                <w:szCs w:val="19"/>
                <w:vertAlign w:val="superscript"/>
                <w:lang w:val="fr" w:eastAsia="fr"/>
              </w:rPr>
              <w:t>e</w:t>
            </w:r>
            <w:r w:rsidRPr="00003C73">
              <w:rPr>
                <w:b/>
                <w:bCs/>
                <w:color w:val="000000"/>
                <w:sz w:val="19"/>
                <w:szCs w:val="19"/>
                <w:lang w:val="fr" w:eastAsia="fr"/>
              </w:rPr>
              <w:t xml:space="preserve"> réunion</w:t>
            </w:r>
          </w:p>
        </w:tc>
      </w:tr>
      <w:tr w:rsidR="00A73149" w:rsidRPr="00003C73" w14:paraId="1CC80AE2" w14:textId="77777777" w:rsidTr="00A73149">
        <w:trPr>
          <w:trHeight w:val="215"/>
          <w:tblHeader/>
        </w:trPr>
        <w:tc>
          <w:tcPr>
            <w:tcW w:w="1893" w:type="pct"/>
            <w:vMerge/>
            <w:tcBorders>
              <w:left w:val="single" w:sz="4" w:space="0" w:color="auto"/>
              <w:bottom w:val="single" w:sz="4" w:space="0" w:color="auto"/>
              <w:right w:val="single" w:sz="4" w:space="0" w:color="auto"/>
            </w:tcBorders>
            <w:shd w:val="clear" w:color="auto" w:fill="auto"/>
            <w:noWrap/>
            <w:hideMark/>
          </w:tcPr>
          <w:p w14:paraId="600478A2" w14:textId="77777777" w:rsidR="00003C73" w:rsidRPr="00003C73" w:rsidRDefault="00003C73" w:rsidP="00003C73">
            <w:pPr>
              <w:jc w:val="center"/>
              <w:rPr>
                <w:b/>
                <w:bCs/>
                <w:color w:val="000000"/>
                <w:sz w:val="19"/>
                <w:szCs w:val="19"/>
                <w:lang w:val="en-CA" w:eastAsia="en-CA"/>
              </w:rPr>
            </w:pPr>
          </w:p>
        </w:tc>
        <w:tc>
          <w:tcPr>
            <w:tcW w:w="757" w:type="pct"/>
            <w:tcBorders>
              <w:top w:val="nil"/>
              <w:left w:val="nil"/>
              <w:bottom w:val="single" w:sz="4" w:space="0" w:color="auto"/>
              <w:right w:val="single" w:sz="4" w:space="0" w:color="auto"/>
            </w:tcBorders>
            <w:shd w:val="clear" w:color="auto" w:fill="auto"/>
            <w:vAlign w:val="center"/>
            <w:hideMark/>
          </w:tcPr>
          <w:p w14:paraId="2694DA56" w14:textId="77777777" w:rsidR="00003C73" w:rsidRPr="00003C73" w:rsidRDefault="00003C73" w:rsidP="00003C73">
            <w:pPr>
              <w:jc w:val="center"/>
              <w:rPr>
                <w:b/>
                <w:bCs/>
                <w:color w:val="000000"/>
                <w:sz w:val="19"/>
                <w:szCs w:val="19"/>
                <w:lang w:val="en-CA" w:eastAsia="en-CA"/>
              </w:rPr>
            </w:pPr>
            <w:r w:rsidRPr="00003C73">
              <w:rPr>
                <w:b/>
                <w:bCs/>
                <w:color w:val="000000"/>
                <w:sz w:val="19"/>
                <w:szCs w:val="19"/>
                <w:lang w:val="fr" w:eastAsia="fr"/>
              </w:rPr>
              <w:t>ONUDI</w:t>
            </w:r>
          </w:p>
        </w:tc>
        <w:tc>
          <w:tcPr>
            <w:tcW w:w="758" w:type="pct"/>
            <w:tcBorders>
              <w:top w:val="nil"/>
              <w:left w:val="nil"/>
              <w:bottom w:val="single" w:sz="4" w:space="0" w:color="auto"/>
              <w:right w:val="single" w:sz="4" w:space="0" w:color="auto"/>
            </w:tcBorders>
            <w:shd w:val="clear" w:color="auto" w:fill="auto"/>
            <w:vAlign w:val="center"/>
            <w:hideMark/>
          </w:tcPr>
          <w:p w14:paraId="3788D5E8" w14:textId="77777777" w:rsidR="00003C73" w:rsidRPr="00003C73" w:rsidRDefault="00003C73" w:rsidP="00003C73">
            <w:pPr>
              <w:jc w:val="center"/>
              <w:rPr>
                <w:b/>
                <w:bCs/>
                <w:color w:val="000000"/>
                <w:sz w:val="19"/>
                <w:szCs w:val="19"/>
                <w:lang w:val="en-CA" w:eastAsia="en-CA"/>
              </w:rPr>
            </w:pPr>
            <w:r w:rsidRPr="00003C73">
              <w:rPr>
                <w:b/>
                <w:bCs/>
                <w:color w:val="000000"/>
                <w:sz w:val="19"/>
                <w:szCs w:val="19"/>
                <w:lang w:val="fr" w:eastAsia="fr"/>
              </w:rPr>
              <w:t>Secrétariat</w:t>
            </w:r>
          </w:p>
        </w:tc>
        <w:tc>
          <w:tcPr>
            <w:tcW w:w="788" w:type="pct"/>
            <w:tcBorders>
              <w:top w:val="nil"/>
              <w:left w:val="nil"/>
              <w:bottom w:val="single" w:sz="4" w:space="0" w:color="auto"/>
              <w:right w:val="single" w:sz="4" w:space="0" w:color="auto"/>
            </w:tcBorders>
            <w:shd w:val="clear" w:color="auto" w:fill="auto"/>
            <w:vAlign w:val="center"/>
            <w:hideMark/>
          </w:tcPr>
          <w:p w14:paraId="1782F5C2" w14:textId="77777777" w:rsidR="00003C73" w:rsidRPr="00003C73" w:rsidRDefault="00003C73" w:rsidP="00003C73">
            <w:pPr>
              <w:jc w:val="center"/>
              <w:rPr>
                <w:b/>
                <w:bCs/>
                <w:color w:val="000000"/>
                <w:sz w:val="19"/>
                <w:szCs w:val="19"/>
                <w:lang w:val="en-CA" w:eastAsia="en-CA"/>
              </w:rPr>
            </w:pPr>
            <w:r w:rsidRPr="00003C73">
              <w:rPr>
                <w:b/>
                <w:bCs/>
                <w:color w:val="000000"/>
                <w:sz w:val="19"/>
                <w:szCs w:val="19"/>
                <w:lang w:val="fr" w:eastAsia="fr"/>
              </w:rPr>
              <w:t>ONUDI</w:t>
            </w:r>
          </w:p>
        </w:tc>
        <w:tc>
          <w:tcPr>
            <w:tcW w:w="803" w:type="pct"/>
            <w:tcBorders>
              <w:top w:val="nil"/>
              <w:left w:val="nil"/>
              <w:bottom w:val="single" w:sz="4" w:space="0" w:color="auto"/>
              <w:right w:val="single" w:sz="4" w:space="0" w:color="auto"/>
            </w:tcBorders>
            <w:shd w:val="clear" w:color="auto" w:fill="auto"/>
            <w:vAlign w:val="center"/>
            <w:hideMark/>
          </w:tcPr>
          <w:p w14:paraId="161ACA1A" w14:textId="77777777" w:rsidR="00003C73" w:rsidRPr="00003C73" w:rsidRDefault="00003C73" w:rsidP="00003C73">
            <w:pPr>
              <w:jc w:val="center"/>
              <w:rPr>
                <w:b/>
                <w:bCs/>
                <w:color w:val="000000"/>
                <w:sz w:val="19"/>
                <w:szCs w:val="19"/>
                <w:lang w:val="en-CA" w:eastAsia="en-CA"/>
              </w:rPr>
            </w:pPr>
            <w:r w:rsidRPr="00003C73">
              <w:rPr>
                <w:b/>
                <w:bCs/>
                <w:color w:val="000000"/>
                <w:sz w:val="19"/>
                <w:szCs w:val="19"/>
                <w:lang w:val="fr" w:eastAsia="fr"/>
              </w:rPr>
              <w:t>Secrétariat</w:t>
            </w:r>
          </w:p>
        </w:tc>
      </w:tr>
      <w:tr w:rsidR="00A73149" w:rsidRPr="00003C73" w14:paraId="4C1A2A31" w14:textId="77777777" w:rsidTr="00A73149">
        <w:trPr>
          <w:trHeight w:val="161"/>
        </w:trPr>
        <w:tc>
          <w:tcPr>
            <w:tcW w:w="1893" w:type="pct"/>
            <w:tcBorders>
              <w:top w:val="nil"/>
              <w:left w:val="single" w:sz="4" w:space="0" w:color="auto"/>
              <w:bottom w:val="single" w:sz="4" w:space="0" w:color="auto"/>
              <w:right w:val="single" w:sz="4" w:space="0" w:color="auto"/>
            </w:tcBorders>
            <w:shd w:val="clear" w:color="auto" w:fill="auto"/>
            <w:noWrap/>
            <w:hideMark/>
          </w:tcPr>
          <w:p w14:paraId="415645DC" w14:textId="77777777" w:rsidR="00003C73" w:rsidRPr="00003C73" w:rsidRDefault="00003C73" w:rsidP="00003C73">
            <w:pPr>
              <w:jc w:val="left"/>
              <w:rPr>
                <w:color w:val="000000"/>
                <w:sz w:val="19"/>
                <w:szCs w:val="19"/>
                <w:lang w:val="en-CA" w:eastAsia="en-CA"/>
              </w:rPr>
            </w:pPr>
            <w:r w:rsidRPr="00003C73">
              <w:rPr>
                <w:color w:val="000000"/>
                <w:sz w:val="19"/>
                <w:szCs w:val="19"/>
                <w:lang w:val="fr" w:eastAsia="fr"/>
              </w:rPr>
              <w:t>Rénovation</w:t>
            </w:r>
            <w:r w:rsidRPr="00003C73">
              <w:rPr>
                <w:color w:val="000000"/>
                <w:sz w:val="19"/>
                <w:szCs w:val="19"/>
                <w:vertAlign w:val="superscript"/>
                <w:lang w:val="fr" w:eastAsia="fr"/>
              </w:rPr>
              <w:t xml:space="preserve">* </w:t>
            </w:r>
            <w:r w:rsidRPr="00003C73">
              <w:rPr>
                <w:color w:val="000000"/>
                <w:sz w:val="19"/>
                <w:szCs w:val="19"/>
                <w:lang w:val="fr" w:eastAsia="fr"/>
              </w:rPr>
              <w:t>de l’incinérateur SGL</w:t>
            </w:r>
          </w:p>
        </w:tc>
        <w:tc>
          <w:tcPr>
            <w:tcW w:w="757" w:type="pct"/>
            <w:tcBorders>
              <w:top w:val="nil"/>
              <w:left w:val="nil"/>
              <w:bottom w:val="single" w:sz="4" w:space="0" w:color="auto"/>
              <w:right w:val="single" w:sz="4" w:space="0" w:color="auto"/>
            </w:tcBorders>
            <w:shd w:val="clear" w:color="auto" w:fill="auto"/>
            <w:tcMar>
              <w:left w:w="115" w:type="dxa"/>
              <w:right w:w="202" w:type="dxa"/>
            </w:tcMar>
            <w:hideMark/>
          </w:tcPr>
          <w:p w14:paraId="25C2E6E2"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916 959</w:t>
            </w:r>
          </w:p>
        </w:tc>
        <w:tc>
          <w:tcPr>
            <w:tcW w:w="758" w:type="pct"/>
            <w:tcBorders>
              <w:top w:val="nil"/>
              <w:left w:val="nil"/>
              <w:bottom w:val="single" w:sz="4" w:space="0" w:color="auto"/>
              <w:right w:val="single" w:sz="4" w:space="0" w:color="auto"/>
            </w:tcBorders>
            <w:shd w:val="clear" w:color="auto" w:fill="auto"/>
            <w:tcMar>
              <w:left w:w="115" w:type="dxa"/>
              <w:right w:w="202" w:type="dxa"/>
            </w:tcMar>
            <w:hideMark/>
          </w:tcPr>
          <w:p w14:paraId="41203D66"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871 111</w:t>
            </w:r>
          </w:p>
        </w:tc>
        <w:tc>
          <w:tcPr>
            <w:tcW w:w="788" w:type="pct"/>
            <w:tcBorders>
              <w:top w:val="nil"/>
              <w:left w:val="nil"/>
              <w:bottom w:val="single" w:sz="4" w:space="0" w:color="auto"/>
              <w:right w:val="single" w:sz="4" w:space="0" w:color="auto"/>
            </w:tcBorders>
            <w:shd w:val="clear" w:color="auto" w:fill="auto"/>
            <w:tcMar>
              <w:left w:w="115" w:type="dxa"/>
              <w:right w:w="202" w:type="dxa"/>
            </w:tcMar>
            <w:hideMark/>
          </w:tcPr>
          <w:p w14:paraId="0CE04EF8"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914 667</w:t>
            </w:r>
          </w:p>
        </w:tc>
        <w:tc>
          <w:tcPr>
            <w:tcW w:w="803" w:type="pct"/>
            <w:tcBorders>
              <w:top w:val="nil"/>
              <w:left w:val="nil"/>
              <w:bottom w:val="single" w:sz="4" w:space="0" w:color="auto"/>
              <w:right w:val="single" w:sz="4" w:space="0" w:color="auto"/>
            </w:tcBorders>
            <w:shd w:val="clear" w:color="auto" w:fill="auto"/>
            <w:tcMar>
              <w:left w:w="115" w:type="dxa"/>
              <w:right w:w="202" w:type="dxa"/>
            </w:tcMar>
            <w:hideMark/>
          </w:tcPr>
          <w:p w14:paraId="14423C90"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979 776</w:t>
            </w:r>
            <w:r w:rsidRPr="00003C73">
              <w:rPr>
                <w:color w:val="000000"/>
                <w:sz w:val="19"/>
                <w:szCs w:val="19"/>
                <w:vertAlign w:val="superscript"/>
                <w:lang w:val="fr" w:eastAsia="fr"/>
              </w:rPr>
              <w:t>**</w:t>
            </w:r>
          </w:p>
        </w:tc>
      </w:tr>
      <w:tr w:rsidR="00A73149" w:rsidRPr="00003C73" w14:paraId="4BA18528" w14:textId="77777777" w:rsidTr="00A73149">
        <w:trPr>
          <w:trHeight w:val="206"/>
        </w:trPr>
        <w:tc>
          <w:tcPr>
            <w:tcW w:w="1893" w:type="pct"/>
            <w:tcBorders>
              <w:top w:val="nil"/>
              <w:left w:val="single" w:sz="4" w:space="0" w:color="auto"/>
              <w:bottom w:val="single" w:sz="4" w:space="0" w:color="auto"/>
              <w:right w:val="single" w:sz="4" w:space="0" w:color="auto"/>
            </w:tcBorders>
            <w:shd w:val="clear" w:color="auto" w:fill="auto"/>
            <w:noWrap/>
            <w:hideMark/>
          </w:tcPr>
          <w:p w14:paraId="22D17763" w14:textId="77777777" w:rsidR="00003C73" w:rsidRPr="00EE541E" w:rsidRDefault="00003C73" w:rsidP="00003C73">
            <w:pPr>
              <w:jc w:val="left"/>
              <w:rPr>
                <w:color w:val="000000"/>
                <w:sz w:val="19"/>
                <w:szCs w:val="19"/>
                <w:lang w:val="fr-CA" w:eastAsia="en-CA"/>
              </w:rPr>
            </w:pPr>
            <w:r w:rsidRPr="00003C73">
              <w:rPr>
                <w:color w:val="000000"/>
                <w:sz w:val="19"/>
                <w:szCs w:val="19"/>
                <w:lang w:val="fr" w:eastAsia="fr"/>
              </w:rPr>
              <w:t>Ajout d’un épurateur de gaz en fin de circuit d'évacuation</w:t>
            </w:r>
          </w:p>
        </w:tc>
        <w:tc>
          <w:tcPr>
            <w:tcW w:w="757" w:type="pct"/>
            <w:tcBorders>
              <w:top w:val="nil"/>
              <w:left w:val="nil"/>
              <w:bottom w:val="single" w:sz="4" w:space="0" w:color="auto"/>
              <w:right w:val="single" w:sz="4" w:space="0" w:color="auto"/>
            </w:tcBorders>
            <w:shd w:val="clear" w:color="auto" w:fill="auto"/>
            <w:tcMar>
              <w:left w:w="115" w:type="dxa"/>
              <w:right w:w="202" w:type="dxa"/>
            </w:tcMar>
            <w:hideMark/>
          </w:tcPr>
          <w:p w14:paraId="58DDE5C8"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18 810</w:t>
            </w:r>
          </w:p>
        </w:tc>
        <w:tc>
          <w:tcPr>
            <w:tcW w:w="758" w:type="pct"/>
            <w:tcBorders>
              <w:top w:val="nil"/>
              <w:left w:val="nil"/>
              <w:bottom w:val="single" w:sz="4" w:space="0" w:color="auto"/>
              <w:right w:val="single" w:sz="4" w:space="0" w:color="auto"/>
            </w:tcBorders>
            <w:shd w:val="clear" w:color="auto" w:fill="auto"/>
            <w:tcMar>
              <w:left w:w="115" w:type="dxa"/>
              <w:right w:w="202" w:type="dxa"/>
            </w:tcMar>
            <w:hideMark/>
          </w:tcPr>
          <w:p w14:paraId="53C51B2C"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0</w:t>
            </w:r>
          </w:p>
        </w:tc>
        <w:tc>
          <w:tcPr>
            <w:tcW w:w="788" w:type="pct"/>
            <w:tcBorders>
              <w:top w:val="nil"/>
              <w:left w:val="nil"/>
              <w:bottom w:val="single" w:sz="4" w:space="0" w:color="auto"/>
              <w:right w:val="single" w:sz="4" w:space="0" w:color="auto"/>
            </w:tcBorders>
            <w:shd w:val="clear" w:color="auto" w:fill="auto"/>
            <w:tcMar>
              <w:left w:w="115" w:type="dxa"/>
              <w:right w:w="202" w:type="dxa"/>
            </w:tcMar>
            <w:hideMark/>
          </w:tcPr>
          <w:p w14:paraId="4BB047F1"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9 875</w:t>
            </w:r>
          </w:p>
        </w:tc>
        <w:tc>
          <w:tcPr>
            <w:tcW w:w="803" w:type="pct"/>
            <w:tcBorders>
              <w:top w:val="nil"/>
              <w:left w:val="nil"/>
              <w:bottom w:val="single" w:sz="4" w:space="0" w:color="auto"/>
              <w:right w:val="single" w:sz="4" w:space="0" w:color="auto"/>
            </w:tcBorders>
            <w:shd w:val="clear" w:color="auto" w:fill="auto"/>
            <w:tcMar>
              <w:left w:w="115" w:type="dxa"/>
              <w:right w:w="202" w:type="dxa"/>
            </w:tcMar>
            <w:hideMark/>
          </w:tcPr>
          <w:p w14:paraId="44C4C40A"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0</w:t>
            </w:r>
          </w:p>
        </w:tc>
      </w:tr>
      <w:tr w:rsidR="00A73149" w:rsidRPr="00003C73" w14:paraId="5F69D7EA" w14:textId="77777777" w:rsidTr="00A73149">
        <w:trPr>
          <w:trHeight w:val="315"/>
        </w:trPr>
        <w:tc>
          <w:tcPr>
            <w:tcW w:w="1893" w:type="pct"/>
            <w:tcBorders>
              <w:top w:val="nil"/>
              <w:left w:val="single" w:sz="4" w:space="0" w:color="auto"/>
              <w:bottom w:val="single" w:sz="4" w:space="0" w:color="auto"/>
              <w:right w:val="single" w:sz="4" w:space="0" w:color="auto"/>
            </w:tcBorders>
            <w:shd w:val="clear" w:color="auto" w:fill="auto"/>
            <w:noWrap/>
            <w:hideMark/>
          </w:tcPr>
          <w:p w14:paraId="0E7E1AFD" w14:textId="77777777" w:rsidR="00003C73" w:rsidRPr="00EE541E" w:rsidRDefault="00003C73" w:rsidP="00003C73">
            <w:pPr>
              <w:jc w:val="left"/>
              <w:rPr>
                <w:color w:val="000000"/>
                <w:sz w:val="19"/>
                <w:szCs w:val="19"/>
                <w:lang w:val="fr-CA" w:eastAsia="en-CA"/>
              </w:rPr>
            </w:pPr>
            <w:r w:rsidRPr="00003C73">
              <w:rPr>
                <w:color w:val="000000"/>
                <w:sz w:val="19"/>
                <w:szCs w:val="19"/>
                <w:lang w:val="fr" w:eastAsia="fr"/>
              </w:rPr>
              <w:t>Livraison au port de Buenos Aires et à la FIASA</w:t>
            </w:r>
          </w:p>
        </w:tc>
        <w:tc>
          <w:tcPr>
            <w:tcW w:w="757" w:type="pct"/>
            <w:tcBorders>
              <w:top w:val="nil"/>
              <w:left w:val="nil"/>
              <w:bottom w:val="single" w:sz="4" w:space="0" w:color="auto"/>
              <w:right w:val="single" w:sz="4" w:space="0" w:color="auto"/>
            </w:tcBorders>
            <w:shd w:val="clear" w:color="auto" w:fill="auto"/>
            <w:tcMar>
              <w:left w:w="115" w:type="dxa"/>
              <w:right w:w="202" w:type="dxa"/>
            </w:tcMar>
            <w:hideMark/>
          </w:tcPr>
          <w:p w14:paraId="16DE0C04"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30 000</w:t>
            </w:r>
          </w:p>
        </w:tc>
        <w:tc>
          <w:tcPr>
            <w:tcW w:w="758" w:type="pct"/>
            <w:tcBorders>
              <w:top w:val="nil"/>
              <w:left w:val="nil"/>
              <w:bottom w:val="single" w:sz="4" w:space="0" w:color="auto"/>
              <w:right w:val="single" w:sz="4" w:space="0" w:color="auto"/>
            </w:tcBorders>
            <w:shd w:val="clear" w:color="auto" w:fill="auto"/>
            <w:tcMar>
              <w:left w:w="115" w:type="dxa"/>
              <w:right w:w="202" w:type="dxa"/>
            </w:tcMar>
            <w:hideMark/>
          </w:tcPr>
          <w:p w14:paraId="5F7FC074"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30 000</w:t>
            </w:r>
          </w:p>
        </w:tc>
        <w:tc>
          <w:tcPr>
            <w:tcW w:w="788" w:type="pct"/>
            <w:tcBorders>
              <w:top w:val="nil"/>
              <w:left w:val="nil"/>
              <w:bottom w:val="single" w:sz="4" w:space="0" w:color="auto"/>
              <w:right w:val="single" w:sz="4" w:space="0" w:color="auto"/>
            </w:tcBorders>
            <w:shd w:val="clear" w:color="auto" w:fill="auto"/>
            <w:tcMar>
              <w:left w:w="115" w:type="dxa"/>
              <w:right w:w="202" w:type="dxa"/>
            </w:tcMar>
            <w:hideMark/>
          </w:tcPr>
          <w:p w14:paraId="43071B86"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29 925</w:t>
            </w:r>
          </w:p>
        </w:tc>
        <w:tc>
          <w:tcPr>
            <w:tcW w:w="803" w:type="pct"/>
            <w:tcBorders>
              <w:top w:val="nil"/>
              <w:left w:val="nil"/>
              <w:bottom w:val="single" w:sz="4" w:space="0" w:color="auto"/>
              <w:right w:val="single" w:sz="4" w:space="0" w:color="auto"/>
            </w:tcBorders>
            <w:shd w:val="clear" w:color="auto" w:fill="auto"/>
            <w:tcMar>
              <w:left w:w="115" w:type="dxa"/>
              <w:right w:w="202" w:type="dxa"/>
            </w:tcMar>
            <w:hideMark/>
          </w:tcPr>
          <w:p w14:paraId="02B7C76A"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30 000</w:t>
            </w:r>
          </w:p>
        </w:tc>
      </w:tr>
      <w:tr w:rsidR="00A73149" w:rsidRPr="00003C73" w14:paraId="004284BB" w14:textId="77777777" w:rsidTr="00A73149">
        <w:trPr>
          <w:trHeight w:val="315"/>
        </w:trPr>
        <w:tc>
          <w:tcPr>
            <w:tcW w:w="1893" w:type="pct"/>
            <w:tcBorders>
              <w:top w:val="nil"/>
              <w:left w:val="single" w:sz="4" w:space="0" w:color="auto"/>
              <w:bottom w:val="single" w:sz="4" w:space="0" w:color="auto"/>
              <w:right w:val="single" w:sz="4" w:space="0" w:color="auto"/>
            </w:tcBorders>
            <w:shd w:val="clear" w:color="auto" w:fill="auto"/>
            <w:noWrap/>
            <w:hideMark/>
          </w:tcPr>
          <w:p w14:paraId="7A8D24DE" w14:textId="77777777" w:rsidR="00003C73" w:rsidRPr="00EE541E" w:rsidRDefault="00003C73" w:rsidP="00003C73">
            <w:pPr>
              <w:jc w:val="left"/>
              <w:rPr>
                <w:color w:val="000000"/>
                <w:sz w:val="19"/>
                <w:szCs w:val="19"/>
                <w:lang w:val="fr-CA" w:eastAsia="en-CA"/>
              </w:rPr>
            </w:pPr>
            <w:r w:rsidRPr="00003C73">
              <w:rPr>
                <w:color w:val="000000"/>
                <w:sz w:val="19"/>
                <w:szCs w:val="19"/>
                <w:lang w:val="fr" w:eastAsia="fr"/>
              </w:rPr>
              <w:t>Supervision de l’installation et de la mise en service par SGL</w:t>
            </w:r>
          </w:p>
        </w:tc>
        <w:tc>
          <w:tcPr>
            <w:tcW w:w="757" w:type="pct"/>
            <w:tcBorders>
              <w:top w:val="nil"/>
              <w:left w:val="nil"/>
              <w:bottom w:val="single" w:sz="4" w:space="0" w:color="auto"/>
              <w:right w:val="single" w:sz="4" w:space="0" w:color="auto"/>
            </w:tcBorders>
            <w:shd w:val="clear" w:color="auto" w:fill="auto"/>
            <w:tcMar>
              <w:left w:w="115" w:type="dxa"/>
              <w:right w:w="202" w:type="dxa"/>
            </w:tcMar>
            <w:hideMark/>
          </w:tcPr>
          <w:p w14:paraId="13CC48F8"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75 240</w:t>
            </w:r>
          </w:p>
        </w:tc>
        <w:tc>
          <w:tcPr>
            <w:tcW w:w="758" w:type="pct"/>
            <w:tcBorders>
              <w:top w:val="nil"/>
              <w:left w:val="nil"/>
              <w:bottom w:val="single" w:sz="4" w:space="0" w:color="auto"/>
              <w:right w:val="single" w:sz="4" w:space="0" w:color="auto"/>
            </w:tcBorders>
            <w:shd w:val="clear" w:color="auto" w:fill="auto"/>
            <w:tcMar>
              <w:left w:w="115" w:type="dxa"/>
              <w:right w:w="202" w:type="dxa"/>
            </w:tcMar>
            <w:hideMark/>
          </w:tcPr>
          <w:p w14:paraId="1F18105D"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64 467</w:t>
            </w:r>
          </w:p>
        </w:tc>
        <w:tc>
          <w:tcPr>
            <w:tcW w:w="788" w:type="pct"/>
            <w:tcBorders>
              <w:top w:val="nil"/>
              <w:left w:val="nil"/>
              <w:bottom w:val="single" w:sz="4" w:space="0" w:color="auto"/>
              <w:right w:val="single" w:sz="4" w:space="0" w:color="auto"/>
            </w:tcBorders>
            <w:shd w:val="clear" w:color="auto" w:fill="auto"/>
            <w:tcMar>
              <w:left w:w="115" w:type="dxa"/>
              <w:right w:w="202" w:type="dxa"/>
            </w:tcMar>
            <w:hideMark/>
          </w:tcPr>
          <w:p w14:paraId="79387116"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75 052</w:t>
            </w:r>
          </w:p>
        </w:tc>
        <w:tc>
          <w:tcPr>
            <w:tcW w:w="803" w:type="pct"/>
            <w:tcBorders>
              <w:top w:val="nil"/>
              <w:left w:val="nil"/>
              <w:bottom w:val="single" w:sz="4" w:space="0" w:color="auto"/>
              <w:right w:val="single" w:sz="4" w:space="0" w:color="auto"/>
            </w:tcBorders>
            <w:shd w:val="clear" w:color="auto" w:fill="auto"/>
            <w:tcMar>
              <w:left w:w="115" w:type="dxa"/>
              <w:right w:w="202" w:type="dxa"/>
            </w:tcMar>
            <w:hideMark/>
          </w:tcPr>
          <w:p w14:paraId="055746C4"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64 467</w:t>
            </w:r>
          </w:p>
        </w:tc>
      </w:tr>
      <w:tr w:rsidR="00A73149" w:rsidRPr="00003C73" w14:paraId="27A02EEF" w14:textId="77777777" w:rsidTr="00A73149">
        <w:trPr>
          <w:trHeight w:val="161"/>
        </w:trPr>
        <w:tc>
          <w:tcPr>
            <w:tcW w:w="1893" w:type="pct"/>
            <w:tcBorders>
              <w:top w:val="nil"/>
              <w:left w:val="single" w:sz="4" w:space="0" w:color="auto"/>
              <w:bottom w:val="single" w:sz="4" w:space="0" w:color="auto"/>
              <w:right w:val="single" w:sz="4" w:space="0" w:color="auto"/>
            </w:tcBorders>
            <w:shd w:val="clear" w:color="auto" w:fill="auto"/>
            <w:noWrap/>
            <w:hideMark/>
          </w:tcPr>
          <w:p w14:paraId="12EA9DE7" w14:textId="77777777" w:rsidR="00003C73" w:rsidRPr="00003C73" w:rsidRDefault="00003C73" w:rsidP="00003C73">
            <w:pPr>
              <w:jc w:val="left"/>
              <w:rPr>
                <w:color w:val="000000"/>
                <w:sz w:val="19"/>
                <w:szCs w:val="19"/>
                <w:lang w:val="en-CA" w:eastAsia="en-CA"/>
              </w:rPr>
            </w:pPr>
            <w:r w:rsidRPr="00003C73">
              <w:rPr>
                <w:color w:val="000000"/>
                <w:sz w:val="19"/>
                <w:szCs w:val="19"/>
                <w:lang w:val="fr" w:eastAsia="fr"/>
              </w:rPr>
              <w:t>Construction à la FIASA</w:t>
            </w:r>
          </w:p>
        </w:tc>
        <w:tc>
          <w:tcPr>
            <w:tcW w:w="757" w:type="pct"/>
            <w:tcBorders>
              <w:top w:val="nil"/>
              <w:left w:val="nil"/>
              <w:bottom w:val="single" w:sz="4" w:space="0" w:color="auto"/>
              <w:right w:val="single" w:sz="4" w:space="0" w:color="auto"/>
            </w:tcBorders>
            <w:shd w:val="clear" w:color="auto" w:fill="auto"/>
            <w:tcMar>
              <w:left w:w="115" w:type="dxa"/>
              <w:right w:w="202" w:type="dxa"/>
            </w:tcMar>
            <w:hideMark/>
          </w:tcPr>
          <w:p w14:paraId="4DB86196"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102 600</w:t>
            </w:r>
          </w:p>
        </w:tc>
        <w:tc>
          <w:tcPr>
            <w:tcW w:w="758" w:type="pct"/>
            <w:tcBorders>
              <w:top w:val="nil"/>
              <w:left w:val="nil"/>
              <w:bottom w:val="single" w:sz="4" w:space="0" w:color="auto"/>
              <w:right w:val="single" w:sz="4" w:space="0" w:color="auto"/>
            </w:tcBorders>
            <w:shd w:val="clear" w:color="auto" w:fill="auto"/>
            <w:tcMar>
              <w:left w:w="115" w:type="dxa"/>
              <w:right w:w="202" w:type="dxa"/>
            </w:tcMar>
            <w:hideMark/>
          </w:tcPr>
          <w:p w14:paraId="3584A851"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51 300</w:t>
            </w:r>
          </w:p>
        </w:tc>
        <w:tc>
          <w:tcPr>
            <w:tcW w:w="788" w:type="pct"/>
            <w:tcBorders>
              <w:top w:val="nil"/>
              <w:left w:val="nil"/>
              <w:bottom w:val="single" w:sz="4" w:space="0" w:color="auto"/>
              <w:right w:val="single" w:sz="4" w:space="0" w:color="auto"/>
            </w:tcBorders>
            <w:shd w:val="clear" w:color="auto" w:fill="auto"/>
            <w:tcMar>
              <w:left w:w="115" w:type="dxa"/>
              <w:right w:w="202" w:type="dxa"/>
            </w:tcMar>
            <w:hideMark/>
          </w:tcPr>
          <w:p w14:paraId="3D39FBE6"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86 184</w:t>
            </w:r>
          </w:p>
        </w:tc>
        <w:tc>
          <w:tcPr>
            <w:tcW w:w="803" w:type="pct"/>
            <w:tcBorders>
              <w:top w:val="nil"/>
              <w:left w:val="nil"/>
              <w:bottom w:val="single" w:sz="4" w:space="0" w:color="auto"/>
              <w:right w:val="single" w:sz="4" w:space="0" w:color="auto"/>
            </w:tcBorders>
            <w:shd w:val="clear" w:color="auto" w:fill="auto"/>
            <w:tcMar>
              <w:left w:w="115" w:type="dxa"/>
              <w:right w:w="202" w:type="dxa"/>
            </w:tcMar>
            <w:hideMark/>
          </w:tcPr>
          <w:p w14:paraId="7481838A"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40 140</w:t>
            </w:r>
          </w:p>
        </w:tc>
      </w:tr>
      <w:tr w:rsidR="00A73149" w:rsidRPr="00003C73" w14:paraId="0F413F77" w14:textId="77777777" w:rsidTr="00A73149">
        <w:trPr>
          <w:trHeight w:val="197"/>
        </w:trPr>
        <w:tc>
          <w:tcPr>
            <w:tcW w:w="1893" w:type="pct"/>
            <w:tcBorders>
              <w:top w:val="nil"/>
              <w:left w:val="single" w:sz="4" w:space="0" w:color="auto"/>
              <w:bottom w:val="single" w:sz="4" w:space="0" w:color="auto"/>
              <w:right w:val="single" w:sz="4" w:space="0" w:color="auto"/>
            </w:tcBorders>
            <w:shd w:val="clear" w:color="auto" w:fill="auto"/>
            <w:noWrap/>
            <w:hideMark/>
          </w:tcPr>
          <w:p w14:paraId="47354C95" w14:textId="77777777" w:rsidR="00003C73" w:rsidRPr="00003C73" w:rsidRDefault="00003C73" w:rsidP="00003C73">
            <w:pPr>
              <w:jc w:val="left"/>
              <w:rPr>
                <w:color w:val="000000"/>
                <w:sz w:val="19"/>
                <w:szCs w:val="19"/>
                <w:lang w:val="en-CA" w:eastAsia="en-CA"/>
              </w:rPr>
            </w:pPr>
            <w:r w:rsidRPr="00003C73">
              <w:rPr>
                <w:color w:val="000000"/>
                <w:sz w:val="19"/>
                <w:szCs w:val="19"/>
                <w:lang w:val="fr" w:eastAsia="fr"/>
              </w:rPr>
              <w:t>Imprévus (10 %)</w:t>
            </w:r>
          </w:p>
        </w:tc>
        <w:tc>
          <w:tcPr>
            <w:tcW w:w="757" w:type="pct"/>
            <w:tcBorders>
              <w:top w:val="nil"/>
              <w:left w:val="nil"/>
              <w:bottom w:val="single" w:sz="4" w:space="0" w:color="auto"/>
              <w:right w:val="single" w:sz="4" w:space="0" w:color="auto"/>
            </w:tcBorders>
            <w:shd w:val="clear" w:color="auto" w:fill="auto"/>
            <w:tcMar>
              <w:left w:w="115" w:type="dxa"/>
              <w:right w:w="202" w:type="dxa"/>
            </w:tcMar>
            <w:hideMark/>
          </w:tcPr>
          <w:p w14:paraId="62C7CE16"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114 361</w:t>
            </w:r>
          </w:p>
        </w:tc>
        <w:tc>
          <w:tcPr>
            <w:tcW w:w="758" w:type="pct"/>
            <w:tcBorders>
              <w:top w:val="nil"/>
              <w:left w:val="nil"/>
              <w:bottom w:val="single" w:sz="4" w:space="0" w:color="auto"/>
              <w:right w:val="single" w:sz="4" w:space="0" w:color="auto"/>
            </w:tcBorders>
            <w:shd w:val="clear" w:color="auto" w:fill="auto"/>
            <w:tcMar>
              <w:left w:w="115" w:type="dxa"/>
              <w:right w:w="202" w:type="dxa"/>
            </w:tcMar>
            <w:hideMark/>
          </w:tcPr>
          <w:p w14:paraId="263A19A8"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101 688</w:t>
            </w:r>
          </w:p>
        </w:tc>
        <w:tc>
          <w:tcPr>
            <w:tcW w:w="788" w:type="pct"/>
            <w:tcBorders>
              <w:top w:val="nil"/>
              <w:left w:val="nil"/>
              <w:bottom w:val="single" w:sz="4" w:space="0" w:color="auto"/>
              <w:right w:val="single" w:sz="4" w:space="0" w:color="auto"/>
            </w:tcBorders>
            <w:shd w:val="clear" w:color="auto" w:fill="auto"/>
            <w:tcMar>
              <w:left w:w="115" w:type="dxa"/>
              <w:right w:w="202" w:type="dxa"/>
            </w:tcMar>
            <w:hideMark/>
          </w:tcPr>
          <w:p w14:paraId="1DF6F895"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111 570</w:t>
            </w:r>
          </w:p>
        </w:tc>
        <w:tc>
          <w:tcPr>
            <w:tcW w:w="803" w:type="pct"/>
            <w:tcBorders>
              <w:top w:val="nil"/>
              <w:left w:val="nil"/>
              <w:bottom w:val="single" w:sz="4" w:space="0" w:color="auto"/>
              <w:right w:val="single" w:sz="4" w:space="0" w:color="auto"/>
            </w:tcBorders>
            <w:shd w:val="clear" w:color="auto" w:fill="auto"/>
            <w:tcMar>
              <w:left w:w="115" w:type="dxa"/>
              <w:right w:w="202" w:type="dxa"/>
            </w:tcMar>
            <w:hideMark/>
          </w:tcPr>
          <w:p w14:paraId="26AB2899"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111 438</w:t>
            </w:r>
          </w:p>
        </w:tc>
      </w:tr>
      <w:tr w:rsidR="00A73149" w:rsidRPr="00003C73" w14:paraId="249968A3" w14:textId="77777777" w:rsidTr="00A73149">
        <w:trPr>
          <w:trHeight w:val="152"/>
        </w:trPr>
        <w:tc>
          <w:tcPr>
            <w:tcW w:w="1893" w:type="pct"/>
            <w:tcBorders>
              <w:top w:val="nil"/>
              <w:left w:val="single" w:sz="4" w:space="0" w:color="auto"/>
              <w:bottom w:val="single" w:sz="4" w:space="0" w:color="auto"/>
              <w:right w:val="single" w:sz="4" w:space="0" w:color="auto"/>
            </w:tcBorders>
            <w:shd w:val="clear" w:color="auto" w:fill="auto"/>
            <w:noWrap/>
            <w:hideMark/>
          </w:tcPr>
          <w:p w14:paraId="552C6F74" w14:textId="77777777" w:rsidR="00003C73" w:rsidRPr="00EE541E" w:rsidRDefault="00003C73" w:rsidP="00003C73">
            <w:pPr>
              <w:jc w:val="left"/>
              <w:rPr>
                <w:color w:val="000000"/>
                <w:sz w:val="19"/>
                <w:szCs w:val="19"/>
                <w:lang w:val="fr-CA" w:eastAsia="en-CA"/>
              </w:rPr>
            </w:pPr>
            <w:r w:rsidRPr="00003C73">
              <w:rPr>
                <w:color w:val="000000"/>
                <w:sz w:val="19"/>
                <w:szCs w:val="19"/>
                <w:lang w:val="fr" w:eastAsia="fr"/>
              </w:rPr>
              <w:t xml:space="preserve">Zéolithe destinée au générateur d’oxygène </w:t>
            </w:r>
          </w:p>
        </w:tc>
        <w:tc>
          <w:tcPr>
            <w:tcW w:w="757" w:type="pct"/>
            <w:tcBorders>
              <w:top w:val="nil"/>
              <w:left w:val="nil"/>
              <w:bottom w:val="single" w:sz="4" w:space="0" w:color="auto"/>
              <w:right w:val="single" w:sz="4" w:space="0" w:color="auto"/>
            </w:tcBorders>
            <w:shd w:val="clear" w:color="auto" w:fill="auto"/>
            <w:tcMar>
              <w:left w:w="115" w:type="dxa"/>
              <w:right w:w="202" w:type="dxa"/>
            </w:tcMar>
            <w:hideMark/>
          </w:tcPr>
          <w:p w14:paraId="24BC89F6"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55 800</w:t>
            </w:r>
          </w:p>
        </w:tc>
        <w:tc>
          <w:tcPr>
            <w:tcW w:w="758" w:type="pct"/>
            <w:tcBorders>
              <w:top w:val="nil"/>
              <w:left w:val="nil"/>
              <w:bottom w:val="single" w:sz="4" w:space="0" w:color="auto"/>
              <w:right w:val="single" w:sz="4" w:space="0" w:color="auto"/>
            </w:tcBorders>
            <w:shd w:val="clear" w:color="auto" w:fill="auto"/>
            <w:tcMar>
              <w:left w:w="115" w:type="dxa"/>
              <w:right w:w="202" w:type="dxa"/>
            </w:tcMar>
            <w:hideMark/>
          </w:tcPr>
          <w:p w14:paraId="70056D85"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0</w:t>
            </w:r>
          </w:p>
        </w:tc>
        <w:tc>
          <w:tcPr>
            <w:tcW w:w="788" w:type="pct"/>
            <w:tcBorders>
              <w:top w:val="nil"/>
              <w:left w:val="nil"/>
              <w:bottom w:val="single" w:sz="4" w:space="0" w:color="auto"/>
              <w:right w:val="single" w:sz="4" w:space="0" w:color="auto"/>
            </w:tcBorders>
            <w:shd w:val="clear" w:color="auto" w:fill="auto"/>
            <w:tcMar>
              <w:left w:w="115" w:type="dxa"/>
              <w:right w:w="202" w:type="dxa"/>
            </w:tcMar>
            <w:hideMark/>
          </w:tcPr>
          <w:p w14:paraId="1B476847"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58 590</w:t>
            </w:r>
          </w:p>
        </w:tc>
        <w:tc>
          <w:tcPr>
            <w:tcW w:w="803" w:type="pct"/>
            <w:tcBorders>
              <w:top w:val="nil"/>
              <w:left w:val="nil"/>
              <w:bottom w:val="single" w:sz="4" w:space="0" w:color="auto"/>
              <w:right w:val="single" w:sz="4" w:space="0" w:color="auto"/>
            </w:tcBorders>
            <w:shd w:val="clear" w:color="auto" w:fill="auto"/>
            <w:tcMar>
              <w:left w:w="115" w:type="dxa"/>
              <w:right w:w="202" w:type="dxa"/>
            </w:tcMar>
            <w:hideMark/>
          </w:tcPr>
          <w:p w14:paraId="1D782112"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0</w:t>
            </w:r>
          </w:p>
        </w:tc>
      </w:tr>
      <w:tr w:rsidR="00A73149" w:rsidRPr="00003C73" w14:paraId="0F693F4C" w14:textId="77777777" w:rsidTr="00A73149">
        <w:trPr>
          <w:trHeight w:val="188"/>
        </w:trPr>
        <w:tc>
          <w:tcPr>
            <w:tcW w:w="1893" w:type="pct"/>
            <w:tcBorders>
              <w:top w:val="nil"/>
              <w:left w:val="single" w:sz="4" w:space="0" w:color="auto"/>
              <w:bottom w:val="single" w:sz="4" w:space="0" w:color="auto"/>
              <w:right w:val="single" w:sz="4" w:space="0" w:color="auto"/>
            </w:tcBorders>
            <w:shd w:val="clear" w:color="auto" w:fill="auto"/>
            <w:noWrap/>
            <w:hideMark/>
          </w:tcPr>
          <w:p w14:paraId="2C4FF86D" w14:textId="77777777" w:rsidR="00003C73" w:rsidRPr="00EE541E" w:rsidRDefault="00003C73" w:rsidP="00003C73">
            <w:pPr>
              <w:jc w:val="left"/>
              <w:rPr>
                <w:color w:val="000000"/>
                <w:sz w:val="19"/>
                <w:szCs w:val="19"/>
                <w:lang w:val="fr-CA" w:eastAsia="en-CA"/>
              </w:rPr>
            </w:pPr>
            <w:r w:rsidRPr="00003C73">
              <w:rPr>
                <w:color w:val="000000"/>
                <w:sz w:val="19"/>
                <w:szCs w:val="19"/>
                <w:lang w:val="fr" w:eastAsia="fr"/>
              </w:rPr>
              <w:t>Construction d’une structure pour abriter un réservoir cryogénique</w:t>
            </w:r>
          </w:p>
        </w:tc>
        <w:tc>
          <w:tcPr>
            <w:tcW w:w="757" w:type="pct"/>
            <w:tcBorders>
              <w:top w:val="nil"/>
              <w:left w:val="nil"/>
              <w:bottom w:val="single" w:sz="4" w:space="0" w:color="auto"/>
              <w:right w:val="single" w:sz="4" w:space="0" w:color="auto"/>
            </w:tcBorders>
            <w:shd w:val="clear" w:color="auto" w:fill="auto"/>
            <w:tcMar>
              <w:left w:w="115" w:type="dxa"/>
              <w:right w:w="202" w:type="dxa"/>
            </w:tcMar>
            <w:hideMark/>
          </w:tcPr>
          <w:p w14:paraId="12FA44D1"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100 000</w:t>
            </w:r>
          </w:p>
        </w:tc>
        <w:tc>
          <w:tcPr>
            <w:tcW w:w="758" w:type="pct"/>
            <w:tcBorders>
              <w:top w:val="nil"/>
              <w:left w:val="nil"/>
              <w:bottom w:val="single" w:sz="4" w:space="0" w:color="auto"/>
              <w:right w:val="single" w:sz="4" w:space="0" w:color="auto"/>
            </w:tcBorders>
            <w:shd w:val="clear" w:color="auto" w:fill="auto"/>
            <w:tcMar>
              <w:left w:w="115" w:type="dxa"/>
              <w:right w:w="202" w:type="dxa"/>
            </w:tcMar>
            <w:hideMark/>
          </w:tcPr>
          <w:p w14:paraId="262EC9E3"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50 000</w:t>
            </w:r>
          </w:p>
        </w:tc>
        <w:tc>
          <w:tcPr>
            <w:tcW w:w="788" w:type="pct"/>
            <w:tcBorders>
              <w:top w:val="nil"/>
              <w:left w:val="nil"/>
              <w:bottom w:val="single" w:sz="4" w:space="0" w:color="auto"/>
              <w:right w:val="single" w:sz="4" w:space="0" w:color="auto"/>
            </w:tcBorders>
            <w:shd w:val="clear" w:color="auto" w:fill="auto"/>
            <w:tcMar>
              <w:left w:w="115" w:type="dxa"/>
              <w:right w:w="202" w:type="dxa"/>
            </w:tcMar>
            <w:hideMark/>
          </w:tcPr>
          <w:p w14:paraId="6C03D9A3"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84 000</w:t>
            </w:r>
          </w:p>
        </w:tc>
        <w:tc>
          <w:tcPr>
            <w:tcW w:w="803" w:type="pct"/>
            <w:tcBorders>
              <w:top w:val="nil"/>
              <w:left w:val="nil"/>
              <w:bottom w:val="single" w:sz="4" w:space="0" w:color="auto"/>
              <w:right w:val="single" w:sz="4" w:space="0" w:color="auto"/>
            </w:tcBorders>
            <w:shd w:val="clear" w:color="auto" w:fill="auto"/>
            <w:tcMar>
              <w:left w:w="115" w:type="dxa"/>
              <w:right w:w="202" w:type="dxa"/>
            </w:tcMar>
            <w:hideMark/>
          </w:tcPr>
          <w:p w14:paraId="6AC129B0"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39 123</w:t>
            </w:r>
          </w:p>
        </w:tc>
      </w:tr>
      <w:tr w:rsidR="00A73149" w:rsidRPr="00003C73" w14:paraId="50A97CB6" w14:textId="77777777" w:rsidTr="00A73149">
        <w:trPr>
          <w:trHeight w:val="413"/>
        </w:trPr>
        <w:tc>
          <w:tcPr>
            <w:tcW w:w="1893" w:type="pct"/>
            <w:tcBorders>
              <w:top w:val="nil"/>
              <w:left w:val="single" w:sz="4" w:space="0" w:color="auto"/>
              <w:bottom w:val="single" w:sz="4" w:space="0" w:color="auto"/>
              <w:right w:val="single" w:sz="4" w:space="0" w:color="auto"/>
            </w:tcBorders>
            <w:shd w:val="clear" w:color="auto" w:fill="auto"/>
            <w:noWrap/>
          </w:tcPr>
          <w:p w14:paraId="53AE11D6" w14:textId="77777777" w:rsidR="00003C73" w:rsidRPr="00EE541E" w:rsidRDefault="00003C73" w:rsidP="00003C73">
            <w:pPr>
              <w:jc w:val="left"/>
              <w:rPr>
                <w:color w:val="000000"/>
                <w:sz w:val="19"/>
                <w:szCs w:val="19"/>
                <w:lang w:val="fr-CA" w:eastAsia="en-CA"/>
              </w:rPr>
            </w:pPr>
            <w:r w:rsidRPr="00003C73">
              <w:rPr>
                <w:color w:val="000000"/>
                <w:sz w:val="19"/>
                <w:szCs w:val="19"/>
                <w:lang w:val="fr" w:eastAsia="fr"/>
              </w:rPr>
              <w:lastRenderedPageBreak/>
              <w:t>Enregistrement comme entreprise productrice et exploitante de déchets dangereux</w:t>
            </w:r>
          </w:p>
        </w:tc>
        <w:tc>
          <w:tcPr>
            <w:tcW w:w="757" w:type="pct"/>
            <w:tcBorders>
              <w:top w:val="nil"/>
              <w:left w:val="nil"/>
              <w:bottom w:val="single" w:sz="4" w:space="0" w:color="auto"/>
              <w:right w:val="single" w:sz="4" w:space="0" w:color="auto"/>
            </w:tcBorders>
            <w:shd w:val="clear" w:color="auto" w:fill="auto"/>
            <w:tcMar>
              <w:left w:w="115" w:type="dxa"/>
              <w:right w:w="202" w:type="dxa"/>
            </w:tcMar>
          </w:tcPr>
          <w:p w14:paraId="57EF26AB"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0</w:t>
            </w:r>
          </w:p>
        </w:tc>
        <w:tc>
          <w:tcPr>
            <w:tcW w:w="758" w:type="pct"/>
            <w:tcBorders>
              <w:top w:val="nil"/>
              <w:left w:val="nil"/>
              <w:bottom w:val="single" w:sz="4" w:space="0" w:color="auto"/>
              <w:right w:val="single" w:sz="4" w:space="0" w:color="auto"/>
            </w:tcBorders>
            <w:shd w:val="clear" w:color="auto" w:fill="auto"/>
            <w:tcMar>
              <w:left w:w="115" w:type="dxa"/>
              <w:right w:w="202" w:type="dxa"/>
            </w:tcMar>
          </w:tcPr>
          <w:p w14:paraId="0CAB457E"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235</w:t>
            </w:r>
          </w:p>
        </w:tc>
        <w:tc>
          <w:tcPr>
            <w:tcW w:w="788" w:type="pct"/>
            <w:tcBorders>
              <w:top w:val="nil"/>
              <w:left w:val="nil"/>
              <w:bottom w:val="single" w:sz="4" w:space="0" w:color="auto"/>
              <w:right w:val="single" w:sz="4" w:space="0" w:color="auto"/>
            </w:tcBorders>
            <w:shd w:val="clear" w:color="auto" w:fill="auto"/>
            <w:tcMar>
              <w:left w:w="115" w:type="dxa"/>
              <w:right w:w="202" w:type="dxa"/>
            </w:tcMar>
          </w:tcPr>
          <w:p w14:paraId="21959E4F"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0</w:t>
            </w:r>
          </w:p>
        </w:tc>
        <w:tc>
          <w:tcPr>
            <w:tcW w:w="803" w:type="pct"/>
            <w:tcBorders>
              <w:top w:val="nil"/>
              <w:left w:val="nil"/>
              <w:bottom w:val="single" w:sz="4" w:space="0" w:color="auto"/>
              <w:right w:val="single" w:sz="4" w:space="0" w:color="auto"/>
            </w:tcBorders>
            <w:shd w:val="clear" w:color="auto" w:fill="auto"/>
            <w:tcMar>
              <w:left w:w="115" w:type="dxa"/>
              <w:right w:w="202" w:type="dxa"/>
            </w:tcMar>
          </w:tcPr>
          <w:p w14:paraId="03E704A2" w14:textId="77777777" w:rsidR="00003C73" w:rsidRPr="00003C73" w:rsidRDefault="00003C73" w:rsidP="00003C73">
            <w:pPr>
              <w:jc w:val="right"/>
              <w:rPr>
                <w:color w:val="000000"/>
                <w:sz w:val="19"/>
                <w:szCs w:val="19"/>
                <w:lang w:val="en-CA" w:eastAsia="en-CA"/>
              </w:rPr>
            </w:pPr>
            <w:r w:rsidRPr="00003C73">
              <w:rPr>
                <w:color w:val="000000"/>
                <w:sz w:val="19"/>
                <w:szCs w:val="19"/>
                <w:lang w:val="fr" w:eastAsia="fr"/>
              </w:rPr>
              <w:t>184</w:t>
            </w:r>
          </w:p>
        </w:tc>
      </w:tr>
      <w:tr w:rsidR="00A73149" w:rsidRPr="00003C73" w14:paraId="47372C41" w14:textId="77777777" w:rsidTr="00A73149">
        <w:trPr>
          <w:trHeight w:val="43"/>
        </w:trPr>
        <w:tc>
          <w:tcPr>
            <w:tcW w:w="1893" w:type="pct"/>
            <w:tcBorders>
              <w:top w:val="nil"/>
              <w:left w:val="single" w:sz="4" w:space="0" w:color="auto"/>
              <w:bottom w:val="single" w:sz="4" w:space="0" w:color="auto"/>
              <w:right w:val="single" w:sz="4" w:space="0" w:color="auto"/>
            </w:tcBorders>
            <w:shd w:val="clear" w:color="auto" w:fill="auto"/>
            <w:noWrap/>
            <w:hideMark/>
          </w:tcPr>
          <w:p w14:paraId="1122455C" w14:textId="77777777" w:rsidR="00003C73" w:rsidRPr="00003C73" w:rsidRDefault="00003C73" w:rsidP="00003C73">
            <w:pPr>
              <w:jc w:val="left"/>
              <w:rPr>
                <w:b/>
                <w:bCs/>
                <w:color w:val="000000"/>
                <w:sz w:val="19"/>
                <w:szCs w:val="19"/>
                <w:lang w:val="en-CA" w:eastAsia="en-CA"/>
              </w:rPr>
            </w:pPr>
            <w:r w:rsidRPr="00003C73">
              <w:rPr>
                <w:b/>
                <w:bCs/>
                <w:color w:val="000000"/>
                <w:sz w:val="19"/>
                <w:szCs w:val="19"/>
                <w:lang w:val="fr" w:eastAsia="fr"/>
              </w:rPr>
              <w:t>Total des coûts d’investissement</w:t>
            </w:r>
          </w:p>
        </w:tc>
        <w:tc>
          <w:tcPr>
            <w:tcW w:w="757" w:type="pct"/>
            <w:tcBorders>
              <w:top w:val="nil"/>
              <w:left w:val="nil"/>
              <w:bottom w:val="single" w:sz="4" w:space="0" w:color="auto"/>
              <w:right w:val="single" w:sz="4" w:space="0" w:color="auto"/>
            </w:tcBorders>
            <w:shd w:val="clear" w:color="auto" w:fill="auto"/>
            <w:tcMar>
              <w:left w:w="115" w:type="dxa"/>
              <w:right w:w="202" w:type="dxa"/>
            </w:tcMar>
            <w:hideMark/>
          </w:tcPr>
          <w:p w14:paraId="6ACB9BD5" w14:textId="77777777" w:rsidR="00003C73" w:rsidRPr="00003C73" w:rsidRDefault="00003C73" w:rsidP="00003C73">
            <w:pPr>
              <w:jc w:val="right"/>
              <w:rPr>
                <w:b/>
                <w:bCs/>
                <w:color w:val="000000"/>
                <w:sz w:val="19"/>
                <w:szCs w:val="19"/>
                <w:lang w:val="en-CA" w:eastAsia="en-CA"/>
              </w:rPr>
            </w:pPr>
            <w:r w:rsidRPr="00003C73">
              <w:rPr>
                <w:b/>
                <w:bCs/>
                <w:color w:val="000000"/>
                <w:sz w:val="19"/>
                <w:szCs w:val="19"/>
                <w:lang w:val="fr" w:eastAsia="fr"/>
              </w:rPr>
              <w:t>1 413 770</w:t>
            </w:r>
          </w:p>
        </w:tc>
        <w:tc>
          <w:tcPr>
            <w:tcW w:w="758" w:type="pct"/>
            <w:tcBorders>
              <w:top w:val="nil"/>
              <w:left w:val="nil"/>
              <w:bottom w:val="single" w:sz="4" w:space="0" w:color="auto"/>
              <w:right w:val="single" w:sz="4" w:space="0" w:color="auto"/>
            </w:tcBorders>
            <w:shd w:val="clear" w:color="auto" w:fill="auto"/>
            <w:tcMar>
              <w:left w:w="115" w:type="dxa"/>
              <w:right w:w="202" w:type="dxa"/>
            </w:tcMar>
            <w:hideMark/>
          </w:tcPr>
          <w:p w14:paraId="20262A2D" w14:textId="77777777" w:rsidR="00003C73" w:rsidRPr="00003C73" w:rsidRDefault="00003C73" w:rsidP="00003C73">
            <w:pPr>
              <w:jc w:val="right"/>
              <w:rPr>
                <w:b/>
                <w:bCs/>
                <w:color w:val="000000"/>
                <w:sz w:val="19"/>
                <w:szCs w:val="19"/>
                <w:lang w:val="en-CA" w:eastAsia="en-CA"/>
              </w:rPr>
            </w:pPr>
            <w:r w:rsidRPr="00003C73">
              <w:rPr>
                <w:b/>
                <w:bCs/>
                <w:color w:val="000000"/>
                <w:sz w:val="19"/>
                <w:szCs w:val="19"/>
                <w:lang w:val="fr" w:eastAsia="fr"/>
              </w:rPr>
              <w:t>1 168 801</w:t>
            </w:r>
          </w:p>
        </w:tc>
        <w:tc>
          <w:tcPr>
            <w:tcW w:w="788" w:type="pct"/>
            <w:tcBorders>
              <w:top w:val="nil"/>
              <w:left w:val="nil"/>
              <w:bottom w:val="single" w:sz="4" w:space="0" w:color="auto"/>
              <w:right w:val="single" w:sz="4" w:space="0" w:color="auto"/>
            </w:tcBorders>
            <w:shd w:val="clear" w:color="auto" w:fill="auto"/>
            <w:tcMar>
              <w:left w:w="115" w:type="dxa"/>
              <w:right w:w="202" w:type="dxa"/>
            </w:tcMar>
            <w:hideMark/>
          </w:tcPr>
          <w:p w14:paraId="732CB41F" w14:textId="77777777" w:rsidR="00003C73" w:rsidRPr="00003C73" w:rsidRDefault="00003C73" w:rsidP="00003C73">
            <w:pPr>
              <w:jc w:val="right"/>
              <w:rPr>
                <w:b/>
                <w:bCs/>
                <w:color w:val="000000"/>
                <w:sz w:val="19"/>
                <w:szCs w:val="19"/>
                <w:lang w:val="en-CA" w:eastAsia="en-CA"/>
              </w:rPr>
            </w:pPr>
            <w:r w:rsidRPr="00003C73">
              <w:rPr>
                <w:b/>
                <w:bCs/>
                <w:color w:val="000000"/>
                <w:sz w:val="19"/>
                <w:szCs w:val="19"/>
                <w:lang w:val="fr" w:eastAsia="fr"/>
              </w:rPr>
              <w:t>1 369 863</w:t>
            </w:r>
          </w:p>
        </w:tc>
        <w:tc>
          <w:tcPr>
            <w:tcW w:w="803" w:type="pct"/>
            <w:tcBorders>
              <w:top w:val="nil"/>
              <w:left w:val="nil"/>
              <w:bottom w:val="single" w:sz="4" w:space="0" w:color="auto"/>
              <w:right w:val="single" w:sz="4" w:space="0" w:color="auto"/>
            </w:tcBorders>
            <w:shd w:val="clear" w:color="auto" w:fill="auto"/>
            <w:tcMar>
              <w:left w:w="115" w:type="dxa"/>
              <w:right w:w="202" w:type="dxa"/>
            </w:tcMar>
            <w:hideMark/>
          </w:tcPr>
          <w:p w14:paraId="1506F6CF" w14:textId="77777777" w:rsidR="00003C73" w:rsidRPr="00003C73" w:rsidRDefault="00003C73" w:rsidP="00003C73">
            <w:pPr>
              <w:jc w:val="right"/>
              <w:rPr>
                <w:b/>
                <w:bCs/>
                <w:color w:val="000000"/>
                <w:sz w:val="19"/>
                <w:szCs w:val="19"/>
                <w:lang w:val="en-CA" w:eastAsia="en-CA"/>
              </w:rPr>
            </w:pPr>
            <w:r w:rsidRPr="00003C73">
              <w:rPr>
                <w:b/>
                <w:bCs/>
                <w:color w:val="000000"/>
                <w:sz w:val="19"/>
                <w:szCs w:val="19"/>
                <w:lang w:val="fr" w:eastAsia="fr"/>
              </w:rPr>
              <w:t>1 265 128</w:t>
            </w:r>
          </w:p>
        </w:tc>
      </w:tr>
    </w:tbl>
    <w:p w14:paraId="2AA99746" w14:textId="77777777" w:rsidR="00003C73" w:rsidRPr="00003C73" w:rsidRDefault="00003C73" w:rsidP="00003C73">
      <w:pPr>
        <w:rPr>
          <w:color w:val="000000"/>
          <w:sz w:val="19"/>
          <w:szCs w:val="19"/>
          <w:lang w:val="en-CA" w:eastAsia="en-CA"/>
        </w:rPr>
      </w:pPr>
      <w:r w:rsidRPr="00003C73">
        <w:rPr>
          <w:color w:val="000000"/>
          <w:sz w:val="19"/>
          <w:szCs w:val="19"/>
          <w:vertAlign w:val="superscript"/>
          <w:lang w:val="fr" w:eastAsia="fr"/>
        </w:rPr>
        <w:t>*</w:t>
      </w:r>
      <w:r w:rsidRPr="00003C73">
        <w:rPr>
          <w:sz w:val="19"/>
          <w:szCs w:val="19"/>
        </w:rPr>
        <w:t xml:space="preserve"> </w:t>
      </w:r>
      <w:r w:rsidRPr="00003C73">
        <w:rPr>
          <w:color w:val="000000"/>
          <w:sz w:val="19"/>
          <w:szCs w:val="19"/>
          <w:lang w:val="fr" w:eastAsia="fr"/>
        </w:rPr>
        <w:t>SGL Carbon Group, Meitingen (Allemagne)</w:t>
      </w:r>
    </w:p>
    <w:p w14:paraId="471D3437" w14:textId="77777777" w:rsidR="00003C73" w:rsidRPr="00EE541E" w:rsidRDefault="00003C73" w:rsidP="00003C73">
      <w:pPr>
        <w:rPr>
          <w:sz w:val="19"/>
          <w:szCs w:val="19"/>
          <w:lang w:val="fr-CA"/>
        </w:rPr>
      </w:pPr>
      <w:r w:rsidRPr="00003C73">
        <w:rPr>
          <w:color w:val="000000"/>
          <w:sz w:val="19"/>
          <w:szCs w:val="19"/>
          <w:vertAlign w:val="superscript"/>
          <w:lang w:val="fr" w:eastAsia="fr"/>
        </w:rPr>
        <w:t xml:space="preserve">** </w:t>
      </w:r>
      <w:r w:rsidRPr="00003C73">
        <w:rPr>
          <w:color w:val="000000"/>
          <w:sz w:val="19"/>
          <w:szCs w:val="19"/>
          <w:lang w:val="fr" w:eastAsia="fr"/>
        </w:rPr>
        <w:t>Ce chiffre, plus élevé que ce qui a été demandé auparavant, reflète l'appréciation de l'euro par rapport au dollar US depuis la 83</w:t>
      </w:r>
      <w:r w:rsidRPr="00003C73">
        <w:rPr>
          <w:color w:val="000000"/>
          <w:sz w:val="19"/>
          <w:szCs w:val="19"/>
          <w:vertAlign w:val="superscript"/>
          <w:lang w:val="fr" w:eastAsia="fr"/>
        </w:rPr>
        <w:t xml:space="preserve">e </w:t>
      </w:r>
      <w:r w:rsidRPr="00003C73">
        <w:rPr>
          <w:color w:val="000000"/>
          <w:sz w:val="19"/>
          <w:szCs w:val="19"/>
          <w:lang w:val="fr" w:eastAsia="fr"/>
        </w:rPr>
        <w:t>réunion.</w:t>
      </w:r>
    </w:p>
    <w:p w14:paraId="477FB735" w14:textId="77777777" w:rsidR="00003C73" w:rsidRPr="00003C73" w:rsidRDefault="00003C73" w:rsidP="00E04A88">
      <w:pPr>
        <w:widowControl w:val="0"/>
        <w:rPr>
          <w:i/>
          <w:lang w:val="en-CA"/>
        </w:rPr>
      </w:pPr>
      <w:r w:rsidRPr="00003C73">
        <w:rPr>
          <w:i/>
          <w:lang w:val="fr"/>
        </w:rPr>
        <w:t>Surcoûts d’exploitation</w:t>
      </w:r>
    </w:p>
    <w:p w14:paraId="09A44439" w14:textId="77777777" w:rsidR="00003C73" w:rsidRPr="00003C73" w:rsidRDefault="00003C73" w:rsidP="00E04A88">
      <w:pPr>
        <w:widowControl w:val="0"/>
        <w:rPr>
          <w:lang w:val="en-CA"/>
        </w:rPr>
      </w:pPr>
    </w:p>
    <w:p w14:paraId="7DD9FB9F" w14:textId="4EF8ABEC" w:rsidR="00003C73" w:rsidRPr="00EE541E" w:rsidRDefault="00003C73" w:rsidP="00E04A88">
      <w:pPr>
        <w:widowControl w:val="0"/>
        <w:numPr>
          <w:ilvl w:val="0"/>
          <w:numId w:val="1"/>
        </w:numPr>
        <w:spacing w:after="240"/>
        <w:outlineLvl w:val="0"/>
        <w:rPr>
          <w:lang w:val="fr-CA"/>
        </w:rPr>
      </w:pPr>
      <w:r w:rsidRPr="00003C73">
        <w:rPr>
          <w:lang w:val="fr"/>
        </w:rPr>
        <w:t>Pour calculer les surcoûts d'exploitation, il a été convenu d'utiliser, comme production moyenne de HCFC-22, 1 540 tonnes métriques (tm) par an (ce qui correspond à la production moyenne réalisée entre 2017 et 2019) pour la période allant de 2021 à 2024, puis 1 300 tm/an entre 2025 et 2029 ; la destruction devait commencer le 1</w:t>
      </w:r>
      <w:r w:rsidRPr="00003C73">
        <w:rPr>
          <w:vertAlign w:val="superscript"/>
          <w:lang w:val="fr"/>
        </w:rPr>
        <w:t>er</w:t>
      </w:r>
      <w:r w:rsidRPr="00003C73">
        <w:rPr>
          <w:lang w:val="fr"/>
        </w:rPr>
        <w:t xml:space="preserve"> octobre 2021 compte tenu des six mois nécessaires pour rénover l'incinérateur ;</w:t>
      </w:r>
      <w:r w:rsidRPr="00003C73">
        <w:rPr>
          <w:vertAlign w:val="superscript"/>
          <w:lang w:val="fr"/>
        </w:rPr>
        <w:footnoteReference w:id="10"/>
      </w:r>
      <w:r w:rsidRPr="00003C73">
        <w:rPr>
          <w:lang w:val="fr"/>
        </w:rPr>
        <w:t xml:space="preserve"> et le taux historique moyen de génération de sous-produit, qui s'établit à 3,24%.</w:t>
      </w:r>
    </w:p>
    <w:p w14:paraId="2E96F674" w14:textId="24516099" w:rsidR="00003C73" w:rsidRPr="00EE541E" w:rsidRDefault="00003C73" w:rsidP="00003C73">
      <w:pPr>
        <w:numPr>
          <w:ilvl w:val="0"/>
          <w:numId w:val="1"/>
        </w:numPr>
        <w:spacing w:after="240"/>
        <w:outlineLvl w:val="0"/>
        <w:rPr>
          <w:lang w:val="fr-CA"/>
        </w:rPr>
      </w:pPr>
      <w:r w:rsidRPr="00003C73">
        <w:rPr>
          <w:lang w:val="fr"/>
        </w:rPr>
        <w:t>À la 84</w:t>
      </w:r>
      <w:r w:rsidRPr="00003C73">
        <w:rPr>
          <w:vertAlign w:val="superscript"/>
          <w:lang w:val="fr"/>
        </w:rPr>
        <w:t>e</w:t>
      </w:r>
      <w:r w:rsidRPr="00003C73">
        <w:rPr>
          <w:lang w:val="fr"/>
        </w:rPr>
        <w:t xml:space="preserve"> réunion, l'ONUDI a noté que l'option de rénovation de l'incinérateur comprenait le remplacement du brûleur en métal exotique par un brûleur de plus petite taille afin de permettre l'incinération d'un flux massique plus faible de HFC-23 à une efficacité plus élevée et à une capacité nominale inférieure à celle du brûleur d'origine, ce qui permettra à l'incinérateur de fonctionner en continu lorsque la chaîne de production de HCFC-22 est en activité. Si l'incinérateur n'était pas exploité en continu, la FIASA devrait stocker temporairement le HFC-23 dans son réservoir cryogénique, ce qui obligerait l'entreprise à s'enregistrer comme productrice et exploitante de déchets dangereux, ce que le Gouvernement ne saurait la contraindre à faire. Au lieu de cela, le Gouvernement a estimé que l'entreprise exploiterait l'incinérateur chaque fois que la chaîne de production de HCFC-22 serait en fonctionnement, ce qui lui évitera de devoir disposer d'un réservoir cryogénique et s'enregistrer comme indiqué ci-dessus. Sur cette base et en tenant compte de la production convenue de HCFC-22, du taux de génération de sous-produit et de la date de mise en service, l'ONUDI a estimé les surcoû</w:t>
      </w:r>
      <w:r w:rsidR="00663B35">
        <w:rPr>
          <w:lang w:val="fr"/>
        </w:rPr>
        <w:t>ts d'investissement à 2 628 561</w:t>
      </w:r>
      <w:r w:rsidR="00663B35" w:rsidRPr="00003C73">
        <w:rPr>
          <w:lang w:val="fr"/>
        </w:rPr>
        <w:t> $US</w:t>
      </w:r>
      <w:r w:rsidRPr="00003C73">
        <w:rPr>
          <w:lang w:val="fr"/>
        </w:rPr>
        <w:t>, y compris les matières premières, les services publics, la main-d'œuvre servant à faire fonctionner l'incinérateur, l'entretien et les frais généraux ; des frais d'inscription annuels de 3 690 $US comme entreprise productrice et exploitante de déchets dangereux ; et 10 000</w:t>
      </w:r>
      <w:r w:rsidR="00663B35" w:rsidRPr="00003C73">
        <w:rPr>
          <w:lang w:val="fr"/>
        </w:rPr>
        <w:t xml:space="preserve"> $US </w:t>
      </w:r>
      <w:r w:rsidRPr="00003C73">
        <w:rPr>
          <w:lang w:val="fr"/>
        </w:rPr>
        <w:t xml:space="preserve">/ an pour le suivi gouvernemental, sauf en 2021 et 2022, </w:t>
      </w:r>
      <w:r w:rsidR="00663B35">
        <w:rPr>
          <w:lang w:val="fr"/>
        </w:rPr>
        <w:t>5 000</w:t>
      </w:r>
      <w:r w:rsidR="00663B35" w:rsidRPr="00003C73">
        <w:rPr>
          <w:lang w:val="fr"/>
        </w:rPr>
        <w:t xml:space="preserve"> $US </w:t>
      </w:r>
      <w:r w:rsidRPr="00003C73">
        <w:rPr>
          <w:lang w:val="fr"/>
        </w:rPr>
        <w:t>/ ayant été demandés compte tenu du financement déjà approuvé au titre de la phase II du plan de gestion de l'élimination des HCFC (PGEH) pour le suivi par le Gouvernement de la production de HCFC de la FIASA (voir Tableau 2).</w:t>
      </w:r>
    </w:p>
    <w:p w14:paraId="707984FF" w14:textId="77777777" w:rsidR="00003C73" w:rsidRPr="00EE541E" w:rsidRDefault="00003C73" w:rsidP="00003C73">
      <w:pPr>
        <w:numPr>
          <w:ilvl w:val="0"/>
          <w:numId w:val="1"/>
        </w:numPr>
        <w:spacing w:after="240"/>
        <w:outlineLvl w:val="0"/>
        <w:rPr>
          <w:lang w:val="fr-CA"/>
        </w:rPr>
      </w:pPr>
      <w:r w:rsidRPr="00003C73">
        <w:rPr>
          <w:lang w:val="fr"/>
        </w:rPr>
        <w:t xml:space="preserve">Le Secrétariat a rappelé que la FIASA avait mis en place un réservoir cryogénique en 2007, non seulement pour stocker le HFC-23, mais aussi pour améliorer le contrôle de l'alimentation en HFC-23 de l'incinérateur. L'entreprise s'était notamment heurtée à des difficultés pour faire fonctionner l'incinérateur sans réservoir cryogénique, car il est nécessaire de pouvoir contrôler la pression d'entrée et le débit d'alimentation en HFC-23. En conséquence, le réservoir cryogénique est probablement nécessaire, sur le plan technique, pour que l'incinérateur fonctionne correctement et pour garantir de ce fait que le HFC-23 soit détruit en tirant pleinement parti de la capacité à la technologie à éliminer cette substance. La FIASA a en outre stocké du sous-produit HFC-23 dans son réservoir de stockage cryogénique et fait fonctionner l'incinérateur par phases, pendant la période où ces installations ouvraient droit à des crédits dans le cadre du mécanisme de développement propre (MDP) ; pendant cette période, la FIASA a fonctionné selon les mêmes exigences réglementaires pour être enregistrée comme productrice et exploitante de déchets dangereux. Enfin, l'ONUDI a inclus ces frais d'enregistrement dans sa proposition de projet. En conséquence, et notant que l'exploitation de l'incinérateur par phases était mieux rentable, le Secrétariat n'a </w:t>
      </w:r>
      <w:r w:rsidRPr="00003C73">
        <w:rPr>
          <w:lang w:val="fr"/>
        </w:rPr>
        <w:lastRenderedPageBreak/>
        <w:t>pas recommandé de réduire la capacité du brûleur mais de le remplacer par un autre de la même capacité que dans la conception d'origine.</w:t>
      </w:r>
    </w:p>
    <w:p w14:paraId="00F02812" w14:textId="6342B7B7" w:rsidR="00003C73" w:rsidRPr="00EE541E" w:rsidRDefault="00003C73" w:rsidP="00003C73">
      <w:pPr>
        <w:numPr>
          <w:ilvl w:val="0"/>
          <w:numId w:val="1"/>
        </w:numPr>
        <w:spacing w:after="240"/>
        <w:outlineLvl w:val="0"/>
        <w:rPr>
          <w:lang w:val="fr-CA"/>
        </w:rPr>
      </w:pPr>
      <w:r w:rsidRPr="00003C73">
        <w:rPr>
          <w:lang w:val="fr"/>
        </w:rPr>
        <w:t>En conséquence, et en fonction du rythme de production convenu pour le HCFC-22, du taux de génération de sous-produit, de la date de début de production et de l'approche adoptée lors de la 83</w:t>
      </w:r>
      <w:r w:rsidRPr="00003C73">
        <w:rPr>
          <w:vertAlign w:val="superscript"/>
          <w:lang w:val="fr"/>
        </w:rPr>
        <w:t>e</w:t>
      </w:r>
      <w:r w:rsidRPr="00003C73">
        <w:rPr>
          <w:lang w:val="fr"/>
        </w:rPr>
        <w:t xml:space="preserve"> réunion, le Secrétariat a calculé les surcoûts d'exploitation à hauteur </w:t>
      </w:r>
      <w:r w:rsidR="00663B35">
        <w:rPr>
          <w:lang w:val="fr"/>
        </w:rPr>
        <w:t>520 211</w:t>
      </w:r>
      <w:r w:rsidR="00663B35" w:rsidRPr="00003C73">
        <w:rPr>
          <w:lang w:val="fr"/>
        </w:rPr>
        <w:t> $US</w:t>
      </w:r>
      <w:r w:rsidRPr="00003C73">
        <w:rPr>
          <w:lang w:val="fr"/>
        </w:rPr>
        <w:t>, à l'aide des éléments ci-après :</w:t>
      </w:r>
    </w:p>
    <w:p w14:paraId="7C629530" w14:textId="5BE7E550" w:rsidR="008759F7" w:rsidRPr="00EE541E" w:rsidRDefault="00003C73" w:rsidP="008759F7">
      <w:pPr>
        <w:pStyle w:val="ListParagraph"/>
        <w:widowControl w:val="0"/>
        <w:numPr>
          <w:ilvl w:val="0"/>
          <w:numId w:val="27"/>
        </w:numPr>
        <w:spacing w:after="240"/>
        <w:ind w:left="1418" w:hanging="709"/>
        <w:outlineLvl w:val="1"/>
        <w:rPr>
          <w:lang w:val="fr-CA"/>
        </w:rPr>
      </w:pPr>
      <w:r w:rsidRPr="007A2C04">
        <w:rPr>
          <w:lang w:val="fr"/>
        </w:rPr>
        <w:t xml:space="preserve">Les coûts fixes de l'incinérateur (c'est-à-dire la main-d'œuvre d'exploitation, l'azote, la maintenance et les frais généraux) sont estimés à deux mois des coûts annuels proposés par l'ONUDI, car l'incinérateur devrait fonctionner 30 jours par an en fonction des quantités de sous-produit HFC-23 générées chaque année et de la capacité de l'incinérateur </w:t>
      </w:r>
      <w:r w:rsidR="008759F7">
        <w:rPr>
          <w:lang w:val="fr"/>
        </w:rPr>
        <w:br/>
      </w:r>
      <w:r w:rsidRPr="007A2C04">
        <w:rPr>
          <w:lang w:val="fr"/>
        </w:rPr>
        <w:t>(613 tm / an) ;</w:t>
      </w:r>
      <w:r w:rsidRPr="00003C73">
        <w:rPr>
          <w:vertAlign w:val="superscript"/>
          <w:lang w:val="fr"/>
        </w:rPr>
        <w:footnoteReference w:id="11"/>
      </w:r>
    </w:p>
    <w:p w14:paraId="6A550367" w14:textId="77777777" w:rsidR="00E04A88" w:rsidRPr="00EE541E" w:rsidRDefault="00E04A88" w:rsidP="00E04A88">
      <w:pPr>
        <w:pStyle w:val="ListParagraph"/>
        <w:widowControl w:val="0"/>
        <w:spacing w:after="240"/>
        <w:ind w:left="1418"/>
        <w:outlineLvl w:val="1"/>
        <w:rPr>
          <w:lang w:val="fr-CA"/>
        </w:rPr>
      </w:pPr>
    </w:p>
    <w:p w14:paraId="7AAC030C" w14:textId="77777777" w:rsidR="008759F7" w:rsidRPr="00EE541E" w:rsidRDefault="00003C73" w:rsidP="008759F7">
      <w:pPr>
        <w:pStyle w:val="ListParagraph"/>
        <w:widowControl w:val="0"/>
        <w:numPr>
          <w:ilvl w:val="0"/>
          <w:numId w:val="27"/>
        </w:numPr>
        <w:spacing w:after="240"/>
        <w:ind w:left="1418" w:hanging="709"/>
        <w:outlineLvl w:val="1"/>
        <w:rPr>
          <w:lang w:val="fr-CA"/>
        </w:rPr>
      </w:pPr>
      <w:r w:rsidRPr="008759F7">
        <w:rPr>
          <w:lang w:val="fr"/>
        </w:rPr>
        <w:t>Les coûts des matières premières, les services publics et le coût annuel de l'enregistrement de l'entreprise comme productrice et exploitante de déchets dangereux, en ajustant les chiffres employés à la 83</w:t>
      </w:r>
      <w:r w:rsidRPr="008759F7">
        <w:rPr>
          <w:vertAlign w:val="superscript"/>
          <w:lang w:val="fr"/>
        </w:rPr>
        <w:t>e</w:t>
      </w:r>
      <w:r w:rsidRPr="008759F7">
        <w:rPr>
          <w:lang w:val="fr"/>
        </w:rPr>
        <w:t xml:space="preserve"> réunion à l'inflation et à la dévaluation du peso argentin ; et</w:t>
      </w:r>
    </w:p>
    <w:p w14:paraId="79538B1F" w14:textId="77777777" w:rsidR="008759F7" w:rsidRPr="00EE541E" w:rsidRDefault="008759F7" w:rsidP="008759F7">
      <w:pPr>
        <w:pStyle w:val="ListParagraph"/>
        <w:widowControl w:val="0"/>
        <w:spacing w:after="240"/>
        <w:ind w:left="1418"/>
        <w:outlineLvl w:val="1"/>
        <w:rPr>
          <w:lang w:val="fr-CA"/>
        </w:rPr>
      </w:pPr>
    </w:p>
    <w:p w14:paraId="42105194" w14:textId="05E690F4" w:rsidR="00003C73" w:rsidRPr="00EE541E" w:rsidRDefault="00003C73" w:rsidP="008759F7">
      <w:pPr>
        <w:pStyle w:val="ListParagraph"/>
        <w:widowControl w:val="0"/>
        <w:numPr>
          <w:ilvl w:val="0"/>
          <w:numId w:val="27"/>
        </w:numPr>
        <w:spacing w:after="240"/>
        <w:ind w:left="1418" w:hanging="709"/>
        <w:outlineLvl w:val="1"/>
        <w:rPr>
          <w:lang w:val="fr-CA"/>
        </w:rPr>
      </w:pPr>
      <w:r w:rsidRPr="008759F7">
        <w:rPr>
          <w:lang w:val="fr"/>
        </w:rPr>
        <w:t>Les coûts associés au suivi par le Gouvernement de la destruction du HFC-23 à 4 167 $US/an pour  2021 et 2022</w:t>
      </w:r>
      <w:r w:rsidRPr="00003C73">
        <w:rPr>
          <w:vertAlign w:val="superscript"/>
          <w:lang w:val="fr"/>
        </w:rPr>
        <w:footnoteReference w:id="12"/>
      </w:r>
      <w:r w:rsidRPr="008759F7">
        <w:rPr>
          <w:lang w:val="fr"/>
        </w:rPr>
        <w:t xml:space="preserve"> moment où la phase II du PGEH sera achevée, et à 10 000 $US pour 2023 à 2029.</w:t>
      </w:r>
    </w:p>
    <w:p w14:paraId="07168521" w14:textId="77777777" w:rsidR="00003C73" w:rsidRPr="00EE541E" w:rsidRDefault="00003C73" w:rsidP="00003C73">
      <w:pPr>
        <w:rPr>
          <w:lang w:val="fr-CA"/>
        </w:rPr>
      </w:pPr>
      <w:r w:rsidRPr="00003C73">
        <w:rPr>
          <w:b/>
          <w:lang w:val="fr"/>
        </w:rPr>
        <w:t>Tableau 2. Surcoûts d'exploitation pour 2021-2029 ($US)</w:t>
      </w:r>
    </w:p>
    <w:tbl>
      <w:tblPr>
        <w:tblW w:w="9596" w:type="dxa"/>
        <w:tblLook w:val="04A0" w:firstRow="1" w:lastRow="0" w:firstColumn="1" w:lastColumn="0" w:noHBand="0" w:noVBand="1"/>
      </w:tblPr>
      <w:tblGrid>
        <w:gridCol w:w="1480"/>
        <w:gridCol w:w="765"/>
        <w:gridCol w:w="801"/>
        <w:gridCol w:w="801"/>
        <w:gridCol w:w="801"/>
        <w:gridCol w:w="801"/>
        <w:gridCol w:w="801"/>
        <w:gridCol w:w="801"/>
        <w:gridCol w:w="801"/>
        <w:gridCol w:w="801"/>
        <w:gridCol w:w="936"/>
        <w:gridCol w:w="7"/>
      </w:tblGrid>
      <w:tr w:rsidR="00003C73" w:rsidRPr="00003C73" w14:paraId="1245D709" w14:textId="77777777" w:rsidTr="00412039">
        <w:trPr>
          <w:gridAfter w:val="1"/>
          <w:wAfter w:w="7" w:type="dxa"/>
          <w:trHeight w:val="89"/>
          <w:tblHeader/>
        </w:trPr>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05FE036E" w14:textId="77777777" w:rsidR="00003C73" w:rsidRPr="00003C73" w:rsidRDefault="00003C73" w:rsidP="00003C73">
            <w:pPr>
              <w:jc w:val="left"/>
              <w:rPr>
                <w:b/>
                <w:color w:val="000000"/>
                <w:sz w:val="18"/>
                <w:szCs w:val="18"/>
                <w:lang w:val="en-CA" w:eastAsia="en-CA"/>
              </w:rPr>
            </w:pPr>
            <w:r w:rsidRPr="00003C73">
              <w:rPr>
                <w:b/>
                <w:color w:val="000000"/>
                <w:sz w:val="18"/>
                <w:szCs w:val="18"/>
                <w:lang w:val="fr" w:eastAsia="fr"/>
              </w:rPr>
              <w:t>Description</w:t>
            </w:r>
          </w:p>
        </w:tc>
        <w:tc>
          <w:tcPr>
            <w:tcW w:w="765" w:type="dxa"/>
            <w:tcBorders>
              <w:top w:val="single" w:sz="4" w:space="0" w:color="auto"/>
              <w:left w:val="nil"/>
              <w:bottom w:val="single" w:sz="4" w:space="0" w:color="auto"/>
              <w:right w:val="single" w:sz="4" w:space="0" w:color="auto"/>
            </w:tcBorders>
            <w:shd w:val="clear" w:color="auto" w:fill="auto"/>
            <w:noWrap/>
            <w:vAlign w:val="bottom"/>
            <w:hideMark/>
          </w:tcPr>
          <w:p w14:paraId="7CD64E87" w14:textId="77777777" w:rsidR="00003C73" w:rsidRPr="00003C73" w:rsidRDefault="00003C73" w:rsidP="00003C73">
            <w:pPr>
              <w:jc w:val="center"/>
              <w:rPr>
                <w:b/>
                <w:color w:val="000000"/>
                <w:sz w:val="18"/>
                <w:szCs w:val="18"/>
                <w:lang w:val="en-CA" w:eastAsia="en-CA"/>
              </w:rPr>
            </w:pPr>
            <w:r w:rsidRPr="00003C73">
              <w:rPr>
                <w:b/>
                <w:color w:val="000000"/>
                <w:sz w:val="18"/>
                <w:szCs w:val="18"/>
                <w:lang w:val="fr" w:eastAsia="fr"/>
              </w:rPr>
              <w:t>2021</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448F7A64" w14:textId="77777777" w:rsidR="00003C73" w:rsidRPr="00003C73" w:rsidRDefault="00003C73" w:rsidP="00003C73">
            <w:pPr>
              <w:jc w:val="center"/>
              <w:rPr>
                <w:b/>
                <w:color w:val="000000"/>
                <w:sz w:val="18"/>
                <w:szCs w:val="18"/>
                <w:lang w:val="en-CA" w:eastAsia="en-CA"/>
              </w:rPr>
            </w:pPr>
            <w:r w:rsidRPr="00003C73">
              <w:rPr>
                <w:b/>
                <w:color w:val="000000"/>
                <w:sz w:val="18"/>
                <w:szCs w:val="18"/>
                <w:lang w:val="fr" w:eastAsia="fr"/>
              </w:rPr>
              <w:t>2022</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4F573727" w14:textId="77777777" w:rsidR="00003C73" w:rsidRPr="00003C73" w:rsidRDefault="00003C73" w:rsidP="00003C73">
            <w:pPr>
              <w:jc w:val="center"/>
              <w:rPr>
                <w:b/>
                <w:color w:val="000000"/>
                <w:sz w:val="18"/>
                <w:szCs w:val="18"/>
                <w:lang w:val="en-CA" w:eastAsia="en-CA"/>
              </w:rPr>
            </w:pPr>
            <w:r w:rsidRPr="00003C73">
              <w:rPr>
                <w:b/>
                <w:color w:val="000000"/>
                <w:sz w:val="18"/>
                <w:szCs w:val="18"/>
                <w:lang w:val="fr" w:eastAsia="fr"/>
              </w:rPr>
              <w:t>2023</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5FEBB16D" w14:textId="77777777" w:rsidR="00003C73" w:rsidRPr="00003C73" w:rsidRDefault="00003C73" w:rsidP="00003C73">
            <w:pPr>
              <w:jc w:val="center"/>
              <w:rPr>
                <w:b/>
                <w:color w:val="000000"/>
                <w:sz w:val="18"/>
                <w:szCs w:val="18"/>
                <w:lang w:val="en-CA" w:eastAsia="en-CA"/>
              </w:rPr>
            </w:pPr>
            <w:r w:rsidRPr="00003C73">
              <w:rPr>
                <w:b/>
                <w:color w:val="000000"/>
                <w:sz w:val="18"/>
                <w:szCs w:val="18"/>
                <w:lang w:val="fr" w:eastAsia="fr"/>
              </w:rPr>
              <w:t>2024</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70028FC4" w14:textId="77777777" w:rsidR="00003C73" w:rsidRPr="00003C73" w:rsidRDefault="00003C73" w:rsidP="00003C73">
            <w:pPr>
              <w:jc w:val="center"/>
              <w:rPr>
                <w:b/>
                <w:color w:val="000000"/>
                <w:sz w:val="18"/>
                <w:szCs w:val="18"/>
                <w:lang w:val="en-CA" w:eastAsia="en-CA"/>
              </w:rPr>
            </w:pPr>
            <w:r w:rsidRPr="00003C73">
              <w:rPr>
                <w:b/>
                <w:color w:val="000000"/>
                <w:sz w:val="18"/>
                <w:szCs w:val="18"/>
                <w:lang w:val="fr" w:eastAsia="fr"/>
              </w:rPr>
              <w:t>2025</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2D5244FF" w14:textId="77777777" w:rsidR="00003C73" w:rsidRPr="00003C73" w:rsidRDefault="00003C73" w:rsidP="00003C73">
            <w:pPr>
              <w:jc w:val="center"/>
              <w:rPr>
                <w:b/>
                <w:color w:val="000000"/>
                <w:sz w:val="18"/>
                <w:szCs w:val="18"/>
                <w:lang w:val="en-CA" w:eastAsia="en-CA"/>
              </w:rPr>
            </w:pPr>
            <w:r w:rsidRPr="00003C73">
              <w:rPr>
                <w:b/>
                <w:color w:val="000000"/>
                <w:sz w:val="18"/>
                <w:szCs w:val="18"/>
                <w:lang w:val="fr" w:eastAsia="fr"/>
              </w:rPr>
              <w:t>2026</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482DA89A" w14:textId="77777777" w:rsidR="00003C73" w:rsidRPr="00003C73" w:rsidRDefault="00003C73" w:rsidP="00003C73">
            <w:pPr>
              <w:jc w:val="center"/>
              <w:rPr>
                <w:b/>
                <w:color w:val="000000"/>
                <w:sz w:val="18"/>
                <w:szCs w:val="18"/>
                <w:lang w:val="en-CA" w:eastAsia="en-CA"/>
              </w:rPr>
            </w:pPr>
            <w:r w:rsidRPr="00003C73">
              <w:rPr>
                <w:b/>
                <w:color w:val="000000"/>
                <w:sz w:val="18"/>
                <w:szCs w:val="18"/>
                <w:lang w:val="fr" w:eastAsia="fr"/>
              </w:rPr>
              <w:t>2027</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1AA9FE1B" w14:textId="77777777" w:rsidR="00003C73" w:rsidRPr="00003C73" w:rsidRDefault="00003C73" w:rsidP="00003C73">
            <w:pPr>
              <w:jc w:val="center"/>
              <w:rPr>
                <w:b/>
                <w:color w:val="000000"/>
                <w:sz w:val="18"/>
                <w:szCs w:val="18"/>
                <w:lang w:val="en-CA" w:eastAsia="en-CA"/>
              </w:rPr>
            </w:pPr>
            <w:r w:rsidRPr="00003C73">
              <w:rPr>
                <w:b/>
                <w:color w:val="000000"/>
                <w:sz w:val="18"/>
                <w:szCs w:val="18"/>
                <w:lang w:val="fr" w:eastAsia="fr"/>
              </w:rPr>
              <w:t>2028</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06860357" w14:textId="77777777" w:rsidR="00003C73" w:rsidRPr="00003C73" w:rsidRDefault="00003C73" w:rsidP="00003C73">
            <w:pPr>
              <w:jc w:val="center"/>
              <w:rPr>
                <w:b/>
                <w:color w:val="000000"/>
                <w:sz w:val="18"/>
                <w:szCs w:val="18"/>
                <w:lang w:val="en-CA" w:eastAsia="en-CA"/>
              </w:rPr>
            </w:pPr>
            <w:r w:rsidRPr="00003C73">
              <w:rPr>
                <w:b/>
                <w:color w:val="000000"/>
                <w:sz w:val="18"/>
                <w:szCs w:val="18"/>
                <w:lang w:val="fr" w:eastAsia="fr"/>
              </w:rPr>
              <w:t>2029</w:t>
            </w:r>
          </w:p>
        </w:tc>
        <w:tc>
          <w:tcPr>
            <w:tcW w:w="936" w:type="dxa"/>
            <w:tcBorders>
              <w:top w:val="single" w:sz="4" w:space="0" w:color="auto"/>
              <w:left w:val="nil"/>
              <w:bottom w:val="single" w:sz="4" w:space="0" w:color="auto"/>
              <w:right w:val="single" w:sz="4" w:space="0" w:color="auto"/>
            </w:tcBorders>
            <w:shd w:val="clear" w:color="auto" w:fill="auto"/>
            <w:noWrap/>
            <w:vAlign w:val="bottom"/>
            <w:hideMark/>
          </w:tcPr>
          <w:p w14:paraId="5E3AD68D" w14:textId="77777777" w:rsidR="00003C73" w:rsidRPr="00003C73" w:rsidRDefault="00003C73" w:rsidP="00003C73">
            <w:pPr>
              <w:jc w:val="center"/>
              <w:rPr>
                <w:b/>
                <w:color w:val="000000"/>
                <w:sz w:val="18"/>
                <w:szCs w:val="18"/>
                <w:lang w:val="en-CA" w:eastAsia="en-CA"/>
              </w:rPr>
            </w:pPr>
            <w:r w:rsidRPr="00003C73">
              <w:rPr>
                <w:b/>
                <w:color w:val="000000"/>
                <w:sz w:val="18"/>
                <w:szCs w:val="18"/>
                <w:lang w:val="fr" w:eastAsia="fr"/>
              </w:rPr>
              <w:t>Total</w:t>
            </w:r>
          </w:p>
        </w:tc>
      </w:tr>
      <w:tr w:rsidR="00003C73" w:rsidRPr="00003C73" w14:paraId="59291EB3" w14:textId="77777777" w:rsidTr="00412039">
        <w:trPr>
          <w:trHeight w:val="46"/>
        </w:trPr>
        <w:tc>
          <w:tcPr>
            <w:tcW w:w="9596"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1C5738C2" w14:textId="77777777" w:rsidR="00003C73" w:rsidRPr="00003C73" w:rsidRDefault="00003C73" w:rsidP="00003C73">
            <w:pPr>
              <w:jc w:val="center"/>
              <w:rPr>
                <w:b/>
                <w:color w:val="000000"/>
                <w:sz w:val="18"/>
                <w:szCs w:val="18"/>
                <w:lang w:val="en-CA" w:eastAsia="en-CA"/>
              </w:rPr>
            </w:pPr>
            <w:r w:rsidRPr="00003C73">
              <w:rPr>
                <w:b/>
                <w:color w:val="000000"/>
                <w:sz w:val="18"/>
                <w:szCs w:val="18"/>
                <w:lang w:val="fr" w:eastAsia="fr"/>
              </w:rPr>
              <w:t>ONUDI</w:t>
            </w:r>
          </w:p>
        </w:tc>
      </w:tr>
      <w:tr w:rsidR="00003C73" w:rsidRPr="00003C73" w14:paraId="483BBB78" w14:textId="77777777" w:rsidTr="00412039">
        <w:trPr>
          <w:gridAfter w:val="1"/>
          <w:wAfter w:w="7" w:type="dxa"/>
          <w:trHeight w:val="197"/>
        </w:trPr>
        <w:tc>
          <w:tcPr>
            <w:tcW w:w="1480" w:type="dxa"/>
            <w:tcBorders>
              <w:top w:val="nil"/>
              <w:left w:val="single" w:sz="4" w:space="0" w:color="auto"/>
              <w:bottom w:val="single" w:sz="4" w:space="0" w:color="auto"/>
              <w:right w:val="single" w:sz="4" w:space="0" w:color="auto"/>
            </w:tcBorders>
            <w:shd w:val="clear" w:color="auto" w:fill="auto"/>
            <w:noWrap/>
            <w:hideMark/>
          </w:tcPr>
          <w:p w14:paraId="198BAA06" w14:textId="77777777" w:rsidR="00003C73" w:rsidRPr="00EE541E" w:rsidRDefault="00003C73" w:rsidP="00003C73">
            <w:pPr>
              <w:jc w:val="left"/>
              <w:rPr>
                <w:color w:val="000000"/>
                <w:sz w:val="18"/>
                <w:szCs w:val="18"/>
                <w:lang w:val="fr-CA" w:eastAsia="en-CA"/>
              </w:rPr>
            </w:pPr>
            <w:r w:rsidRPr="00003C73">
              <w:rPr>
                <w:color w:val="000000"/>
                <w:sz w:val="18"/>
                <w:szCs w:val="18"/>
                <w:lang w:val="fr" w:eastAsia="fr"/>
              </w:rPr>
              <w:t>Coûts engendrés par la destruction</w:t>
            </w:r>
          </w:p>
        </w:tc>
        <w:tc>
          <w:tcPr>
            <w:tcW w:w="765" w:type="dxa"/>
            <w:tcBorders>
              <w:top w:val="nil"/>
              <w:left w:val="nil"/>
              <w:bottom w:val="single" w:sz="4" w:space="0" w:color="auto"/>
              <w:right w:val="single" w:sz="4" w:space="0" w:color="auto"/>
            </w:tcBorders>
            <w:shd w:val="clear" w:color="auto" w:fill="auto"/>
            <w:noWrap/>
            <w:hideMark/>
          </w:tcPr>
          <w:p w14:paraId="1E06585C"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77 149</w:t>
            </w:r>
          </w:p>
        </w:tc>
        <w:tc>
          <w:tcPr>
            <w:tcW w:w="801" w:type="dxa"/>
            <w:tcBorders>
              <w:top w:val="nil"/>
              <w:left w:val="nil"/>
              <w:bottom w:val="single" w:sz="4" w:space="0" w:color="auto"/>
              <w:right w:val="single" w:sz="4" w:space="0" w:color="auto"/>
            </w:tcBorders>
            <w:shd w:val="clear" w:color="auto" w:fill="auto"/>
            <w:noWrap/>
            <w:hideMark/>
          </w:tcPr>
          <w:p w14:paraId="74789364"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308 596</w:t>
            </w:r>
          </w:p>
        </w:tc>
        <w:tc>
          <w:tcPr>
            <w:tcW w:w="801" w:type="dxa"/>
            <w:tcBorders>
              <w:top w:val="nil"/>
              <w:left w:val="nil"/>
              <w:bottom w:val="single" w:sz="4" w:space="0" w:color="auto"/>
              <w:right w:val="single" w:sz="4" w:space="0" w:color="auto"/>
            </w:tcBorders>
            <w:shd w:val="clear" w:color="auto" w:fill="auto"/>
            <w:noWrap/>
            <w:hideMark/>
          </w:tcPr>
          <w:p w14:paraId="50BB5897"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308 596</w:t>
            </w:r>
          </w:p>
        </w:tc>
        <w:tc>
          <w:tcPr>
            <w:tcW w:w="801" w:type="dxa"/>
            <w:tcBorders>
              <w:top w:val="nil"/>
              <w:left w:val="nil"/>
              <w:bottom w:val="single" w:sz="4" w:space="0" w:color="auto"/>
              <w:right w:val="single" w:sz="4" w:space="0" w:color="auto"/>
            </w:tcBorders>
            <w:shd w:val="clear" w:color="auto" w:fill="auto"/>
            <w:noWrap/>
            <w:hideMark/>
          </w:tcPr>
          <w:p w14:paraId="3E427D09"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308 596</w:t>
            </w:r>
          </w:p>
        </w:tc>
        <w:tc>
          <w:tcPr>
            <w:tcW w:w="801" w:type="dxa"/>
            <w:tcBorders>
              <w:top w:val="nil"/>
              <w:left w:val="nil"/>
              <w:bottom w:val="single" w:sz="4" w:space="0" w:color="auto"/>
              <w:right w:val="single" w:sz="4" w:space="0" w:color="auto"/>
            </w:tcBorders>
            <w:shd w:val="clear" w:color="auto" w:fill="auto"/>
            <w:noWrap/>
            <w:hideMark/>
          </w:tcPr>
          <w:p w14:paraId="17C3967E"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301 997</w:t>
            </w:r>
          </w:p>
        </w:tc>
        <w:tc>
          <w:tcPr>
            <w:tcW w:w="801" w:type="dxa"/>
            <w:tcBorders>
              <w:top w:val="nil"/>
              <w:left w:val="nil"/>
              <w:bottom w:val="single" w:sz="4" w:space="0" w:color="auto"/>
              <w:right w:val="single" w:sz="4" w:space="0" w:color="auto"/>
            </w:tcBorders>
            <w:shd w:val="clear" w:color="auto" w:fill="auto"/>
            <w:noWrap/>
            <w:hideMark/>
          </w:tcPr>
          <w:p w14:paraId="4571198B"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301 997</w:t>
            </w:r>
          </w:p>
        </w:tc>
        <w:tc>
          <w:tcPr>
            <w:tcW w:w="801" w:type="dxa"/>
            <w:tcBorders>
              <w:top w:val="nil"/>
              <w:left w:val="nil"/>
              <w:bottom w:val="single" w:sz="4" w:space="0" w:color="auto"/>
              <w:right w:val="single" w:sz="4" w:space="0" w:color="auto"/>
            </w:tcBorders>
            <w:shd w:val="clear" w:color="auto" w:fill="auto"/>
            <w:noWrap/>
            <w:hideMark/>
          </w:tcPr>
          <w:p w14:paraId="1EEDC510"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301 997</w:t>
            </w:r>
          </w:p>
        </w:tc>
        <w:tc>
          <w:tcPr>
            <w:tcW w:w="801" w:type="dxa"/>
            <w:tcBorders>
              <w:top w:val="nil"/>
              <w:left w:val="nil"/>
              <w:bottom w:val="single" w:sz="4" w:space="0" w:color="auto"/>
              <w:right w:val="single" w:sz="4" w:space="0" w:color="auto"/>
            </w:tcBorders>
            <w:shd w:val="clear" w:color="auto" w:fill="auto"/>
            <w:noWrap/>
            <w:hideMark/>
          </w:tcPr>
          <w:p w14:paraId="22ADA8F1"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301 997</w:t>
            </w:r>
          </w:p>
        </w:tc>
        <w:tc>
          <w:tcPr>
            <w:tcW w:w="801" w:type="dxa"/>
            <w:tcBorders>
              <w:top w:val="nil"/>
              <w:left w:val="nil"/>
              <w:bottom w:val="single" w:sz="4" w:space="0" w:color="auto"/>
              <w:right w:val="single" w:sz="4" w:space="0" w:color="auto"/>
            </w:tcBorders>
            <w:shd w:val="clear" w:color="auto" w:fill="auto"/>
            <w:noWrap/>
            <w:hideMark/>
          </w:tcPr>
          <w:p w14:paraId="7B36ECE1"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301 997</w:t>
            </w:r>
          </w:p>
        </w:tc>
        <w:tc>
          <w:tcPr>
            <w:tcW w:w="936" w:type="dxa"/>
            <w:tcBorders>
              <w:top w:val="nil"/>
              <w:left w:val="nil"/>
              <w:bottom w:val="single" w:sz="4" w:space="0" w:color="auto"/>
              <w:right w:val="single" w:sz="4" w:space="0" w:color="auto"/>
            </w:tcBorders>
            <w:shd w:val="clear" w:color="auto" w:fill="auto"/>
            <w:noWrap/>
            <w:hideMark/>
          </w:tcPr>
          <w:p w14:paraId="052A70F3"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2 512 921</w:t>
            </w:r>
          </w:p>
        </w:tc>
      </w:tr>
      <w:tr w:rsidR="00003C73" w:rsidRPr="00003C73" w14:paraId="26794F8F" w14:textId="77777777" w:rsidTr="00412039">
        <w:trPr>
          <w:gridAfter w:val="1"/>
          <w:wAfter w:w="7" w:type="dxa"/>
          <w:trHeight w:val="152"/>
        </w:trPr>
        <w:tc>
          <w:tcPr>
            <w:tcW w:w="1480" w:type="dxa"/>
            <w:tcBorders>
              <w:top w:val="nil"/>
              <w:left w:val="single" w:sz="4" w:space="0" w:color="auto"/>
              <w:bottom w:val="single" w:sz="4" w:space="0" w:color="auto"/>
              <w:right w:val="single" w:sz="4" w:space="0" w:color="auto"/>
            </w:tcBorders>
            <w:shd w:val="clear" w:color="auto" w:fill="auto"/>
            <w:noWrap/>
            <w:hideMark/>
          </w:tcPr>
          <w:p w14:paraId="3693D657" w14:textId="77777777" w:rsidR="00003C73" w:rsidRPr="00003C73" w:rsidRDefault="00003C73" w:rsidP="00003C73">
            <w:pPr>
              <w:jc w:val="left"/>
              <w:rPr>
                <w:color w:val="000000"/>
                <w:sz w:val="18"/>
                <w:szCs w:val="18"/>
                <w:lang w:val="en-CA" w:eastAsia="en-CA"/>
              </w:rPr>
            </w:pPr>
            <w:r w:rsidRPr="00003C73">
              <w:rPr>
                <w:color w:val="000000"/>
                <w:sz w:val="18"/>
                <w:szCs w:val="18"/>
                <w:lang w:val="fr" w:eastAsia="fr"/>
              </w:rPr>
              <w:t>Suivi</w:t>
            </w:r>
          </w:p>
        </w:tc>
        <w:tc>
          <w:tcPr>
            <w:tcW w:w="765" w:type="dxa"/>
            <w:tcBorders>
              <w:top w:val="nil"/>
              <w:left w:val="nil"/>
              <w:bottom w:val="single" w:sz="4" w:space="0" w:color="auto"/>
              <w:right w:val="single" w:sz="4" w:space="0" w:color="auto"/>
            </w:tcBorders>
            <w:shd w:val="clear" w:color="auto" w:fill="auto"/>
            <w:noWrap/>
            <w:hideMark/>
          </w:tcPr>
          <w:p w14:paraId="6092A916"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5 000</w:t>
            </w:r>
          </w:p>
        </w:tc>
        <w:tc>
          <w:tcPr>
            <w:tcW w:w="801" w:type="dxa"/>
            <w:tcBorders>
              <w:top w:val="nil"/>
              <w:left w:val="nil"/>
              <w:bottom w:val="single" w:sz="4" w:space="0" w:color="auto"/>
              <w:right w:val="single" w:sz="4" w:space="0" w:color="auto"/>
            </w:tcBorders>
            <w:shd w:val="clear" w:color="auto" w:fill="auto"/>
            <w:noWrap/>
            <w:hideMark/>
          </w:tcPr>
          <w:p w14:paraId="756D96E4"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5 000</w:t>
            </w:r>
          </w:p>
        </w:tc>
        <w:tc>
          <w:tcPr>
            <w:tcW w:w="801" w:type="dxa"/>
            <w:tcBorders>
              <w:top w:val="nil"/>
              <w:left w:val="nil"/>
              <w:bottom w:val="single" w:sz="4" w:space="0" w:color="auto"/>
              <w:right w:val="single" w:sz="4" w:space="0" w:color="auto"/>
            </w:tcBorders>
            <w:shd w:val="clear" w:color="auto" w:fill="auto"/>
            <w:noWrap/>
            <w:hideMark/>
          </w:tcPr>
          <w:p w14:paraId="0842AA3C"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801" w:type="dxa"/>
            <w:tcBorders>
              <w:top w:val="nil"/>
              <w:left w:val="nil"/>
              <w:bottom w:val="single" w:sz="4" w:space="0" w:color="auto"/>
              <w:right w:val="single" w:sz="4" w:space="0" w:color="auto"/>
            </w:tcBorders>
            <w:shd w:val="clear" w:color="auto" w:fill="auto"/>
            <w:noWrap/>
            <w:hideMark/>
          </w:tcPr>
          <w:p w14:paraId="00896797"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801" w:type="dxa"/>
            <w:tcBorders>
              <w:top w:val="nil"/>
              <w:left w:val="nil"/>
              <w:bottom w:val="single" w:sz="4" w:space="0" w:color="auto"/>
              <w:right w:val="single" w:sz="4" w:space="0" w:color="auto"/>
            </w:tcBorders>
            <w:shd w:val="clear" w:color="auto" w:fill="auto"/>
            <w:noWrap/>
            <w:hideMark/>
          </w:tcPr>
          <w:p w14:paraId="3257AA47"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801" w:type="dxa"/>
            <w:tcBorders>
              <w:top w:val="nil"/>
              <w:left w:val="nil"/>
              <w:bottom w:val="single" w:sz="4" w:space="0" w:color="auto"/>
              <w:right w:val="single" w:sz="4" w:space="0" w:color="auto"/>
            </w:tcBorders>
            <w:shd w:val="clear" w:color="auto" w:fill="auto"/>
            <w:noWrap/>
            <w:hideMark/>
          </w:tcPr>
          <w:p w14:paraId="682C35E4"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801" w:type="dxa"/>
            <w:tcBorders>
              <w:top w:val="nil"/>
              <w:left w:val="nil"/>
              <w:bottom w:val="single" w:sz="4" w:space="0" w:color="auto"/>
              <w:right w:val="single" w:sz="4" w:space="0" w:color="auto"/>
            </w:tcBorders>
            <w:shd w:val="clear" w:color="auto" w:fill="auto"/>
            <w:noWrap/>
            <w:hideMark/>
          </w:tcPr>
          <w:p w14:paraId="031C57D7"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801" w:type="dxa"/>
            <w:tcBorders>
              <w:top w:val="nil"/>
              <w:left w:val="nil"/>
              <w:bottom w:val="single" w:sz="4" w:space="0" w:color="auto"/>
              <w:right w:val="single" w:sz="4" w:space="0" w:color="auto"/>
            </w:tcBorders>
            <w:shd w:val="clear" w:color="auto" w:fill="auto"/>
            <w:noWrap/>
            <w:hideMark/>
          </w:tcPr>
          <w:p w14:paraId="71629364"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801" w:type="dxa"/>
            <w:tcBorders>
              <w:top w:val="nil"/>
              <w:left w:val="nil"/>
              <w:bottom w:val="single" w:sz="4" w:space="0" w:color="auto"/>
              <w:right w:val="single" w:sz="4" w:space="0" w:color="auto"/>
            </w:tcBorders>
            <w:shd w:val="clear" w:color="auto" w:fill="auto"/>
            <w:noWrap/>
            <w:hideMark/>
          </w:tcPr>
          <w:p w14:paraId="6DBD5DB0"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936" w:type="dxa"/>
            <w:tcBorders>
              <w:top w:val="nil"/>
              <w:left w:val="nil"/>
              <w:bottom w:val="single" w:sz="4" w:space="0" w:color="auto"/>
              <w:right w:val="single" w:sz="4" w:space="0" w:color="auto"/>
            </w:tcBorders>
            <w:shd w:val="clear" w:color="auto" w:fill="auto"/>
            <w:noWrap/>
            <w:hideMark/>
          </w:tcPr>
          <w:p w14:paraId="14C00B2C"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80 000</w:t>
            </w:r>
          </w:p>
        </w:tc>
      </w:tr>
      <w:tr w:rsidR="00003C73" w:rsidRPr="00003C73" w14:paraId="1BCF09C9" w14:textId="77777777" w:rsidTr="00412039">
        <w:trPr>
          <w:gridAfter w:val="1"/>
          <w:wAfter w:w="7" w:type="dxa"/>
          <w:trHeight w:val="296"/>
        </w:trPr>
        <w:tc>
          <w:tcPr>
            <w:tcW w:w="1480" w:type="dxa"/>
            <w:tcBorders>
              <w:top w:val="nil"/>
              <w:left w:val="single" w:sz="4" w:space="0" w:color="auto"/>
              <w:bottom w:val="single" w:sz="4" w:space="0" w:color="auto"/>
              <w:right w:val="single" w:sz="4" w:space="0" w:color="auto"/>
            </w:tcBorders>
            <w:shd w:val="clear" w:color="auto" w:fill="auto"/>
            <w:hideMark/>
          </w:tcPr>
          <w:p w14:paraId="16EDD9BF" w14:textId="77777777" w:rsidR="00003C73" w:rsidRPr="00003C73" w:rsidRDefault="00003C73" w:rsidP="00003C73">
            <w:pPr>
              <w:jc w:val="left"/>
              <w:rPr>
                <w:color w:val="000000"/>
                <w:sz w:val="18"/>
                <w:szCs w:val="18"/>
                <w:lang w:val="en-CA" w:eastAsia="en-CA"/>
              </w:rPr>
            </w:pPr>
            <w:r w:rsidRPr="00003C73">
              <w:rPr>
                <w:color w:val="000000"/>
                <w:sz w:val="18"/>
                <w:szCs w:val="18"/>
                <w:lang w:val="fr" w:eastAsia="fr"/>
              </w:rPr>
              <w:t>Frais annuels d’enregistrement</w:t>
            </w:r>
          </w:p>
        </w:tc>
        <w:tc>
          <w:tcPr>
            <w:tcW w:w="765" w:type="dxa"/>
            <w:tcBorders>
              <w:top w:val="nil"/>
              <w:left w:val="nil"/>
              <w:bottom w:val="single" w:sz="4" w:space="0" w:color="auto"/>
              <w:right w:val="single" w:sz="4" w:space="0" w:color="auto"/>
            </w:tcBorders>
            <w:shd w:val="clear" w:color="auto" w:fill="auto"/>
            <w:noWrap/>
            <w:hideMark/>
          </w:tcPr>
          <w:p w14:paraId="3DC74216"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3 960</w:t>
            </w:r>
          </w:p>
        </w:tc>
        <w:tc>
          <w:tcPr>
            <w:tcW w:w="801" w:type="dxa"/>
            <w:tcBorders>
              <w:top w:val="nil"/>
              <w:left w:val="nil"/>
              <w:bottom w:val="single" w:sz="4" w:space="0" w:color="auto"/>
              <w:right w:val="single" w:sz="4" w:space="0" w:color="auto"/>
            </w:tcBorders>
            <w:shd w:val="clear" w:color="auto" w:fill="auto"/>
            <w:noWrap/>
            <w:hideMark/>
          </w:tcPr>
          <w:p w14:paraId="203F2DB2"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3 960</w:t>
            </w:r>
          </w:p>
        </w:tc>
        <w:tc>
          <w:tcPr>
            <w:tcW w:w="801" w:type="dxa"/>
            <w:tcBorders>
              <w:top w:val="nil"/>
              <w:left w:val="nil"/>
              <w:bottom w:val="single" w:sz="4" w:space="0" w:color="auto"/>
              <w:right w:val="single" w:sz="4" w:space="0" w:color="auto"/>
            </w:tcBorders>
            <w:shd w:val="clear" w:color="auto" w:fill="auto"/>
            <w:noWrap/>
            <w:hideMark/>
          </w:tcPr>
          <w:p w14:paraId="32C8C820"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3 960</w:t>
            </w:r>
          </w:p>
        </w:tc>
        <w:tc>
          <w:tcPr>
            <w:tcW w:w="801" w:type="dxa"/>
            <w:tcBorders>
              <w:top w:val="nil"/>
              <w:left w:val="nil"/>
              <w:bottom w:val="single" w:sz="4" w:space="0" w:color="auto"/>
              <w:right w:val="single" w:sz="4" w:space="0" w:color="auto"/>
            </w:tcBorders>
            <w:shd w:val="clear" w:color="auto" w:fill="auto"/>
            <w:noWrap/>
            <w:hideMark/>
          </w:tcPr>
          <w:p w14:paraId="5BB251E2"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3 960</w:t>
            </w:r>
          </w:p>
        </w:tc>
        <w:tc>
          <w:tcPr>
            <w:tcW w:w="801" w:type="dxa"/>
            <w:tcBorders>
              <w:top w:val="nil"/>
              <w:left w:val="nil"/>
              <w:bottom w:val="single" w:sz="4" w:space="0" w:color="auto"/>
              <w:right w:val="single" w:sz="4" w:space="0" w:color="auto"/>
            </w:tcBorders>
            <w:shd w:val="clear" w:color="auto" w:fill="auto"/>
            <w:noWrap/>
            <w:hideMark/>
          </w:tcPr>
          <w:p w14:paraId="62FC3845"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3 960</w:t>
            </w:r>
          </w:p>
        </w:tc>
        <w:tc>
          <w:tcPr>
            <w:tcW w:w="801" w:type="dxa"/>
            <w:tcBorders>
              <w:top w:val="nil"/>
              <w:left w:val="nil"/>
              <w:bottom w:val="single" w:sz="4" w:space="0" w:color="auto"/>
              <w:right w:val="single" w:sz="4" w:space="0" w:color="auto"/>
            </w:tcBorders>
            <w:shd w:val="clear" w:color="auto" w:fill="auto"/>
            <w:noWrap/>
            <w:hideMark/>
          </w:tcPr>
          <w:p w14:paraId="0107A1DC"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3 960</w:t>
            </w:r>
          </w:p>
        </w:tc>
        <w:tc>
          <w:tcPr>
            <w:tcW w:w="801" w:type="dxa"/>
            <w:tcBorders>
              <w:top w:val="nil"/>
              <w:left w:val="nil"/>
              <w:bottom w:val="single" w:sz="4" w:space="0" w:color="auto"/>
              <w:right w:val="single" w:sz="4" w:space="0" w:color="auto"/>
            </w:tcBorders>
            <w:shd w:val="clear" w:color="auto" w:fill="auto"/>
            <w:noWrap/>
            <w:hideMark/>
          </w:tcPr>
          <w:p w14:paraId="1CD932E4"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3 960</w:t>
            </w:r>
          </w:p>
        </w:tc>
        <w:tc>
          <w:tcPr>
            <w:tcW w:w="801" w:type="dxa"/>
            <w:tcBorders>
              <w:top w:val="nil"/>
              <w:left w:val="nil"/>
              <w:bottom w:val="single" w:sz="4" w:space="0" w:color="auto"/>
              <w:right w:val="single" w:sz="4" w:space="0" w:color="auto"/>
            </w:tcBorders>
            <w:shd w:val="clear" w:color="auto" w:fill="auto"/>
            <w:noWrap/>
            <w:hideMark/>
          </w:tcPr>
          <w:p w14:paraId="5382109F"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3 960</w:t>
            </w:r>
          </w:p>
        </w:tc>
        <w:tc>
          <w:tcPr>
            <w:tcW w:w="801" w:type="dxa"/>
            <w:tcBorders>
              <w:top w:val="nil"/>
              <w:left w:val="nil"/>
              <w:bottom w:val="single" w:sz="4" w:space="0" w:color="auto"/>
              <w:right w:val="single" w:sz="4" w:space="0" w:color="auto"/>
            </w:tcBorders>
            <w:shd w:val="clear" w:color="auto" w:fill="auto"/>
            <w:noWrap/>
            <w:hideMark/>
          </w:tcPr>
          <w:p w14:paraId="3FC48728"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3 960</w:t>
            </w:r>
          </w:p>
        </w:tc>
        <w:tc>
          <w:tcPr>
            <w:tcW w:w="936" w:type="dxa"/>
            <w:tcBorders>
              <w:top w:val="nil"/>
              <w:left w:val="nil"/>
              <w:bottom w:val="single" w:sz="4" w:space="0" w:color="auto"/>
              <w:right w:val="single" w:sz="4" w:space="0" w:color="auto"/>
            </w:tcBorders>
            <w:shd w:val="clear" w:color="auto" w:fill="auto"/>
            <w:noWrap/>
            <w:hideMark/>
          </w:tcPr>
          <w:p w14:paraId="7181CE2A"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35 640</w:t>
            </w:r>
          </w:p>
        </w:tc>
      </w:tr>
      <w:tr w:rsidR="00003C73" w:rsidRPr="00003C73" w14:paraId="7E72B089" w14:textId="77777777" w:rsidTr="00412039">
        <w:trPr>
          <w:gridAfter w:val="1"/>
          <w:wAfter w:w="7" w:type="dxa"/>
          <w:trHeight w:val="143"/>
        </w:trPr>
        <w:tc>
          <w:tcPr>
            <w:tcW w:w="1480" w:type="dxa"/>
            <w:tcBorders>
              <w:top w:val="nil"/>
              <w:left w:val="single" w:sz="4" w:space="0" w:color="auto"/>
              <w:bottom w:val="single" w:sz="4" w:space="0" w:color="auto"/>
              <w:right w:val="single" w:sz="4" w:space="0" w:color="auto"/>
            </w:tcBorders>
            <w:shd w:val="clear" w:color="auto" w:fill="auto"/>
            <w:noWrap/>
            <w:hideMark/>
          </w:tcPr>
          <w:p w14:paraId="70B7267A" w14:textId="77777777" w:rsidR="00003C73" w:rsidRPr="00003C73" w:rsidRDefault="00003C73" w:rsidP="00003C73">
            <w:pPr>
              <w:jc w:val="left"/>
              <w:rPr>
                <w:b/>
                <w:color w:val="000000"/>
                <w:sz w:val="18"/>
                <w:szCs w:val="18"/>
                <w:lang w:val="en-CA" w:eastAsia="en-CA"/>
              </w:rPr>
            </w:pPr>
            <w:r w:rsidRPr="00003C73">
              <w:rPr>
                <w:b/>
                <w:color w:val="000000"/>
                <w:sz w:val="18"/>
                <w:szCs w:val="18"/>
                <w:lang w:val="fr" w:eastAsia="fr"/>
              </w:rPr>
              <w:t>Total</w:t>
            </w:r>
          </w:p>
        </w:tc>
        <w:tc>
          <w:tcPr>
            <w:tcW w:w="765" w:type="dxa"/>
            <w:tcBorders>
              <w:top w:val="nil"/>
              <w:left w:val="nil"/>
              <w:bottom w:val="single" w:sz="4" w:space="0" w:color="auto"/>
              <w:right w:val="single" w:sz="4" w:space="0" w:color="auto"/>
            </w:tcBorders>
            <w:shd w:val="clear" w:color="auto" w:fill="auto"/>
            <w:noWrap/>
            <w:hideMark/>
          </w:tcPr>
          <w:p w14:paraId="3D4C1AF2"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86 109</w:t>
            </w:r>
          </w:p>
        </w:tc>
        <w:tc>
          <w:tcPr>
            <w:tcW w:w="801" w:type="dxa"/>
            <w:tcBorders>
              <w:top w:val="nil"/>
              <w:left w:val="nil"/>
              <w:bottom w:val="single" w:sz="4" w:space="0" w:color="auto"/>
              <w:right w:val="single" w:sz="4" w:space="0" w:color="auto"/>
            </w:tcBorders>
            <w:shd w:val="clear" w:color="auto" w:fill="auto"/>
            <w:noWrap/>
            <w:hideMark/>
          </w:tcPr>
          <w:p w14:paraId="2BB27CDF"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317 556</w:t>
            </w:r>
          </w:p>
        </w:tc>
        <w:tc>
          <w:tcPr>
            <w:tcW w:w="801" w:type="dxa"/>
            <w:tcBorders>
              <w:top w:val="nil"/>
              <w:left w:val="nil"/>
              <w:bottom w:val="single" w:sz="4" w:space="0" w:color="auto"/>
              <w:right w:val="single" w:sz="4" w:space="0" w:color="auto"/>
            </w:tcBorders>
            <w:shd w:val="clear" w:color="auto" w:fill="auto"/>
            <w:noWrap/>
            <w:hideMark/>
          </w:tcPr>
          <w:p w14:paraId="796D515F"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322 556</w:t>
            </w:r>
          </w:p>
        </w:tc>
        <w:tc>
          <w:tcPr>
            <w:tcW w:w="801" w:type="dxa"/>
            <w:tcBorders>
              <w:top w:val="nil"/>
              <w:left w:val="nil"/>
              <w:bottom w:val="single" w:sz="4" w:space="0" w:color="auto"/>
              <w:right w:val="single" w:sz="4" w:space="0" w:color="auto"/>
            </w:tcBorders>
            <w:shd w:val="clear" w:color="auto" w:fill="auto"/>
            <w:noWrap/>
            <w:hideMark/>
          </w:tcPr>
          <w:p w14:paraId="71D7ABF6"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322 556</w:t>
            </w:r>
          </w:p>
        </w:tc>
        <w:tc>
          <w:tcPr>
            <w:tcW w:w="801" w:type="dxa"/>
            <w:tcBorders>
              <w:top w:val="nil"/>
              <w:left w:val="nil"/>
              <w:bottom w:val="single" w:sz="4" w:space="0" w:color="auto"/>
              <w:right w:val="single" w:sz="4" w:space="0" w:color="auto"/>
            </w:tcBorders>
            <w:shd w:val="clear" w:color="auto" w:fill="auto"/>
            <w:noWrap/>
            <w:hideMark/>
          </w:tcPr>
          <w:p w14:paraId="79ECDF58"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315 957</w:t>
            </w:r>
          </w:p>
        </w:tc>
        <w:tc>
          <w:tcPr>
            <w:tcW w:w="801" w:type="dxa"/>
            <w:tcBorders>
              <w:top w:val="nil"/>
              <w:left w:val="nil"/>
              <w:bottom w:val="single" w:sz="4" w:space="0" w:color="auto"/>
              <w:right w:val="single" w:sz="4" w:space="0" w:color="auto"/>
            </w:tcBorders>
            <w:shd w:val="clear" w:color="auto" w:fill="auto"/>
            <w:noWrap/>
            <w:hideMark/>
          </w:tcPr>
          <w:p w14:paraId="0F41313A"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315 957</w:t>
            </w:r>
          </w:p>
        </w:tc>
        <w:tc>
          <w:tcPr>
            <w:tcW w:w="801" w:type="dxa"/>
            <w:tcBorders>
              <w:top w:val="nil"/>
              <w:left w:val="nil"/>
              <w:bottom w:val="single" w:sz="4" w:space="0" w:color="auto"/>
              <w:right w:val="single" w:sz="4" w:space="0" w:color="auto"/>
            </w:tcBorders>
            <w:shd w:val="clear" w:color="auto" w:fill="auto"/>
            <w:noWrap/>
            <w:hideMark/>
          </w:tcPr>
          <w:p w14:paraId="530A3418"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315 957</w:t>
            </w:r>
          </w:p>
        </w:tc>
        <w:tc>
          <w:tcPr>
            <w:tcW w:w="801" w:type="dxa"/>
            <w:tcBorders>
              <w:top w:val="nil"/>
              <w:left w:val="nil"/>
              <w:bottom w:val="single" w:sz="4" w:space="0" w:color="auto"/>
              <w:right w:val="single" w:sz="4" w:space="0" w:color="auto"/>
            </w:tcBorders>
            <w:shd w:val="clear" w:color="auto" w:fill="auto"/>
            <w:noWrap/>
            <w:hideMark/>
          </w:tcPr>
          <w:p w14:paraId="497D5522"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315 957</w:t>
            </w:r>
          </w:p>
        </w:tc>
        <w:tc>
          <w:tcPr>
            <w:tcW w:w="801" w:type="dxa"/>
            <w:tcBorders>
              <w:top w:val="nil"/>
              <w:left w:val="nil"/>
              <w:bottom w:val="single" w:sz="4" w:space="0" w:color="auto"/>
              <w:right w:val="single" w:sz="4" w:space="0" w:color="auto"/>
            </w:tcBorders>
            <w:shd w:val="clear" w:color="auto" w:fill="auto"/>
            <w:noWrap/>
            <w:hideMark/>
          </w:tcPr>
          <w:p w14:paraId="6837E013"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315 957</w:t>
            </w:r>
          </w:p>
        </w:tc>
        <w:tc>
          <w:tcPr>
            <w:tcW w:w="936" w:type="dxa"/>
            <w:tcBorders>
              <w:top w:val="nil"/>
              <w:left w:val="nil"/>
              <w:bottom w:val="single" w:sz="4" w:space="0" w:color="auto"/>
              <w:right w:val="single" w:sz="4" w:space="0" w:color="auto"/>
            </w:tcBorders>
            <w:shd w:val="clear" w:color="auto" w:fill="auto"/>
            <w:noWrap/>
            <w:hideMark/>
          </w:tcPr>
          <w:p w14:paraId="429C3A3B"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2 628 561</w:t>
            </w:r>
          </w:p>
        </w:tc>
      </w:tr>
      <w:tr w:rsidR="00003C73" w:rsidRPr="00003C73" w14:paraId="3691242B" w14:textId="77777777" w:rsidTr="00412039">
        <w:trPr>
          <w:trHeight w:val="53"/>
        </w:trPr>
        <w:tc>
          <w:tcPr>
            <w:tcW w:w="9596"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10EB8670" w14:textId="77777777" w:rsidR="00003C73" w:rsidRPr="00003C73" w:rsidRDefault="00003C73" w:rsidP="00003C73">
            <w:pPr>
              <w:jc w:val="center"/>
              <w:rPr>
                <w:b/>
                <w:color w:val="000000"/>
                <w:sz w:val="18"/>
                <w:szCs w:val="18"/>
                <w:lang w:val="en-CA" w:eastAsia="en-CA"/>
              </w:rPr>
            </w:pPr>
            <w:r w:rsidRPr="00003C73">
              <w:rPr>
                <w:b/>
                <w:color w:val="000000"/>
                <w:sz w:val="18"/>
                <w:szCs w:val="18"/>
                <w:lang w:val="fr" w:eastAsia="fr"/>
              </w:rPr>
              <w:t>Secrétariat</w:t>
            </w:r>
          </w:p>
        </w:tc>
      </w:tr>
      <w:tr w:rsidR="00003C73" w:rsidRPr="00003C73" w14:paraId="3F583148" w14:textId="77777777" w:rsidTr="00412039">
        <w:trPr>
          <w:gridAfter w:val="1"/>
          <w:wAfter w:w="7" w:type="dxa"/>
          <w:trHeight w:val="161"/>
        </w:trPr>
        <w:tc>
          <w:tcPr>
            <w:tcW w:w="1480" w:type="dxa"/>
            <w:tcBorders>
              <w:top w:val="nil"/>
              <w:left w:val="single" w:sz="4" w:space="0" w:color="auto"/>
              <w:bottom w:val="single" w:sz="4" w:space="0" w:color="auto"/>
              <w:right w:val="single" w:sz="4" w:space="0" w:color="auto"/>
            </w:tcBorders>
            <w:shd w:val="clear" w:color="auto" w:fill="auto"/>
            <w:noWrap/>
            <w:hideMark/>
          </w:tcPr>
          <w:p w14:paraId="79256946" w14:textId="77777777" w:rsidR="00003C73" w:rsidRPr="00EE541E" w:rsidRDefault="00003C73" w:rsidP="00003C73">
            <w:pPr>
              <w:jc w:val="left"/>
              <w:rPr>
                <w:color w:val="000000"/>
                <w:sz w:val="18"/>
                <w:szCs w:val="18"/>
                <w:lang w:val="fr-CA" w:eastAsia="en-CA"/>
              </w:rPr>
            </w:pPr>
            <w:r w:rsidRPr="00003C73">
              <w:rPr>
                <w:color w:val="000000"/>
                <w:sz w:val="18"/>
                <w:szCs w:val="18"/>
                <w:lang w:val="fr" w:eastAsia="fr"/>
              </w:rPr>
              <w:t>Coûts engendrés par la destruction</w:t>
            </w:r>
          </w:p>
        </w:tc>
        <w:tc>
          <w:tcPr>
            <w:tcW w:w="765" w:type="dxa"/>
            <w:tcBorders>
              <w:top w:val="nil"/>
              <w:left w:val="nil"/>
              <w:bottom w:val="single" w:sz="4" w:space="0" w:color="auto"/>
              <w:right w:val="single" w:sz="4" w:space="0" w:color="auto"/>
            </w:tcBorders>
            <w:shd w:val="clear" w:color="auto" w:fill="auto"/>
            <w:noWrap/>
            <w:hideMark/>
          </w:tcPr>
          <w:p w14:paraId="2B449299"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12 949</w:t>
            </w:r>
          </w:p>
        </w:tc>
        <w:tc>
          <w:tcPr>
            <w:tcW w:w="801" w:type="dxa"/>
            <w:tcBorders>
              <w:top w:val="nil"/>
              <w:left w:val="nil"/>
              <w:bottom w:val="single" w:sz="4" w:space="0" w:color="auto"/>
              <w:right w:val="single" w:sz="4" w:space="0" w:color="auto"/>
            </w:tcBorders>
            <w:shd w:val="clear" w:color="auto" w:fill="auto"/>
            <w:noWrap/>
            <w:hideMark/>
          </w:tcPr>
          <w:p w14:paraId="00B8CE47"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51 795</w:t>
            </w:r>
          </w:p>
        </w:tc>
        <w:tc>
          <w:tcPr>
            <w:tcW w:w="801" w:type="dxa"/>
            <w:tcBorders>
              <w:top w:val="nil"/>
              <w:left w:val="nil"/>
              <w:bottom w:val="single" w:sz="4" w:space="0" w:color="auto"/>
              <w:right w:val="single" w:sz="4" w:space="0" w:color="auto"/>
            </w:tcBorders>
            <w:shd w:val="clear" w:color="auto" w:fill="auto"/>
            <w:noWrap/>
            <w:hideMark/>
          </w:tcPr>
          <w:p w14:paraId="4CCE3356"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51 795</w:t>
            </w:r>
          </w:p>
        </w:tc>
        <w:tc>
          <w:tcPr>
            <w:tcW w:w="801" w:type="dxa"/>
            <w:tcBorders>
              <w:top w:val="nil"/>
              <w:left w:val="nil"/>
              <w:bottom w:val="single" w:sz="4" w:space="0" w:color="auto"/>
              <w:right w:val="single" w:sz="4" w:space="0" w:color="auto"/>
            </w:tcBorders>
            <w:shd w:val="clear" w:color="auto" w:fill="auto"/>
            <w:noWrap/>
            <w:hideMark/>
          </w:tcPr>
          <w:p w14:paraId="1D945744"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51 795</w:t>
            </w:r>
          </w:p>
        </w:tc>
        <w:tc>
          <w:tcPr>
            <w:tcW w:w="801" w:type="dxa"/>
            <w:tcBorders>
              <w:top w:val="nil"/>
              <w:left w:val="nil"/>
              <w:bottom w:val="single" w:sz="4" w:space="0" w:color="auto"/>
              <w:right w:val="single" w:sz="4" w:space="0" w:color="auto"/>
            </w:tcBorders>
            <w:shd w:val="clear" w:color="auto" w:fill="auto"/>
            <w:noWrap/>
            <w:hideMark/>
          </w:tcPr>
          <w:p w14:paraId="5EE495A8"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49 131</w:t>
            </w:r>
          </w:p>
        </w:tc>
        <w:tc>
          <w:tcPr>
            <w:tcW w:w="801" w:type="dxa"/>
            <w:tcBorders>
              <w:top w:val="nil"/>
              <w:left w:val="nil"/>
              <w:bottom w:val="single" w:sz="4" w:space="0" w:color="auto"/>
              <w:right w:val="single" w:sz="4" w:space="0" w:color="auto"/>
            </w:tcBorders>
            <w:shd w:val="clear" w:color="auto" w:fill="auto"/>
            <w:noWrap/>
            <w:hideMark/>
          </w:tcPr>
          <w:p w14:paraId="024E3297"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49 131</w:t>
            </w:r>
          </w:p>
        </w:tc>
        <w:tc>
          <w:tcPr>
            <w:tcW w:w="801" w:type="dxa"/>
            <w:tcBorders>
              <w:top w:val="nil"/>
              <w:left w:val="nil"/>
              <w:bottom w:val="single" w:sz="4" w:space="0" w:color="auto"/>
              <w:right w:val="single" w:sz="4" w:space="0" w:color="auto"/>
            </w:tcBorders>
            <w:shd w:val="clear" w:color="auto" w:fill="auto"/>
            <w:noWrap/>
            <w:hideMark/>
          </w:tcPr>
          <w:p w14:paraId="0CF77532"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49 131</w:t>
            </w:r>
          </w:p>
        </w:tc>
        <w:tc>
          <w:tcPr>
            <w:tcW w:w="801" w:type="dxa"/>
            <w:tcBorders>
              <w:top w:val="nil"/>
              <w:left w:val="nil"/>
              <w:bottom w:val="single" w:sz="4" w:space="0" w:color="auto"/>
              <w:right w:val="single" w:sz="4" w:space="0" w:color="auto"/>
            </w:tcBorders>
            <w:shd w:val="clear" w:color="auto" w:fill="auto"/>
            <w:noWrap/>
            <w:hideMark/>
          </w:tcPr>
          <w:p w14:paraId="0C57A456"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49 131</w:t>
            </w:r>
          </w:p>
        </w:tc>
        <w:tc>
          <w:tcPr>
            <w:tcW w:w="801" w:type="dxa"/>
            <w:tcBorders>
              <w:top w:val="nil"/>
              <w:left w:val="nil"/>
              <w:bottom w:val="single" w:sz="4" w:space="0" w:color="auto"/>
              <w:right w:val="single" w:sz="4" w:space="0" w:color="auto"/>
            </w:tcBorders>
            <w:shd w:val="clear" w:color="auto" w:fill="auto"/>
            <w:noWrap/>
            <w:hideMark/>
          </w:tcPr>
          <w:p w14:paraId="19481EF3"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49 131</w:t>
            </w:r>
          </w:p>
        </w:tc>
        <w:tc>
          <w:tcPr>
            <w:tcW w:w="936" w:type="dxa"/>
            <w:tcBorders>
              <w:top w:val="nil"/>
              <w:left w:val="nil"/>
              <w:bottom w:val="single" w:sz="4" w:space="0" w:color="auto"/>
              <w:right w:val="single" w:sz="4" w:space="0" w:color="auto"/>
            </w:tcBorders>
            <w:shd w:val="clear" w:color="auto" w:fill="auto"/>
            <w:noWrap/>
            <w:hideMark/>
          </w:tcPr>
          <w:p w14:paraId="7ED7FED5"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413 991</w:t>
            </w:r>
          </w:p>
        </w:tc>
      </w:tr>
      <w:tr w:rsidR="00003C73" w:rsidRPr="00003C73" w14:paraId="34C15ADC" w14:textId="77777777" w:rsidTr="00412039">
        <w:trPr>
          <w:gridAfter w:val="1"/>
          <w:wAfter w:w="7" w:type="dxa"/>
          <w:trHeight w:val="215"/>
        </w:trPr>
        <w:tc>
          <w:tcPr>
            <w:tcW w:w="1480" w:type="dxa"/>
            <w:tcBorders>
              <w:top w:val="nil"/>
              <w:left w:val="single" w:sz="4" w:space="0" w:color="auto"/>
              <w:bottom w:val="single" w:sz="4" w:space="0" w:color="auto"/>
              <w:right w:val="single" w:sz="4" w:space="0" w:color="auto"/>
            </w:tcBorders>
            <w:shd w:val="clear" w:color="auto" w:fill="auto"/>
            <w:noWrap/>
            <w:hideMark/>
          </w:tcPr>
          <w:p w14:paraId="35677365" w14:textId="77777777" w:rsidR="00003C73" w:rsidRPr="00003C73" w:rsidRDefault="00003C73" w:rsidP="00003C73">
            <w:pPr>
              <w:jc w:val="left"/>
              <w:rPr>
                <w:color w:val="000000"/>
                <w:sz w:val="18"/>
                <w:szCs w:val="18"/>
                <w:lang w:val="en-CA" w:eastAsia="en-CA"/>
              </w:rPr>
            </w:pPr>
            <w:r w:rsidRPr="00003C73">
              <w:rPr>
                <w:color w:val="000000"/>
                <w:sz w:val="18"/>
                <w:szCs w:val="18"/>
                <w:lang w:val="fr" w:eastAsia="fr"/>
              </w:rPr>
              <w:t>Suivi</w:t>
            </w:r>
          </w:p>
        </w:tc>
        <w:tc>
          <w:tcPr>
            <w:tcW w:w="765" w:type="dxa"/>
            <w:tcBorders>
              <w:top w:val="nil"/>
              <w:left w:val="nil"/>
              <w:bottom w:val="single" w:sz="4" w:space="0" w:color="auto"/>
              <w:right w:val="single" w:sz="4" w:space="0" w:color="auto"/>
            </w:tcBorders>
            <w:shd w:val="clear" w:color="auto" w:fill="auto"/>
            <w:noWrap/>
            <w:hideMark/>
          </w:tcPr>
          <w:p w14:paraId="5CC2B42B"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4 167</w:t>
            </w:r>
          </w:p>
        </w:tc>
        <w:tc>
          <w:tcPr>
            <w:tcW w:w="801" w:type="dxa"/>
            <w:tcBorders>
              <w:top w:val="nil"/>
              <w:left w:val="nil"/>
              <w:bottom w:val="single" w:sz="4" w:space="0" w:color="auto"/>
              <w:right w:val="single" w:sz="4" w:space="0" w:color="auto"/>
            </w:tcBorders>
            <w:shd w:val="clear" w:color="auto" w:fill="auto"/>
            <w:noWrap/>
            <w:hideMark/>
          </w:tcPr>
          <w:p w14:paraId="3486C497"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4 167</w:t>
            </w:r>
          </w:p>
        </w:tc>
        <w:tc>
          <w:tcPr>
            <w:tcW w:w="801" w:type="dxa"/>
            <w:tcBorders>
              <w:top w:val="nil"/>
              <w:left w:val="nil"/>
              <w:bottom w:val="single" w:sz="4" w:space="0" w:color="auto"/>
              <w:right w:val="single" w:sz="4" w:space="0" w:color="auto"/>
            </w:tcBorders>
            <w:shd w:val="clear" w:color="auto" w:fill="auto"/>
            <w:noWrap/>
            <w:hideMark/>
          </w:tcPr>
          <w:p w14:paraId="3130AF12"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801" w:type="dxa"/>
            <w:tcBorders>
              <w:top w:val="nil"/>
              <w:left w:val="nil"/>
              <w:bottom w:val="single" w:sz="4" w:space="0" w:color="auto"/>
              <w:right w:val="single" w:sz="4" w:space="0" w:color="auto"/>
            </w:tcBorders>
            <w:shd w:val="clear" w:color="auto" w:fill="auto"/>
            <w:noWrap/>
            <w:hideMark/>
          </w:tcPr>
          <w:p w14:paraId="33B913B1"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801" w:type="dxa"/>
            <w:tcBorders>
              <w:top w:val="nil"/>
              <w:left w:val="nil"/>
              <w:bottom w:val="single" w:sz="4" w:space="0" w:color="auto"/>
              <w:right w:val="single" w:sz="4" w:space="0" w:color="auto"/>
            </w:tcBorders>
            <w:shd w:val="clear" w:color="auto" w:fill="auto"/>
            <w:noWrap/>
            <w:hideMark/>
          </w:tcPr>
          <w:p w14:paraId="5E353215"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801" w:type="dxa"/>
            <w:tcBorders>
              <w:top w:val="nil"/>
              <w:left w:val="nil"/>
              <w:bottom w:val="single" w:sz="4" w:space="0" w:color="auto"/>
              <w:right w:val="single" w:sz="4" w:space="0" w:color="auto"/>
            </w:tcBorders>
            <w:shd w:val="clear" w:color="auto" w:fill="auto"/>
            <w:noWrap/>
            <w:hideMark/>
          </w:tcPr>
          <w:p w14:paraId="39CF4617"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801" w:type="dxa"/>
            <w:tcBorders>
              <w:top w:val="nil"/>
              <w:left w:val="nil"/>
              <w:bottom w:val="single" w:sz="4" w:space="0" w:color="auto"/>
              <w:right w:val="single" w:sz="4" w:space="0" w:color="auto"/>
            </w:tcBorders>
            <w:shd w:val="clear" w:color="auto" w:fill="auto"/>
            <w:noWrap/>
            <w:hideMark/>
          </w:tcPr>
          <w:p w14:paraId="5FC0C0DD"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801" w:type="dxa"/>
            <w:tcBorders>
              <w:top w:val="nil"/>
              <w:left w:val="nil"/>
              <w:bottom w:val="single" w:sz="4" w:space="0" w:color="auto"/>
              <w:right w:val="single" w:sz="4" w:space="0" w:color="auto"/>
            </w:tcBorders>
            <w:shd w:val="clear" w:color="auto" w:fill="auto"/>
            <w:noWrap/>
            <w:hideMark/>
          </w:tcPr>
          <w:p w14:paraId="00B3B655"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801" w:type="dxa"/>
            <w:tcBorders>
              <w:top w:val="nil"/>
              <w:left w:val="nil"/>
              <w:bottom w:val="single" w:sz="4" w:space="0" w:color="auto"/>
              <w:right w:val="single" w:sz="4" w:space="0" w:color="auto"/>
            </w:tcBorders>
            <w:shd w:val="clear" w:color="auto" w:fill="auto"/>
            <w:noWrap/>
            <w:hideMark/>
          </w:tcPr>
          <w:p w14:paraId="09667868"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10 000</w:t>
            </w:r>
          </w:p>
        </w:tc>
        <w:tc>
          <w:tcPr>
            <w:tcW w:w="936" w:type="dxa"/>
            <w:tcBorders>
              <w:top w:val="nil"/>
              <w:left w:val="nil"/>
              <w:bottom w:val="single" w:sz="4" w:space="0" w:color="auto"/>
              <w:right w:val="single" w:sz="4" w:space="0" w:color="auto"/>
            </w:tcBorders>
            <w:shd w:val="clear" w:color="auto" w:fill="auto"/>
            <w:noWrap/>
            <w:hideMark/>
          </w:tcPr>
          <w:p w14:paraId="3B25D0A0"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78 333</w:t>
            </w:r>
          </w:p>
        </w:tc>
      </w:tr>
      <w:tr w:rsidR="00003C73" w:rsidRPr="00003C73" w14:paraId="132C7C0B" w14:textId="77777777" w:rsidTr="00412039">
        <w:trPr>
          <w:gridAfter w:val="1"/>
          <w:wAfter w:w="7" w:type="dxa"/>
          <w:trHeight w:val="341"/>
        </w:trPr>
        <w:tc>
          <w:tcPr>
            <w:tcW w:w="1480" w:type="dxa"/>
            <w:tcBorders>
              <w:top w:val="nil"/>
              <w:left w:val="single" w:sz="4" w:space="0" w:color="auto"/>
              <w:bottom w:val="single" w:sz="4" w:space="0" w:color="auto"/>
              <w:right w:val="single" w:sz="4" w:space="0" w:color="auto"/>
            </w:tcBorders>
            <w:shd w:val="clear" w:color="auto" w:fill="auto"/>
            <w:hideMark/>
          </w:tcPr>
          <w:p w14:paraId="78C78C13" w14:textId="77777777" w:rsidR="00003C73" w:rsidRPr="00003C73" w:rsidRDefault="00003C73" w:rsidP="00003C73">
            <w:pPr>
              <w:jc w:val="left"/>
              <w:rPr>
                <w:color w:val="000000"/>
                <w:sz w:val="18"/>
                <w:szCs w:val="18"/>
                <w:lang w:val="en-CA" w:eastAsia="en-CA"/>
              </w:rPr>
            </w:pPr>
            <w:r w:rsidRPr="00003C73">
              <w:rPr>
                <w:color w:val="000000"/>
                <w:sz w:val="18"/>
                <w:szCs w:val="18"/>
                <w:lang w:val="fr" w:eastAsia="fr"/>
              </w:rPr>
              <w:t>Frais annuels d’enregistrement</w:t>
            </w:r>
          </w:p>
        </w:tc>
        <w:tc>
          <w:tcPr>
            <w:tcW w:w="765" w:type="dxa"/>
            <w:tcBorders>
              <w:top w:val="nil"/>
              <w:left w:val="nil"/>
              <w:bottom w:val="single" w:sz="4" w:space="0" w:color="auto"/>
              <w:right w:val="single" w:sz="4" w:space="0" w:color="auto"/>
            </w:tcBorders>
            <w:shd w:val="clear" w:color="auto" w:fill="auto"/>
            <w:noWrap/>
            <w:hideMark/>
          </w:tcPr>
          <w:p w14:paraId="1A55B329"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3 099</w:t>
            </w:r>
          </w:p>
        </w:tc>
        <w:tc>
          <w:tcPr>
            <w:tcW w:w="801" w:type="dxa"/>
            <w:tcBorders>
              <w:top w:val="nil"/>
              <w:left w:val="nil"/>
              <w:bottom w:val="single" w:sz="4" w:space="0" w:color="auto"/>
              <w:right w:val="single" w:sz="4" w:space="0" w:color="auto"/>
            </w:tcBorders>
            <w:shd w:val="clear" w:color="auto" w:fill="auto"/>
            <w:noWrap/>
            <w:hideMark/>
          </w:tcPr>
          <w:p w14:paraId="64C6E1EA"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3 099</w:t>
            </w:r>
          </w:p>
        </w:tc>
        <w:tc>
          <w:tcPr>
            <w:tcW w:w="801" w:type="dxa"/>
            <w:tcBorders>
              <w:top w:val="nil"/>
              <w:left w:val="nil"/>
              <w:bottom w:val="single" w:sz="4" w:space="0" w:color="auto"/>
              <w:right w:val="single" w:sz="4" w:space="0" w:color="auto"/>
            </w:tcBorders>
            <w:shd w:val="clear" w:color="auto" w:fill="auto"/>
            <w:noWrap/>
            <w:hideMark/>
          </w:tcPr>
          <w:p w14:paraId="3CD5CCC9"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3 099</w:t>
            </w:r>
          </w:p>
        </w:tc>
        <w:tc>
          <w:tcPr>
            <w:tcW w:w="801" w:type="dxa"/>
            <w:tcBorders>
              <w:top w:val="nil"/>
              <w:left w:val="nil"/>
              <w:bottom w:val="single" w:sz="4" w:space="0" w:color="auto"/>
              <w:right w:val="single" w:sz="4" w:space="0" w:color="auto"/>
            </w:tcBorders>
            <w:shd w:val="clear" w:color="auto" w:fill="auto"/>
            <w:noWrap/>
            <w:hideMark/>
          </w:tcPr>
          <w:p w14:paraId="711E21BE"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3 099</w:t>
            </w:r>
          </w:p>
        </w:tc>
        <w:tc>
          <w:tcPr>
            <w:tcW w:w="801" w:type="dxa"/>
            <w:tcBorders>
              <w:top w:val="nil"/>
              <w:left w:val="nil"/>
              <w:bottom w:val="single" w:sz="4" w:space="0" w:color="auto"/>
              <w:right w:val="single" w:sz="4" w:space="0" w:color="auto"/>
            </w:tcBorders>
            <w:shd w:val="clear" w:color="auto" w:fill="auto"/>
            <w:noWrap/>
            <w:hideMark/>
          </w:tcPr>
          <w:p w14:paraId="2C01775A"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3 099</w:t>
            </w:r>
          </w:p>
        </w:tc>
        <w:tc>
          <w:tcPr>
            <w:tcW w:w="801" w:type="dxa"/>
            <w:tcBorders>
              <w:top w:val="nil"/>
              <w:left w:val="nil"/>
              <w:bottom w:val="single" w:sz="4" w:space="0" w:color="auto"/>
              <w:right w:val="single" w:sz="4" w:space="0" w:color="auto"/>
            </w:tcBorders>
            <w:shd w:val="clear" w:color="auto" w:fill="auto"/>
            <w:noWrap/>
            <w:hideMark/>
          </w:tcPr>
          <w:p w14:paraId="4F4C7EF4"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3 099</w:t>
            </w:r>
          </w:p>
        </w:tc>
        <w:tc>
          <w:tcPr>
            <w:tcW w:w="801" w:type="dxa"/>
            <w:tcBorders>
              <w:top w:val="nil"/>
              <w:left w:val="nil"/>
              <w:bottom w:val="single" w:sz="4" w:space="0" w:color="auto"/>
              <w:right w:val="single" w:sz="4" w:space="0" w:color="auto"/>
            </w:tcBorders>
            <w:shd w:val="clear" w:color="auto" w:fill="auto"/>
            <w:noWrap/>
            <w:hideMark/>
          </w:tcPr>
          <w:p w14:paraId="44AF2684"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3 099</w:t>
            </w:r>
          </w:p>
        </w:tc>
        <w:tc>
          <w:tcPr>
            <w:tcW w:w="801" w:type="dxa"/>
            <w:tcBorders>
              <w:top w:val="nil"/>
              <w:left w:val="nil"/>
              <w:bottom w:val="single" w:sz="4" w:space="0" w:color="auto"/>
              <w:right w:val="single" w:sz="4" w:space="0" w:color="auto"/>
            </w:tcBorders>
            <w:shd w:val="clear" w:color="auto" w:fill="auto"/>
            <w:noWrap/>
            <w:hideMark/>
          </w:tcPr>
          <w:p w14:paraId="0E65618F"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3 099</w:t>
            </w:r>
          </w:p>
        </w:tc>
        <w:tc>
          <w:tcPr>
            <w:tcW w:w="801" w:type="dxa"/>
            <w:tcBorders>
              <w:top w:val="nil"/>
              <w:left w:val="nil"/>
              <w:bottom w:val="single" w:sz="4" w:space="0" w:color="auto"/>
              <w:right w:val="single" w:sz="4" w:space="0" w:color="auto"/>
            </w:tcBorders>
            <w:shd w:val="clear" w:color="auto" w:fill="auto"/>
            <w:noWrap/>
            <w:hideMark/>
          </w:tcPr>
          <w:p w14:paraId="625C68FD"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3 099</w:t>
            </w:r>
          </w:p>
        </w:tc>
        <w:tc>
          <w:tcPr>
            <w:tcW w:w="936" w:type="dxa"/>
            <w:tcBorders>
              <w:top w:val="nil"/>
              <w:left w:val="nil"/>
              <w:bottom w:val="single" w:sz="4" w:space="0" w:color="auto"/>
              <w:right w:val="single" w:sz="4" w:space="0" w:color="auto"/>
            </w:tcBorders>
            <w:shd w:val="clear" w:color="auto" w:fill="auto"/>
            <w:noWrap/>
            <w:hideMark/>
          </w:tcPr>
          <w:p w14:paraId="0E349B0A" w14:textId="77777777" w:rsidR="00003C73" w:rsidRPr="00003C73" w:rsidRDefault="00003C73" w:rsidP="00003C73">
            <w:pPr>
              <w:jc w:val="right"/>
              <w:rPr>
                <w:color w:val="000000"/>
                <w:sz w:val="18"/>
                <w:szCs w:val="18"/>
                <w:lang w:val="en-CA" w:eastAsia="en-CA"/>
              </w:rPr>
            </w:pPr>
            <w:r w:rsidRPr="00003C73">
              <w:rPr>
                <w:color w:val="000000"/>
                <w:sz w:val="18"/>
                <w:szCs w:val="18"/>
                <w:lang w:val="fr" w:eastAsia="fr"/>
              </w:rPr>
              <w:t>27 887</w:t>
            </w:r>
          </w:p>
        </w:tc>
      </w:tr>
      <w:tr w:rsidR="00003C73" w:rsidRPr="00003C73" w14:paraId="4039FD52" w14:textId="77777777" w:rsidTr="00412039">
        <w:trPr>
          <w:gridAfter w:val="1"/>
          <w:wAfter w:w="7" w:type="dxa"/>
          <w:trHeight w:val="188"/>
        </w:trPr>
        <w:tc>
          <w:tcPr>
            <w:tcW w:w="1480" w:type="dxa"/>
            <w:tcBorders>
              <w:top w:val="nil"/>
              <w:left w:val="single" w:sz="4" w:space="0" w:color="auto"/>
              <w:bottom w:val="single" w:sz="4" w:space="0" w:color="auto"/>
              <w:right w:val="single" w:sz="4" w:space="0" w:color="auto"/>
            </w:tcBorders>
            <w:shd w:val="clear" w:color="auto" w:fill="auto"/>
            <w:noWrap/>
            <w:hideMark/>
          </w:tcPr>
          <w:p w14:paraId="2C9F6852" w14:textId="77777777" w:rsidR="00003C73" w:rsidRPr="00003C73" w:rsidRDefault="00003C73" w:rsidP="00003C73">
            <w:pPr>
              <w:jc w:val="left"/>
              <w:rPr>
                <w:b/>
                <w:color w:val="000000"/>
                <w:sz w:val="18"/>
                <w:szCs w:val="18"/>
                <w:lang w:val="en-CA" w:eastAsia="en-CA"/>
              </w:rPr>
            </w:pPr>
            <w:r w:rsidRPr="00003C73">
              <w:rPr>
                <w:b/>
                <w:color w:val="000000"/>
                <w:sz w:val="18"/>
                <w:szCs w:val="18"/>
                <w:lang w:val="fr" w:eastAsia="fr"/>
              </w:rPr>
              <w:t>Total</w:t>
            </w:r>
          </w:p>
        </w:tc>
        <w:tc>
          <w:tcPr>
            <w:tcW w:w="765" w:type="dxa"/>
            <w:tcBorders>
              <w:top w:val="nil"/>
              <w:left w:val="nil"/>
              <w:bottom w:val="single" w:sz="4" w:space="0" w:color="auto"/>
              <w:right w:val="single" w:sz="4" w:space="0" w:color="auto"/>
            </w:tcBorders>
            <w:shd w:val="clear" w:color="auto" w:fill="auto"/>
            <w:noWrap/>
            <w:hideMark/>
          </w:tcPr>
          <w:p w14:paraId="7A71DFB6"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20 214</w:t>
            </w:r>
          </w:p>
        </w:tc>
        <w:tc>
          <w:tcPr>
            <w:tcW w:w="801" w:type="dxa"/>
            <w:tcBorders>
              <w:top w:val="nil"/>
              <w:left w:val="nil"/>
              <w:bottom w:val="single" w:sz="4" w:space="0" w:color="auto"/>
              <w:right w:val="single" w:sz="4" w:space="0" w:color="auto"/>
            </w:tcBorders>
            <w:shd w:val="clear" w:color="auto" w:fill="auto"/>
            <w:noWrap/>
            <w:hideMark/>
          </w:tcPr>
          <w:p w14:paraId="7DA045B8"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59 060</w:t>
            </w:r>
          </w:p>
        </w:tc>
        <w:tc>
          <w:tcPr>
            <w:tcW w:w="801" w:type="dxa"/>
            <w:tcBorders>
              <w:top w:val="nil"/>
              <w:left w:val="nil"/>
              <w:bottom w:val="single" w:sz="4" w:space="0" w:color="auto"/>
              <w:right w:val="single" w:sz="4" w:space="0" w:color="auto"/>
            </w:tcBorders>
            <w:shd w:val="clear" w:color="auto" w:fill="auto"/>
            <w:noWrap/>
            <w:hideMark/>
          </w:tcPr>
          <w:p w14:paraId="089FA6BF"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64 894</w:t>
            </w:r>
          </w:p>
        </w:tc>
        <w:tc>
          <w:tcPr>
            <w:tcW w:w="801" w:type="dxa"/>
            <w:tcBorders>
              <w:top w:val="nil"/>
              <w:left w:val="nil"/>
              <w:bottom w:val="single" w:sz="4" w:space="0" w:color="auto"/>
              <w:right w:val="single" w:sz="4" w:space="0" w:color="auto"/>
            </w:tcBorders>
            <w:shd w:val="clear" w:color="auto" w:fill="auto"/>
            <w:noWrap/>
            <w:hideMark/>
          </w:tcPr>
          <w:p w14:paraId="6FCCAD73"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64 894</w:t>
            </w:r>
          </w:p>
        </w:tc>
        <w:tc>
          <w:tcPr>
            <w:tcW w:w="801" w:type="dxa"/>
            <w:tcBorders>
              <w:top w:val="nil"/>
              <w:left w:val="nil"/>
              <w:bottom w:val="single" w:sz="4" w:space="0" w:color="auto"/>
              <w:right w:val="single" w:sz="4" w:space="0" w:color="auto"/>
            </w:tcBorders>
            <w:shd w:val="clear" w:color="auto" w:fill="auto"/>
            <w:noWrap/>
            <w:hideMark/>
          </w:tcPr>
          <w:p w14:paraId="1A26FA3C"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62 230</w:t>
            </w:r>
          </w:p>
        </w:tc>
        <w:tc>
          <w:tcPr>
            <w:tcW w:w="801" w:type="dxa"/>
            <w:tcBorders>
              <w:top w:val="nil"/>
              <w:left w:val="nil"/>
              <w:bottom w:val="single" w:sz="4" w:space="0" w:color="auto"/>
              <w:right w:val="single" w:sz="4" w:space="0" w:color="auto"/>
            </w:tcBorders>
            <w:shd w:val="clear" w:color="auto" w:fill="auto"/>
            <w:noWrap/>
            <w:hideMark/>
          </w:tcPr>
          <w:p w14:paraId="645A812C"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62 230</w:t>
            </w:r>
          </w:p>
        </w:tc>
        <w:tc>
          <w:tcPr>
            <w:tcW w:w="801" w:type="dxa"/>
            <w:tcBorders>
              <w:top w:val="nil"/>
              <w:left w:val="nil"/>
              <w:bottom w:val="single" w:sz="4" w:space="0" w:color="auto"/>
              <w:right w:val="single" w:sz="4" w:space="0" w:color="auto"/>
            </w:tcBorders>
            <w:shd w:val="clear" w:color="auto" w:fill="auto"/>
            <w:noWrap/>
            <w:hideMark/>
          </w:tcPr>
          <w:p w14:paraId="7F1A69B8"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62 230</w:t>
            </w:r>
          </w:p>
        </w:tc>
        <w:tc>
          <w:tcPr>
            <w:tcW w:w="801" w:type="dxa"/>
            <w:tcBorders>
              <w:top w:val="nil"/>
              <w:left w:val="nil"/>
              <w:bottom w:val="single" w:sz="4" w:space="0" w:color="auto"/>
              <w:right w:val="single" w:sz="4" w:space="0" w:color="auto"/>
            </w:tcBorders>
            <w:shd w:val="clear" w:color="auto" w:fill="auto"/>
            <w:noWrap/>
            <w:hideMark/>
          </w:tcPr>
          <w:p w14:paraId="3356B7E6"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62 230</w:t>
            </w:r>
          </w:p>
        </w:tc>
        <w:tc>
          <w:tcPr>
            <w:tcW w:w="801" w:type="dxa"/>
            <w:tcBorders>
              <w:top w:val="nil"/>
              <w:left w:val="nil"/>
              <w:bottom w:val="single" w:sz="4" w:space="0" w:color="auto"/>
              <w:right w:val="single" w:sz="4" w:space="0" w:color="auto"/>
            </w:tcBorders>
            <w:shd w:val="clear" w:color="auto" w:fill="auto"/>
            <w:noWrap/>
            <w:hideMark/>
          </w:tcPr>
          <w:p w14:paraId="20D9B65E"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62 230</w:t>
            </w:r>
          </w:p>
        </w:tc>
        <w:tc>
          <w:tcPr>
            <w:tcW w:w="936" w:type="dxa"/>
            <w:tcBorders>
              <w:top w:val="nil"/>
              <w:left w:val="nil"/>
              <w:bottom w:val="single" w:sz="4" w:space="0" w:color="auto"/>
              <w:right w:val="single" w:sz="4" w:space="0" w:color="auto"/>
            </w:tcBorders>
            <w:shd w:val="clear" w:color="auto" w:fill="auto"/>
            <w:noWrap/>
            <w:hideMark/>
          </w:tcPr>
          <w:p w14:paraId="5B35F662" w14:textId="77777777" w:rsidR="00003C73" w:rsidRPr="00003C73" w:rsidRDefault="00003C73" w:rsidP="00003C73">
            <w:pPr>
              <w:jc w:val="right"/>
              <w:rPr>
                <w:b/>
                <w:color w:val="000000"/>
                <w:sz w:val="18"/>
                <w:szCs w:val="18"/>
                <w:lang w:val="en-CA" w:eastAsia="en-CA"/>
              </w:rPr>
            </w:pPr>
            <w:r w:rsidRPr="00003C73">
              <w:rPr>
                <w:b/>
                <w:color w:val="000000"/>
                <w:sz w:val="18"/>
                <w:szCs w:val="18"/>
                <w:lang w:val="fr" w:eastAsia="fr"/>
              </w:rPr>
              <w:t>520 211</w:t>
            </w:r>
          </w:p>
        </w:tc>
      </w:tr>
    </w:tbl>
    <w:p w14:paraId="0BB805F7" w14:textId="77777777" w:rsidR="00003C73" w:rsidRPr="00003C73" w:rsidRDefault="00003C73" w:rsidP="00003C73">
      <w:pPr>
        <w:rPr>
          <w:lang w:val="en-CA"/>
        </w:rPr>
      </w:pPr>
    </w:p>
    <w:p w14:paraId="2DC979AC" w14:textId="77777777" w:rsidR="00003C73" w:rsidRPr="00003C73" w:rsidRDefault="00003C73" w:rsidP="00003C73">
      <w:pPr>
        <w:rPr>
          <w:i/>
          <w:lang w:val="en-CA"/>
        </w:rPr>
      </w:pPr>
      <w:r w:rsidRPr="00003C73">
        <w:rPr>
          <w:i/>
          <w:lang w:val="fr"/>
        </w:rPr>
        <w:t xml:space="preserve">Coûts totaux </w:t>
      </w:r>
    </w:p>
    <w:p w14:paraId="254D8404" w14:textId="77777777" w:rsidR="00003C73" w:rsidRPr="00003C73" w:rsidRDefault="00003C73" w:rsidP="00003C73">
      <w:pPr>
        <w:rPr>
          <w:lang w:val="en-CA"/>
        </w:rPr>
      </w:pPr>
    </w:p>
    <w:p w14:paraId="29CE60B3" w14:textId="13DEAB40" w:rsidR="00003C73" w:rsidRPr="00EE541E" w:rsidRDefault="00003C73" w:rsidP="00003C73">
      <w:pPr>
        <w:numPr>
          <w:ilvl w:val="0"/>
          <w:numId w:val="1"/>
        </w:numPr>
        <w:spacing w:after="240"/>
        <w:outlineLvl w:val="0"/>
        <w:rPr>
          <w:lang w:val="fr-CA"/>
        </w:rPr>
      </w:pPr>
      <w:r w:rsidRPr="00003C73">
        <w:rPr>
          <w:lang w:val="fr"/>
        </w:rPr>
        <w:t>En plus des surcoût</w:t>
      </w:r>
      <w:r w:rsidR="00663B35">
        <w:rPr>
          <w:lang w:val="fr"/>
        </w:rPr>
        <w:t>s d'investissement de 1 369 863</w:t>
      </w:r>
      <w:r w:rsidR="00663B35" w:rsidRPr="00003C73">
        <w:rPr>
          <w:lang w:val="fr"/>
        </w:rPr>
        <w:t xml:space="preserve"> $US </w:t>
      </w:r>
      <w:r w:rsidRPr="00003C73">
        <w:rPr>
          <w:lang w:val="fr"/>
        </w:rPr>
        <w:t xml:space="preserve">et des surcoûts d'exploitation de </w:t>
      </w:r>
      <w:r w:rsidR="00663B35">
        <w:rPr>
          <w:lang w:val="fr"/>
        </w:rPr>
        <w:br/>
      </w:r>
      <w:r w:rsidRPr="00003C73">
        <w:rPr>
          <w:lang w:val="fr"/>
        </w:rPr>
        <w:t>2 628 </w:t>
      </w:r>
      <w:r w:rsidR="00663B35">
        <w:rPr>
          <w:lang w:val="fr"/>
        </w:rPr>
        <w:t>561</w:t>
      </w:r>
      <w:r w:rsidR="00663B35" w:rsidRPr="00003C73">
        <w:rPr>
          <w:lang w:val="fr"/>
        </w:rPr>
        <w:t> $US</w:t>
      </w:r>
      <w:r w:rsidRPr="00003C73">
        <w:rPr>
          <w:lang w:val="fr"/>
        </w:rPr>
        <w:t>, l'ONUDI a proposé le chiffre de 20 000</w:t>
      </w:r>
      <w:r w:rsidR="00D4122B" w:rsidRPr="00003C73">
        <w:rPr>
          <w:lang w:val="fr"/>
        </w:rPr>
        <w:t xml:space="preserve"> $US </w:t>
      </w:r>
      <w:r w:rsidRPr="00003C73">
        <w:rPr>
          <w:lang w:val="fr"/>
        </w:rPr>
        <w:t>par an au profit d'une unité de ge</w:t>
      </w:r>
      <w:r w:rsidR="00663B35">
        <w:rPr>
          <w:lang w:val="fr"/>
        </w:rPr>
        <w:t>stion de projet (UGP) et 20 000</w:t>
      </w:r>
      <w:r w:rsidR="00663B35" w:rsidRPr="00003C73">
        <w:rPr>
          <w:lang w:val="fr"/>
        </w:rPr>
        <w:t xml:space="preserve"> $US </w:t>
      </w:r>
      <w:r w:rsidRPr="00003C73">
        <w:rPr>
          <w:lang w:val="fr"/>
        </w:rPr>
        <w:t>pour une vérification indépendante annuelle de la destruction du HFC-23 à partir de 2022, ce qui porte les coûts de l'option 2 à 4 33</w:t>
      </w:r>
      <w:r w:rsidR="00663B35">
        <w:rPr>
          <w:lang w:val="fr"/>
        </w:rPr>
        <w:t>8 424</w:t>
      </w:r>
      <w:r w:rsidR="00663B35" w:rsidRPr="00003C73">
        <w:rPr>
          <w:lang w:val="fr"/>
        </w:rPr>
        <w:t> $US</w:t>
      </w:r>
      <w:r w:rsidRPr="00003C73">
        <w:rPr>
          <w:lang w:val="fr"/>
        </w:rPr>
        <w:t>. De plus, l'ONUDI a estimé que le coût de redémarrage de l'</w:t>
      </w:r>
      <w:r w:rsidRPr="00003C73">
        <w:rPr>
          <w:kern w:val="36"/>
          <w:lang w:val="fr"/>
        </w:rPr>
        <w:t>incinérateur devrait également inclure le manque à gagner résultant de la réduction de la production requise en vertu du Protocole de Montréal pour 2025-2029, sans chiffrer ces pertes</w:t>
      </w:r>
      <w:r w:rsidRPr="00003C73">
        <w:rPr>
          <w:lang w:val="fr"/>
        </w:rPr>
        <w:t xml:space="preserve">. </w:t>
      </w:r>
    </w:p>
    <w:p w14:paraId="6D60854C" w14:textId="361C41E4" w:rsidR="00003C73" w:rsidRPr="00EE541E" w:rsidRDefault="00003C73" w:rsidP="00003C73">
      <w:pPr>
        <w:numPr>
          <w:ilvl w:val="0"/>
          <w:numId w:val="1"/>
        </w:numPr>
        <w:spacing w:after="240"/>
        <w:outlineLvl w:val="0"/>
        <w:rPr>
          <w:lang w:val="fr-CA"/>
        </w:rPr>
      </w:pPr>
      <w:r w:rsidRPr="00003C73">
        <w:rPr>
          <w:lang w:val="fr"/>
        </w:rPr>
        <w:lastRenderedPageBreak/>
        <w:t>Le coût total de l'option 2, tel qu'évalué par le Secrétariat, s'élève à 1 265 128</w:t>
      </w:r>
      <w:r w:rsidR="00AD676F" w:rsidRPr="00003C73">
        <w:rPr>
          <w:lang w:val="fr"/>
        </w:rPr>
        <w:t xml:space="preserve"> $US </w:t>
      </w:r>
      <w:r w:rsidRPr="00003C73">
        <w:rPr>
          <w:lang w:val="fr"/>
        </w:rPr>
        <w:t>pour les surcoûts d'investissement et à 520 211</w:t>
      </w:r>
      <w:r w:rsidR="00663B35" w:rsidRPr="00003C73">
        <w:rPr>
          <w:lang w:val="fr"/>
        </w:rPr>
        <w:t xml:space="preserve"> $US </w:t>
      </w:r>
      <w:r w:rsidRPr="00003C73">
        <w:rPr>
          <w:lang w:val="fr"/>
        </w:rPr>
        <w:t>pour les surcoûts d'exploitation ; en y additionnant 20 000 $US par an pour la vérification indépendante à partir de 2022, le coût total s'élèverait à 1 945 339 $US ; le Secrétariat a demandé au Comité exécutif de lui fournir des directives pour savoir si les coûts de la vérification indépendante annuelle des quantités de HFC-23 par produit généré et détruit devraient être inclus dans les coûts d'appui d'agence ou dans les coûts du projet. Le Comité exécutif souhaitera peut-être en outre donner des orientations sur l'admissibilité d'une UGP dans le projet, notant qu'aucune UGP n'a été demandée pour le projet de contrôle du sous-produit HFC-23 au Mexique.</w:t>
      </w:r>
      <w:r w:rsidRPr="00003C73">
        <w:rPr>
          <w:vertAlign w:val="superscript"/>
          <w:lang w:val="fr"/>
        </w:rPr>
        <w:footnoteReference w:id="13"/>
      </w:r>
      <w:r w:rsidRPr="00003C73">
        <w:rPr>
          <w:lang w:val="fr"/>
        </w:rPr>
        <w:t xml:space="preserve"> Comme indiqué ci-dessus, le Secrétariat considère que le manque à gagner pour l'entreprise est nul. En outre, bien que le Comité exécutif ait décidé d'envisager d'éventuelles options économiquement sensées de compensation pour les usines mixtes produisant du HCFC-22 afin de permettre le respect des obligations de contrôle du sous-produit HFC-23, conformément à l'Amendement de Kigali (décision 79/47 (c)), il n'a pas décidé que ces usines étaient admissibles à l'élimination de la production de HCFC. En conséquence, le Secrétariat n'a inclus aucun manque à gagner issu </w:t>
      </w:r>
      <w:r w:rsidRPr="00003C73">
        <w:rPr>
          <w:kern w:val="36"/>
          <w:lang w:val="fr"/>
        </w:rPr>
        <w:t>de la réduction de production requise par le Protocole de Montréal pour 2025-2029.</w:t>
      </w:r>
    </w:p>
    <w:p w14:paraId="2AE69F62" w14:textId="77777777" w:rsidR="00003C73" w:rsidRPr="00EE541E" w:rsidRDefault="00003C73" w:rsidP="00003C73">
      <w:pPr>
        <w:keepNext/>
        <w:keepLines/>
        <w:spacing w:after="240"/>
        <w:outlineLvl w:val="0"/>
        <w:rPr>
          <w:b/>
          <w:lang w:val="fr-CA"/>
        </w:rPr>
      </w:pPr>
      <w:r w:rsidRPr="00003C73">
        <w:rPr>
          <w:b/>
          <w:lang w:val="fr"/>
        </w:rPr>
        <w:t>Vues exprimées par le Gouvernement argentin</w:t>
      </w:r>
    </w:p>
    <w:p w14:paraId="6C7D464B" w14:textId="77777777" w:rsidR="00003C73" w:rsidRPr="00EE541E" w:rsidRDefault="00003C73" w:rsidP="00003C73">
      <w:pPr>
        <w:keepNext/>
        <w:keepLines/>
        <w:rPr>
          <w:u w:val="single"/>
          <w:lang w:val="fr-CA"/>
        </w:rPr>
      </w:pPr>
      <w:r w:rsidRPr="00003C73">
        <w:rPr>
          <w:u w:val="single"/>
          <w:lang w:val="fr"/>
        </w:rPr>
        <w:t>Option 1 : Arrêt de la production de HCFC-22 à la FIASA</w:t>
      </w:r>
    </w:p>
    <w:p w14:paraId="1CFEA754" w14:textId="77777777" w:rsidR="00003C73" w:rsidRPr="00EE541E" w:rsidRDefault="00003C73" w:rsidP="00003C73">
      <w:pPr>
        <w:keepNext/>
        <w:keepLines/>
        <w:rPr>
          <w:lang w:val="fr-CA"/>
        </w:rPr>
      </w:pPr>
    </w:p>
    <w:p w14:paraId="7066138F" w14:textId="6F7A231D" w:rsidR="00003C73" w:rsidRPr="00EE541E" w:rsidRDefault="00003C73" w:rsidP="00003C73">
      <w:pPr>
        <w:keepNext/>
        <w:keepLines/>
        <w:widowControl w:val="0"/>
        <w:numPr>
          <w:ilvl w:val="0"/>
          <w:numId w:val="1"/>
        </w:numPr>
        <w:spacing w:after="240"/>
        <w:outlineLvl w:val="0"/>
        <w:rPr>
          <w:lang w:val="fr-CA"/>
        </w:rPr>
      </w:pPr>
      <w:r w:rsidRPr="00003C73">
        <w:rPr>
          <w:lang w:val="fr"/>
        </w:rPr>
        <w:t xml:space="preserve">Le Gouvernement argentin n'est pas en accord avec les évaluations faites par le Secrétariat et par le consultant indépendant (tableau 3) ; il considère que la production de HCFC-22 par la FIASA est rentable et le restera et, en conséquence, que la compensation pour l'arrêt de la production devrait être d'au moins </w:t>
      </w:r>
      <w:r w:rsidR="008E579E">
        <w:rPr>
          <w:lang w:val="fr"/>
        </w:rPr>
        <w:br/>
      </w:r>
      <w:r w:rsidRPr="00003C73">
        <w:rPr>
          <w:lang w:val="fr"/>
        </w:rPr>
        <w:t>6 millions de $US. Faute d'accord sur la fermeture de la FIASA, cette dernière continuerait à produire du HCFC-22 et ne commencerait à contrôler les émissions du sous-produit HFC-23 que lorsqu'un projet de contrôle de ces émissions serait financé par le Fonds multilatéral.</w:t>
      </w:r>
    </w:p>
    <w:p w14:paraId="1709512F" w14:textId="77777777" w:rsidR="00003C73" w:rsidRPr="00EE541E" w:rsidRDefault="00003C73" w:rsidP="00003C73">
      <w:pPr>
        <w:rPr>
          <w:b/>
          <w:lang w:val="fr-CA"/>
        </w:rPr>
      </w:pPr>
      <w:r w:rsidRPr="00003C73">
        <w:rPr>
          <w:b/>
          <w:lang w:val="fr"/>
        </w:rPr>
        <w:t>Tableau 3. Vues exprimées par le Gouvernement de l’Argentine et observations du Secrétariat</w:t>
      </w:r>
      <w:r w:rsidRPr="00003C73">
        <w:rPr>
          <w:b/>
          <w:vertAlign w:val="superscript"/>
          <w:lang w:val="fr"/>
        </w:rPr>
        <w:footnoteReference w:id="14"/>
      </w: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4675"/>
        <w:gridCol w:w="4675"/>
      </w:tblGrid>
      <w:tr w:rsidR="00003C73" w:rsidRPr="00003C73" w14:paraId="44C79666" w14:textId="77777777" w:rsidTr="00412039">
        <w:trPr>
          <w:trHeight w:val="197"/>
          <w:tblHeader/>
        </w:trPr>
        <w:tc>
          <w:tcPr>
            <w:tcW w:w="4675" w:type="dxa"/>
            <w:vAlign w:val="center"/>
          </w:tcPr>
          <w:p w14:paraId="5B7C31D8" w14:textId="77777777" w:rsidR="00003C73" w:rsidRPr="00003C73" w:rsidRDefault="00003C73" w:rsidP="00003C73">
            <w:pPr>
              <w:jc w:val="center"/>
              <w:rPr>
                <w:b/>
                <w:sz w:val="19"/>
                <w:szCs w:val="19"/>
                <w:lang w:val="en-CA"/>
              </w:rPr>
            </w:pPr>
            <w:r w:rsidRPr="00003C73">
              <w:rPr>
                <w:b/>
                <w:sz w:val="19"/>
                <w:szCs w:val="19"/>
                <w:lang w:val="fr"/>
              </w:rPr>
              <w:t>Gouvernement de l'Argentine</w:t>
            </w:r>
          </w:p>
        </w:tc>
        <w:tc>
          <w:tcPr>
            <w:tcW w:w="4675" w:type="dxa"/>
            <w:vAlign w:val="center"/>
          </w:tcPr>
          <w:p w14:paraId="46910708" w14:textId="77777777" w:rsidR="00003C73" w:rsidRPr="00003C73" w:rsidRDefault="00003C73" w:rsidP="00003C73">
            <w:pPr>
              <w:jc w:val="center"/>
              <w:rPr>
                <w:b/>
                <w:sz w:val="19"/>
                <w:szCs w:val="19"/>
                <w:lang w:val="en-CA"/>
              </w:rPr>
            </w:pPr>
            <w:r w:rsidRPr="00003C73">
              <w:rPr>
                <w:b/>
                <w:sz w:val="19"/>
                <w:szCs w:val="19"/>
                <w:lang w:val="fr"/>
              </w:rPr>
              <w:t>Secrétariat</w:t>
            </w:r>
          </w:p>
        </w:tc>
      </w:tr>
      <w:tr w:rsidR="00003C73" w:rsidRPr="0009775D" w14:paraId="29350084" w14:textId="77777777" w:rsidTr="00412039">
        <w:tc>
          <w:tcPr>
            <w:tcW w:w="4675" w:type="dxa"/>
          </w:tcPr>
          <w:p w14:paraId="37E18E63" w14:textId="77777777" w:rsidR="00003C73" w:rsidRPr="00EE541E" w:rsidRDefault="00003C73" w:rsidP="00003C73">
            <w:pPr>
              <w:rPr>
                <w:sz w:val="19"/>
                <w:szCs w:val="19"/>
                <w:lang w:val="fr-CA"/>
              </w:rPr>
            </w:pPr>
            <w:r w:rsidRPr="00003C73">
              <w:rPr>
                <w:sz w:val="19"/>
                <w:szCs w:val="19"/>
                <w:lang w:val="fr"/>
              </w:rPr>
              <w:t>L'audit technique de la FIASA, réalisé par le consultant indépendant et dûment mis à jour, dépend des projections de ventes de HCFC-22 dans l'avenir. Il convient de noter que seules les données des six dernières années ont été utilisées pour prédire une baisse des ventes ; si l'ont fait appel à des données sur une période plus longue (16 ans, en l'occurrence) les ventes devraient augmenter, comme le montrent les projections de la figure 1 ci-dessous</w:t>
            </w:r>
          </w:p>
        </w:tc>
        <w:tc>
          <w:tcPr>
            <w:tcW w:w="4675" w:type="dxa"/>
          </w:tcPr>
          <w:p w14:paraId="632042CE" w14:textId="77777777" w:rsidR="00003C73" w:rsidRPr="00EE541E" w:rsidRDefault="00003C73" w:rsidP="00003C73">
            <w:pPr>
              <w:rPr>
                <w:sz w:val="19"/>
                <w:szCs w:val="19"/>
                <w:lang w:val="fr-CA"/>
              </w:rPr>
            </w:pPr>
            <w:r w:rsidRPr="00003C73">
              <w:rPr>
                <w:sz w:val="19"/>
                <w:szCs w:val="19"/>
                <w:lang w:val="fr"/>
              </w:rPr>
              <w:t xml:space="preserve">La production de HCFC-22 antérieure à 2010 a été affectée par l'élimination des CFC qui est en cours, et la production et les ventes de HCFC-22 en 2008-2013 ont sans doute été considérablement affectées par les financements de la destruction du HFC-23 fournis dans le cadre du MDP. Par conséquent, il est statistiquement inapproprié d'utiliser des données de 2013 et antérieures lors de l'élaboration d'un modèle linéaire des ventes de HCFC-22 pour 2014 et au-delà </w:t>
            </w:r>
          </w:p>
          <w:p w14:paraId="67AFC6AE" w14:textId="77777777" w:rsidR="00003C73" w:rsidRPr="00EE541E" w:rsidRDefault="00003C73" w:rsidP="00003C73">
            <w:pPr>
              <w:rPr>
                <w:sz w:val="19"/>
                <w:szCs w:val="19"/>
                <w:lang w:val="fr-CA"/>
              </w:rPr>
            </w:pPr>
            <w:r w:rsidRPr="00003C73">
              <w:rPr>
                <w:sz w:val="19"/>
                <w:szCs w:val="19"/>
                <w:lang w:val="fr"/>
              </w:rPr>
              <w:t>Bien qu'un modèle linéaire de production de HCFC-22 utilisant des données de 2004 ou 2005 puisse suggérer une augmentation de la production de HCFC-22, l'utilisation de données commençant en 2006 ou par la suite montre à une tendance à la baisse</w:t>
            </w:r>
          </w:p>
          <w:p w14:paraId="5D65E5FD" w14:textId="77777777" w:rsidR="00003C73" w:rsidRPr="00EE541E" w:rsidRDefault="00003C73" w:rsidP="00003C73">
            <w:pPr>
              <w:rPr>
                <w:sz w:val="19"/>
                <w:szCs w:val="19"/>
                <w:lang w:val="fr-CA"/>
              </w:rPr>
            </w:pPr>
            <w:r w:rsidRPr="00003C73">
              <w:rPr>
                <w:sz w:val="19"/>
                <w:szCs w:val="19"/>
                <w:lang w:val="fr"/>
              </w:rPr>
              <w:t>La tendance à la baisse de la consommation de HCFC-22 en Argentine n'est pas anormale mais similaire à celle qu'on observe dans d'autres pays visés à l'Article 5 ; la poursuite de la mise en œuvre de la phase II du PGEH en Argentine devrait encore réduire la consommation de HCFC-22 dans le pays</w:t>
            </w:r>
          </w:p>
        </w:tc>
      </w:tr>
      <w:tr w:rsidR="00003C73" w:rsidRPr="0009775D" w14:paraId="43793356" w14:textId="77777777" w:rsidTr="00412039">
        <w:tc>
          <w:tcPr>
            <w:tcW w:w="4675" w:type="dxa"/>
          </w:tcPr>
          <w:p w14:paraId="7161871D" w14:textId="77777777" w:rsidR="00003C73" w:rsidRPr="00EE541E" w:rsidRDefault="00003C73" w:rsidP="00003C73">
            <w:pPr>
              <w:rPr>
                <w:sz w:val="19"/>
                <w:szCs w:val="19"/>
                <w:lang w:val="fr-CA"/>
              </w:rPr>
            </w:pPr>
            <w:r w:rsidRPr="00003C73">
              <w:rPr>
                <w:sz w:val="19"/>
                <w:szCs w:val="19"/>
                <w:lang w:val="fr"/>
              </w:rPr>
              <w:t xml:space="preserve">Le cycle économique de l'Argentine doit être pris en compte. La période de référence choisie par le consultant </w:t>
            </w:r>
            <w:r w:rsidRPr="00003C73">
              <w:rPr>
                <w:sz w:val="19"/>
                <w:szCs w:val="19"/>
                <w:lang w:val="fr"/>
              </w:rPr>
              <w:lastRenderedPageBreak/>
              <w:t>indépendant a été marquée par une récession économique qui a fait plonger les ventes. Une reprise de l'économie argentine influencera les ventes réalisées par l'entreprise à l'avenir</w:t>
            </w:r>
          </w:p>
        </w:tc>
        <w:tc>
          <w:tcPr>
            <w:tcW w:w="4675" w:type="dxa"/>
          </w:tcPr>
          <w:p w14:paraId="45896875" w14:textId="77777777" w:rsidR="00003C73" w:rsidRPr="00EE541E" w:rsidRDefault="00003C73" w:rsidP="00003C73">
            <w:pPr>
              <w:rPr>
                <w:sz w:val="19"/>
                <w:szCs w:val="19"/>
                <w:lang w:val="fr-CA"/>
              </w:rPr>
            </w:pPr>
            <w:r w:rsidRPr="00003C73">
              <w:rPr>
                <w:sz w:val="19"/>
                <w:szCs w:val="19"/>
                <w:lang w:val="fr"/>
              </w:rPr>
              <w:lastRenderedPageBreak/>
              <w:t xml:space="preserve">Une analyse de l'offre et de la demande basée sur des données existantes est conforme au cahier des charges des </w:t>
            </w:r>
            <w:r w:rsidRPr="00003C73">
              <w:rPr>
                <w:sz w:val="19"/>
                <w:szCs w:val="19"/>
                <w:lang w:val="fr"/>
              </w:rPr>
              <w:lastRenderedPageBreak/>
              <w:t>audits techniques en vigueur dans le secteur de la production et à la pratique antérieure pour ces audits. Ni le Secrétariat ni le consultant indépendant ne sont en mesure de faire des prévisions sur les tendances économiques de l'avenir, notamment le moment où l'économie argentine pourrait se redresser</w:t>
            </w:r>
          </w:p>
        </w:tc>
      </w:tr>
      <w:tr w:rsidR="00003C73" w:rsidRPr="0009775D" w14:paraId="48AE3CD2" w14:textId="77777777" w:rsidTr="00412039">
        <w:tc>
          <w:tcPr>
            <w:tcW w:w="4675" w:type="dxa"/>
          </w:tcPr>
          <w:p w14:paraId="1BB33420" w14:textId="77777777" w:rsidR="00003C73" w:rsidRPr="00EE541E" w:rsidRDefault="00003C73" w:rsidP="00003C73">
            <w:pPr>
              <w:rPr>
                <w:sz w:val="19"/>
                <w:szCs w:val="19"/>
                <w:lang w:val="fr-CA"/>
              </w:rPr>
            </w:pPr>
            <w:r w:rsidRPr="00003C73">
              <w:rPr>
                <w:sz w:val="19"/>
                <w:szCs w:val="19"/>
                <w:lang w:val="fr"/>
              </w:rPr>
              <w:lastRenderedPageBreak/>
              <w:t xml:space="preserve">On ne sait pas pourquoi le consultant indépendant  a utilisé le cours moyen du HCFC-22, alors que la FIASA a été en mesure d'augmenter ses prix même en pleine récession </w:t>
            </w:r>
          </w:p>
        </w:tc>
        <w:tc>
          <w:tcPr>
            <w:tcW w:w="4675" w:type="dxa"/>
          </w:tcPr>
          <w:p w14:paraId="44E366D9" w14:textId="77777777" w:rsidR="00003C73" w:rsidRPr="00EE541E" w:rsidRDefault="00003C73" w:rsidP="00003C73">
            <w:pPr>
              <w:rPr>
                <w:sz w:val="19"/>
                <w:szCs w:val="19"/>
                <w:lang w:val="fr-CA"/>
              </w:rPr>
            </w:pPr>
            <w:r w:rsidRPr="00003C73">
              <w:rPr>
                <w:sz w:val="19"/>
                <w:szCs w:val="19"/>
                <w:lang w:val="fr"/>
              </w:rPr>
              <w:t>Pour mener son audit technique actualisé, le consultant indépendant s'est basé sur le modèle élaboré par l'ONUDI,</w:t>
            </w:r>
            <w:r w:rsidRPr="00003C73">
              <w:rPr>
                <w:sz w:val="19"/>
                <w:szCs w:val="19"/>
                <w:vertAlign w:val="superscript"/>
                <w:lang w:val="fr"/>
              </w:rPr>
              <w:footnoteReference w:id="15"/>
            </w:r>
            <w:r w:rsidRPr="00003C73">
              <w:rPr>
                <w:sz w:val="19"/>
                <w:szCs w:val="19"/>
                <w:lang w:val="fr"/>
              </w:rPr>
              <w:t xml:space="preserve"> modifié conformément aux paramètres cités à l'alinéa 19 du document UNEP/OzL.Pro/ExCom/85/64. Le consultant indépendant a utilisé une approche cohérente pour estimer les paramètres du modèle, y compris le cours du HCFC</w:t>
            </w:r>
            <w:r w:rsidRPr="00003C73">
              <w:rPr>
                <w:sz w:val="19"/>
                <w:szCs w:val="19"/>
                <w:lang w:val="fr"/>
              </w:rPr>
              <w:noBreakHyphen/>
              <w:t>22, qui a constamment augmenté, ces dernières années, en pesos argentins par kg mais qui a connu des fluctuations en dollars US</w:t>
            </w:r>
            <w:r w:rsidRPr="00003C73">
              <w:rPr>
                <w:sz w:val="19"/>
                <w:szCs w:val="19"/>
                <w:vertAlign w:val="superscript"/>
                <w:lang w:val="fr"/>
              </w:rPr>
              <w:footnoteReference w:id="16"/>
            </w:r>
            <w:r w:rsidRPr="00003C73">
              <w:rPr>
                <w:sz w:val="19"/>
                <w:szCs w:val="19"/>
                <w:lang w:val="fr"/>
              </w:rPr>
              <w:t xml:space="preserve"> </w:t>
            </w:r>
          </w:p>
          <w:p w14:paraId="62ED67A6" w14:textId="77777777" w:rsidR="00003C73" w:rsidRPr="00EE541E" w:rsidRDefault="00003C73" w:rsidP="00003C73">
            <w:pPr>
              <w:rPr>
                <w:sz w:val="19"/>
                <w:szCs w:val="19"/>
                <w:lang w:val="fr-CA"/>
              </w:rPr>
            </w:pPr>
            <w:r w:rsidRPr="00003C73">
              <w:rPr>
                <w:sz w:val="19"/>
                <w:szCs w:val="19"/>
                <w:lang w:val="fr"/>
              </w:rPr>
              <w:t>Le consultant indépendant a utilisé la même approche pour estimer les paramètres du modèle, car toute prévision du cours à venir du HCFC-22 serait nécessairement spéculative</w:t>
            </w:r>
          </w:p>
        </w:tc>
      </w:tr>
      <w:tr w:rsidR="00003C73" w:rsidRPr="0009775D" w14:paraId="3A4ADD66" w14:textId="77777777" w:rsidTr="00412039">
        <w:tc>
          <w:tcPr>
            <w:tcW w:w="4675" w:type="dxa"/>
          </w:tcPr>
          <w:p w14:paraId="5F60253F" w14:textId="77777777" w:rsidR="00003C73" w:rsidRPr="00EE541E" w:rsidRDefault="00003C73" w:rsidP="00003C73">
            <w:pPr>
              <w:keepNext/>
              <w:keepLines/>
              <w:rPr>
                <w:sz w:val="19"/>
                <w:szCs w:val="19"/>
                <w:lang w:val="fr-CA"/>
              </w:rPr>
            </w:pPr>
            <w:r w:rsidRPr="00003C73">
              <w:rPr>
                <w:sz w:val="19"/>
                <w:szCs w:val="19"/>
                <w:lang w:val="fr"/>
              </w:rPr>
              <w:t>Le fonds de roulement net utilisé par le consultant indépendant a été calculé comme la somme des «  clients », des « stocks » et des « fournisseurs » ; cependant, les stocks devraient être considérés comme un actif, ce qui ramènerait quasiment à zéro les besoins de l'entreprise en fonds de roulement</w:t>
            </w:r>
          </w:p>
        </w:tc>
        <w:tc>
          <w:tcPr>
            <w:tcW w:w="4675" w:type="dxa"/>
          </w:tcPr>
          <w:p w14:paraId="0681BD61" w14:textId="77777777" w:rsidR="00003C73" w:rsidRPr="00EE541E" w:rsidRDefault="00003C73" w:rsidP="00003C73">
            <w:pPr>
              <w:keepNext/>
              <w:keepLines/>
              <w:rPr>
                <w:sz w:val="19"/>
                <w:szCs w:val="19"/>
                <w:lang w:val="fr-CA"/>
              </w:rPr>
            </w:pPr>
            <w:r w:rsidRPr="00003C73">
              <w:rPr>
                <w:sz w:val="19"/>
                <w:szCs w:val="19"/>
                <w:lang w:val="fr"/>
              </w:rPr>
              <w:t>Comme indiqué à l'alinéa 19 du document UNEP/OzL.Pro/ExCom/85/64, le consultant indépendant a notamment modifié le modèle de l'ONUDI en calculant le total des coûts variables directs grevant la production de HCFC-22 et calculé les rentrées sur la base des chiffres des ventes, conformément aux pratiques normalisées de modélisation des coûts. Cette modification a permis de refléter les ventes à venir des stocks de HCFC-22 détenus par l'entreprise dans les revenus de cette dernière, dont le modèle de l'ONUDI ne tenait pas compte.</w:t>
            </w:r>
          </w:p>
        </w:tc>
      </w:tr>
      <w:tr w:rsidR="00003C73" w:rsidRPr="0009775D" w14:paraId="0A7000D0" w14:textId="77777777" w:rsidTr="00412039">
        <w:tc>
          <w:tcPr>
            <w:tcW w:w="4675" w:type="dxa"/>
          </w:tcPr>
          <w:p w14:paraId="651C5D81" w14:textId="274214F7" w:rsidR="00003C73" w:rsidRPr="00EE541E" w:rsidRDefault="00003C73" w:rsidP="00003C73">
            <w:pPr>
              <w:rPr>
                <w:sz w:val="19"/>
                <w:szCs w:val="19"/>
                <w:lang w:val="fr-CA"/>
              </w:rPr>
            </w:pPr>
            <w:r w:rsidRPr="00003C73">
              <w:rPr>
                <w:sz w:val="19"/>
                <w:szCs w:val="19"/>
                <w:lang w:val="fr"/>
              </w:rPr>
              <w:t>La méthode utilisée par le consultant indépendant pour estimer les intérêts sur le fonds de roulement est incorrecte et surestime ce coût ; c'est le taux d'intérêt applicable aux prêts en devises établi par la base de données des statistiques financières internationales du Fonds monétaire international pour le deuxième trimestre 2020 qui aurait dû être appliqué, soit 5,17%</w:t>
            </w:r>
          </w:p>
          <w:p w14:paraId="0C3C1AB3" w14:textId="77777777" w:rsidR="00003C73" w:rsidRPr="00EE541E" w:rsidRDefault="00003C73" w:rsidP="00003C73">
            <w:pPr>
              <w:rPr>
                <w:sz w:val="19"/>
                <w:szCs w:val="19"/>
                <w:lang w:val="fr-CA"/>
              </w:rPr>
            </w:pPr>
            <w:r w:rsidRPr="00003C73">
              <w:rPr>
                <w:sz w:val="19"/>
                <w:szCs w:val="19"/>
                <w:lang w:val="fr"/>
              </w:rPr>
              <w:t>Lors de la projection du taux d'intérêt, il convient de tenir compte des récentes évolutions qu'a connues le scénario macroéconomique argentin à la suite de la restructuration réussie de la dette extérieure survenue en août 2020</w:t>
            </w:r>
          </w:p>
        </w:tc>
        <w:tc>
          <w:tcPr>
            <w:tcW w:w="4675" w:type="dxa"/>
          </w:tcPr>
          <w:p w14:paraId="78D8E9AA" w14:textId="77777777" w:rsidR="00003C73" w:rsidRPr="00EE541E" w:rsidRDefault="00003C73" w:rsidP="00003C73">
            <w:pPr>
              <w:rPr>
                <w:sz w:val="19"/>
                <w:szCs w:val="19"/>
                <w:lang w:val="fr-CA"/>
              </w:rPr>
            </w:pPr>
            <w:r w:rsidRPr="00003C73">
              <w:rPr>
                <w:sz w:val="19"/>
                <w:szCs w:val="19"/>
                <w:lang w:val="fr"/>
              </w:rPr>
              <w:t>Il est difficile de comptabiliser avec précision les intérêts de la FIASA sur le fonds de roulement, étant donné les fluctuations rapides des taux d'intérêt dans le pays et la dépréciation continue du peso argentin par rapport au dollar US. Le modèle élaboré par l'ONUDI a utilisé le dollar US pour estimer le fonds de roulement annuel ; par conséquent, la valeur de ce fonds de roulement n'est pas affectée par les fluctuations du taux de change. En revanche, les intérêts courant sur le fonds de roulement sont fonction des taux d'intérêt en vigueur dans le pays et du taux de change</w:t>
            </w:r>
          </w:p>
          <w:p w14:paraId="34891825" w14:textId="77777777" w:rsidR="00003C73" w:rsidRPr="00EE541E" w:rsidRDefault="00003C73" w:rsidP="00003C73">
            <w:pPr>
              <w:rPr>
                <w:sz w:val="19"/>
                <w:szCs w:val="19"/>
                <w:lang w:val="fr-CA"/>
              </w:rPr>
            </w:pPr>
            <w:r w:rsidRPr="00003C73">
              <w:rPr>
                <w:sz w:val="19"/>
                <w:szCs w:val="19"/>
                <w:lang w:val="fr"/>
              </w:rPr>
              <w:t>La conclusion à laquelle est parvenue le consultant indépendant, à savoir que la FIASA ne serait plus rentable en 2020 et au-delà, s'est faite indépendamment des intérêts applicables au fonds de roulement ; en d'autre termes la FIASA continuerait à fonctionner à perte, même si les taux d'intérêt devait tomber à zéro</w:t>
            </w:r>
          </w:p>
        </w:tc>
      </w:tr>
      <w:tr w:rsidR="00003C73" w:rsidRPr="0009775D" w14:paraId="3E4F00F5" w14:textId="77777777" w:rsidTr="00412039">
        <w:tc>
          <w:tcPr>
            <w:tcW w:w="4675" w:type="dxa"/>
          </w:tcPr>
          <w:p w14:paraId="05DBD5FA" w14:textId="77777777" w:rsidR="00003C73" w:rsidRPr="00EE541E" w:rsidRDefault="00003C73" w:rsidP="00003C73">
            <w:pPr>
              <w:rPr>
                <w:sz w:val="19"/>
                <w:szCs w:val="19"/>
                <w:lang w:val="fr-CA"/>
              </w:rPr>
            </w:pPr>
            <w:r w:rsidRPr="00003C73">
              <w:rPr>
                <w:sz w:val="19"/>
                <w:szCs w:val="19"/>
                <w:lang w:val="fr"/>
              </w:rPr>
              <w:t xml:space="preserve">L'évaluation du consultant indépendant, selon laquelle l'entreprise n'était plus viable financièrement, reposait sur des hypothèses erronées et non sur des faits, comme le démontrent les états financiers audités de l'entreprise pour 2019 selon lesquels cette dernière était rentable. Par conséquent, il n'a pas été possible d'accepter l'audit </w:t>
            </w:r>
            <w:r w:rsidRPr="00003C73">
              <w:rPr>
                <w:sz w:val="19"/>
                <w:szCs w:val="19"/>
                <w:lang w:val="fr"/>
              </w:rPr>
              <w:lastRenderedPageBreak/>
              <w:t>technique mis à jour comme une évaluation fiable de la situation économique de la FIASA</w:t>
            </w:r>
          </w:p>
        </w:tc>
        <w:tc>
          <w:tcPr>
            <w:tcW w:w="4675" w:type="dxa"/>
          </w:tcPr>
          <w:p w14:paraId="5DAC83F4" w14:textId="77777777" w:rsidR="00003C73" w:rsidRPr="00EE541E" w:rsidRDefault="00003C73" w:rsidP="00003C73">
            <w:pPr>
              <w:rPr>
                <w:sz w:val="19"/>
                <w:szCs w:val="19"/>
                <w:lang w:val="fr-CA"/>
              </w:rPr>
            </w:pPr>
            <w:r w:rsidRPr="00003C73">
              <w:rPr>
                <w:sz w:val="19"/>
                <w:szCs w:val="19"/>
                <w:lang w:val="fr"/>
              </w:rPr>
              <w:lastRenderedPageBreak/>
              <w:t xml:space="preserve">L'ONUDI a bel et bien fourni des états financiers vérifiés pour l'entreprise pour 2017-2019 démontrant que l'entreprise était rentable, mais ces états ne permettaient pas de ventiler les gains et les pertes aux différentes activités commerciales auxquelles se livre la FIASA, notamment la production de HCFC-22, la production d'acide nitrique et </w:t>
            </w:r>
            <w:r w:rsidRPr="00003C73">
              <w:rPr>
                <w:sz w:val="19"/>
                <w:szCs w:val="19"/>
                <w:lang w:val="fr"/>
              </w:rPr>
              <w:lastRenderedPageBreak/>
              <w:t>la commercialisation d'autres gaz réfrigérants. L'ONUDI a indiqué que la production de HCFC-22 était la partie la plus rentable des activités commerciales de la FIASA</w:t>
            </w:r>
          </w:p>
        </w:tc>
      </w:tr>
    </w:tbl>
    <w:p w14:paraId="77E47E42" w14:textId="77777777" w:rsidR="00003C73" w:rsidRPr="00EE541E" w:rsidRDefault="00003C73" w:rsidP="00003C73">
      <w:pPr>
        <w:rPr>
          <w:lang w:val="fr-CA"/>
        </w:rPr>
      </w:pPr>
    </w:p>
    <w:p w14:paraId="13CCA037" w14:textId="77777777" w:rsidR="00003C73" w:rsidRPr="00EE541E" w:rsidRDefault="00003C73" w:rsidP="00003C73">
      <w:pPr>
        <w:keepNext/>
        <w:jc w:val="center"/>
        <w:rPr>
          <w:b/>
          <w:lang w:val="fr-CA"/>
        </w:rPr>
      </w:pPr>
      <w:r w:rsidRPr="00003C73">
        <w:rPr>
          <w:b/>
          <w:lang w:val="fr"/>
        </w:rPr>
        <w:t>Figure 1. Ventes de HCFC-22 par la FIASA, 2004-2019</w:t>
      </w:r>
    </w:p>
    <w:p w14:paraId="2C2B29BC" w14:textId="77777777" w:rsidR="00003C73" w:rsidRPr="00003C73" w:rsidRDefault="00003C73" w:rsidP="00003C73">
      <w:pPr>
        <w:jc w:val="center"/>
        <w:rPr>
          <w:lang w:val="en-CA"/>
        </w:rPr>
      </w:pPr>
      <w:r w:rsidRPr="00003C73">
        <w:rPr>
          <w:noProof/>
          <w:lang w:val="en-US"/>
        </w:rPr>
        <w:drawing>
          <wp:inline distT="0" distB="0" distL="0" distR="0" wp14:anchorId="379389EF" wp14:editId="321F64CD">
            <wp:extent cx="5306993" cy="3271069"/>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EECDD47" w14:textId="77777777" w:rsidR="00003C73" w:rsidRPr="00003C73" w:rsidRDefault="00003C73" w:rsidP="00003C73">
      <w:pPr>
        <w:rPr>
          <w:lang w:val="en-CA"/>
        </w:rPr>
      </w:pPr>
    </w:p>
    <w:p w14:paraId="2FF1A750" w14:textId="77777777" w:rsidR="00003C73" w:rsidRPr="00EE541E" w:rsidRDefault="00003C73" w:rsidP="00003C73">
      <w:pPr>
        <w:rPr>
          <w:u w:val="single"/>
          <w:lang w:val="fr-CA"/>
        </w:rPr>
      </w:pPr>
      <w:r w:rsidRPr="00003C73">
        <w:rPr>
          <w:u w:val="single"/>
          <w:lang w:val="fr"/>
        </w:rPr>
        <w:t>Option 2: redémarrer l'incinérateur et poursuivre la production de HCFC-22</w:t>
      </w:r>
    </w:p>
    <w:p w14:paraId="64AC7C94" w14:textId="77777777" w:rsidR="00003C73" w:rsidRPr="00EE541E" w:rsidRDefault="00003C73" w:rsidP="00003C73">
      <w:pPr>
        <w:rPr>
          <w:u w:val="single"/>
          <w:lang w:val="fr-CA"/>
        </w:rPr>
      </w:pPr>
    </w:p>
    <w:p w14:paraId="483435C6" w14:textId="77777777" w:rsidR="00003C73" w:rsidRPr="00EE541E" w:rsidRDefault="00003C73" w:rsidP="00003C73">
      <w:pPr>
        <w:numPr>
          <w:ilvl w:val="0"/>
          <w:numId w:val="1"/>
        </w:numPr>
        <w:spacing w:after="240"/>
        <w:outlineLvl w:val="0"/>
        <w:rPr>
          <w:lang w:val="fr-CA"/>
        </w:rPr>
      </w:pPr>
      <w:r w:rsidRPr="00003C73">
        <w:rPr>
          <w:lang w:val="fr"/>
        </w:rPr>
        <w:t>Le Gouvernement n'a pas accepté les coûts évalués par le Secrétariat pour l'option 2, notamment en raison du fait que l'entièreté du calcul des coûts des projets aurait dû recourir à une seule devise, comme cela s'est fait dans tous les projets précédents dans le cadre du Fonds multilatéral, et non en mélangeant deux devises ; du fait que le Gouvernement ne saurait contraindre une entreprise à s'enregistrer comme productrice et exploitante de déchets dangereux, ce qui serait une condition préalable à la mis en place du réservoir cryogénique ; et du fait que, selon lui, les coûts de destruction calculés par le Secrétariat ne couvriraient pas les coûts réels. En conséquence, le Gouvernement argentin ne peut pas prendre d'engagements pour la destruction du HFC-23 si les coûts opérationnels ne sont pas acceptés tels que présentés.</w:t>
      </w:r>
    </w:p>
    <w:p w14:paraId="15FFB803" w14:textId="77777777" w:rsidR="00003C73" w:rsidRPr="00EE541E" w:rsidRDefault="00003C73" w:rsidP="00003C73">
      <w:pPr>
        <w:numPr>
          <w:ilvl w:val="0"/>
          <w:numId w:val="1"/>
        </w:numPr>
        <w:spacing w:after="240"/>
        <w:outlineLvl w:val="0"/>
        <w:rPr>
          <w:lang w:val="fr-CA"/>
        </w:rPr>
      </w:pPr>
      <w:r w:rsidRPr="00003C73">
        <w:rPr>
          <w:lang w:val="fr"/>
        </w:rPr>
        <w:t>Le Secrétariat prend note de ce qui suit :</w:t>
      </w:r>
    </w:p>
    <w:p w14:paraId="0E42FEB8" w14:textId="6A207E4B" w:rsidR="00003C73" w:rsidRPr="00EE541E" w:rsidRDefault="00003C73" w:rsidP="00D4122B">
      <w:pPr>
        <w:pStyle w:val="ListParagraph"/>
        <w:widowControl w:val="0"/>
        <w:numPr>
          <w:ilvl w:val="0"/>
          <w:numId w:val="26"/>
        </w:numPr>
        <w:spacing w:after="240"/>
        <w:ind w:left="1418" w:hanging="698"/>
        <w:outlineLvl w:val="1"/>
        <w:rPr>
          <w:lang w:val="fr-CA"/>
        </w:rPr>
      </w:pPr>
      <w:r w:rsidRPr="00D4122B">
        <w:rPr>
          <w:lang w:val="fr"/>
        </w:rPr>
        <w:t>Les crises économiques qui prévalaient dans le pays avant 2020, et qui ont été exacerbées par la pandémie à COVID-19 depuis 2020, ont considérablement affecté l'économie argentine (ce qui a eu pour conséquence une dévaluation continue du peso argentin par rapport au dollar US depuis la 83</w:t>
      </w:r>
      <w:r w:rsidRPr="00D4122B">
        <w:rPr>
          <w:vertAlign w:val="superscript"/>
          <w:lang w:val="fr"/>
        </w:rPr>
        <w:t>e</w:t>
      </w:r>
      <w:r w:rsidRPr="00D4122B">
        <w:rPr>
          <w:lang w:val="fr"/>
        </w:rPr>
        <w:t xml:space="preserve"> réunion (voir Annexe I), et une inflation de 53,5% et 37,8% pour 2019 et 2020, respectivement) ; en  conséquence, les coûts soumis à la </w:t>
      </w:r>
      <w:r w:rsidR="00D4122B">
        <w:rPr>
          <w:lang w:val="fr"/>
        </w:rPr>
        <w:br/>
      </w:r>
      <w:r w:rsidRPr="00D4122B">
        <w:rPr>
          <w:lang w:val="fr"/>
        </w:rPr>
        <w:t>83</w:t>
      </w:r>
      <w:r w:rsidRPr="00D4122B">
        <w:rPr>
          <w:vertAlign w:val="superscript"/>
          <w:lang w:val="fr"/>
        </w:rPr>
        <w:t>e</w:t>
      </w:r>
      <w:r w:rsidRPr="00D4122B">
        <w:rPr>
          <w:lang w:val="fr"/>
        </w:rPr>
        <w:t xml:space="preserve"> réunion, calculés selon les conditions sur place, ne sont plus réalistes. Dans ces circonstances extraordinaires, le Secrétariat a jugé pertinent de tenir compte des fluctuations du cours de change du peso argentin par rapport au dollar US et des effets de l'inflation ;</w:t>
      </w:r>
    </w:p>
    <w:p w14:paraId="039B7D0F" w14:textId="77777777" w:rsidR="00D4122B" w:rsidRPr="00EE541E" w:rsidRDefault="00D4122B" w:rsidP="00D4122B">
      <w:pPr>
        <w:pStyle w:val="ListParagraph"/>
        <w:widowControl w:val="0"/>
        <w:spacing w:after="240"/>
        <w:ind w:left="1080"/>
        <w:outlineLvl w:val="1"/>
        <w:rPr>
          <w:lang w:val="fr-CA"/>
        </w:rPr>
      </w:pPr>
    </w:p>
    <w:p w14:paraId="3B329217" w14:textId="7B325E96" w:rsidR="00003C73" w:rsidRPr="00EE541E" w:rsidRDefault="00003C73" w:rsidP="00D4122B">
      <w:pPr>
        <w:pStyle w:val="ListParagraph"/>
        <w:keepNext/>
        <w:keepLines/>
        <w:numPr>
          <w:ilvl w:val="0"/>
          <w:numId w:val="26"/>
        </w:numPr>
        <w:spacing w:after="240"/>
        <w:ind w:left="1418" w:hanging="709"/>
        <w:outlineLvl w:val="1"/>
        <w:rPr>
          <w:lang w:val="fr-CA"/>
        </w:rPr>
      </w:pPr>
      <w:r w:rsidRPr="00D4122B">
        <w:rPr>
          <w:lang w:val="fr"/>
        </w:rPr>
        <w:lastRenderedPageBreak/>
        <w:t xml:space="preserve">La principale différence entre les coûts estimés par le Secrétariat et ceux proposés par l'ONUDI tient à la réduction substantielle des coûts fixes de l'incinérateur, étant donné que le Secrétariat suppose que l'entreprise s'enregistrerait comme productrice et exploitante de déchets dangereux et, comme elle l'avait fait sous le MDP, utiliserait le réservoir cryogénique afin de permettre à l'incinérateur de fonctionner par phases ; et </w:t>
      </w:r>
    </w:p>
    <w:p w14:paraId="028C09F5" w14:textId="77777777" w:rsidR="00D4122B" w:rsidRPr="00EE541E" w:rsidRDefault="00D4122B" w:rsidP="00D4122B">
      <w:pPr>
        <w:pStyle w:val="ListParagraph"/>
        <w:rPr>
          <w:lang w:val="fr-CA"/>
        </w:rPr>
      </w:pPr>
    </w:p>
    <w:p w14:paraId="1E1B4D81" w14:textId="50A92DFC" w:rsidR="00003C73" w:rsidRPr="00EE541E" w:rsidRDefault="00003C73" w:rsidP="00D4122B">
      <w:pPr>
        <w:pStyle w:val="ListParagraph"/>
        <w:widowControl w:val="0"/>
        <w:numPr>
          <w:ilvl w:val="0"/>
          <w:numId w:val="26"/>
        </w:numPr>
        <w:spacing w:after="240"/>
        <w:ind w:left="1418" w:hanging="709"/>
        <w:outlineLvl w:val="1"/>
        <w:rPr>
          <w:lang w:val="fr-CA"/>
        </w:rPr>
      </w:pPr>
      <w:r w:rsidRPr="00D4122B">
        <w:rPr>
          <w:lang w:val="fr"/>
        </w:rPr>
        <w:t xml:space="preserve">La durée pendant laquelle les surcoûts d'exploitation devraient être compensés est une question d’orientation sur laquelle les membres du Comité exécutif ont exprimé des points de vue différents et pour laquelle le Secrétariat est demandeur de directives. En outre, sur la base des évaluations faites par le Secrétariat et par le consultant indépendant, selon lesquelles la production de HCFC-22 par la FIASA n'est plus viable sur le plan financier, le Secrétariat considère qu'il est peu probable que l'entreprise continue de produire du HCFC-22 jusqu'en 2029. Comme indiqué dans la proposition de projet soumise à la </w:t>
      </w:r>
      <w:r w:rsidR="00D4122B">
        <w:rPr>
          <w:lang w:val="fr"/>
        </w:rPr>
        <w:br/>
      </w:r>
      <w:r w:rsidRPr="00D4122B">
        <w:rPr>
          <w:lang w:val="fr"/>
        </w:rPr>
        <w:t>85</w:t>
      </w:r>
      <w:r w:rsidRPr="00D4122B">
        <w:rPr>
          <w:vertAlign w:val="superscript"/>
          <w:lang w:val="fr"/>
        </w:rPr>
        <w:t xml:space="preserve">e </w:t>
      </w:r>
      <w:r w:rsidRPr="00D4122B">
        <w:rPr>
          <w:lang w:val="fr"/>
        </w:rPr>
        <w:t>réunion, l'entreprise ne mettrait pas immédiatement fin à sa production de HCFC-22 ; elle pourrait au contraire continuer cette production à terme indéterminé tout en augmentant ses prix, imprimant ainsi un élan à une spirale où ces augmentations et les baisses de demande et de production s'entraîneront les unes les autres.</w:t>
      </w:r>
    </w:p>
    <w:p w14:paraId="18791CD7" w14:textId="77777777" w:rsidR="00003C73" w:rsidRPr="00003C73" w:rsidRDefault="00003C73" w:rsidP="00003C73">
      <w:pPr>
        <w:rPr>
          <w:b/>
          <w:lang w:val="en-CA"/>
        </w:rPr>
      </w:pPr>
      <w:r w:rsidRPr="00003C73">
        <w:rPr>
          <w:b/>
          <w:lang w:val="fr"/>
        </w:rPr>
        <w:t>Conclusion</w:t>
      </w:r>
    </w:p>
    <w:p w14:paraId="795428D0" w14:textId="77777777" w:rsidR="00003C73" w:rsidRPr="00003C73" w:rsidRDefault="00003C73" w:rsidP="00003C73">
      <w:pPr>
        <w:rPr>
          <w:lang w:val="en-CA"/>
        </w:rPr>
      </w:pPr>
    </w:p>
    <w:p w14:paraId="2CAEA30F" w14:textId="77777777" w:rsidR="00003C73" w:rsidRPr="00EE541E" w:rsidRDefault="00003C73" w:rsidP="00003C73">
      <w:pPr>
        <w:numPr>
          <w:ilvl w:val="0"/>
          <w:numId w:val="1"/>
        </w:numPr>
        <w:spacing w:after="240"/>
        <w:outlineLvl w:val="0"/>
        <w:rPr>
          <w:lang w:val="fr-CA"/>
        </w:rPr>
      </w:pPr>
      <w:r w:rsidRPr="00003C73">
        <w:rPr>
          <w:lang w:val="fr"/>
        </w:rPr>
        <w:t>Le Gouvernement de l'Argentine a été le premier pays visé à l'Article 5 à demander l'assistance du Fonds multilatéral pour le contrôle de ses émissions du sous-produit HFC-23. À la 80</w:t>
      </w:r>
      <w:r w:rsidRPr="00003C73">
        <w:rPr>
          <w:vertAlign w:val="superscript"/>
          <w:lang w:val="fr"/>
        </w:rPr>
        <w:t xml:space="preserve">e </w:t>
      </w:r>
      <w:r w:rsidRPr="00003C73">
        <w:rPr>
          <w:lang w:val="fr"/>
        </w:rPr>
        <w:t>réunion, le Gouvernement a fourni des données préliminaires pour fermer l'usine de production de HCFC-22 de la FIASA ;</w:t>
      </w:r>
      <w:r w:rsidRPr="00003C73">
        <w:rPr>
          <w:vertAlign w:val="superscript"/>
          <w:lang w:val="fr"/>
        </w:rPr>
        <w:footnoteReference w:id="17"/>
      </w:r>
      <w:r w:rsidRPr="00003C73">
        <w:rPr>
          <w:lang w:val="fr"/>
        </w:rPr>
        <w:t xml:space="preserve"> il a fourni des informations sur les différentes options offertes et tous les coûts et économies liés au contrôle du sous-produit HFC-23 à la 82</w:t>
      </w:r>
      <w:r w:rsidRPr="00003C73">
        <w:rPr>
          <w:vertAlign w:val="superscript"/>
          <w:lang w:val="fr"/>
        </w:rPr>
        <w:t xml:space="preserve">e </w:t>
      </w:r>
      <w:r w:rsidRPr="00003C73">
        <w:rPr>
          <w:lang w:val="fr"/>
        </w:rPr>
        <w:t>réunion</w:t>
      </w:r>
      <w:r w:rsidRPr="00003C73">
        <w:rPr>
          <w:vertAlign w:val="superscript"/>
          <w:lang w:val="fr"/>
        </w:rPr>
        <w:footnoteReference w:id="18"/>
      </w:r>
      <w:r w:rsidRPr="00003C73">
        <w:rPr>
          <w:lang w:val="fr"/>
        </w:rPr>
        <w:t> ; et il a soumis des propositions de projets pour le contrôle des émissions du sous-produit HFC-23 aux 83</w:t>
      </w:r>
      <w:r w:rsidRPr="00003C73">
        <w:rPr>
          <w:vertAlign w:val="superscript"/>
          <w:lang w:val="fr"/>
        </w:rPr>
        <w:t>e,</w:t>
      </w:r>
      <w:r w:rsidRPr="00003C73">
        <w:rPr>
          <w:lang w:val="fr"/>
        </w:rPr>
        <w:t xml:space="preserve"> 84</w:t>
      </w:r>
      <w:r w:rsidRPr="00003C73">
        <w:rPr>
          <w:vertAlign w:val="superscript"/>
          <w:lang w:val="fr"/>
        </w:rPr>
        <w:t xml:space="preserve">e </w:t>
      </w:r>
      <w:r w:rsidRPr="00003C73">
        <w:rPr>
          <w:lang w:val="fr"/>
        </w:rPr>
        <w:t>et 85</w:t>
      </w:r>
      <w:r w:rsidRPr="00003C73">
        <w:rPr>
          <w:vertAlign w:val="superscript"/>
          <w:lang w:val="fr"/>
        </w:rPr>
        <w:t>e</w:t>
      </w:r>
      <w:r w:rsidRPr="00003C73">
        <w:rPr>
          <w:lang w:val="fr"/>
        </w:rPr>
        <w:t xml:space="preserve"> réunions. Le Secrétariat note avec satisfaction que tout au long de cette période, le Gouvernement argentin lui a soumis des informations permettant leur examen et la présentation des documents connexes au Comité exécutif.</w:t>
      </w:r>
    </w:p>
    <w:p w14:paraId="42B234B7" w14:textId="77777777" w:rsidR="00003C73" w:rsidRPr="00EE541E" w:rsidRDefault="00003C73" w:rsidP="00003C73">
      <w:pPr>
        <w:keepNext/>
        <w:keepLines/>
        <w:widowControl w:val="0"/>
        <w:numPr>
          <w:ilvl w:val="0"/>
          <w:numId w:val="1"/>
        </w:numPr>
        <w:spacing w:after="240"/>
        <w:outlineLvl w:val="0"/>
        <w:rPr>
          <w:lang w:val="fr-CA"/>
        </w:rPr>
      </w:pPr>
      <w:r w:rsidRPr="00003C73">
        <w:rPr>
          <w:lang w:val="fr"/>
        </w:rPr>
        <w:t>Les obligations de conformité liées au contrôle des émissions du sous-produit HFC-23 sont entrées en vigueur le 1</w:t>
      </w:r>
      <w:r w:rsidRPr="00003C73">
        <w:rPr>
          <w:vertAlign w:val="superscript"/>
          <w:lang w:val="fr"/>
        </w:rPr>
        <w:t>er</w:t>
      </w:r>
      <w:r w:rsidRPr="00003C73">
        <w:rPr>
          <w:lang w:val="fr"/>
        </w:rPr>
        <w:t xml:space="preserve"> janvier 2020 ; l'approbation d'un projet pour l'Argentine à la réunion en cours permettrait au pays de revenir au plus vite au respect de ces obligations.</w:t>
      </w:r>
    </w:p>
    <w:p w14:paraId="499D2825" w14:textId="77777777" w:rsidR="00003C73" w:rsidRPr="00003C73" w:rsidRDefault="00003C73" w:rsidP="00003C73">
      <w:pPr>
        <w:rPr>
          <w:b/>
          <w:lang w:val="en-CA"/>
        </w:rPr>
      </w:pPr>
      <w:r w:rsidRPr="00003C73">
        <w:rPr>
          <w:b/>
          <w:lang w:val="fr"/>
        </w:rPr>
        <w:t xml:space="preserve">Recommandation </w:t>
      </w:r>
    </w:p>
    <w:p w14:paraId="2D1A0136" w14:textId="77777777" w:rsidR="00003C73" w:rsidRPr="00003C73" w:rsidRDefault="00003C73" w:rsidP="00003C73">
      <w:pPr>
        <w:rPr>
          <w:lang w:val="en-CA"/>
        </w:rPr>
      </w:pPr>
    </w:p>
    <w:p w14:paraId="59AD526D" w14:textId="77777777" w:rsidR="00003C73" w:rsidRPr="00EE541E" w:rsidRDefault="00003C73" w:rsidP="00003C73">
      <w:pPr>
        <w:numPr>
          <w:ilvl w:val="0"/>
          <w:numId w:val="1"/>
        </w:numPr>
        <w:spacing w:after="240"/>
        <w:outlineLvl w:val="0"/>
        <w:rPr>
          <w:lang w:val="fr-CA"/>
        </w:rPr>
      </w:pPr>
      <w:r w:rsidRPr="00003C73">
        <w:rPr>
          <w:lang w:val="fr"/>
        </w:rPr>
        <w:t xml:space="preserve">Le Comité exécutif pourrait souhaiter : </w:t>
      </w:r>
    </w:p>
    <w:p w14:paraId="69400952" w14:textId="43F06EFD" w:rsidR="00003C73" w:rsidRPr="00EE541E" w:rsidRDefault="00003C73" w:rsidP="00D4122B">
      <w:pPr>
        <w:pStyle w:val="ListParagraph"/>
        <w:widowControl w:val="0"/>
        <w:numPr>
          <w:ilvl w:val="0"/>
          <w:numId w:val="25"/>
        </w:numPr>
        <w:spacing w:after="240"/>
        <w:ind w:hanging="803"/>
        <w:outlineLvl w:val="1"/>
        <w:rPr>
          <w:lang w:val="fr-CA"/>
        </w:rPr>
      </w:pPr>
      <w:r w:rsidRPr="00D4122B">
        <w:rPr>
          <w:lang w:val="fr"/>
        </w:rPr>
        <w:t xml:space="preserve">Prendre note des principaux aspects liés aux technologies de contrôle du sous-produit </w:t>
      </w:r>
      <w:r w:rsidR="008E579E" w:rsidRPr="00D4122B">
        <w:rPr>
          <w:lang w:val="fr"/>
        </w:rPr>
        <w:br/>
      </w:r>
      <w:r w:rsidRPr="00D4122B">
        <w:rPr>
          <w:lang w:val="fr"/>
        </w:rPr>
        <w:t>HFC-23 : Argentine (décision 84/90) figurant dans le document UNEP/OzL.Pro/ExCom/86/95 ; et</w:t>
      </w:r>
    </w:p>
    <w:p w14:paraId="79DEA7D7" w14:textId="77777777" w:rsidR="00D4122B" w:rsidRPr="00EE541E" w:rsidRDefault="00D4122B" w:rsidP="00D4122B">
      <w:pPr>
        <w:pStyle w:val="ListParagraph"/>
        <w:widowControl w:val="0"/>
        <w:spacing w:after="240"/>
        <w:ind w:left="1512"/>
        <w:outlineLvl w:val="1"/>
        <w:rPr>
          <w:lang w:val="fr-CA"/>
        </w:rPr>
      </w:pPr>
    </w:p>
    <w:p w14:paraId="58B273F1" w14:textId="77777777" w:rsidR="00003C73" w:rsidRPr="00EE541E" w:rsidRDefault="00003C73" w:rsidP="00D4122B">
      <w:pPr>
        <w:pStyle w:val="ListParagraph"/>
        <w:widowControl w:val="0"/>
        <w:numPr>
          <w:ilvl w:val="0"/>
          <w:numId w:val="25"/>
        </w:numPr>
        <w:spacing w:after="240"/>
        <w:ind w:hanging="803"/>
        <w:outlineLvl w:val="1"/>
        <w:rPr>
          <w:lang w:val="fr-CA"/>
        </w:rPr>
      </w:pPr>
      <w:r w:rsidRPr="00D4122B">
        <w:rPr>
          <w:lang w:val="fr"/>
        </w:rPr>
        <w:t>Envisager d'approuver le financement d'un projet permettant au Gouvernement argentin de se conformer aux obligations de contrôle des émissions du sous-produit HFC-23 en vertu de l'Amendement de Kigali au Protocole de Montréal, l'ONUDI étant agence d'exécution principale.</w:t>
      </w:r>
    </w:p>
    <w:p w14:paraId="2E1D5D5D" w14:textId="77777777" w:rsidR="00003C73" w:rsidRPr="00EE541E" w:rsidRDefault="00003C73" w:rsidP="00663B35">
      <w:pPr>
        <w:rPr>
          <w:lang w:val="fr-CA"/>
        </w:rPr>
      </w:pPr>
    </w:p>
    <w:sectPr w:rsidR="00003C73" w:rsidRPr="00EE541E" w:rsidSect="00E04A88">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7879E" w14:textId="77777777" w:rsidR="00C54BCF" w:rsidRDefault="00C54BCF">
      <w:r>
        <w:separator/>
      </w:r>
    </w:p>
  </w:endnote>
  <w:endnote w:type="continuationSeparator" w:id="0">
    <w:p w14:paraId="2BBD444A" w14:textId="77777777" w:rsidR="00C54BCF" w:rsidRDefault="00C54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3506966"/>
      <w:docPartObj>
        <w:docPartGallery w:val="Page Numbers (Bottom of Page)"/>
        <w:docPartUnique/>
      </w:docPartObj>
    </w:sdtPr>
    <w:sdtEndPr>
      <w:rPr>
        <w:noProof/>
      </w:rPr>
    </w:sdtEndPr>
    <w:sdtContent>
      <w:p w14:paraId="1FE59ADD" w14:textId="23EA79ED" w:rsidR="00BE265E" w:rsidRDefault="00BE265E" w:rsidP="00BE265E">
        <w:pPr>
          <w:pStyle w:val="Footer"/>
          <w:jc w:val="center"/>
        </w:pPr>
        <w:r>
          <w:fldChar w:fldCharType="begin"/>
        </w:r>
        <w:r>
          <w:instrText xml:space="preserve"> PAGE   \* MERGEFORMAT </w:instrText>
        </w:r>
        <w:r>
          <w:fldChar w:fldCharType="separate"/>
        </w:r>
        <w:r w:rsidR="0009775D">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1258139"/>
      <w:docPartObj>
        <w:docPartGallery w:val="Page Numbers (Bottom of Page)"/>
        <w:docPartUnique/>
      </w:docPartObj>
    </w:sdtPr>
    <w:sdtEndPr>
      <w:rPr>
        <w:noProof/>
      </w:rPr>
    </w:sdtEndPr>
    <w:sdtContent>
      <w:p w14:paraId="4C003FD4" w14:textId="730D23E5" w:rsidR="00E04A88" w:rsidRDefault="00E04A88">
        <w:pPr>
          <w:pStyle w:val="Footer"/>
          <w:jc w:val="center"/>
        </w:pPr>
        <w:r>
          <w:fldChar w:fldCharType="begin"/>
        </w:r>
        <w:r>
          <w:instrText xml:space="preserve"> PAGE   \* MERGEFORMAT </w:instrText>
        </w:r>
        <w:r>
          <w:fldChar w:fldCharType="separate"/>
        </w:r>
        <w:r w:rsidR="0009775D">
          <w:rPr>
            <w:noProof/>
          </w:rPr>
          <w:t>5</w:t>
        </w:r>
        <w:r>
          <w:rPr>
            <w:noProof/>
          </w:rPr>
          <w:fldChar w:fldCharType="end"/>
        </w:r>
      </w:p>
    </w:sdtContent>
  </w:sdt>
  <w:p w14:paraId="726C1F7E" w14:textId="77777777" w:rsidR="00E04A88" w:rsidRDefault="00E04A8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54F39" w14:textId="77777777" w:rsidR="00BE265E" w:rsidRDefault="00BE265E" w:rsidP="00BE265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4EFE1CA" w14:textId="5C1514B0" w:rsidR="00441083" w:rsidRPr="00BE265E" w:rsidRDefault="00BE265E" w:rsidP="00BE265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FD7EF" w14:textId="77777777" w:rsidR="00C54BCF" w:rsidRDefault="00C54BCF">
      <w:r>
        <w:separator/>
      </w:r>
    </w:p>
  </w:footnote>
  <w:footnote w:type="continuationSeparator" w:id="0">
    <w:p w14:paraId="00877A1C" w14:textId="77777777" w:rsidR="00C54BCF" w:rsidRDefault="00C54BCF">
      <w:r>
        <w:continuationSeparator/>
      </w:r>
    </w:p>
  </w:footnote>
  <w:footnote w:id="1">
    <w:p w14:paraId="38DB21AD" w14:textId="0B01F9E9" w:rsidR="0021329A" w:rsidRPr="00BE265E" w:rsidRDefault="001A6821" w:rsidP="00EE541E">
      <w:pPr>
        <w:rPr>
          <w:sz w:val="20"/>
          <w:lang w:val="fr-CA" w:eastAsia="fr-FR"/>
        </w:rPr>
      </w:pPr>
      <w:r w:rsidRPr="00BE265E">
        <w:rPr>
          <w:rStyle w:val="FootnoteReference"/>
          <w:sz w:val="20"/>
        </w:rPr>
        <w:footnoteRef/>
      </w:r>
      <w:r w:rsidRPr="00BE265E">
        <w:rPr>
          <w:sz w:val="20"/>
          <w:lang w:val="fr-CA"/>
        </w:rPr>
        <w:t xml:space="preserve"> </w:t>
      </w:r>
      <w:r w:rsidR="00BE265E" w:rsidRPr="00BE265E">
        <w:rPr>
          <w:sz w:val="20"/>
          <w:lang w:val="fr-CA" w:eastAsia="fr-FR"/>
        </w:rPr>
        <w:t>A cause du coronavirus (C</w:t>
      </w:r>
      <w:r w:rsidR="00EE541E">
        <w:rPr>
          <w:sz w:val="20"/>
          <w:lang w:val="fr-CA" w:eastAsia="fr-FR"/>
        </w:rPr>
        <w:t>ovid</w:t>
      </w:r>
      <w:r w:rsidR="00BE265E" w:rsidRPr="00BE265E">
        <w:rPr>
          <w:sz w:val="20"/>
          <w:lang w:val="fr-CA" w:eastAsia="fr-FR"/>
        </w:rPr>
        <w:t>-19)</w:t>
      </w:r>
    </w:p>
  </w:footnote>
  <w:footnote w:id="2">
    <w:p w14:paraId="60305074" w14:textId="77777777" w:rsidR="00003C73" w:rsidRPr="00EE541E" w:rsidRDefault="00003C73" w:rsidP="00003C73">
      <w:pPr>
        <w:jc w:val="left"/>
        <w:rPr>
          <w:lang w:val="fr-CA"/>
        </w:rPr>
      </w:pPr>
      <w:r w:rsidRPr="00FE3307">
        <w:rPr>
          <w:rStyle w:val="FootnoteReference"/>
        </w:rPr>
        <w:footnoteRef/>
      </w:r>
      <w:r w:rsidRPr="00EE541E">
        <w:rPr>
          <w:lang w:val="fr-CA"/>
        </w:rPr>
        <w:t xml:space="preserve"> </w:t>
      </w:r>
      <w:r w:rsidRPr="00EE541E">
        <w:rPr>
          <w:sz w:val="20"/>
          <w:szCs w:val="20"/>
          <w:lang w:val="fr-CA"/>
        </w:rPr>
        <w:t>UNEP/OzL.Pro/ExCom/83/44.</w:t>
      </w:r>
    </w:p>
  </w:footnote>
  <w:footnote w:id="3">
    <w:p w14:paraId="388B52CD" w14:textId="0E68A523" w:rsidR="00003C73" w:rsidRDefault="00003C73" w:rsidP="00003C73">
      <w:pPr>
        <w:pStyle w:val="FootnoteText"/>
        <w:rPr>
          <w:lang w:val="fr"/>
        </w:rPr>
      </w:pPr>
      <w:r>
        <w:rPr>
          <w:rStyle w:val="FootnoteReference"/>
        </w:rPr>
        <w:footnoteRef/>
      </w:r>
      <w:r>
        <w:rPr>
          <w:lang w:val="fr"/>
        </w:rPr>
        <w:t xml:space="preserve"> UNEP/OzL.Pro/ExCom/83/71.</w:t>
      </w:r>
    </w:p>
    <w:p w14:paraId="5F93D69A" w14:textId="77777777" w:rsidR="00EE541E" w:rsidRPr="00EE541E" w:rsidRDefault="00EE541E" w:rsidP="00003C73">
      <w:pPr>
        <w:pStyle w:val="FootnoteText"/>
        <w:rPr>
          <w:lang w:val="fr-CA"/>
        </w:rPr>
      </w:pPr>
    </w:p>
  </w:footnote>
  <w:footnote w:id="4">
    <w:p w14:paraId="53F44216" w14:textId="77777777" w:rsidR="00003C73" w:rsidRPr="00EE541E" w:rsidRDefault="00003C73" w:rsidP="00003C73">
      <w:pPr>
        <w:pStyle w:val="FootnoteText"/>
        <w:rPr>
          <w:lang w:val="fr-CA"/>
        </w:rPr>
      </w:pPr>
      <w:r>
        <w:rPr>
          <w:rStyle w:val="FootnoteReference"/>
        </w:rPr>
        <w:footnoteRef/>
      </w:r>
      <w:r w:rsidRPr="00EE541E">
        <w:rPr>
          <w:lang w:val="fr-CA"/>
        </w:rPr>
        <w:t xml:space="preserve"> UNEP/OzL.Pro/ExCom/85/64.</w:t>
      </w:r>
    </w:p>
  </w:footnote>
  <w:footnote w:id="5">
    <w:p w14:paraId="5C9827FF" w14:textId="6776B542" w:rsidR="00003C73" w:rsidRPr="00EE541E" w:rsidRDefault="00003C73" w:rsidP="00003C73">
      <w:pPr>
        <w:pStyle w:val="FootnoteText"/>
        <w:rPr>
          <w:lang w:val="fr-CA"/>
        </w:rPr>
      </w:pPr>
      <w:r>
        <w:rPr>
          <w:rStyle w:val="FootnoteReference"/>
        </w:rPr>
        <w:footnoteRef/>
      </w:r>
      <w:r w:rsidRPr="00EE541E">
        <w:rPr>
          <w:lang w:val="fr-CA"/>
        </w:rPr>
        <w:t xml:space="preserve"> Suite à la pandémie de COVID-19, le Comité exécutif a décidé de reporter sa 85</w:t>
      </w:r>
      <w:r w:rsidRPr="00EE541E">
        <w:rPr>
          <w:vertAlign w:val="superscript"/>
          <w:lang w:val="fr-CA"/>
        </w:rPr>
        <w:t>e</w:t>
      </w:r>
      <w:r w:rsidRPr="00EE541E">
        <w:rPr>
          <w:lang w:val="fr-CA"/>
        </w:rPr>
        <w:t xml:space="preserve"> réunion, initialement prévue du</w:t>
      </w:r>
      <w:r w:rsidR="008E579E" w:rsidRPr="00EE541E">
        <w:rPr>
          <w:lang w:val="fr-CA"/>
        </w:rPr>
        <w:br/>
      </w:r>
      <w:r w:rsidRPr="00EE541E">
        <w:rPr>
          <w:lang w:val="fr-CA"/>
        </w:rPr>
        <w:t>25 au 29 mai 2020, et de la tenir en parallèle avec la 86</w:t>
      </w:r>
      <w:r w:rsidRPr="00EE541E">
        <w:rPr>
          <w:vertAlign w:val="superscript"/>
          <w:lang w:val="fr-CA"/>
        </w:rPr>
        <w:t>e</w:t>
      </w:r>
      <w:r w:rsidRPr="00EE541E">
        <w:rPr>
          <w:lang w:val="fr-CA"/>
        </w:rPr>
        <w:t xml:space="preserve"> réunion, en novembre 2020. Afin d'assurer la continuité des activités liées au respect des obligations dans les pays visés à l'article 5 et de réduire sa charge de travail lorsqu'il se réunit, le Comité exécutif a décidé de mettre en œuvre un processus d'approbation intersessions pour les projets et activités qui devaient être soumis à la 85</w:t>
      </w:r>
      <w:r w:rsidRPr="00EE541E">
        <w:rPr>
          <w:vertAlign w:val="superscript"/>
          <w:lang w:val="fr-CA"/>
        </w:rPr>
        <w:t>e</w:t>
      </w:r>
      <w:r w:rsidRPr="00EE541E">
        <w:rPr>
          <w:lang w:val="fr-CA"/>
        </w:rPr>
        <w:t xml:space="preserve"> réunion ; les points de l'ordre du jour qui n'ont pas été examinés pendant la période intersessions seront inscrits à l'ordre du jour de la 86</w:t>
      </w:r>
      <w:r w:rsidRPr="00EE541E">
        <w:rPr>
          <w:vertAlign w:val="superscript"/>
          <w:lang w:val="fr-CA"/>
        </w:rPr>
        <w:t>e</w:t>
      </w:r>
      <w:r w:rsidRPr="00EE541E">
        <w:rPr>
          <w:lang w:val="fr-CA"/>
        </w:rPr>
        <w:t xml:space="preserve"> réunion. Compte tenu de l'évolution de la pandémie, le Comité exécutif a en outre reporté les deux réunions à mars 2021.</w:t>
      </w:r>
    </w:p>
  </w:footnote>
  <w:footnote w:id="6">
    <w:p w14:paraId="544351F4" w14:textId="704A0634" w:rsidR="00003C73" w:rsidRPr="00EE541E" w:rsidRDefault="00003C73" w:rsidP="00003C73">
      <w:pPr>
        <w:pStyle w:val="FootnoteText"/>
        <w:rPr>
          <w:lang w:val="fr-CA"/>
        </w:rPr>
      </w:pPr>
      <w:r>
        <w:rPr>
          <w:rStyle w:val="FootnoteReference"/>
        </w:rPr>
        <w:footnoteRef/>
      </w:r>
      <w:r w:rsidRPr="00EE541E">
        <w:rPr>
          <w:lang w:val="fr-CA"/>
        </w:rPr>
        <w:t> </w:t>
      </w:r>
      <w:hyperlink r:id="rId1" w:history="1">
        <w:r w:rsidRPr="00EE541E">
          <w:rPr>
            <w:rStyle w:val="Hyperlink"/>
            <w:lang w:val="fr-CA"/>
          </w:rPr>
          <w:t>https://openknowledge.worldbank.org/bitstream/handle/10986/34710/9781464816123-Ch01.pdf</w:t>
        </w:r>
      </w:hyperlink>
      <w:r w:rsidRPr="00EE541E">
        <w:rPr>
          <w:lang w:val="fr-CA"/>
        </w:rPr>
        <w:t xml:space="preserve">, consulté le </w:t>
      </w:r>
      <w:r w:rsidRPr="00EE541E">
        <w:rPr>
          <w:lang w:val="fr-CA"/>
        </w:rPr>
        <w:br/>
        <w:t>21 janvier 2021.</w:t>
      </w:r>
    </w:p>
  </w:footnote>
  <w:footnote w:id="7">
    <w:p w14:paraId="35ABE232" w14:textId="297C98F2" w:rsidR="00003C73" w:rsidRPr="00EE541E" w:rsidRDefault="00003C73" w:rsidP="00003C73">
      <w:pPr>
        <w:pStyle w:val="FootnoteText"/>
        <w:rPr>
          <w:lang w:val="fr-CA"/>
        </w:rPr>
      </w:pPr>
      <w:r>
        <w:rPr>
          <w:rStyle w:val="FootnoteReference"/>
        </w:rPr>
        <w:footnoteRef/>
      </w:r>
      <w:r w:rsidRPr="00EE541E">
        <w:rPr>
          <w:lang w:val="fr-CA"/>
        </w:rPr>
        <w:t xml:space="preserve"> Au 25 janvier 2021, le peso argentin a dévalué de 23% supplémentaires par rapport au taux de change du dollar US au 1</w:t>
      </w:r>
      <w:r w:rsidRPr="00EE541E">
        <w:rPr>
          <w:vertAlign w:val="superscript"/>
          <w:lang w:val="fr-CA"/>
        </w:rPr>
        <w:t>er</w:t>
      </w:r>
      <w:r w:rsidRPr="00EE541E">
        <w:rPr>
          <w:lang w:val="fr-CA"/>
        </w:rPr>
        <w:t xml:space="preserve"> mai 2020 et de 70% de sa valeur par rapport au taux de change moyen de 2018 (UNEP/OzL.Pro/ExCom/83/44). Voir l'annexe I au présent document.</w:t>
      </w:r>
    </w:p>
  </w:footnote>
  <w:footnote w:id="8">
    <w:p w14:paraId="1E1168DD" w14:textId="77777777" w:rsidR="00003C73" w:rsidRPr="00EE541E" w:rsidRDefault="00003C73" w:rsidP="00003C73">
      <w:pPr>
        <w:pStyle w:val="FootnoteText"/>
        <w:rPr>
          <w:lang w:val="fr-CA"/>
        </w:rPr>
      </w:pPr>
      <w:r>
        <w:rPr>
          <w:rStyle w:val="FootnoteReference"/>
        </w:rPr>
        <w:footnoteRef/>
      </w:r>
      <w:r w:rsidRPr="00EE541E">
        <w:rPr>
          <w:lang w:val="fr-CA"/>
        </w:rPr>
        <w:t xml:space="preserve"> UNEP/OzL.Pro/ExCom/84/71</w:t>
      </w:r>
    </w:p>
  </w:footnote>
  <w:footnote w:id="9">
    <w:p w14:paraId="1CF0B1D1" w14:textId="193A76A9" w:rsidR="00003C73" w:rsidRPr="00EE541E" w:rsidRDefault="00003C73" w:rsidP="00003C73">
      <w:pPr>
        <w:pStyle w:val="FootnoteText"/>
        <w:rPr>
          <w:lang w:val="fr-CA"/>
        </w:rPr>
      </w:pPr>
      <w:r>
        <w:rPr>
          <w:rStyle w:val="FootnoteReference"/>
        </w:rPr>
        <w:footnoteRef/>
      </w:r>
      <w:r w:rsidRPr="00EE541E">
        <w:rPr>
          <w:lang w:val="fr-CA"/>
        </w:rPr>
        <w:t xml:space="preserve"> Sur la base du taux de change en vigueur au moment de la rédaction finale du présent document, soit 86,91 pesos argentins pour un dollar US (25 janvier 2021), et constatant que le décret imposant un doublement de l'indemnisation des salariés licenciés sans justes motifs a été prorogé jusqu'</w:t>
      </w:r>
      <w:r w:rsidRPr="00EE541E">
        <w:rPr>
          <w:kern w:val="36"/>
          <w:lang w:val="fr-CA"/>
        </w:rPr>
        <w:t xml:space="preserve">au 25 janvier 2021, cette indemnité </w:t>
      </w:r>
      <w:r w:rsidR="009E41C8" w:rsidRPr="00EE541E">
        <w:rPr>
          <w:lang w:val="fr-CA"/>
        </w:rPr>
        <w:t xml:space="preserve">s'élèverait à </w:t>
      </w:r>
      <w:r w:rsidR="009E41C8" w:rsidRPr="00EE541E">
        <w:rPr>
          <w:lang w:val="fr-CA"/>
        </w:rPr>
        <w:br/>
        <w:t>1 628 811</w:t>
      </w:r>
      <w:r w:rsidR="009E41C8" w:rsidRPr="00003C73">
        <w:rPr>
          <w:lang w:val="fr"/>
        </w:rPr>
        <w:t> $US</w:t>
      </w:r>
      <w:r w:rsidRPr="00EE541E">
        <w:rPr>
          <w:lang w:val="fr-CA"/>
        </w:rPr>
        <w:t>. Toutefois, si le décret devait ne pas être prorogé au-delà du 25 janvier 2021, l'indemnité de départ pourrait se révéler moins élevée.</w:t>
      </w:r>
    </w:p>
  </w:footnote>
  <w:footnote w:id="10">
    <w:p w14:paraId="58E255FF" w14:textId="77777777" w:rsidR="00003C73" w:rsidRPr="00EE541E" w:rsidRDefault="00003C73" w:rsidP="00003C73">
      <w:pPr>
        <w:pStyle w:val="FootnoteText"/>
        <w:rPr>
          <w:lang w:val="fr-CA"/>
        </w:rPr>
      </w:pPr>
      <w:r>
        <w:rPr>
          <w:rStyle w:val="FootnoteReference"/>
        </w:rPr>
        <w:footnoteRef/>
      </w:r>
      <w:r w:rsidRPr="00EE541E">
        <w:rPr>
          <w:lang w:val="fr-CA"/>
        </w:rPr>
        <w:t xml:space="preserve"> L'ONUDI a accepté une date de début de destruction fixée au 1er octobre 2021 à des fins de planification uniquement.</w:t>
      </w:r>
    </w:p>
  </w:footnote>
  <w:footnote w:id="11">
    <w:p w14:paraId="7E0A04E1" w14:textId="0274B158" w:rsidR="00003C73" w:rsidRPr="00EE541E" w:rsidRDefault="00003C73" w:rsidP="00003C73">
      <w:pPr>
        <w:pStyle w:val="FootnoteText"/>
        <w:rPr>
          <w:lang w:val="fr-CA"/>
        </w:rPr>
      </w:pPr>
      <w:r>
        <w:rPr>
          <w:rStyle w:val="FootnoteReference"/>
        </w:rPr>
        <w:footnoteRef/>
      </w:r>
      <w:r w:rsidRPr="00EE541E">
        <w:rPr>
          <w:lang w:val="fr-CA"/>
        </w:rPr>
        <w:t xml:space="preserve"> En supposant une production maximale de HCFC-22 à 1 540 tonnes par an et un taux de production de sous-produit de 3,24%, la quantité totale de HFC-23 à détruire serait de 50 tonnes ; compte tenu de la capacité de l'incinérateur, cette quantité pourrait être détruite en un mois.</w:t>
      </w:r>
    </w:p>
  </w:footnote>
  <w:footnote w:id="12">
    <w:p w14:paraId="616A257F" w14:textId="24066457" w:rsidR="00003C73" w:rsidRPr="00EE541E" w:rsidRDefault="00003C73" w:rsidP="00003C73">
      <w:pPr>
        <w:pStyle w:val="FootnoteText"/>
        <w:rPr>
          <w:lang w:val="fr-CA"/>
        </w:rPr>
      </w:pPr>
      <w:r>
        <w:rPr>
          <w:rStyle w:val="FootnoteReference"/>
        </w:rPr>
        <w:footnoteRef/>
      </w:r>
      <w:r w:rsidRPr="00EE541E">
        <w:rPr>
          <w:lang w:val="fr-CA"/>
        </w:rPr>
        <w:t xml:space="preserve"> La phase II du PGEH pour l'Argentine prévoit 8 333</w:t>
      </w:r>
      <w:r w:rsidR="00400623" w:rsidRPr="00003C73">
        <w:rPr>
          <w:lang w:val="fr"/>
        </w:rPr>
        <w:t> $US</w:t>
      </w:r>
      <w:r w:rsidR="00400623" w:rsidRPr="00EE541E">
        <w:rPr>
          <w:lang w:val="fr-CA"/>
        </w:rPr>
        <w:t xml:space="preserve"> </w:t>
      </w:r>
      <w:r w:rsidRPr="00EE541E">
        <w:rPr>
          <w:lang w:val="fr-CA"/>
        </w:rPr>
        <w:t xml:space="preserve">par an pour la surveillance annuelle de la production et des stocks de HCFC-22, et la vérification </w:t>
      </w:r>
      <w:r w:rsidRPr="00EE541E">
        <w:rPr>
          <w:i/>
          <w:lang w:val="fr-CA"/>
        </w:rPr>
        <w:t>in situ</w:t>
      </w:r>
      <w:r w:rsidRPr="00EE541E">
        <w:rPr>
          <w:lang w:val="fr-CA"/>
        </w:rPr>
        <w:t xml:space="preserve"> par des experts ; aux termes de l'accord passé entre le Gouvernement argentin et le Comité exécutif, la phase II du PGEH sera achevée en 2022. La surveillance et la vérification des émissions de sous-produit HFC-23 seraient une tâche supplémentaire.</w:t>
      </w:r>
    </w:p>
  </w:footnote>
  <w:footnote w:id="13">
    <w:p w14:paraId="402D596B" w14:textId="77777777" w:rsidR="00003C73" w:rsidRPr="00EE541E" w:rsidRDefault="00003C73" w:rsidP="00003C73">
      <w:pPr>
        <w:pStyle w:val="FootnoteText"/>
        <w:rPr>
          <w:lang w:val="fr-CA"/>
        </w:rPr>
      </w:pPr>
      <w:r>
        <w:rPr>
          <w:rStyle w:val="FootnoteReference"/>
        </w:rPr>
        <w:footnoteRef/>
      </w:r>
      <w:r w:rsidRPr="00EE541E">
        <w:rPr>
          <w:lang w:val="fr-CA"/>
        </w:rPr>
        <w:t xml:space="preserve"> UNEP/OzL.Pro/ExCom/86/96.</w:t>
      </w:r>
    </w:p>
  </w:footnote>
  <w:footnote w:id="14">
    <w:p w14:paraId="26CC475F" w14:textId="77777777" w:rsidR="00003C73" w:rsidRPr="00EE541E" w:rsidRDefault="00003C73" w:rsidP="00003C73">
      <w:pPr>
        <w:pStyle w:val="FootnoteText"/>
        <w:rPr>
          <w:lang w:val="fr-CA"/>
        </w:rPr>
      </w:pPr>
      <w:r>
        <w:rPr>
          <w:rStyle w:val="FootnoteReference"/>
        </w:rPr>
        <w:footnoteRef/>
      </w:r>
      <w:r w:rsidRPr="00EE541E">
        <w:rPr>
          <w:lang w:val="fr-CA"/>
        </w:rPr>
        <w:t xml:space="preserve"> Le Secrétariat a discuté de toutes les questions soulevées par le Gouvernement argentin avec son consultant indépendant. Les réponses fournies dans le tableau reflètent ces discussions. </w:t>
      </w:r>
    </w:p>
  </w:footnote>
  <w:footnote w:id="15">
    <w:p w14:paraId="05DAD7C4" w14:textId="77777777" w:rsidR="00003C73" w:rsidRPr="00EE541E" w:rsidRDefault="00003C73" w:rsidP="00003C73">
      <w:pPr>
        <w:pStyle w:val="FootnoteText"/>
        <w:rPr>
          <w:lang w:val="fr-CA"/>
        </w:rPr>
      </w:pPr>
      <w:r>
        <w:rPr>
          <w:rStyle w:val="FootnoteReference"/>
        </w:rPr>
        <w:footnoteRef/>
      </w:r>
      <w:r w:rsidRPr="00EE541E">
        <w:rPr>
          <w:lang w:val="fr-CA"/>
        </w:rPr>
        <w:t xml:space="preserve"> L'audit technique confidentiel mis à jour par le consultant indépendant est à la disposition des membres du Comité exécutif sur simple demande.</w:t>
      </w:r>
    </w:p>
  </w:footnote>
  <w:footnote w:id="16">
    <w:p w14:paraId="37941BEC" w14:textId="77777777" w:rsidR="00003C73" w:rsidRPr="00EE541E" w:rsidRDefault="00003C73" w:rsidP="00003C73">
      <w:pPr>
        <w:pStyle w:val="FootnoteText"/>
        <w:rPr>
          <w:lang w:val="fr-CA"/>
        </w:rPr>
      </w:pPr>
      <w:r>
        <w:rPr>
          <w:rStyle w:val="FootnoteReference"/>
        </w:rPr>
        <w:footnoteRef/>
      </w:r>
      <w:r w:rsidRPr="00EE541E">
        <w:rPr>
          <w:lang w:val="fr-CA"/>
        </w:rPr>
        <w:t xml:space="preserve"> Informations confidentielles disponibles sur demande des membres du Comité exécutif.</w:t>
      </w:r>
    </w:p>
  </w:footnote>
  <w:footnote w:id="17">
    <w:p w14:paraId="47FFFC88" w14:textId="77777777" w:rsidR="00003C73" w:rsidRPr="00EE541E" w:rsidRDefault="00003C73" w:rsidP="00003C73">
      <w:pPr>
        <w:pStyle w:val="FootnoteText"/>
        <w:rPr>
          <w:lang w:val="fr-CA"/>
        </w:rPr>
      </w:pPr>
      <w:r>
        <w:rPr>
          <w:rStyle w:val="FootnoteReference"/>
        </w:rPr>
        <w:footnoteRef/>
      </w:r>
      <w:r w:rsidRPr="00EE541E">
        <w:rPr>
          <w:lang w:val="fr-CA"/>
        </w:rPr>
        <w:t xml:space="preserve"> UNEP/OzL.Pro/ExCom/80/56.</w:t>
      </w:r>
    </w:p>
  </w:footnote>
  <w:footnote w:id="18">
    <w:p w14:paraId="4287D867" w14:textId="77777777" w:rsidR="00003C73" w:rsidRPr="00EE541E" w:rsidRDefault="00003C73" w:rsidP="00003C73">
      <w:pPr>
        <w:pStyle w:val="FootnoteText"/>
        <w:rPr>
          <w:lang w:val="fr-CA"/>
        </w:rPr>
      </w:pPr>
      <w:r>
        <w:rPr>
          <w:rStyle w:val="FootnoteReference"/>
        </w:rPr>
        <w:footnoteRef/>
      </w:r>
      <w:r w:rsidRPr="00EE541E">
        <w:rPr>
          <w:lang w:val="fr-CA"/>
        </w:rPr>
        <w:t xml:space="preserve"> UNEP/OzL.Pro/ExCom/82/69.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1702B" w14:textId="23363266" w:rsidR="00BE265E" w:rsidRDefault="0009775D" w:rsidP="00BE265E">
    <w:pPr>
      <w:jc w:val="left"/>
    </w:pPr>
    <w:r>
      <w:fldChar w:fldCharType="begin"/>
    </w:r>
    <w:r>
      <w:instrText xml:space="preserve"> DOCPROPERTY "</w:instrText>
    </w:r>
    <w:r>
      <w:instrText xml:space="preserve">Document number"  \* MERGEFORMAT </w:instrText>
    </w:r>
    <w:r>
      <w:fldChar w:fldCharType="separate"/>
    </w:r>
    <w:r w:rsidR="00E04A88">
      <w:t>UNEP/OzL.Pro/ExCom/86/95</w:t>
    </w:r>
    <w:r>
      <w:fldChar w:fldCharType="end"/>
    </w:r>
  </w:p>
  <w:p w14:paraId="4C50950F" w14:textId="29E9123D" w:rsidR="00BE265E" w:rsidRDefault="00BE265E">
    <w:pPr>
      <w:pStyle w:val="Header"/>
    </w:pPr>
  </w:p>
  <w:p w14:paraId="6D6D8839" w14:textId="77777777" w:rsidR="00BE265E" w:rsidRDefault="00BE265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40ABE" w14:textId="77777777" w:rsidR="00E04A88" w:rsidRDefault="0009775D" w:rsidP="00E04A88">
    <w:pPr>
      <w:jc w:val="right"/>
    </w:pPr>
    <w:r>
      <w:fldChar w:fldCharType="begin"/>
    </w:r>
    <w:r>
      <w:instrText xml:space="preserve"> DOCPROPERTY "Document number"  \* MERGEFORMAT </w:instrText>
    </w:r>
    <w:r>
      <w:fldChar w:fldCharType="separate"/>
    </w:r>
    <w:r w:rsidR="00E04A88">
      <w:t>UNEP/OzL.Pro/ExCom/86/95</w:t>
    </w:r>
    <w:r>
      <w:fldChar w:fldCharType="end"/>
    </w:r>
  </w:p>
  <w:p w14:paraId="75A5F92D" w14:textId="2AC50F80" w:rsidR="00E04A88" w:rsidRDefault="00E04A88">
    <w:pPr>
      <w:pStyle w:val="Header"/>
    </w:pPr>
  </w:p>
  <w:p w14:paraId="64F07E2F" w14:textId="77777777" w:rsidR="00231312" w:rsidRDefault="0023131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053E69"/>
    <w:multiLevelType w:val="hybridMultilevel"/>
    <w:tmpl w:val="44280BFA"/>
    <w:lvl w:ilvl="0" w:tplc="9E9E8FC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E1C406B"/>
    <w:multiLevelType w:val="hybridMultilevel"/>
    <w:tmpl w:val="FB88188C"/>
    <w:lvl w:ilvl="0" w:tplc="9E9E8FC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0C41842"/>
    <w:multiLevelType w:val="hybridMultilevel"/>
    <w:tmpl w:val="4134FD70"/>
    <w:lvl w:ilvl="0" w:tplc="9E9E8FC0">
      <w:start w:val="1"/>
      <w:numFmt w:val="lowerLetter"/>
      <w:lvlText w:val="(%1)"/>
      <w:lvlJc w:val="left"/>
      <w:pPr>
        <w:ind w:left="1512" w:hanging="360"/>
      </w:pPr>
      <w:rPr>
        <w:rFonts w:hint="default"/>
      </w:rPr>
    </w:lvl>
    <w:lvl w:ilvl="1" w:tplc="10090019" w:tentative="1">
      <w:start w:val="1"/>
      <w:numFmt w:val="lowerLetter"/>
      <w:lvlText w:val="%2."/>
      <w:lvlJc w:val="left"/>
      <w:pPr>
        <w:ind w:left="2232" w:hanging="360"/>
      </w:pPr>
    </w:lvl>
    <w:lvl w:ilvl="2" w:tplc="1009001B" w:tentative="1">
      <w:start w:val="1"/>
      <w:numFmt w:val="lowerRoman"/>
      <w:lvlText w:val="%3."/>
      <w:lvlJc w:val="right"/>
      <w:pPr>
        <w:ind w:left="2952" w:hanging="180"/>
      </w:pPr>
    </w:lvl>
    <w:lvl w:ilvl="3" w:tplc="1009000F" w:tentative="1">
      <w:start w:val="1"/>
      <w:numFmt w:val="decimal"/>
      <w:lvlText w:val="%4."/>
      <w:lvlJc w:val="left"/>
      <w:pPr>
        <w:ind w:left="3672" w:hanging="360"/>
      </w:pPr>
    </w:lvl>
    <w:lvl w:ilvl="4" w:tplc="10090019" w:tentative="1">
      <w:start w:val="1"/>
      <w:numFmt w:val="lowerLetter"/>
      <w:lvlText w:val="%5."/>
      <w:lvlJc w:val="left"/>
      <w:pPr>
        <w:ind w:left="4392" w:hanging="360"/>
      </w:pPr>
    </w:lvl>
    <w:lvl w:ilvl="5" w:tplc="1009001B" w:tentative="1">
      <w:start w:val="1"/>
      <w:numFmt w:val="lowerRoman"/>
      <w:lvlText w:val="%6."/>
      <w:lvlJc w:val="right"/>
      <w:pPr>
        <w:ind w:left="5112" w:hanging="180"/>
      </w:pPr>
    </w:lvl>
    <w:lvl w:ilvl="6" w:tplc="1009000F" w:tentative="1">
      <w:start w:val="1"/>
      <w:numFmt w:val="decimal"/>
      <w:lvlText w:val="%7."/>
      <w:lvlJc w:val="left"/>
      <w:pPr>
        <w:ind w:left="5832" w:hanging="360"/>
      </w:pPr>
    </w:lvl>
    <w:lvl w:ilvl="7" w:tplc="10090019" w:tentative="1">
      <w:start w:val="1"/>
      <w:numFmt w:val="lowerLetter"/>
      <w:lvlText w:val="%8."/>
      <w:lvlJc w:val="left"/>
      <w:pPr>
        <w:ind w:left="6552" w:hanging="360"/>
      </w:pPr>
    </w:lvl>
    <w:lvl w:ilvl="8" w:tplc="1009001B" w:tentative="1">
      <w:start w:val="1"/>
      <w:numFmt w:val="lowerRoman"/>
      <w:lvlText w:val="%9."/>
      <w:lvlJc w:val="right"/>
      <w:pPr>
        <w:ind w:left="7272"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58D6F38"/>
    <w:multiLevelType w:val="hybridMultilevel"/>
    <w:tmpl w:val="0D62BA5E"/>
    <w:lvl w:ilvl="0" w:tplc="9E9E8FC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F1C1753"/>
    <w:multiLevelType w:val="hybridMultilevel"/>
    <w:tmpl w:val="1CD22E16"/>
    <w:lvl w:ilvl="0" w:tplc="9E9E8FC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0"/>
  </w:num>
  <w:num w:numId="19">
    <w:abstractNumId w:val="22"/>
  </w:num>
  <w:num w:numId="20">
    <w:abstractNumId w:val="17"/>
  </w:num>
  <w:num w:numId="21">
    <w:abstractNumId w:val="12"/>
  </w:num>
  <w:num w:numId="22">
    <w:abstractNumId w:val="13"/>
  </w:num>
  <w:num w:numId="23">
    <w:abstractNumId w:val="21"/>
  </w:num>
  <w:num w:numId="24">
    <w:abstractNumId w:val="10"/>
    <w:lvlOverride w:ilvl="0">
      <w:startOverride w:val="6"/>
    </w:lvlOverride>
  </w:num>
  <w:num w:numId="25">
    <w:abstractNumId w:val="16"/>
  </w:num>
  <w:num w:numId="26">
    <w:abstractNumId w:val="11"/>
  </w:num>
  <w:num w:numId="27">
    <w:abstractNumId w:val="18"/>
  </w:num>
  <w:num w:numId="28">
    <w:abstractNumId w:val="23"/>
  </w:num>
  <w:num w:numId="2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E38"/>
    <w:rsid w:val="00003C73"/>
    <w:rsid w:val="0009775D"/>
    <w:rsid w:val="000F6C8E"/>
    <w:rsid w:val="00125F83"/>
    <w:rsid w:val="00180937"/>
    <w:rsid w:val="001A6821"/>
    <w:rsid w:val="001C3D0C"/>
    <w:rsid w:val="001D4CE7"/>
    <w:rsid w:val="0021329A"/>
    <w:rsid w:val="00231312"/>
    <w:rsid w:val="00242ABE"/>
    <w:rsid w:val="00247B4C"/>
    <w:rsid w:val="00265AF0"/>
    <w:rsid w:val="002F0B57"/>
    <w:rsid w:val="00300A89"/>
    <w:rsid w:val="00373AAA"/>
    <w:rsid w:val="003A0CA4"/>
    <w:rsid w:val="003E1671"/>
    <w:rsid w:val="003F659B"/>
    <w:rsid w:val="00400623"/>
    <w:rsid w:val="00441083"/>
    <w:rsid w:val="0045350F"/>
    <w:rsid w:val="004931F8"/>
    <w:rsid w:val="00495653"/>
    <w:rsid w:val="004C2C87"/>
    <w:rsid w:val="004E3A36"/>
    <w:rsid w:val="00524711"/>
    <w:rsid w:val="0053423F"/>
    <w:rsid w:val="00591F1C"/>
    <w:rsid w:val="005B3CAD"/>
    <w:rsid w:val="005C278F"/>
    <w:rsid w:val="00605093"/>
    <w:rsid w:val="00663B35"/>
    <w:rsid w:val="00694BD8"/>
    <w:rsid w:val="006B6E38"/>
    <w:rsid w:val="007034FA"/>
    <w:rsid w:val="0075750B"/>
    <w:rsid w:val="007A2C04"/>
    <w:rsid w:val="007E3CA4"/>
    <w:rsid w:val="00812387"/>
    <w:rsid w:val="008759F7"/>
    <w:rsid w:val="008A31BD"/>
    <w:rsid w:val="008E3A0C"/>
    <w:rsid w:val="008E579E"/>
    <w:rsid w:val="008E7AD2"/>
    <w:rsid w:val="0091161A"/>
    <w:rsid w:val="00932048"/>
    <w:rsid w:val="009568BB"/>
    <w:rsid w:val="009666A1"/>
    <w:rsid w:val="00972E99"/>
    <w:rsid w:val="009A5180"/>
    <w:rsid w:val="009E41C8"/>
    <w:rsid w:val="00A65731"/>
    <w:rsid w:val="00A73149"/>
    <w:rsid w:val="00AC013C"/>
    <w:rsid w:val="00AD676F"/>
    <w:rsid w:val="00AE63D8"/>
    <w:rsid w:val="00B1292D"/>
    <w:rsid w:val="00B379AB"/>
    <w:rsid w:val="00B443BF"/>
    <w:rsid w:val="00B811F2"/>
    <w:rsid w:val="00BC3C7D"/>
    <w:rsid w:val="00BE265E"/>
    <w:rsid w:val="00C27322"/>
    <w:rsid w:val="00C54BCF"/>
    <w:rsid w:val="00C6443E"/>
    <w:rsid w:val="00C819E3"/>
    <w:rsid w:val="00D02E91"/>
    <w:rsid w:val="00D4122B"/>
    <w:rsid w:val="00D7654A"/>
    <w:rsid w:val="00DB276E"/>
    <w:rsid w:val="00DB4E64"/>
    <w:rsid w:val="00DD3433"/>
    <w:rsid w:val="00E04A88"/>
    <w:rsid w:val="00E06D1B"/>
    <w:rsid w:val="00E348C6"/>
    <w:rsid w:val="00E54871"/>
    <w:rsid w:val="00E60D9C"/>
    <w:rsid w:val="00EB2067"/>
    <w:rsid w:val="00EE541E"/>
    <w:rsid w:val="00F21458"/>
    <w:rsid w:val="00F37A42"/>
    <w:rsid w:val="00F46F86"/>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75B2D4D"/>
  <w15:docId w15:val="{CA563605-F001-4346-B6C6-12FD7790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46F86"/>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F46F86"/>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F46F86"/>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F46F86"/>
    <w:rPr>
      <w:vertAlign w:val="superscript"/>
    </w:rPr>
  </w:style>
  <w:style w:type="paragraph" w:styleId="ListParagraph">
    <w:name w:val="List Paragraph"/>
    <w:basedOn w:val="Normal"/>
    <w:uiPriority w:val="34"/>
    <w:qFormat/>
    <w:rsid w:val="00F46F86"/>
    <w:pPr>
      <w:ind w:left="720"/>
      <w:contextualSpacing/>
    </w:pPr>
  </w:style>
  <w:style w:type="character" w:customStyle="1" w:styleId="HeaderChar">
    <w:name w:val="Header Char"/>
    <w:basedOn w:val="DefaultParagraphFont"/>
    <w:link w:val="Header"/>
    <w:rsid w:val="00BE265E"/>
    <w:rPr>
      <w:sz w:val="22"/>
      <w:szCs w:val="22"/>
      <w:lang w:val="en-GB"/>
    </w:rPr>
  </w:style>
  <w:style w:type="character" w:styleId="Hyperlink">
    <w:name w:val="Hyperlink"/>
    <w:basedOn w:val="DefaultParagraphFont"/>
    <w:uiPriority w:val="99"/>
    <w:unhideWhenUsed/>
    <w:rsid w:val="00003C73"/>
    <w:rPr>
      <w:color w:val="0000FF"/>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03C73"/>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chart" Target="charts/chart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openknowledge.worldbank.org/bitstream/handle/10986/34710/9781464816123-Ch0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6-Template-1.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file-server\GENERAL\DRAFTS\Ico\86_ExCom\HFC-23\Argentina\Correspondence\Historic%20trends%20for%20s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3835778580648"/>
          <c:y val="3.8456676169067401E-2"/>
          <c:w val="0.83016325377424505"/>
          <c:h val="0.86083045461241803"/>
        </c:manualLayout>
      </c:layout>
      <c:lineChart>
        <c:grouping val="standard"/>
        <c:varyColors val="0"/>
        <c:ser>
          <c:idx val="0"/>
          <c:order val="0"/>
          <c:tx>
            <c:strRef>
              <c:f>Sheet1!$C$4</c:f>
              <c:strCache>
                <c:ptCount val="1"/>
                <c:pt idx="0">
                  <c:v>Ventes sur 16 ans</c:v>
                </c:pt>
              </c:strCache>
            </c:strRef>
          </c:tx>
          <c:spPr>
            <a:ln w="34925" cap="rnd">
              <a:solidFill>
                <a:schemeClr val="accent1"/>
              </a:solidFill>
              <a:round/>
            </a:ln>
            <a:effectLst>
              <a:outerShdw blurRad="40000" dist="23000" dir="5400000" rotWithShape="0">
                <a:srgbClr val="000000">
                  <a:alpha val="35000"/>
                </a:srgbClr>
              </a:outerShdw>
            </a:effectLst>
          </c:spPr>
          <c:marker>
            <c:symbol val="none"/>
          </c:marker>
          <c:dPt>
            <c:idx val="0"/>
            <c:marker>
              <c:symbol val="none"/>
            </c:marker>
            <c:bubble3D val="0"/>
            <c:extLst>
              <c:ext xmlns:c16="http://schemas.microsoft.com/office/drawing/2014/chart" uri="{C3380CC4-5D6E-409C-BE32-E72D297353CC}">
                <c16:uniqueId val="{00000000-522A-4812-80A5-3341ED76EAC4}"/>
              </c:ext>
            </c:extLst>
          </c:dPt>
          <c:dLbls>
            <c:dLbl>
              <c:idx val="0"/>
              <c:layout/>
              <c:dLblPos val="t"/>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522A-4812-80A5-3341ED76EAC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trendline>
            <c:spPr>
              <a:ln w="19050" cap="rnd">
                <a:solidFill>
                  <a:schemeClr val="accent1"/>
                </a:solidFill>
              </a:ln>
              <a:effectLst/>
            </c:spPr>
            <c:trendlineType val="linear"/>
            <c:dispRSqr val="0"/>
            <c:dispEq val="0"/>
          </c:trendline>
          <c:cat>
            <c:numRef>
              <c:f>Sheet1!$D$3:$S$3</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Sheet1!$D$4:$S$4</c:f>
              <c:numCache>
                <c:formatCode>0.00</c:formatCode>
                <c:ptCount val="16"/>
                <c:pt idx="0">
                  <c:v>983</c:v>
                </c:pt>
                <c:pt idx="1">
                  <c:v>939</c:v>
                </c:pt>
                <c:pt idx="2">
                  <c:v>611.03</c:v>
                </c:pt>
                <c:pt idx="3">
                  <c:v>789.15</c:v>
                </c:pt>
                <c:pt idx="4">
                  <c:v>2565.14</c:v>
                </c:pt>
                <c:pt idx="5">
                  <c:v>4011.38</c:v>
                </c:pt>
                <c:pt idx="6">
                  <c:v>3973.43</c:v>
                </c:pt>
                <c:pt idx="7">
                  <c:v>3251.1</c:v>
                </c:pt>
                <c:pt idx="8">
                  <c:v>4169.3500000000004</c:v>
                </c:pt>
                <c:pt idx="9">
                  <c:v>1954.48</c:v>
                </c:pt>
                <c:pt idx="10">
                  <c:v>2229.3200000000002</c:v>
                </c:pt>
                <c:pt idx="11">
                  <c:v>2436.0700000000002</c:v>
                </c:pt>
                <c:pt idx="12">
                  <c:v>1634.45</c:v>
                </c:pt>
                <c:pt idx="13">
                  <c:v>1766.75362</c:v>
                </c:pt>
                <c:pt idx="14">
                  <c:v>1247.9532999999999</c:v>
                </c:pt>
                <c:pt idx="15">
                  <c:v>1427.22</c:v>
                </c:pt>
              </c:numCache>
            </c:numRef>
          </c:val>
          <c:smooth val="0"/>
          <c:extLst>
            <c:ext xmlns:c16="http://schemas.microsoft.com/office/drawing/2014/chart" uri="{C3380CC4-5D6E-409C-BE32-E72D297353CC}">
              <c16:uniqueId val="{00000001-522A-4812-80A5-3341ED76EAC4}"/>
            </c:ext>
          </c:extLst>
        </c:ser>
        <c:ser>
          <c:idx val="1"/>
          <c:order val="1"/>
          <c:tx>
            <c:strRef>
              <c:f>Sheet1!$C$5</c:f>
              <c:strCache>
                <c:ptCount val="1"/>
                <c:pt idx="0">
                  <c:v>Ventes sur 6 ans</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dPt>
            <c:idx val="10"/>
            <c:marker>
              <c:symbol val="none"/>
            </c:marker>
            <c:bubble3D val="0"/>
            <c:extLst>
              <c:ext xmlns:c16="http://schemas.microsoft.com/office/drawing/2014/chart" uri="{C3380CC4-5D6E-409C-BE32-E72D297353CC}">
                <c16:uniqueId val="{00000002-522A-4812-80A5-3341ED76EAC4}"/>
              </c:ext>
            </c:extLst>
          </c:dPt>
          <c:dPt>
            <c:idx val="15"/>
            <c:marker>
              <c:symbol val="none"/>
            </c:marker>
            <c:bubble3D val="0"/>
            <c:extLst>
              <c:ext xmlns:c16="http://schemas.microsoft.com/office/drawing/2014/chart" uri="{C3380CC4-5D6E-409C-BE32-E72D297353CC}">
                <c16:uniqueId val="{00000003-522A-4812-80A5-3341ED76EAC4}"/>
              </c:ext>
            </c:extLst>
          </c:dPt>
          <c:dLbls>
            <c:dLbl>
              <c:idx val="10"/>
              <c:layout/>
              <c:dLblPos val="t"/>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522A-4812-80A5-3341ED76EAC4}"/>
                </c:ext>
              </c:extLst>
            </c:dLbl>
            <c:dLbl>
              <c:idx val="15"/>
              <c:layout/>
              <c:dLblPos val="t"/>
              <c:showLegendKey val="0"/>
              <c:showVal val="0"/>
              <c:showCatName val="1"/>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522A-4812-80A5-3341ED76EAC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trendline>
            <c:spPr>
              <a:ln w="19050" cap="rnd">
                <a:solidFill>
                  <a:schemeClr val="accent2"/>
                </a:solidFill>
              </a:ln>
              <a:effectLst/>
            </c:spPr>
            <c:trendlineType val="linear"/>
            <c:dispRSqr val="0"/>
            <c:dispEq val="0"/>
          </c:trendline>
          <c:cat>
            <c:numRef>
              <c:f>Sheet1!$D$3:$S$3</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Sheet1!$D$5:$S$5</c:f>
              <c:numCache>
                <c:formatCode>General</c:formatCode>
                <c:ptCount val="16"/>
                <c:pt idx="10" formatCode="0.00">
                  <c:v>2229.3200000000002</c:v>
                </c:pt>
                <c:pt idx="11" formatCode="0.00">
                  <c:v>2436.0700000000002</c:v>
                </c:pt>
                <c:pt idx="12" formatCode="0.00">
                  <c:v>1634.45</c:v>
                </c:pt>
                <c:pt idx="13" formatCode="0.00">
                  <c:v>1766.75362</c:v>
                </c:pt>
                <c:pt idx="14" formatCode="0.00">
                  <c:v>1247.9532999999999</c:v>
                </c:pt>
                <c:pt idx="15" formatCode="0.00">
                  <c:v>1427.22</c:v>
                </c:pt>
              </c:numCache>
            </c:numRef>
          </c:val>
          <c:smooth val="0"/>
          <c:extLst>
            <c:ext xmlns:c16="http://schemas.microsoft.com/office/drawing/2014/chart" uri="{C3380CC4-5D6E-409C-BE32-E72D297353CC}">
              <c16:uniqueId val="{00000004-522A-4812-80A5-3341ED76EAC4}"/>
            </c:ext>
          </c:extLst>
        </c:ser>
        <c:dLbls>
          <c:showLegendKey val="0"/>
          <c:showVal val="0"/>
          <c:showCatName val="0"/>
          <c:showSerName val="0"/>
          <c:showPercent val="0"/>
          <c:showBubbleSize val="0"/>
        </c:dLbls>
        <c:smooth val="0"/>
        <c:axId val="-2097978552"/>
        <c:axId val="-2051344056"/>
      </c:lineChart>
      <c:catAx>
        <c:axId val="-2097978552"/>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51344056"/>
        <c:crosses val="autoZero"/>
        <c:auto val="1"/>
        <c:lblAlgn val="ctr"/>
        <c:lblOffset val="100"/>
        <c:noMultiLvlLbl val="0"/>
      </c:catAx>
      <c:valAx>
        <c:axId val="-2051344056"/>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tx1"/>
                    </a:solidFill>
                    <a:latin typeface="+mn-lt"/>
                    <a:ea typeface="+mn-ea"/>
                    <a:cs typeface="+mn-cs"/>
                  </a:defRPr>
                </a:pPr>
                <a:r>
                  <a:rPr lang="fr">
                    <a:solidFill>
                      <a:schemeClr val="tx1"/>
                    </a:solidFill>
                  </a:rPr>
                  <a:t>Ventes de HCFC-22 (tm/an)</a:t>
                </a:r>
              </a:p>
            </c:rich>
          </c:tx>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tx1"/>
                  </a:solidFill>
                  <a:latin typeface="+mn-lt"/>
                  <a:ea typeface="+mn-ea"/>
                  <a:cs typeface="+mn-cs"/>
                </a:defRPr>
              </a:pPr>
              <a:endParaRPr lang="en-US"/>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97978552"/>
        <c:crosses val="autoZero"/>
        <c:crossBetween val="between"/>
        <c:majorUnit val="1000"/>
      </c:valAx>
      <c:spPr>
        <a:noFill/>
        <a:ln>
          <a:noFill/>
        </a:ln>
        <a:effectLst/>
      </c:spPr>
    </c:plotArea>
    <c:legend>
      <c:legendPos val="b"/>
      <c:layout>
        <c:manualLayout>
          <c:xMode val="edge"/>
          <c:yMode val="edge"/>
          <c:x val="0.483895373851354"/>
          <c:y val="1.6128127524729301E-2"/>
          <c:w val="0.51142850164488196"/>
          <c:h val="0.1564259810426409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a:noFill/>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gradFill>
        <a:gsLst>
          <a:gs pos="100000">
            <a:schemeClr val="dk1">
              <a:lumMod val="95000"/>
              <a:lumOff val="5000"/>
            </a:schemeClr>
          </a:gs>
          <a:gs pos="0">
            <a:schemeClr val="dk1">
              <a:lumMod val="75000"/>
              <a:lumOff val="25000"/>
            </a:schemeClr>
          </a:gs>
        </a:gsLst>
        <a:path path="circle">
          <a:fillToRect l="50000" t="50000" r="50000" b="50000"/>
        </a:path>
      </a:gradFill>
      <a:ln w="9525">
        <a:solidFill>
          <a:schemeClr val="dk1">
            <a:lumMod val="75000"/>
            <a:lumOff val="25000"/>
          </a:schemeClr>
        </a:solidFill>
      </a:ln>
    </cs:spPr>
  </cs:downBar>
  <cs:dropLine>
    <cs:lnRef idx="0"/>
    <cs:fillRef idx="0"/>
    <cs:effectRef idx="0"/>
    <cs:fontRef idx="minor">
      <a:schemeClr val="tx1"/>
    </cs:fontRef>
    <cs:spPr>
      <a:ln w="9525" cap="flat" cmpd="sng" algn="ctr">
        <a:solidFill>
          <a:schemeClr val="lt1"/>
        </a:solidFill>
        <a:round/>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cap="flat" cmpd="sng" algn="ctr">
        <a:solidFill>
          <a:schemeClr val="lt1"/>
        </a:solidFill>
        <a:round/>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gradFill>
        <a:gsLst>
          <a:gs pos="100000">
            <a:schemeClr val="lt1">
              <a:lumMod val="85000"/>
            </a:schemeClr>
          </a:gs>
          <a:gs pos="0">
            <a:schemeClr val="lt1"/>
          </a:gs>
        </a:gsLst>
        <a:path path="circle">
          <a:fillToRect l="50000" t="50000" r="50000" b="50000"/>
        </a:path>
      </a:gradFill>
      <a:ln w="9525" cap="flat" cmpd="sng" algn="ctr">
        <a:solidFill>
          <a:schemeClr val="lt1"/>
        </a:solidFill>
        <a:round/>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UNEP/OzL.Pro/ExCom/86/95</Document_x0020_Number>
  </documentManagement>
</p:properties>
</file>

<file path=customXml/itemProps1.xml><?xml version="1.0" encoding="utf-8"?>
<ds:datastoreItem xmlns:ds="http://schemas.openxmlformats.org/officeDocument/2006/customXml" ds:itemID="{8503C439-FB94-4E5D-BB65-4217CA864846}"/>
</file>

<file path=customXml/itemProps2.xml><?xml version="1.0" encoding="utf-8"?>
<ds:datastoreItem xmlns:ds="http://schemas.openxmlformats.org/officeDocument/2006/customXml" ds:itemID="{4A399DA7-20FF-469D-B8CB-43D6C1D3AADF}"/>
</file>

<file path=customXml/itemProps3.xml><?xml version="1.0" encoding="utf-8"?>
<ds:datastoreItem xmlns:ds="http://schemas.openxmlformats.org/officeDocument/2006/customXml" ds:itemID="{00548E90-6BB6-432E-B3A0-3EE7E7675E80}"/>
</file>

<file path=customXml/itemProps4.xml><?xml version="1.0" encoding="utf-8"?>
<ds:datastoreItem xmlns:ds="http://schemas.openxmlformats.org/officeDocument/2006/customXml" ds:itemID="{4D366AA8-A086-45AF-B0E7-E9DCBA7E07FD}"/>
</file>

<file path=docProps/app.xml><?xml version="1.0" encoding="utf-8"?>
<Properties xmlns="http://schemas.openxmlformats.org/officeDocument/2006/extended-properties" xmlns:vt="http://schemas.openxmlformats.org/officeDocument/2006/docPropsVTypes">
  <Template>F86-Template-1</Template>
  <TotalTime>6</TotalTime>
  <Pages>10</Pages>
  <Words>5246</Words>
  <Characters>26807</Characters>
  <Application>Microsoft Office Word</Application>
  <DocSecurity>0</DocSecurity>
  <Lines>223</Lines>
  <Paragraphs>63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Principaux aspects liés aux technologies de contrôle du sous-produit HFC-23 : Argentine (décisions 90/90 et 84/90)</vt:lpstr>
      <vt:lpstr>Ordre du jour provisoire</vt:lpstr>
    </vt:vector>
  </TitlesOfParts>
  <Company>UNMFS</Company>
  <LinksUpToDate>false</LinksUpToDate>
  <CharactersWithSpaces>31990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Principaux aspects liés aux technologies de contrôle du sous-produit HFC-23 : Argentine (décisions 90/90 et 84/90)</dc:title>
  <dc:creator>NGUYEN</dc:creator>
  <cp:lastModifiedBy>HB</cp:lastModifiedBy>
  <cp:revision>5</cp:revision>
  <cp:lastPrinted>2001-05-26T16:40:00Z</cp:lastPrinted>
  <dcterms:created xsi:type="dcterms:W3CDTF">2021-02-09T21:04:00Z</dcterms:created>
  <dcterms:modified xsi:type="dcterms:W3CDTF">2021-03-01T14:27:00Z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UNEP/OzL.Pro/ExCom/86/95</vt:lpwstr>
  </property>
  <property fmtid="{D5CDD505-2E9C-101B-9397-08002B2CF9AE}" pid="3" name="Revision date">
    <vt:lpwstr>26/1/2021</vt:lpwstr>
  </property>
  <property fmtid="{D5CDD505-2E9C-101B-9397-08002B2CF9AE}" pid="4" name="ContentTypeId">
    <vt:lpwstr>0x01010021475DA1A9724F448487545E7E03A732</vt:lpwstr>
  </property>
</Properties>
</file>