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8577F0" w:rsidRPr="00791491" w:rsidTr="00250A33">
        <w:trPr>
          <w:trHeight w:val="720"/>
        </w:trPr>
        <w:tc>
          <w:tcPr>
            <w:tcW w:w="4410" w:type="dxa"/>
            <w:gridSpan w:val="2"/>
            <w:tcBorders>
              <w:bottom w:val="single" w:sz="18" w:space="0" w:color="auto"/>
            </w:tcBorders>
          </w:tcPr>
          <w:p w:rsidR="008577F0" w:rsidRPr="00791491" w:rsidRDefault="006D1D2D" w:rsidP="00250A33">
            <w:pPr>
              <w:jc w:val="left"/>
              <w:rPr>
                <w:rFonts w:asciiTheme="minorBidi" w:hAnsiTheme="minorBidi" w:cstheme="minorBidi"/>
                <w:b/>
                <w:bCs/>
                <w:sz w:val="36"/>
                <w:szCs w:val="36"/>
                <w:lang w:val="en-US"/>
              </w:rPr>
            </w:pPr>
            <w:bookmarkStart w:id="0" w:name="_GoBack"/>
            <w:r w:rsidRPr="009E1A9E">
              <w:rPr>
                <w:sz w:val="72"/>
                <w:szCs w:val="72"/>
              </w:rPr>
              <w:t xml:space="preserve"> </w:t>
            </w:r>
            <w:r w:rsidR="008577F0" w:rsidRPr="009E1A9E">
              <w:rPr>
                <w:rFonts w:asciiTheme="minorBidi" w:hAnsiTheme="minorBidi" w:cstheme="minorBidi"/>
                <w:b/>
                <w:bCs/>
                <w:sz w:val="72"/>
                <w:szCs w:val="72"/>
                <w:lang w:val="en-US"/>
              </w:rPr>
              <w:t xml:space="preserve">EP </w:t>
            </w:r>
            <w:bookmarkEnd w:id="0"/>
          </w:p>
        </w:tc>
        <w:tc>
          <w:tcPr>
            <w:tcW w:w="5130" w:type="dxa"/>
            <w:gridSpan w:val="2"/>
            <w:tcBorders>
              <w:bottom w:val="single" w:sz="18" w:space="0" w:color="auto"/>
            </w:tcBorders>
          </w:tcPr>
          <w:p w:rsidR="008577F0" w:rsidRPr="00791491" w:rsidRDefault="008577F0" w:rsidP="00250A33">
            <w:pPr>
              <w:pStyle w:val="Heading3"/>
              <w:numPr>
                <w:ilvl w:val="0"/>
                <w:numId w:val="0"/>
              </w:numPr>
              <w:bidi/>
              <w:ind w:left="270" w:right="1384"/>
              <w:rPr>
                <w:b/>
                <w:bCs/>
                <w:sz w:val="36"/>
                <w:szCs w:val="36"/>
              </w:rPr>
            </w:pPr>
            <w:r w:rsidRPr="00791491">
              <w:rPr>
                <w:b/>
                <w:bCs/>
                <w:sz w:val="36"/>
                <w:szCs w:val="36"/>
                <w:rtl/>
              </w:rPr>
              <w:t>الأمم المتحدة</w:t>
            </w:r>
          </w:p>
        </w:tc>
      </w:tr>
      <w:tr w:rsidR="008577F0" w:rsidRPr="00791491" w:rsidTr="00250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8577F0" w:rsidRPr="005963D3" w:rsidRDefault="008577F0" w:rsidP="00250A33">
            <w:pPr>
              <w:spacing w:before="120"/>
              <w:jc w:val="left"/>
              <w:rPr>
                <w:sz w:val="24"/>
                <w:szCs w:val="24"/>
                <w:lang w:val="en-US"/>
              </w:rPr>
            </w:pPr>
            <w:r w:rsidRPr="005963D3">
              <w:rPr>
                <w:noProof/>
                <w:sz w:val="24"/>
                <w:szCs w:val="24"/>
                <w:lang w:val="en-CA" w:eastAsia="en-CA"/>
              </w:rPr>
              <w:drawing>
                <wp:anchor distT="0" distB="0" distL="114300" distR="114300" simplePos="0" relativeHeight="251664384"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5963D3">
              <w:rPr>
                <w:noProof/>
                <w:sz w:val="24"/>
                <w:szCs w:val="24"/>
                <w:lang w:val="en-CA" w:eastAsia="en-CA"/>
              </w:rPr>
              <w:drawing>
                <wp:anchor distT="0" distB="0" distL="114300" distR="114300" simplePos="0" relativeHeight="25165721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5963D3">
              <w:rPr>
                <w:sz w:val="24"/>
                <w:szCs w:val="24"/>
                <w:lang w:val="en-US"/>
              </w:rPr>
              <w:t>Distr</w:t>
            </w:r>
            <w:r w:rsidRPr="00791491">
              <w:rPr>
                <w:sz w:val="36"/>
                <w:szCs w:val="36"/>
                <w:lang w:val="en-US"/>
              </w:rPr>
              <w:t>.</w:t>
            </w:r>
          </w:p>
          <w:p w:rsidR="008577F0" w:rsidRPr="005963D3" w:rsidRDefault="008577F0" w:rsidP="00250A33">
            <w:pPr>
              <w:spacing w:before="120"/>
              <w:jc w:val="left"/>
              <w:rPr>
                <w:sz w:val="24"/>
                <w:szCs w:val="24"/>
                <w:lang w:val="en-US"/>
              </w:rPr>
            </w:pPr>
            <w:r w:rsidRPr="005963D3">
              <w:rPr>
                <w:sz w:val="24"/>
                <w:szCs w:val="24"/>
                <w:lang w:val="en-US"/>
              </w:rPr>
              <w:t>GENERAL</w:t>
            </w:r>
          </w:p>
          <w:p w:rsidR="008577F0" w:rsidRPr="005963D3" w:rsidRDefault="008577F0" w:rsidP="00250A33">
            <w:pPr>
              <w:jc w:val="left"/>
              <w:rPr>
                <w:sz w:val="24"/>
                <w:szCs w:val="24"/>
                <w:lang w:val="en-US"/>
              </w:rPr>
            </w:pPr>
          </w:p>
          <w:p w:rsidR="008577F0" w:rsidRPr="005963D3" w:rsidRDefault="00E27E1B" w:rsidP="00250A33">
            <w:pPr>
              <w:spacing w:before="120"/>
              <w:jc w:val="left"/>
              <w:rPr>
                <w:sz w:val="24"/>
                <w:szCs w:val="24"/>
                <w:lang w:val="en-CA"/>
              </w:rPr>
            </w:pPr>
            <w:r w:rsidRPr="005963D3">
              <w:rPr>
                <w:sz w:val="24"/>
                <w:szCs w:val="24"/>
              </w:rPr>
              <w:fldChar w:fldCharType="begin"/>
            </w:r>
            <w:r w:rsidR="001A01BC" w:rsidRPr="005963D3">
              <w:rPr>
                <w:sz w:val="24"/>
                <w:szCs w:val="24"/>
              </w:rPr>
              <w:instrText xml:space="preserve"> DOCPROPERTY "Document number"  \* MERGEFORMAT </w:instrText>
            </w:r>
            <w:r w:rsidRPr="005963D3">
              <w:rPr>
                <w:sz w:val="24"/>
                <w:szCs w:val="24"/>
              </w:rPr>
              <w:fldChar w:fldCharType="separate"/>
            </w:r>
            <w:r w:rsidR="008577F0" w:rsidRPr="005963D3">
              <w:rPr>
                <w:sz w:val="24"/>
                <w:szCs w:val="24"/>
              </w:rPr>
              <w:t>UNEP/OzL.Pro/ExCom/84/12</w:t>
            </w:r>
            <w:r w:rsidRPr="005963D3">
              <w:rPr>
                <w:sz w:val="24"/>
                <w:szCs w:val="24"/>
              </w:rPr>
              <w:fldChar w:fldCharType="end"/>
            </w:r>
          </w:p>
          <w:p w:rsidR="008577F0" w:rsidRPr="005963D3" w:rsidRDefault="00204EB2" w:rsidP="00250A33">
            <w:pPr>
              <w:jc w:val="left"/>
              <w:rPr>
                <w:sz w:val="24"/>
                <w:szCs w:val="24"/>
                <w:lang w:val="en-US"/>
              </w:rPr>
            </w:pPr>
            <w:r w:rsidRPr="005963D3">
              <w:rPr>
                <w:sz w:val="24"/>
                <w:szCs w:val="24"/>
              </w:rPr>
              <w:fldChar w:fldCharType="begin"/>
            </w:r>
            <w:r w:rsidRPr="005963D3">
              <w:rPr>
                <w:sz w:val="24"/>
                <w:szCs w:val="24"/>
              </w:rPr>
              <w:instrText xml:space="preserve"> DOCPROPERTY "Revision date" \@ "d MMMM YYYY"  \* MERGEFORMAT </w:instrText>
            </w:r>
            <w:r w:rsidRPr="005963D3">
              <w:rPr>
                <w:sz w:val="24"/>
                <w:szCs w:val="24"/>
              </w:rPr>
              <w:fldChar w:fldCharType="separate"/>
            </w:r>
            <w:r w:rsidR="008577F0" w:rsidRPr="005963D3">
              <w:rPr>
                <w:sz w:val="24"/>
                <w:szCs w:val="24"/>
              </w:rPr>
              <w:t>22 November 2019</w:t>
            </w:r>
            <w:r w:rsidRPr="005963D3">
              <w:rPr>
                <w:sz w:val="24"/>
                <w:szCs w:val="24"/>
              </w:rPr>
              <w:fldChar w:fldCharType="end"/>
            </w:r>
          </w:p>
          <w:p w:rsidR="008577F0" w:rsidRPr="005963D3" w:rsidRDefault="008577F0" w:rsidP="00250A33">
            <w:pPr>
              <w:jc w:val="left"/>
              <w:rPr>
                <w:sz w:val="24"/>
                <w:szCs w:val="24"/>
                <w:rtl/>
                <w:lang w:val="en-US" w:bidi="ar-AE"/>
              </w:rPr>
            </w:pPr>
          </w:p>
          <w:p w:rsidR="008577F0" w:rsidRPr="005963D3" w:rsidRDefault="008577F0" w:rsidP="00250A33">
            <w:pPr>
              <w:spacing w:before="120"/>
              <w:jc w:val="left"/>
              <w:rPr>
                <w:sz w:val="24"/>
                <w:szCs w:val="24"/>
                <w:lang w:val="en-US"/>
              </w:rPr>
            </w:pPr>
            <w:r w:rsidRPr="005963D3">
              <w:rPr>
                <w:sz w:val="24"/>
                <w:szCs w:val="24"/>
                <w:lang w:val="en-US"/>
              </w:rPr>
              <w:t>ARABIC</w:t>
            </w:r>
          </w:p>
          <w:p w:rsidR="008577F0" w:rsidRPr="00791491" w:rsidRDefault="008577F0" w:rsidP="00250A33">
            <w:pPr>
              <w:spacing w:before="120"/>
              <w:jc w:val="left"/>
              <w:rPr>
                <w:sz w:val="36"/>
                <w:szCs w:val="36"/>
                <w:lang w:val="en-US"/>
              </w:rPr>
            </w:pPr>
            <w:r w:rsidRPr="005963D3">
              <w:rPr>
                <w:sz w:val="24"/>
                <w:szCs w:val="24"/>
                <w:lang w:val="en-US"/>
              </w:rPr>
              <w:t>ORIGINAL: ENGLISH</w:t>
            </w:r>
          </w:p>
        </w:tc>
        <w:tc>
          <w:tcPr>
            <w:tcW w:w="3402" w:type="dxa"/>
            <w:gridSpan w:val="2"/>
            <w:tcBorders>
              <w:top w:val="nil"/>
              <w:left w:val="nil"/>
              <w:bottom w:val="single" w:sz="36" w:space="0" w:color="auto"/>
              <w:right w:val="nil"/>
            </w:tcBorders>
          </w:tcPr>
          <w:p w:rsidR="008577F0" w:rsidRPr="005963D3" w:rsidRDefault="008577F0" w:rsidP="00250A33">
            <w:pPr>
              <w:pStyle w:val="Heading4"/>
              <w:numPr>
                <w:ilvl w:val="0"/>
                <w:numId w:val="0"/>
              </w:numPr>
              <w:spacing w:before="0" w:after="0"/>
              <w:ind w:right="459"/>
              <w:jc w:val="right"/>
              <w:rPr>
                <w:rFonts w:cs="Arabic Transparent"/>
                <w:bCs/>
                <w:sz w:val="52"/>
                <w:szCs w:val="52"/>
                <w:rtl/>
              </w:rPr>
            </w:pPr>
            <w:r w:rsidRPr="005963D3">
              <w:rPr>
                <w:rFonts w:cs="Arabic Transparent"/>
                <w:bCs/>
                <w:sz w:val="52"/>
                <w:szCs w:val="52"/>
                <w:rtl/>
              </w:rPr>
              <w:t>برنامج</w:t>
            </w:r>
          </w:p>
          <w:p w:rsidR="008577F0" w:rsidRPr="005963D3" w:rsidRDefault="008577F0" w:rsidP="00250A33">
            <w:pPr>
              <w:pStyle w:val="Heading4"/>
              <w:numPr>
                <w:ilvl w:val="0"/>
                <w:numId w:val="0"/>
              </w:numPr>
              <w:spacing w:before="0" w:after="0"/>
              <w:ind w:right="459"/>
              <w:jc w:val="right"/>
              <w:rPr>
                <w:rFonts w:cs="Arabic Transparent"/>
                <w:bCs/>
                <w:sz w:val="52"/>
                <w:szCs w:val="52"/>
                <w:rtl/>
              </w:rPr>
            </w:pPr>
            <w:r w:rsidRPr="005963D3">
              <w:rPr>
                <w:rFonts w:cs="Arabic Transparent"/>
                <w:bCs/>
                <w:sz w:val="52"/>
                <w:szCs w:val="52"/>
                <w:rtl/>
              </w:rPr>
              <w:t>الأمم المتحدة</w:t>
            </w:r>
          </w:p>
          <w:p w:rsidR="008577F0" w:rsidRPr="00791491" w:rsidRDefault="008577F0" w:rsidP="00250A33">
            <w:pPr>
              <w:pStyle w:val="Heading4"/>
              <w:numPr>
                <w:ilvl w:val="0"/>
                <w:numId w:val="0"/>
              </w:numPr>
              <w:spacing w:before="0" w:after="0"/>
              <w:ind w:right="459"/>
              <w:jc w:val="right"/>
              <w:rPr>
                <w:rFonts w:cs="Arabic Transparent"/>
                <w:bCs/>
                <w:sz w:val="36"/>
                <w:szCs w:val="36"/>
                <w:rtl/>
              </w:rPr>
            </w:pPr>
            <w:r w:rsidRPr="005963D3">
              <w:rPr>
                <w:rFonts w:cs="Arabic Transparent"/>
                <w:bCs/>
                <w:sz w:val="52"/>
                <w:szCs w:val="52"/>
                <w:rtl/>
              </w:rPr>
              <w:t>للبيئة</w:t>
            </w:r>
          </w:p>
          <w:p w:rsidR="008577F0" w:rsidRPr="00791491" w:rsidRDefault="008577F0" w:rsidP="00250A33">
            <w:pPr>
              <w:pStyle w:val="Heading7"/>
              <w:spacing w:before="0" w:after="0"/>
              <w:ind w:right="4997"/>
              <w:rPr>
                <w:rFonts w:cs="Akhbar MT"/>
                <w:b/>
                <w:bCs/>
                <w:sz w:val="36"/>
                <w:szCs w:val="36"/>
                <w:lang w:val="en-US"/>
              </w:rPr>
            </w:pPr>
            <w:r w:rsidRPr="00791491">
              <w:rPr>
                <w:rFonts w:cs="Arabic Transparent"/>
                <w:b/>
                <w:bCs/>
                <w:sz w:val="36"/>
                <w:szCs w:val="36"/>
                <w:rtl/>
              </w:rPr>
              <w:t>ل</w:t>
            </w:r>
          </w:p>
        </w:tc>
        <w:tc>
          <w:tcPr>
            <w:tcW w:w="2079" w:type="dxa"/>
            <w:tcBorders>
              <w:top w:val="nil"/>
              <w:left w:val="nil"/>
              <w:bottom w:val="single" w:sz="36" w:space="0" w:color="auto"/>
              <w:right w:val="nil"/>
            </w:tcBorders>
          </w:tcPr>
          <w:p w:rsidR="008577F0" w:rsidRPr="00791491" w:rsidRDefault="008577F0" w:rsidP="00250A33">
            <w:pPr>
              <w:rPr>
                <w:caps/>
                <w:sz w:val="36"/>
                <w:szCs w:val="36"/>
                <w:lang w:val="en-US"/>
              </w:rPr>
            </w:pPr>
          </w:p>
          <w:p w:rsidR="008577F0" w:rsidRPr="00791491" w:rsidRDefault="008577F0" w:rsidP="00250A33">
            <w:pPr>
              <w:rPr>
                <w:sz w:val="36"/>
                <w:szCs w:val="36"/>
                <w:lang w:val="en-US"/>
              </w:rPr>
            </w:pPr>
          </w:p>
        </w:tc>
      </w:tr>
    </w:tbl>
    <w:p w:rsidR="008577F0" w:rsidRPr="00791491" w:rsidRDefault="008577F0" w:rsidP="008577F0">
      <w:pPr>
        <w:pStyle w:val="Caption"/>
        <w:spacing w:line="200" w:lineRule="exact"/>
        <w:ind w:left="187" w:right="187" w:hanging="187"/>
        <w:jc w:val="both"/>
        <w:rPr>
          <w:rFonts w:cs="Akhbar MT"/>
          <w:b/>
          <w:bCs/>
          <w:sz w:val="36"/>
          <w:szCs w:val="36"/>
          <w:rtl/>
        </w:rPr>
      </w:pPr>
    </w:p>
    <w:p w:rsidR="008577F0" w:rsidRPr="005963D3" w:rsidRDefault="008577F0" w:rsidP="008577F0">
      <w:pPr>
        <w:pStyle w:val="Caption"/>
        <w:ind w:left="0" w:right="180"/>
        <w:jc w:val="both"/>
        <w:rPr>
          <w:rFonts w:cs="Arabic Transparent"/>
          <w:b/>
          <w:bCs/>
          <w:sz w:val="28"/>
          <w:szCs w:val="28"/>
          <w:rtl/>
        </w:rPr>
      </w:pPr>
      <w:r w:rsidRPr="005963D3">
        <w:rPr>
          <w:rFonts w:cs="Arabic Transparent"/>
          <w:b/>
          <w:bCs/>
          <w:sz w:val="28"/>
          <w:szCs w:val="28"/>
          <w:rtl/>
        </w:rPr>
        <w:t>اللجن</w:t>
      </w:r>
      <w:r w:rsidRPr="005963D3">
        <w:rPr>
          <w:rFonts w:cs="Arabic Transparent" w:hint="cs"/>
          <w:b/>
          <w:bCs/>
          <w:sz w:val="28"/>
          <w:szCs w:val="28"/>
          <w:rtl/>
        </w:rPr>
        <w:t>ــ</w:t>
      </w:r>
      <w:r w:rsidRPr="005963D3">
        <w:rPr>
          <w:rFonts w:cs="Arabic Transparent"/>
          <w:b/>
          <w:bCs/>
          <w:sz w:val="28"/>
          <w:szCs w:val="28"/>
          <w:rtl/>
        </w:rPr>
        <w:t>ة التنفي</w:t>
      </w:r>
      <w:r w:rsidRPr="005963D3">
        <w:rPr>
          <w:rFonts w:cs="Arabic Transparent" w:hint="cs"/>
          <w:b/>
          <w:bCs/>
          <w:sz w:val="28"/>
          <w:szCs w:val="28"/>
          <w:rtl/>
        </w:rPr>
        <w:t>ـ</w:t>
      </w:r>
      <w:r w:rsidRPr="005963D3">
        <w:rPr>
          <w:rFonts w:cs="Arabic Transparent"/>
          <w:b/>
          <w:bCs/>
          <w:sz w:val="28"/>
          <w:szCs w:val="28"/>
          <w:rtl/>
        </w:rPr>
        <w:t>ذي</w:t>
      </w:r>
      <w:r w:rsidRPr="005963D3">
        <w:rPr>
          <w:rFonts w:cs="Arabic Transparent" w:hint="cs"/>
          <w:b/>
          <w:bCs/>
          <w:sz w:val="28"/>
          <w:szCs w:val="28"/>
          <w:rtl/>
        </w:rPr>
        <w:t>ــــ</w:t>
      </w:r>
      <w:r w:rsidRPr="005963D3">
        <w:rPr>
          <w:rFonts w:cs="Arabic Transparent"/>
          <w:b/>
          <w:bCs/>
          <w:sz w:val="28"/>
          <w:szCs w:val="28"/>
          <w:rtl/>
        </w:rPr>
        <w:t>ة للصن</w:t>
      </w:r>
      <w:r w:rsidRPr="005963D3">
        <w:rPr>
          <w:rFonts w:cs="Arabic Transparent" w:hint="cs"/>
          <w:b/>
          <w:bCs/>
          <w:sz w:val="28"/>
          <w:szCs w:val="28"/>
          <w:rtl/>
        </w:rPr>
        <w:t>ــ</w:t>
      </w:r>
      <w:r w:rsidRPr="005963D3">
        <w:rPr>
          <w:rFonts w:cs="Arabic Transparent"/>
          <w:b/>
          <w:bCs/>
          <w:sz w:val="28"/>
          <w:szCs w:val="28"/>
          <w:rtl/>
        </w:rPr>
        <w:t>دوق الم</w:t>
      </w:r>
      <w:r w:rsidRPr="005963D3">
        <w:rPr>
          <w:rFonts w:cs="Arabic Transparent" w:hint="cs"/>
          <w:b/>
          <w:bCs/>
          <w:sz w:val="28"/>
          <w:szCs w:val="28"/>
          <w:rtl/>
        </w:rPr>
        <w:t>ــ</w:t>
      </w:r>
      <w:r w:rsidRPr="005963D3">
        <w:rPr>
          <w:rFonts w:cs="Arabic Transparent"/>
          <w:b/>
          <w:bCs/>
          <w:sz w:val="28"/>
          <w:szCs w:val="28"/>
          <w:rtl/>
        </w:rPr>
        <w:t>تع</w:t>
      </w:r>
      <w:r w:rsidRPr="005963D3">
        <w:rPr>
          <w:rFonts w:cs="Arabic Transparent" w:hint="cs"/>
          <w:b/>
          <w:bCs/>
          <w:sz w:val="28"/>
          <w:szCs w:val="28"/>
          <w:rtl/>
        </w:rPr>
        <w:t>ــ</w:t>
      </w:r>
      <w:r w:rsidRPr="005963D3">
        <w:rPr>
          <w:rFonts w:cs="Arabic Transparent"/>
          <w:b/>
          <w:bCs/>
          <w:sz w:val="28"/>
          <w:szCs w:val="28"/>
          <w:rtl/>
        </w:rPr>
        <w:t>دد الأطـ</w:t>
      </w:r>
      <w:r w:rsidRPr="005963D3">
        <w:rPr>
          <w:rFonts w:cs="Arabic Transparent" w:hint="cs"/>
          <w:b/>
          <w:bCs/>
          <w:sz w:val="28"/>
          <w:szCs w:val="28"/>
          <w:rtl/>
        </w:rPr>
        <w:t>ــ</w:t>
      </w:r>
      <w:r w:rsidRPr="005963D3">
        <w:rPr>
          <w:rFonts w:cs="Arabic Transparent"/>
          <w:b/>
          <w:bCs/>
          <w:sz w:val="28"/>
          <w:szCs w:val="28"/>
          <w:rtl/>
        </w:rPr>
        <w:t>راف</w:t>
      </w:r>
    </w:p>
    <w:p w:rsidR="008577F0" w:rsidRPr="005963D3" w:rsidRDefault="008577F0" w:rsidP="008577F0">
      <w:pPr>
        <w:bidi/>
        <w:ind w:left="180" w:hanging="180"/>
        <w:jc w:val="lowKashida"/>
        <w:rPr>
          <w:rFonts w:cs="Arabic Transparent"/>
          <w:b/>
          <w:bCs/>
          <w:sz w:val="28"/>
          <w:szCs w:val="28"/>
          <w:rtl/>
          <w:lang w:val="en-US" w:eastAsia="en-CA"/>
        </w:rPr>
      </w:pPr>
      <w:r w:rsidRPr="005963D3">
        <w:rPr>
          <w:rFonts w:cs="Arabic Transparent"/>
          <w:b/>
          <w:bCs/>
          <w:sz w:val="28"/>
          <w:szCs w:val="28"/>
          <w:rtl/>
          <w:lang w:val="en-US" w:eastAsia="en-CA"/>
        </w:rPr>
        <w:t>لتنفي</w:t>
      </w:r>
      <w:r w:rsidRPr="005963D3">
        <w:rPr>
          <w:rFonts w:cs="Arabic Transparent" w:hint="cs"/>
          <w:b/>
          <w:bCs/>
          <w:sz w:val="28"/>
          <w:szCs w:val="28"/>
          <w:rtl/>
          <w:lang w:val="en-US" w:eastAsia="en-CA"/>
        </w:rPr>
        <w:t>ـــ</w:t>
      </w:r>
      <w:r w:rsidRPr="005963D3">
        <w:rPr>
          <w:rFonts w:cs="Arabic Transparent"/>
          <w:b/>
          <w:bCs/>
          <w:sz w:val="28"/>
          <w:szCs w:val="28"/>
          <w:rtl/>
          <w:lang w:val="en-US" w:eastAsia="en-CA"/>
        </w:rPr>
        <w:t>ذ بروتوك</w:t>
      </w:r>
      <w:r w:rsidRPr="005963D3">
        <w:rPr>
          <w:rFonts w:cs="Arabic Transparent" w:hint="cs"/>
          <w:b/>
          <w:bCs/>
          <w:sz w:val="28"/>
          <w:szCs w:val="28"/>
          <w:rtl/>
          <w:lang w:val="en-US" w:eastAsia="en-CA"/>
        </w:rPr>
        <w:t>ـ</w:t>
      </w:r>
      <w:r w:rsidRPr="005963D3">
        <w:rPr>
          <w:rFonts w:cs="Arabic Transparent"/>
          <w:b/>
          <w:bCs/>
          <w:sz w:val="28"/>
          <w:szCs w:val="28"/>
          <w:rtl/>
          <w:lang w:val="en-US" w:eastAsia="en-CA"/>
        </w:rPr>
        <w:t>ول مونتري</w:t>
      </w:r>
      <w:r w:rsidRPr="005963D3">
        <w:rPr>
          <w:rFonts w:cs="Arabic Transparent" w:hint="cs"/>
          <w:b/>
          <w:bCs/>
          <w:sz w:val="28"/>
          <w:szCs w:val="28"/>
          <w:rtl/>
          <w:lang w:val="en-US" w:eastAsia="en-CA"/>
        </w:rPr>
        <w:t>ــ</w:t>
      </w:r>
      <w:r w:rsidRPr="005963D3">
        <w:rPr>
          <w:rFonts w:cs="Arabic Transparent"/>
          <w:b/>
          <w:bCs/>
          <w:sz w:val="28"/>
          <w:szCs w:val="28"/>
          <w:rtl/>
          <w:lang w:val="en-US" w:eastAsia="en-CA"/>
        </w:rPr>
        <w:t xml:space="preserve">ال </w:t>
      </w:r>
    </w:p>
    <w:p w:rsidR="008577F0" w:rsidRPr="005963D3" w:rsidRDefault="008577F0" w:rsidP="008577F0">
      <w:pPr>
        <w:bidi/>
        <w:ind w:left="4"/>
        <w:jc w:val="lowKashida"/>
        <w:rPr>
          <w:sz w:val="28"/>
          <w:szCs w:val="28"/>
          <w:rtl/>
          <w:lang w:val="en-US" w:eastAsia="en-CA"/>
        </w:rPr>
      </w:pPr>
      <w:r w:rsidRPr="005963D3">
        <w:rPr>
          <w:sz w:val="28"/>
          <w:szCs w:val="28"/>
          <w:rtl/>
          <w:lang w:val="en-US" w:eastAsia="en-CA"/>
        </w:rPr>
        <w:t xml:space="preserve">الاجتمــــــاع </w:t>
      </w:r>
      <w:r w:rsidRPr="005963D3">
        <w:rPr>
          <w:rFonts w:hint="cs"/>
          <w:sz w:val="28"/>
          <w:szCs w:val="28"/>
          <w:rtl/>
          <w:lang w:val="en-US" w:eastAsia="en-CA"/>
        </w:rPr>
        <w:t>الرابع والثمانون</w:t>
      </w:r>
    </w:p>
    <w:p w:rsidR="008577F0" w:rsidRPr="005963D3" w:rsidRDefault="008577F0" w:rsidP="008577F0">
      <w:pPr>
        <w:pStyle w:val="0Heading0"/>
        <w:bidi/>
        <w:ind w:left="4"/>
        <w:rPr>
          <w:rFonts w:cs="Arabic Transparent"/>
          <w:sz w:val="28"/>
          <w:szCs w:val="28"/>
          <w:lang w:bidi="ar-DZ"/>
        </w:rPr>
      </w:pPr>
      <w:r w:rsidRPr="005963D3">
        <w:rPr>
          <w:rFonts w:hint="cs"/>
          <w:sz w:val="28"/>
          <w:szCs w:val="28"/>
          <w:rtl/>
        </w:rPr>
        <w:t>مونتريال</w:t>
      </w:r>
      <w:r w:rsidRPr="005963D3">
        <w:rPr>
          <w:sz w:val="28"/>
          <w:szCs w:val="28"/>
          <w:rtl/>
        </w:rPr>
        <w:t>،</w:t>
      </w:r>
      <w:r w:rsidRPr="005963D3">
        <w:rPr>
          <w:rFonts w:hint="cs"/>
          <w:sz w:val="28"/>
          <w:szCs w:val="28"/>
          <w:rtl/>
        </w:rPr>
        <w:t xml:space="preserve"> من 16 إلى 20</w:t>
      </w:r>
      <w:r w:rsidRPr="005963D3">
        <w:rPr>
          <w:sz w:val="28"/>
          <w:szCs w:val="28"/>
        </w:rPr>
        <w:t xml:space="preserve"> </w:t>
      </w:r>
      <w:r w:rsidRPr="005963D3">
        <w:rPr>
          <w:rFonts w:asciiTheme="majorBidi" w:hAnsiTheme="majorBidi" w:cstheme="majorBidi" w:hint="cs"/>
          <w:sz w:val="28"/>
          <w:szCs w:val="28"/>
          <w:rtl/>
          <w:lang w:bidi="ar-SY"/>
        </w:rPr>
        <w:t>ديسمبر/</w:t>
      </w:r>
      <w:r w:rsidRPr="005963D3">
        <w:rPr>
          <w:rFonts w:hint="cs"/>
          <w:sz w:val="28"/>
          <w:szCs w:val="28"/>
          <w:rtl/>
        </w:rPr>
        <w:t xml:space="preserve"> كانون الأول </w:t>
      </w:r>
      <w:r w:rsidRPr="005963D3">
        <w:rPr>
          <w:rFonts w:asciiTheme="majorBidi" w:hAnsiTheme="majorBidi" w:cstheme="majorBidi" w:hint="cs"/>
          <w:sz w:val="28"/>
          <w:szCs w:val="28"/>
          <w:rtl/>
          <w:lang w:bidi="ar-SY"/>
        </w:rPr>
        <w:t>2019</w:t>
      </w:r>
    </w:p>
    <w:p w:rsidR="008577F0" w:rsidRPr="005963D3" w:rsidRDefault="008577F0" w:rsidP="008577F0">
      <w:pPr>
        <w:tabs>
          <w:tab w:val="left" w:pos="8280"/>
        </w:tabs>
        <w:bidi/>
        <w:rPr>
          <w:sz w:val="28"/>
          <w:szCs w:val="28"/>
        </w:rPr>
      </w:pPr>
    </w:p>
    <w:p w:rsidR="004731B8" w:rsidRPr="00791491" w:rsidRDefault="004731B8" w:rsidP="00631899">
      <w:pPr>
        <w:tabs>
          <w:tab w:val="left" w:pos="8280"/>
        </w:tabs>
        <w:bidi/>
        <w:rPr>
          <w:sz w:val="36"/>
          <w:szCs w:val="36"/>
        </w:rPr>
      </w:pPr>
    </w:p>
    <w:p w:rsidR="00F33FA5" w:rsidRPr="005963D3" w:rsidRDefault="006A7435" w:rsidP="005963D3">
      <w:pPr>
        <w:tabs>
          <w:tab w:val="left" w:pos="8280"/>
        </w:tabs>
        <w:bidi/>
        <w:spacing w:before="120" w:after="240"/>
        <w:jc w:val="center"/>
        <w:rPr>
          <w:bCs/>
          <w:sz w:val="32"/>
          <w:szCs w:val="32"/>
        </w:rPr>
      </w:pPr>
      <w:r w:rsidRPr="005963D3">
        <w:rPr>
          <w:rFonts w:hint="cs"/>
          <w:bCs/>
          <w:sz w:val="32"/>
          <w:szCs w:val="32"/>
          <w:rtl/>
        </w:rPr>
        <w:t>الدراسة النظرية عن تقييم استدامة إنجازات بروتوكول مونتريال</w:t>
      </w:r>
    </w:p>
    <w:p w:rsidR="00F33FA5" w:rsidRPr="005963D3" w:rsidRDefault="000E44B8" w:rsidP="00140059">
      <w:pPr>
        <w:tabs>
          <w:tab w:val="left" w:pos="8280"/>
        </w:tabs>
        <w:bidi/>
        <w:spacing w:before="120" w:after="240"/>
        <w:rPr>
          <w:bCs/>
          <w:sz w:val="26"/>
          <w:szCs w:val="26"/>
        </w:rPr>
      </w:pPr>
      <w:r w:rsidRPr="005963D3">
        <w:rPr>
          <w:rFonts w:hint="cs"/>
          <w:bCs/>
          <w:sz w:val="26"/>
          <w:szCs w:val="26"/>
          <w:rtl/>
        </w:rPr>
        <w:t>خلفية</w:t>
      </w:r>
    </w:p>
    <w:p w:rsidR="006A7435" w:rsidRPr="005963D3" w:rsidRDefault="006A7435" w:rsidP="00791491">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ظهر خلال الاجتماع الثاني والثمانين اهتمام بإجراء تقييم لاستدامة بروتوكول مونتريال بما في ذلك تقييم لدور وحدات الأوزون الوطنية ووحدات إدارة المشروعات في رصد إزالة المواد المستنفدة للأوزون. ويتضمن ذلك، </w:t>
      </w:r>
      <w:r w:rsidRPr="005963D3">
        <w:rPr>
          <w:rFonts w:hint="cs"/>
          <w:i/>
          <w:iCs/>
          <w:sz w:val="26"/>
          <w:szCs w:val="26"/>
          <w:rtl/>
          <w:lang w:val="en-CA"/>
        </w:rPr>
        <w:t>ضمن جملة أمور</w:t>
      </w:r>
      <w:r w:rsidRPr="005963D3">
        <w:rPr>
          <w:rFonts w:hint="cs"/>
          <w:sz w:val="26"/>
          <w:szCs w:val="26"/>
          <w:rtl/>
          <w:lang w:val="en-CA"/>
        </w:rPr>
        <w:t>، التدابير التي أدرجت فيها وحدات الأوزون الوطنية ووحدات إدارة المشروعات التزامات بروتوكول مونت</w:t>
      </w:r>
      <w:r w:rsidR="005C6307" w:rsidRPr="005963D3">
        <w:rPr>
          <w:rFonts w:hint="cs"/>
          <w:sz w:val="26"/>
          <w:szCs w:val="26"/>
          <w:rtl/>
          <w:lang w:val="en-CA"/>
        </w:rPr>
        <w:t>ر</w:t>
      </w:r>
      <w:r w:rsidRPr="005963D3">
        <w:rPr>
          <w:rFonts w:hint="cs"/>
          <w:sz w:val="26"/>
          <w:szCs w:val="26"/>
          <w:rtl/>
          <w:lang w:val="en-CA"/>
        </w:rPr>
        <w:t xml:space="preserve">يال ونتائج المشروعات في إطرها القانونية والسياساتية، وكيفية بيان ذلك في أنشطة وحدات الأوزون الوطنية والتنسيق مع أصحاب المصلحة الرئيسيين على المستوى الوطني، والمنهجيات المعتمدة لضمان التنفيذ الفعال لبروتوكول مونتريال وآليات رصد إعادة التوجيه من الاستخدامات غير الخاضعة للرقابة الى </w:t>
      </w:r>
      <w:r w:rsidR="00791491" w:rsidRPr="005963D3">
        <w:rPr>
          <w:rFonts w:hint="cs"/>
          <w:sz w:val="26"/>
          <w:szCs w:val="26"/>
          <w:rtl/>
          <w:lang w:val="en-CA"/>
        </w:rPr>
        <w:t>إ</w:t>
      </w:r>
      <w:r w:rsidRPr="005963D3">
        <w:rPr>
          <w:rFonts w:hint="cs"/>
          <w:sz w:val="26"/>
          <w:szCs w:val="26"/>
          <w:rtl/>
          <w:lang w:val="en-CA"/>
        </w:rPr>
        <w:t xml:space="preserve">ستخدامات </w:t>
      </w:r>
      <w:r w:rsidR="00791491" w:rsidRPr="005963D3">
        <w:rPr>
          <w:rFonts w:hint="cs"/>
          <w:sz w:val="26"/>
          <w:szCs w:val="26"/>
          <w:rtl/>
          <w:lang w:val="en-CA"/>
        </w:rPr>
        <w:t xml:space="preserve"> المواد </w:t>
      </w:r>
      <w:r w:rsidRPr="005963D3">
        <w:rPr>
          <w:rFonts w:hint="cs"/>
          <w:sz w:val="26"/>
          <w:szCs w:val="26"/>
          <w:rtl/>
          <w:lang w:val="en-CA"/>
        </w:rPr>
        <w:t>الخاضعة للرقابة.</w:t>
      </w:r>
    </w:p>
    <w:p w:rsidR="006A7435" w:rsidRPr="005963D3" w:rsidRDefault="006A7435" w:rsidP="00791491">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واستجابة لهذه المبادرة، وافقت اللجنة التنفيذية خلال اجتماعها الثالث والثمانين على إجراء دراسة نظرية </w:t>
      </w:r>
      <w:r w:rsidR="00791491" w:rsidRPr="005963D3">
        <w:rPr>
          <w:rFonts w:hint="cs"/>
          <w:sz w:val="26"/>
          <w:szCs w:val="26"/>
          <w:rtl/>
          <w:lang w:val="en-CA"/>
        </w:rPr>
        <w:t>عن</w:t>
      </w:r>
      <w:r w:rsidRPr="005963D3">
        <w:rPr>
          <w:rFonts w:hint="cs"/>
          <w:sz w:val="26"/>
          <w:szCs w:val="26"/>
          <w:rtl/>
          <w:lang w:val="en-CA"/>
        </w:rPr>
        <w:t xml:space="preserve"> تقييم مدى استدامة إنجازات بروتوكول مونتريال على النحو المبين في المشروعات الممولة من الصندوق المتعدد الأطراف كجزء من برنامج الرصد والتقييم لعام 2019.</w:t>
      </w:r>
      <w:r w:rsidRPr="005963D3">
        <w:rPr>
          <w:sz w:val="26"/>
          <w:szCs w:val="26"/>
          <w:vertAlign w:val="superscript"/>
          <w:lang w:val="en-CA"/>
        </w:rPr>
        <w:t xml:space="preserve"> </w:t>
      </w:r>
      <w:r w:rsidRPr="005963D3">
        <w:rPr>
          <w:sz w:val="26"/>
          <w:szCs w:val="26"/>
          <w:vertAlign w:val="superscript"/>
          <w:lang w:val="en-CA"/>
        </w:rPr>
        <w:footnoteReference w:id="1"/>
      </w:r>
      <w:r w:rsidRPr="005963D3">
        <w:rPr>
          <w:rFonts w:hint="cs"/>
          <w:sz w:val="26"/>
          <w:szCs w:val="26"/>
          <w:rtl/>
          <w:lang w:val="en-CA"/>
        </w:rPr>
        <w:t xml:space="preserve"> وترد اختصاصات هذه الدراسة في المرفق الأول بهذه الوثيقة.</w:t>
      </w:r>
    </w:p>
    <w:p w:rsidR="00140059" w:rsidRDefault="00140059">
      <w:pPr>
        <w:jc w:val="left"/>
        <w:rPr>
          <w:bCs/>
          <w:sz w:val="26"/>
          <w:szCs w:val="26"/>
          <w:rtl/>
        </w:rPr>
      </w:pPr>
      <w:r>
        <w:rPr>
          <w:bCs/>
          <w:sz w:val="26"/>
          <w:szCs w:val="26"/>
          <w:rtl/>
        </w:rPr>
        <w:br w:type="page"/>
      </w:r>
    </w:p>
    <w:p w:rsidR="008037EF" w:rsidRPr="005963D3" w:rsidRDefault="006A7435" w:rsidP="00631899">
      <w:pPr>
        <w:tabs>
          <w:tab w:val="left" w:pos="0"/>
        </w:tabs>
        <w:bidi/>
        <w:spacing w:before="120" w:after="240"/>
        <w:rPr>
          <w:bCs/>
          <w:sz w:val="26"/>
          <w:szCs w:val="26"/>
          <w:lang w:val="en-CA"/>
        </w:rPr>
      </w:pPr>
      <w:r w:rsidRPr="005963D3">
        <w:rPr>
          <w:rFonts w:hint="cs"/>
          <w:bCs/>
          <w:sz w:val="26"/>
          <w:szCs w:val="26"/>
          <w:rtl/>
        </w:rPr>
        <w:lastRenderedPageBreak/>
        <w:t>الهدف والنطاق</w:t>
      </w:r>
    </w:p>
    <w:p w:rsidR="006A7435" w:rsidRPr="005963D3" w:rsidRDefault="006A7435"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يتمثل هدف الدراسة النظرية في تقييم مدى استدامة التخفيضات التي تحققت بعد الانتهاء من المشروعات الممولة من الصندوق المتعدد الأطراف ومدى دعم الصندوق للأنشطة التي تواصل دعم الامتثال بعد الانتهاء من المشروع.</w:t>
      </w:r>
    </w:p>
    <w:p w:rsidR="006A7435" w:rsidRPr="005963D3" w:rsidRDefault="006A7435" w:rsidP="00791491">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وسوف تغطي مختلف الجوانب ذات الصلة </w:t>
      </w:r>
      <w:r w:rsidR="00791491" w:rsidRPr="005963D3">
        <w:rPr>
          <w:rFonts w:hint="cs"/>
          <w:sz w:val="26"/>
          <w:szCs w:val="26"/>
          <w:rtl/>
          <w:lang w:val="en-CA"/>
        </w:rPr>
        <w:t>بالأطر</w:t>
      </w:r>
      <w:r w:rsidRPr="005963D3">
        <w:rPr>
          <w:rFonts w:hint="cs"/>
          <w:sz w:val="26"/>
          <w:szCs w:val="26"/>
          <w:rtl/>
          <w:lang w:val="en-CA"/>
        </w:rPr>
        <w:t xml:space="preserve"> </w:t>
      </w:r>
      <w:r w:rsidR="00791491" w:rsidRPr="005963D3">
        <w:rPr>
          <w:rFonts w:hint="cs"/>
          <w:sz w:val="26"/>
          <w:szCs w:val="26"/>
          <w:rtl/>
          <w:lang w:val="en-CA"/>
        </w:rPr>
        <w:t>السياساتية</w:t>
      </w:r>
      <w:r w:rsidRPr="005963D3">
        <w:rPr>
          <w:rFonts w:hint="cs"/>
          <w:sz w:val="26"/>
          <w:szCs w:val="26"/>
          <w:rtl/>
          <w:lang w:val="en-CA"/>
        </w:rPr>
        <w:t xml:space="preserve"> </w:t>
      </w:r>
      <w:r w:rsidR="00773454" w:rsidRPr="005963D3">
        <w:rPr>
          <w:rFonts w:hint="cs"/>
          <w:sz w:val="26"/>
          <w:szCs w:val="26"/>
          <w:rtl/>
          <w:lang w:val="en-CA"/>
        </w:rPr>
        <w:t>و</w:t>
      </w:r>
      <w:r w:rsidRPr="005963D3">
        <w:rPr>
          <w:rFonts w:hint="cs"/>
          <w:sz w:val="26"/>
          <w:szCs w:val="26"/>
          <w:rtl/>
          <w:lang w:val="en-CA"/>
        </w:rPr>
        <w:t xml:space="preserve">التنظيمية والمؤسسات والآليات، والرصد والإبلاغ، والأدوار والمسؤوليات </w:t>
      </w:r>
      <w:r w:rsidR="00250A33" w:rsidRPr="005963D3">
        <w:rPr>
          <w:rFonts w:hint="cs"/>
          <w:sz w:val="26"/>
          <w:szCs w:val="26"/>
          <w:rtl/>
          <w:lang w:val="en-CA"/>
        </w:rPr>
        <w:t>المتعلقة بوحدات الأوزون الوطنية، ووحدات إدارة المشروعات ودور التعزيز المؤسسي والإنتاج والاستهلاك، وأصحاب المصلحة وأنشطة استثارة الوعي في سياق الدعم المقدم بموجب المشروعات الممولة من الصندوق المتعدد الأطراف.</w:t>
      </w:r>
    </w:p>
    <w:p w:rsidR="00F33FA5" w:rsidRPr="005963D3" w:rsidRDefault="00250A33" w:rsidP="00631899">
      <w:pPr>
        <w:tabs>
          <w:tab w:val="left" w:pos="8280"/>
        </w:tabs>
        <w:bidi/>
        <w:spacing w:before="120" w:after="240"/>
        <w:rPr>
          <w:bCs/>
          <w:sz w:val="26"/>
          <w:szCs w:val="26"/>
        </w:rPr>
      </w:pPr>
      <w:r w:rsidRPr="005963D3">
        <w:rPr>
          <w:rFonts w:hint="cs"/>
          <w:bCs/>
          <w:sz w:val="26"/>
          <w:szCs w:val="26"/>
          <w:rtl/>
        </w:rPr>
        <w:t>المنهجية</w:t>
      </w:r>
    </w:p>
    <w:p w:rsidR="00250A33" w:rsidRPr="005963D3" w:rsidRDefault="00250A33" w:rsidP="0077345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في أعقاب المناقشات التي جرت خلال الاجتماع الثالث والثمانين بشأن الاختصاصات، قررت اللجنة التنفيذية أن تستخدم المنهجية تعريفا ضيقا لمصطلح الاستدامة يركز على عدم التراجع عن الإجراءات التي اتخذت بتمويل من الصندوق المتعدد الأطراف في السياسات الطويلة الأصل لحكومة معينة. واقترحت اللجنة أن يؤخذ في الاعتبار أيضا استخدام البدائل وطلبت أن تفحص الدراسة النظرية مدى قدرة بلدان المادة 5 على </w:t>
      </w:r>
      <w:r w:rsidR="00773454" w:rsidRPr="005963D3">
        <w:rPr>
          <w:rFonts w:hint="cs"/>
          <w:sz w:val="26"/>
          <w:szCs w:val="26"/>
          <w:rtl/>
          <w:lang w:val="en-CA"/>
        </w:rPr>
        <w:t>إجرتء</w:t>
      </w:r>
      <w:r w:rsidRPr="005963D3">
        <w:rPr>
          <w:rFonts w:hint="cs"/>
          <w:sz w:val="26"/>
          <w:szCs w:val="26"/>
          <w:rtl/>
          <w:lang w:val="en-CA"/>
        </w:rPr>
        <w:t xml:space="preserve"> توليفات تتيح تدمير المواد المستنفدة للأوزون بعد إزالة الاستهلاك (المقرر 83/8).</w:t>
      </w:r>
    </w:p>
    <w:p w:rsidR="00250A33" w:rsidRPr="005963D3" w:rsidRDefault="00250A33"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وإعمالا للاختصاصات، فحصت الدراسة النظرية ثمانية مواضيع رئيسية يمكن أن تؤثر مجتمعة في إزالة المواد المستنفدة للأوزون أو خفضها المواد الهيدروفلوروكربون التي تحققت من جانب الأطراف بحسب التزاماتها بمقتضى بروتوكول مونتريال. ويمكن أن تنظر في الإجراءات والاستراتيجيات القائمة والتي تهدف الى ضمان إمكانية استدامة التخفيضات بمرور الوقت وخاصة بمجرد انتهاء التمويل المستمر من المشروعات. وتنظر الدراسة في الانجازات التي تحققت (إزالة المواد المستنفدة للأوزون)، وتنظر في الأعمال الجارية لبروتوكول مونتريال والصندوق المتعدد الأطراف ويتناول القسم الأخير التحديات المحددة، والدروس المستفادة وتوصية.</w:t>
      </w:r>
    </w:p>
    <w:p w:rsidR="00250A33" w:rsidRPr="005963D3" w:rsidRDefault="00250A33" w:rsidP="0077345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واستخد</w:t>
      </w:r>
      <w:r w:rsidR="00773454" w:rsidRPr="005963D3">
        <w:rPr>
          <w:rFonts w:hint="cs"/>
          <w:sz w:val="26"/>
          <w:szCs w:val="26"/>
          <w:rtl/>
          <w:lang w:val="en-CA"/>
        </w:rPr>
        <w:t>مت</w:t>
      </w:r>
      <w:r w:rsidRPr="005963D3">
        <w:rPr>
          <w:rFonts w:hint="cs"/>
          <w:sz w:val="26"/>
          <w:szCs w:val="26"/>
          <w:rtl/>
          <w:lang w:val="en-CA"/>
        </w:rPr>
        <w:t xml:space="preserve"> خبيرة استشاري</w:t>
      </w:r>
      <w:r w:rsidR="00773454" w:rsidRPr="005963D3">
        <w:rPr>
          <w:rFonts w:hint="cs"/>
          <w:sz w:val="26"/>
          <w:szCs w:val="26"/>
          <w:rtl/>
          <w:lang w:val="en-CA"/>
        </w:rPr>
        <w:t>ة</w:t>
      </w:r>
      <w:r w:rsidRPr="005963D3">
        <w:rPr>
          <w:rFonts w:hint="cs"/>
          <w:sz w:val="26"/>
          <w:szCs w:val="26"/>
          <w:rtl/>
          <w:lang w:val="en-CA"/>
        </w:rPr>
        <w:t xml:space="preserve"> لإجراء الدراسة النظرية بمعالجة الأهداف الواردة أعلاه. واستعرضت تقارير الرصد والتقييم السابقة التي أجراها الصندوق المتعدد الأطراف عن إزالة المواد المستنفدة للأوزون، والامتثال، والتحديات واستدامة الإزالة التي تمت، ودرست أيضا التقارير وبرامج العمل ووثائق المشروعات المقدمة من الوكالات المنفذة للجنة التنفيذية وتتضمن هذه مشروعات التعزيز المؤسسي والمشروعات الإيضاحية (باستخدام البدائل من المواد غير المستنفدة للأوزون). والمشروعات (الاستثمارية) لإزالة المواد المستنفدة للأوزون لمختلف بلدان المادة 5 في مختلف الأقاليم. وأشير في بعض الأحيان الى تقارير فريق التكنولوجيا والتقييم الاقتصادي التابع لبروتوكول مونتريال.</w:t>
      </w:r>
    </w:p>
    <w:p w:rsidR="007B6FE6" w:rsidRPr="005963D3" w:rsidRDefault="007B6FE6" w:rsidP="007B6FE6">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وعلاوة على ذلك نظر أيضا في تقارير برنامج المساعدة على الامتثال في اليونيب عبر السنين وخاصة الاستراتيجية المتتالية للسنوات الثلاث (2018-2020) بالنظر الى أنها تعالج بوضوح الإجراءات والتغييرات التي حدثت واللازمة كذلك في ضوء رابطة الأوزون- المناخ التي أدرجت في بروتوكول مونتريال بواسطة تعديل كيجالي.</w:t>
      </w:r>
    </w:p>
    <w:p w:rsidR="007B6FE6" w:rsidRPr="005963D3" w:rsidRDefault="007B6FE6" w:rsidP="0077345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وسيجري بغية استكمال وتعزيز الاستنتاجات المستحدثة من التحليل الوارد أعلاه، استبيان وضع المعلومات المسترجعة من العناصر الفاعلة الرئيسية لدعم عملية إزالة المواد المستنفدة للأوزون وخاصة موظفي الأوزون الوطنيين والوكالات المنفذة.</w:t>
      </w:r>
      <w:r w:rsidRPr="005963D3">
        <w:rPr>
          <w:rStyle w:val="FootnoteReference"/>
          <w:sz w:val="26"/>
          <w:szCs w:val="26"/>
          <w:lang w:val="en-CA"/>
        </w:rPr>
        <w:t xml:space="preserve"> </w:t>
      </w:r>
      <w:r w:rsidRPr="005963D3">
        <w:rPr>
          <w:rStyle w:val="FootnoteReference"/>
          <w:sz w:val="26"/>
          <w:szCs w:val="26"/>
          <w:lang w:val="en-CA"/>
        </w:rPr>
        <w:footnoteReference w:id="2"/>
      </w:r>
      <w:r w:rsidRPr="005963D3">
        <w:rPr>
          <w:rFonts w:hint="cs"/>
          <w:sz w:val="26"/>
          <w:szCs w:val="26"/>
          <w:rtl/>
          <w:lang w:val="en-CA"/>
        </w:rPr>
        <w:t xml:space="preserve"> وعلى الرغم من</w:t>
      </w:r>
      <w:r w:rsidR="00773454" w:rsidRPr="005963D3">
        <w:rPr>
          <w:rFonts w:hint="cs"/>
          <w:sz w:val="26"/>
          <w:szCs w:val="26"/>
          <w:rtl/>
          <w:lang w:val="en-CA"/>
        </w:rPr>
        <w:t xml:space="preserve"> أن</w:t>
      </w:r>
      <w:r w:rsidRPr="005963D3">
        <w:rPr>
          <w:rFonts w:hint="cs"/>
          <w:sz w:val="26"/>
          <w:szCs w:val="26"/>
          <w:rtl/>
          <w:lang w:val="en-CA"/>
        </w:rPr>
        <w:t xml:space="preserve"> مستوى الردود كان منخفضا، فإن الردود المتلقاة أتاحت إجراء </w:t>
      </w:r>
      <w:r w:rsidRPr="005963D3">
        <w:rPr>
          <w:rFonts w:hint="cs"/>
          <w:sz w:val="26"/>
          <w:szCs w:val="26"/>
          <w:rtl/>
          <w:lang w:val="en-CA"/>
        </w:rPr>
        <w:lastRenderedPageBreak/>
        <w:t>تقييم متعمق للاستراتيجيات القائمة لضمان استدامة الإزالة في بلدان معينة، ولتحديد بعض التحديات الناشئة. ويمكن الإطلاع على الاستبيان في المرفق الثاني بهذه الوثيقة.</w:t>
      </w:r>
    </w:p>
    <w:p w:rsidR="00F33FA5" w:rsidRPr="005963D3" w:rsidRDefault="007B6FE6" w:rsidP="00631899">
      <w:pPr>
        <w:keepNext/>
        <w:keepLines/>
        <w:tabs>
          <w:tab w:val="left" w:pos="8280"/>
        </w:tabs>
        <w:bidi/>
        <w:spacing w:before="120" w:after="240"/>
        <w:rPr>
          <w:bCs/>
          <w:sz w:val="26"/>
          <w:szCs w:val="26"/>
        </w:rPr>
      </w:pPr>
      <w:r w:rsidRPr="005963D3">
        <w:rPr>
          <w:rFonts w:hint="cs"/>
          <w:bCs/>
          <w:sz w:val="26"/>
          <w:szCs w:val="26"/>
          <w:rtl/>
        </w:rPr>
        <w:t>نتائج التقييم</w:t>
      </w:r>
    </w:p>
    <w:p w:rsidR="00267B4D" w:rsidRPr="005963D3" w:rsidRDefault="007B6FE6" w:rsidP="00631899">
      <w:pPr>
        <w:keepNext/>
        <w:keepLines/>
        <w:tabs>
          <w:tab w:val="left" w:pos="8280"/>
        </w:tabs>
        <w:bidi/>
        <w:spacing w:before="120" w:after="240"/>
        <w:rPr>
          <w:sz w:val="26"/>
          <w:szCs w:val="26"/>
          <w:u w:val="single"/>
        </w:rPr>
      </w:pPr>
      <w:r w:rsidRPr="005963D3">
        <w:rPr>
          <w:rFonts w:hint="cs"/>
          <w:sz w:val="26"/>
          <w:szCs w:val="26"/>
          <w:u w:val="single"/>
          <w:rtl/>
        </w:rPr>
        <w:t>الأطر السياساتية والتنظيمية والمؤسسات والآليات</w:t>
      </w:r>
    </w:p>
    <w:p w:rsidR="007B6FE6" w:rsidRPr="005963D3" w:rsidRDefault="007B6FE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جرى تحليل الوسائل التي اتخذتها البلدان لضمان الامتثال لالتزامات بروتوكول مونتريال وخاصة التخفيضات التجميعية من المواد الخاضعة للرقابة بعد الأنشطة الممولة من الصندوق المتعدد الأطراف التي استكملت. وعلى وجه الخصوص ما إذا كانت السياسات والتشريعات والقواعد الوطنية. تجمع هذه المسائل وأصبح من الواضح من تحليل عمليات التقييم السابقة ووثائق المشروعات وجهود الرصد أن الأطراف قد التزمت منذ بداية بروتوكول مونتريال وتعديلاته وعملت على دعم الامتثال للأحكام والالتزامات ذات اللصة بإزالة المواد المستنفدة للأوزون من خلال الأطر السياساتية والتنظيمية للحكومات. والواقع أن هذه الالتزامات تعتبر شرطا للمشروعات الممولة من خلال الصندوق المتعدد الأطراف وخاصة المشروعات الاستثمارية (الإزالة) للتعزيز المؤسسي. وكانت هناك حالات قدمت فيها المشروعات غير الاستثمارية دعما كبيرا فضلا عن القواعد الإقليمية. مثل في إقليم أفريقيا الذي أسهمت بدرجة أكبر في إنشاء آليات تعزيز لإزالة المواد المستنفدة للأوزون.</w:t>
      </w:r>
    </w:p>
    <w:p w:rsidR="007B6FE6" w:rsidRPr="005963D3" w:rsidRDefault="007B6FE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أبلغ عن مشروعات التعزيز المؤسسي على وجه الخصوص علما أنها "قدمت زيادة </w:t>
      </w:r>
      <w:r w:rsidR="001E12BC" w:rsidRPr="005963D3">
        <w:rPr>
          <w:rFonts w:hint="cs"/>
          <w:sz w:val="26"/>
          <w:szCs w:val="26"/>
          <w:rtl/>
          <w:lang w:val="en-CA"/>
        </w:rPr>
        <w:t>إضافية ضرورية (لزيادة أولوية قضايا الأوزون في الكثير من بلدان المادة 5) بفضل تعزيز وحدات الأوزون الوطنية باعتبارها نقاط ارتكاز لتعبئة أصحاب المصلحة المحليين، وبدء ومتابعة التشريعات والتصديقات وتنسيق إعداد وتنفيذ مشروعات وخطط الإزالة مع الوكالات المنفذة والوكالات الثنائية"</w:t>
      </w:r>
      <w:r w:rsidR="001E12BC" w:rsidRPr="005963D3">
        <w:rPr>
          <w:sz w:val="26"/>
          <w:szCs w:val="26"/>
          <w:vertAlign w:val="superscript"/>
          <w:lang w:val="en-CA"/>
        </w:rPr>
        <w:footnoteReference w:id="3"/>
      </w:r>
      <w:r w:rsidR="001E12BC" w:rsidRPr="005963D3">
        <w:rPr>
          <w:rFonts w:hint="cs"/>
          <w:sz w:val="26"/>
          <w:szCs w:val="26"/>
          <w:rtl/>
          <w:lang w:val="en-CA"/>
        </w:rPr>
        <w:t xml:space="preserve"> وفي آسيا مثلا، نفذ اليونيب مشروعات تعزيز مؤسسي يؤثر التدريب لموظفي الجمارك وفنيي التبريد والتدريب على الرصد والسياسات والمساعدة في تعزيز وإنفاذ القواعد ذات الصلة بإزالة الكلوروفلوروكربون واسترجاعه وإعادة تدويره، وإزالة بروميد الميثيل ورباعي كلوريد الكربون، وافتقرت كينيا.</w:t>
      </w:r>
      <w:r w:rsidR="001E12BC" w:rsidRPr="005963D3">
        <w:rPr>
          <w:sz w:val="26"/>
          <w:szCs w:val="26"/>
          <w:vertAlign w:val="superscript"/>
          <w:lang w:val="en-CA"/>
        </w:rPr>
        <w:t xml:space="preserve"> </w:t>
      </w:r>
      <w:r w:rsidR="001E12BC" w:rsidRPr="005963D3">
        <w:rPr>
          <w:sz w:val="26"/>
          <w:szCs w:val="26"/>
          <w:vertAlign w:val="superscript"/>
          <w:lang w:val="en-CA"/>
        </w:rPr>
        <w:footnoteReference w:id="4"/>
      </w:r>
      <w:r w:rsidR="001E12BC" w:rsidRPr="005963D3">
        <w:rPr>
          <w:rFonts w:hint="cs"/>
          <w:sz w:val="26"/>
          <w:szCs w:val="26"/>
          <w:rtl/>
          <w:lang w:val="en-CA"/>
        </w:rPr>
        <w:t xml:space="preserve"> الى إطار تنظيمي لمعالجة المواد المستنفدة للأوزون وخفضه وإزالته على النحو الوارد في المبادئ التوجيهية لبروتوكول مونتريال والتي تساعد مشروع التعزيز المؤسسي على دعمها.</w:t>
      </w:r>
    </w:p>
    <w:p w:rsidR="001E12BC" w:rsidRPr="005963D3" w:rsidRDefault="001E12B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وقد تمكنت وحدات الأوزون الوطنية من خلال تمويل التعزيز المؤسسي بدعم من الوكالات المنفذة من إقامة أطر تنظيمية وتعزيزها من خلال حكوماتها لتوفير الاستدامة لإزالة المواد المستنفدة للأوزون. وعموما، جرى تحديث هذه التشريعات أو تعديلها بالاقتران مع تطوير بروتوكول مونتريال بما في ذلك من خلال أحكام جديدة واعتماد المواقف الأكثر قوة مع وصول المواعيد النهائية للإزالة (أي فرض حظر كامل على المواد المستنفدة للأوزون) ونظر التعديلات على البروتوكول. وأصبحت نظم التراخيص والحصص في مواقعها للمساعدة في رصد الامتثال للقواعد ذات الصلة باستهلاك المواد المستنفدة للأوزون والاتجار بها (الاستيراد والتصدير والإنتاج حسب مقتضى الحال). ومنذ الاجتماع الثامن والستين، تربط الاتفاقات بين اللجنة والحكومات المعنية تنفيذ خطط إدارة إزالة المواد الهيدروكلوروفلوروكربونية بالتزام البلدان بالتنفيذ الفعّال لنظم التراخيص والحصص (المقرر 63/17). ويعتبر تعزيز هذه النظم عملية جارية يمكن التحقق منها عن طريق عمليات التحقق المستقلة.</w:t>
      </w:r>
    </w:p>
    <w:p w:rsidR="001E12BC" w:rsidRPr="005963D3" w:rsidRDefault="003608EE" w:rsidP="0077345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أبلغ عن التحديات التي تواجه إنفاذ هذه الأحكام القانونية من خلال الاستبيان الذي أرسل وفي الوثائق التي درست. ويتضمن ذلك التأخيرات في سن التشريعات وحتى التصديق على التعديلات نتيجة للظروف السياسية (مثل تغيير أولويات الحكومات أو الارادة السياسية أو </w:t>
      </w:r>
      <w:r w:rsidR="00773454" w:rsidRPr="005963D3">
        <w:rPr>
          <w:rFonts w:hint="cs"/>
          <w:sz w:val="26"/>
          <w:szCs w:val="26"/>
          <w:rtl/>
          <w:lang w:val="en-CA"/>
        </w:rPr>
        <w:t>تنقلات</w:t>
      </w:r>
      <w:r w:rsidRPr="005963D3">
        <w:rPr>
          <w:rFonts w:hint="cs"/>
          <w:sz w:val="26"/>
          <w:szCs w:val="26"/>
          <w:rtl/>
          <w:lang w:val="en-CA"/>
        </w:rPr>
        <w:t xml:space="preserve"> الموظفين مما يؤثر في مواصلة تنفيذ السياسات، أو الاضطرابات السياسية/ المدنية)، والأولوية الممنوحة للقضايا البيئية وخاصة حماية طبقة الأوزون مما يؤثر بدوره في الأهمية التي تمنح لوحدات الأوزون الوطنية، والمشاركة الكاملة لأصحاب المصلحة بما في ذلك مختلف الوزارات بل وكذلك الوكالات الحكومية وغيرها من المؤسسات (مثل البحوث والتطوير)، والروابط، والقطاع </w:t>
      </w:r>
      <w:r w:rsidRPr="005963D3">
        <w:rPr>
          <w:rFonts w:hint="cs"/>
          <w:sz w:val="26"/>
          <w:szCs w:val="26"/>
          <w:rtl/>
          <w:lang w:val="en-CA"/>
        </w:rPr>
        <w:lastRenderedPageBreak/>
        <w:t>الخاص. وتتضمن الإجراءات التي تتخذ لتوفير الاستدامة للإزالة التي تحققت، على سبيل المثال، مساعدة وحدات الأوزون الوطنية لجذب الاهتمام والاعتراف داخل البلد من خلال إشراك أصحاب المصلحة الرئيسيين والقطاعات الرئيسية والإسهام في مساعدة الحكومات على تحديد ووضع الأطر التنظيمية الفعّالة والقابلة للتنفيذ. ويكتسي ذلك أهمية لتحقيق المستوى الملائم من الدعم من الحكومات والقطاعات الرئيسية. وعلى الرغم من أن التزام الحكومات بإزالة المواد المستنفدة للأوزون يتضمن في الاتفاق مع اللجنة التنفيذية، لدى الموافقة على خطط الإزالة، فإن برنامج المساعدة على الامتثال في اليونيب يقدم المساعدة في تعميق الوعي بالأهمية الشاملة لحماية طبقة الأوزون، ويشجع مشاركة وحدات الأوزون الوطنية في الشبكات الإقليمية. غير أن اليونيدو أشارت في ردها على الاستبيان أن الوكالات المنفذة لا تستطيع رصد الامتثال بمجرد انتهاء المشروعات.</w:t>
      </w:r>
    </w:p>
    <w:p w:rsidR="003608EE" w:rsidRPr="005963D3" w:rsidRDefault="003608EE" w:rsidP="004E1427">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ويحظى الدور البارز لوحدات الأوزون الوطنية في المساعدة في وضع الأطر السياساتية والتنظيمية بالاعتراف الكامل. نظرا لأن أحد أدوار وحدات الأوزون الوطنية يتمثل في ضمان واستدام</w:t>
      </w:r>
      <w:r w:rsidR="001E7709" w:rsidRPr="005963D3">
        <w:rPr>
          <w:rFonts w:hint="cs"/>
          <w:sz w:val="26"/>
          <w:szCs w:val="26"/>
          <w:rtl/>
          <w:lang w:val="en-CA"/>
        </w:rPr>
        <w:t>ة</w:t>
      </w:r>
      <w:r w:rsidRPr="005963D3">
        <w:rPr>
          <w:rFonts w:hint="cs"/>
          <w:sz w:val="26"/>
          <w:szCs w:val="26"/>
          <w:rtl/>
          <w:lang w:val="en-CA"/>
        </w:rPr>
        <w:t xml:space="preserve"> امتثال البلدان لبروتوكول مونتريال، تشارك هذه الوحدات في وضع القواعد أو نظم التراخيص والحصص للرقابة على الواردات والصادرات</w:t>
      </w:r>
      <w:r w:rsidR="001E7709" w:rsidRPr="005963D3">
        <w:rPr>
          <w:rFonts w:hint="cs"/>
          <w:sz w:val="26"/>
          <w:szCs w:val="26"/>
          <w:rtl/>
          <w:lang w:val="en-CA"/>
        </w:rPr>
        <w:t xml:space="preserve"> من</w:t>
      </w:r>
      <w:r w:rsidRPr="005963D3">
        <w:rPr>
          <w:rFonts w:hint="cs"/>
          <w:sz w:val="26"/>
          <w:szCs w:val="26"/>
          <w:rtl/>
          <w:lang w:val="en-CA"/>
        </w:rPr>
        <w:t xml:space="preserve"> المواد المستنفدة للأوزون والمنتجات التي يتضمنها وتصنيعها وبيعها، أبلغت جميع الوحدات التي ردت على الاستبيان عن تنفيذ تشريعات وطنية لدعم إزالة المواد المستنفدة للأوزون والمحافظة عليها، وهي التشريعات التي عدلت بمرور الوقت بمواكبة تطور بروتوكول مونتريال (مثل الإزالة المعجلة للمواد الهيدروكلوروفلوروكربونية بعد المقرر </w:t>
      </w:r>
      <w:r w:rsidR="004E1427">
        <w:rPr>
          <w:sz w:val="26"/>
          <w:szCs w:val="26"/>
          <w:lang w:val="en-CA"/>
        </w:rPr>
        <w:t>6/XXIX</w:t>
      </w:r>
      <w:r w:rsidRPr="005963D3">
        <w:rPr>
          <w:rFonts w:hint="cs"/>
          <w:sz w:val="26"/>
          <w:szCs w:val="26"/>
          <w:rtl/>
          <w:lang w:val="en-CA"/>
        </w:rPr>
        <w:t>). وتعمل</w:t>
      </w:r>
      <w:r w:rsidR="000A7A3E" w:rsidRPr="005963D3">
        <w:rPr>
          <w:rFonts w:hint="cs"/>
          <w:sz w:val="26"/>
          <w:szCs w:val="26"/>
          <w:rtl/>
          <w:lang w:val="en-CA"/>
        </w:rPr>
        <w:t xml:space="preserve"> وحدات الأوزون الوطنية مع السلطات الوطنية لإنفاذ السياسات وخاصة موظفي الجمارك (وسلطات </w:t>
      </w:r>
      <w:r w:rsidR="001E7709" w:rsidRPr="005963D3">
        <w:rPr>
          <w:rFonts w:hint="cs"/>
          <w:sz w:val="26"/>
          <w:szCs w:val="26"/>
          <w:rtl/>
          <w:lang w:val="en-CA"/>
        </w:rPr>
        <w:t>صخة</w:t>
      </w:r>
      <w:r w:rsidR="000A7A3E" w:rsidRPr="005963D3">
        <w:rPr>
          <w:rFonts w:hint="cs"/>
          <w:sz w:val="26"/>
          <w:szCs w:val="26"/>
          <w:rtl/>
          <w:lang w:val="en-CA"/>
        </w:rPr>
        <w:t xml:space="preserve"> النباتات حالة بروميد الميثيل</w:t>
      </w:r>
      <w:r w:rsidR="000A7A3E" w:rsidRPr="005963D3">
        <w:rPr>
          <w:rStyle w:val="FootnoteReference"/>
          <w:sz w:val="26"/>
          <w:szCs w:val="26"/>
          <w:lang w:val="en-CA"/>
        </w:rPr>
        <w:footnoteReference w:id="5"/>
      </w:r>
      <w:r w:rsidR="000A7A3E" w:rsidRPr="005963D3">
        <w:rPr>
          <w:rFonts w:hint="cs"/>
          <w:sz w:val="26"/>
          <w:szCs w:val="26"/>
          <w:rtl/>
          <w:lang w:val="en-CA"/>
        </w:rPr>
        <w:t>). وتتناول وحدات الأوزون الوطنية كذلك حالات عدم الامتثال واحتمالات عدم الامتثال. وتتولى السلطات المعنية فرض العقوبات على الانتهاكات (مثل الاستخدام أو الاتجار غير القانوني). غير أنه أبلغ في بعض الأحيان عن آليات فعّالة لفرض هذه العقوبات إلاّ أنه أشير الى ضعف أو صعوبة فرضها. وأشارت بعض الوحدات التي ردت على الاستبيان الى الضعف أو عدم توافر وسائل قانونية لغرض عقوبات على هذه الانتهاكات (مثل نيجيريا) في حين أشارت أرمينيا مثلا الى تنفيذ مدونة الانتهاكات الإدارية وتفرض عقوبات واضحة على انتهاك التشريعات ذات الصلة بالمواد المستنفدة للأوزون. وتتمثل إحدى الوسائل التي تفرض بها المكسيك القواعد ومن ثم المحافظة على التخفيضات وإبقاء الامتثال - في تنفيذ المعايير الوطنية لتجنب استخدام المواد المستنفدة للأوزون.</w:t>
      </w:r>
    </w:p>
    <w:p w:rsidR="000A7A3E" w:rsidRPr="005963D3" w:rsidRDefault="000A7A3E" w:rsidP="001E7709">
      <w:pPr>
        <w:numPr>
          <w:ilvl w:val="0"/>
          <w:numId w:val="16"/>
        </w:numPr>
        <w:tabs>
          <w:tab w:val="left" w:pos="0"/>
        </w:tabs>
        <w:bidi/>
        <w:spacing w:before="120" w:after="240"/>
        <w:ind w:left="0" w:firstLine="0"/>
        <w:rPr>
          <w:b/>
          <w:sz w:val="26"/>
          <w:szCs w:val="26"/>
          <w:lang w:val="en-CA"/>
        </w:rPr>
      </w:pPr>
      <w:r w:rsidRPr="005963D3">
        <w:rPr>
          <w:rFonts w:hint="cs"/>
          <w:b/>
          <w:sz w:val="26"/>
          <w:szCs w:val="26"/>
          <w:rtl/>
          <w:lang w:val="en-CA"/>
        </w:rPr>
        <w:t xml:space="preserve">واستخدمت بعض البلدان الآليات الضرائيبية مثل الحوافز الضريبية/ أو السلبية أو إزالة الإعانات لتشجيع المنشئات على التحول من استخدام المواد الخاضعة للرقابة الى البدائل غير أنه يبدو أنها </w:t>
      </w:r>
      <w:r w:rsidR="001E7709" w:rsidRPr="005963D3">
        <w:rPr>
          <w:rFonts w:hint="cs"/>
          <w:b/>
          <w:sz w:val="26"/>
          <w:szCs w:val="26"/>
          <w:rtl/>
          <w:lang w:val="en-CA"/>
        </w:rPr>
        <w:t xml:space="preserve"> ليست ب</w:t>
      </w:r>
      <w:r w:rsidRPr="005963D3">
        <w:rPr>
          <w:rFonts w:hint="cs"/>
          <w:b/>
          <w:sz w:val="26"/>
          <w:szCs w:val="26"/>
          <w:rtl/>
          <w:lang w:val="en-CA"/>
        </w:rPr>
        <w:t>أسلوب واسع الانتشار بالنظر الى أن عدد قليل فقط من وحدات الأوزون الوطنية التي أجابت على الاستبيان هو الذي أشار الى تنفيذها و/أو استخدامها كأداة مستمرة لتوفير الاستدامة للإزالة. ويمكن أن تؤدي الآليات الضرائيبية الى نتائج غير مرغوبة كذلك إذ تبين بعض الأمثلة الواردة أدناه نتيج</w:t>
      </w:r>
      <w:r w:rsidR="00CF7C95" w:rsidRPr="005963D3">
        <w:rPr>
          <w:rFonts w:hint="cs"/>
          <w:b/>
          <w:sz w:val="26"/>
          <w:szCs w:val="26"/>
          <w:rtl/>
          <w:lang w:val="en-CA"/>
        </w:rPr>
        <w:t>ة</w:t>
      </w:r>
      <w:r w:rsidRPr="005963D3">
        <w:rPr>
          <w:rFonts w:hint="cs"/>
          <w:b/>
          <w:sz w:val="26"/>
          <w:szCs w:val="26"/>
          <w:rtl/>
          <w:lang w:val="en-CA"/>
        </w:rPr>
        <w:t xml:space="preserve"> هذه الآلية:</w:t>
      </w:r>
    </w:p>
    <w:p w:rsidR="000A7A3E" w:rsidRPr="005963D3" w:rsidRDefault="000A7A3E" w:rsidP="00631899">
      <w:pPr>
        <w:numPr>
          <w:ilvl w:val="0"/>
          <w:numId w:val="17"/>
        </w:numPr>
        <w:tabs>
          <w:tab w:val="left" w:pos="8280"/>
        </w:tabs>
        <w:bidi/>
        <w:spacing w:after="120"/>
        <w:ind w:left="1418" w:hanging="709"/>
        <w:rPr>
          <w:sz w:val="26"/>
          <w:szCs w:val="26"/>
        </w:rPr>
      </w:pPr>
      <w:r w:rsidRPr="005963D3">
        <w:rPr>
          <w:rFonts w:hint="cs"/>
          <w:sz w:val="26"/>
          <w:szCs w:val="26"/>
          <w:rtl/>
        </w:rPr>
        <w:t>تضمن المشروع الإيضاحي للبرازيل عن تبريد المباني (اليوئنديبي، 2005)،</w:t>
      </w:r>
      <w:r w:rsidRPr="005963D3">
        <w:rPr>
          <w:sz w:val="26"/>
          <w:szCs w:val="26"/>
          <w:vertAlign w:val="superscript"/>
        </w:rPr>
        <w:t xml:space="preserve"> </w:t>
      </w:r>
      <w:r w:rsidRPr="005963D3">
        <w:rPr>
          <w:sz w:val="26"/>
          <w:szCs w:val="26"/>
          <w:vertAlign w:val="superscript"/>
        </w:rPr>
        <w:footnoteReference w:id="6"/>
      </w:r>
      <w:r w:rsidRPr="005963D3">
        <w:rPr>
          <w:rFonts w:hint="cs"/>
          <w:sz w:val="26"/>
          <w:szCs w:val="26"/>
          <w:rtl/>
        </w:rPr>
        <w:t xml:space="preserve"> وضع برنامج حوافز ضريبية لفترة محدودة لاستبدال أجهزة تبريد المباني استنادا الى التأثير في العائدات الصافية بالإضافة الى التأثير الاقتصادي الطويل الأجل. وتكلف البرنامج</w:t>
      </w:r>
      <w:r w:rsidR="00CF7C95" w:rsidRPr="005963D3">
        <w:rPr>
          <w:rFonts w:hint="cs"/>
          <w:sz w:val="26"/>
          <w:szCs w:val="26"/>
          <w:rtl/>
        </w:rPr>
        <w:t xml:space="preserve"> </w:t>
      </w:r>
      <w:r w:rsidR="00CF7C95" w:rsidRPr="005963D3">
        <w:rPr>
          <w:sz w:val="26"/>
          <w:szCs w:val="26"/>
        </w:rPr>
        <w:t>100,000</w:t>
      </w:r>
      <w:r w:rsidRPr="005963D3">
        <w:rPr>
          <w:rFonts w:hint="cs"/>
          <w:sz w:val="26"/>
          <w:szCs w:val="26"/>
          <w:rtl/>
        </w:rPr>
        <w:t xml:space="preserve"> دولا</w:t>
      </w:r>
      <w:r w:rsidR="00CF7C95" w:rsidRPr="005963D3">
        <w:rPr>
          <w:rFonts w:hint="cs"/>
          <w:sz w:val="26"/>
          <w:szCs w:val="26"/>
          <w:rtl/>
        </w:rPr>
        <w:t xml:space="preserve">ر أمريكي وأسفر عن إزالة </w:t>
      </w:r>
      <w:r w:rsidR="00CF7C95" w:rsidRPr="005963D3">
        <w:rPr>
          <w:sz w:val="26"/>
          <w:szCs w:val="26"/>
        </w:rPr>
        <w:t>61</w:t>
      </w:r>
      <w:r w:rsidR="00CF7C95" w:rsidRPr="005963D3">
        <w:rPr>
          <w:rFonts w:hint="cs"/>
          <w:sz w:val="26"/>
          <w:szCs w:val="26"/>
          <w:rtl/>
        </w:rPr>
        <w:t xml:space="preserve"> مليون دولار أمريكي من الضرائب التجميعية المباشرة على أجهزة تبريد المباني مما أدى الى التشجيع على استبدال الأجهزة؛</w:t>
      </w:r>
    </w:p>
    <w:p w:rsidR="00CF7C95" w:rsidRPr="005963D3" w:rsidRDefault="00CF7C95" w:rsidP="00631899">
      <w:pPr>
        <w:numPr>
          <w:ilvl w:val="0"/>
          <w:numId w:val="17"/>
        </w:numPr>
        <w:tabs>
          <w:tab w:val="left" w:pos="8280"/>
        </w:tabs>
        <w:bidi/>
        <w:spacing w:after="120"/>
        <w:ind w:left="1418" w:hanging="709"/>
        <w:rPr>
          <w:sz w:val="26"/>
          <w:szCs w:val="26"/>
        </w:rPr>
      </w:pPr>
      <w:r w:rsidRPr="005963D3">
        <w:rPr>
          <w:rFonts w:hint="cs"/>
          <w:sz w:val="26"/>
          <w:szCs w:val="26"/>
          <w:rtl/>
        </w:rPr>
        <w:t>وطبقت كرواتيا ضريبية بيئية على غازات التبريد مما أسفر عن خفض مفاجئ في استهلاك الهيدروكلوروفلوروكربون-22 في 2006، وزيادة الطلب على وحدات تكييف الهواء الموزعة. وبعد ذلك فرض حظر على الأجهزة العاملة بالهيدروكلوروفلوروكربون-22 بالكامل؛</w:t>
      </w:r>
      <w:r w:rsidRPr="005963D3">
        <w:rPr>
          <w:sz w:val="26"/>
          <w:szCs w:val="26"/>
          <w:vertAlign w:val="superscript"/>
        </w:rPr>
        <w:footnoteReference w:id="7"/>
      </w:r>
    </w:p>
    <w:p w:rsidR="00CF7C95" w:rsidRPr="005963D3" w:rsidRDefault="00CF7C95" w:rsidP="00631899">
      <w:pPr>
        <w:numPr>
          <w:ilvl w:val="0"/>
          <w:numId w:val="17"/>
        </w:numPr>
        <w:tabs>
          <w:tab w:val="left" w:pos="8280"/>
        </w:tabs>
        <w:bidi/>
        <w:spacing w:after="120"/>
        <w:ind w:left="1418" w:hanging="709"/>
        <w:rPr>
          <w:sz w:val="26"/>
          <w:szCs w:val="26"/>
        </w:rPr>
      </w:pPr>
      <w:r w:rsidRPr="005963D3">
        <w:rPr>
          <w:rFonts w:hint="cs"/>
          <w:sz w:val="26"/>
          <w:szCs w:val="26"/>
          <w:rtl/>
        </w:rPr>
        <w:lastRenderedPageBreak/>
        <w:t>وأبلغت حكومات بعض البلدان (مثل ألبانيا وماليزيا) بأنها قدمت حوافز للاستثمار في التكنولوجيات الصديقة للأوزون وفرضت إعفاءات ضريبية على استيراد بدائل المواد المستنفدة للأوزون؛</w:t>
      </w:r>
      <w:r w:rsidRPr="005963D3">
        <w:rPr>
          <w:sz w:val="26"/>
          <w:szCs w:val="26"/>
          <w:vertAlign w:val="superscript"/>
        </w:rPr>
        <w:footnoteReference w:id="8"/>
      </w:r>
    </w:p>
    <w:p w:rsidR="00CF7C95" w:rsidRPr="005963D3" w:rsidRDefault="001E7709" w:rsidP="000F17D4">
      <w:pPr>
        <w:numPr>
          <w:ilvl w:val="0"/>
          <w:numId w:val="17"/>
        </w:numPr>
        <w:tabs>
          <w:tab w:val="left" w:pos="8280"/>
        </w:tabs>
        <w:bidi/>
        <w:spacing w:after="120"/>
        <w:ind w:left="1418" w:hanging="709"/>
        <w:rPr>
          <w:sz w:val="26"/>
          <w:szCs w:val="26"/>
        </w:rPr>
      </w:pPr>
      <w:r w:rsidRPr="005963D3">
        <w:rPr>
          <w:rFonts w:hint="cs"/>
          <w:sz w:val="26"/>
          <w:szCs w:val="26"/>
          <w:rtl/>
        </w:rPr>
        <w:t>وأبلغت</w:t>
      </w:r>
      <w:r w:rsidR="00CF7C95" w:rsidRPr="005963D3">
        <w:rPr>
          <w:rFonts w:hint="cs"/>
          <w:sz w:val="26"/>
          <w:szCs w:val="26"/>
          <w:rtl/>
        </w:rPr>
        <w:t xml:space="preserve"> تايلند بأن الحوافز الضريبية السلبية التي نفذتها الحكومة (في شكل ضريبة</w:t>
      </w:r>
      <w:r w:rsidR="000F17D4" w:rsidRPr="005963D3">
        <w:rPr>
          <w:rFonts w:hint="cs"/>
          <w:sz w:val="26"/>
          <w:szCs w:val="26"/>
          <w:rtl/>
        </w:rPr>
        <w:t xml:space="preserve"> مببعات</w:t>
      </w:r>
      <w:r w:rsidR="00CF7C95" w:rsidRPr="005963D3">
        <w:rPr>
          <w:rFonts w:hint="cs"/>
          <w:sz w:val="26"/>
          <w:szCs w:val="26"/>
          <w:rtl/>
        </w:rPr>
        <w:t>) شجعت على تهريب المواد الكلوروفلوروكربونية نتيجة لارتفاع هامش الربح الناجم عن التجارة غير القانونية؛</w:t>
      </w:r>
    </w:p>
    <w:p w:rsidR="00CF7C95" w:rsidRPr="005963D3" w:rsidRDefault="00CF7C95" w:rsidP="00631899">
      <w:pPr>
        <w:numPr>
          <w:ilvl w:val="0"/>
          <w:numId w:val="17"/>
        </w:numPr>
        <w:tabs>
          <w:tab w:val="left" w:pos="8280"/>
        </w:tabs>
        <w:bidi/>
        <w:spacing w:after="120"/>
        <w:ind w:left="1418" w:hanging="709"/>
        <w:rPr>
          <w:sz w:val="26"/>
          <w:szCs w:val="26"/>
        </w:rPr>
      </w:pPr>
      <w:r w:rsidRPr="005963D3">
        <w:rPr>
          <w:rFonts w:hint="cs"/>
          <w:sz w:val="26"/>
          <w:szCs w:val="26"/>
          <w:rtl/>
        </w:rPr>
        <w:t>لم تنفذ شيلي حوافز ضريبية أو سلبية إلاّ أن إزالة الإعانات يشكل جزءا من العقود المبرمة بين وزارة البيئة والمنشئات التي تحصل على تمويل من الصندوق المتعدد الأطراف؛</w:t>
      </w:r>
    </w:p>
    <w:p w:rsidR="00CF7C95" w:rsidRPr="005963D3" w:rsidRDefault="005C6307" w:rsidP="00631899">
      <w:pPr>
        <w:numPr>
          <w:ilvl w:val="0"/>
          <w:numId w:val="17"/>
        </w:numPr>
        <w:tabs>
          <w:tab w:val="left" w:pos="8280"/>
        </w:tabs>
        <w:bidi/>
        <w:spacing w:after="240"/>
        <w:ind w:left="1418" w:hanging="709"/>
        <w:rPr>
          <w:sz w:val="26"/>
          <w:szCs w:val="26"/>
        </w:rPr>
      </w:pPr>
      <w:r w:rsidRPr="005963D3">
        <w:rPr>
          <w:rFonts w:hint="cs"/>
          <w:sz w:val="26"/>
          <w:szCs w:val="26"/>
          <w:rtl/>
        </w:rPr>
        <w:t>أشارت غواتيمالا</w:t>
      </w:r>
      <w:r w:rsidR="00D22E26" w:rsidRPr="005963D3">
        <w:rPr>
          <w:rFonts w:hint="cs"/>
          <w:sz w:val="26"/>
          <w:szCs w:val="26"/>
          <w:rtl/>
        </w:rPr>
        <w:t xml:space="preserve"> الى تنفيذ "سياسة إنتاج وطني نظيف" مع الاعتراف ببعض منشئات الامتثال لالتزاماتها الإلزامية التي تتضمن أهداف كفاءة استخدام الطاقة. وأشارت كوستاريكا الى الصعوبات في تنفيذ هذه الإجراءات نتيجة للإصلاحات الضرائيبية الجارية.</w:t>
      </w:r>
    </w:p>
    <w:p w:rsidR="00D22E26" w:rsidRPr="005963D3" w:rsidRDefault="00D22E2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وأفضل طريقة لتسوية الصعوبات الناشئة عن مشروع هي في تسويتها بصورة مشتركة بين وحدة الأوزون الوطنية والوكالة المنفذة مع مشاركة وحدة إدارة المشروعات. غير أنه نتيجة لاعتماد هذه الآليات على التمويل، فإنه بمجرد أن ينتهي المشروع، تفقد هذه الأولويات أهميتها أو تختفي بصورة كاملة (مثل وحدات إدارة المشروعات). ولذا فإن من المهم لتحقيق الاستدامة الاستثمار في بناء القدرات لضمان أن يكون لدى أصحاب المصلحة المعنيين مثل الوكالات الحكومية (الوزارات وأجهزة الرقابة وغيرها) ومؤسسات البحوث أو التدريب، وروابط القطاع الخاص، والمستخدمين النهائيين الأدوات اللازمة للتعامل مع هذه القضايا. ومع ذلك قد يكون هناك عوامل خارجية مثل عدم الاستقرار السياسي أو الصعوبات الاقتصادية التي تقع خارج نطاق الهيكل التشغيلي للمشروع، والتي يستشهد بها عادة على أنها سبب للتأخير أو الصعوبات في تحقيق النتائج.</w:t>
      </w:r>
    </w:p>
    <w:p w:rsidR="00D22E26" w:rsidRPr="005963D3" w:rsidRDefault="00D22E2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يتم عادة إشراك المنظمات والروابط المهنية (مثل الاتحادات التجارية التي تمثل قطاعا) في إزالة المواد المستنفدة للأوزون أو استبدالها وتضطلع بدور هام في وضع الإطار التنظيمي المطلوب ورصد تنفيذه حيث أن بوسعها المساعدة في تحقيق الثقة في التحول الى البدائل وتطبيقها بكفاءة. ويمثل ذلك أهمية بالنظر الى النجاح في تطبيق البدائل يقابل عادة بالرفض التغير وإثارة شواغل.</w:t>
      </w:r>
    </w:p>
    <w:p w:rsidR="00D22E26" w:rsidRPr="005963D3" w:rsidRDefault="00D22E2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وعلاوة على ذلك، تحتفظ المنظمات المهنية والاتحادات التجارية بمعلومات قيمة فيما يتعلق بما يجري في القطاع مثل التحركات والمناقصات التجارية، والمسائل المتعلقة باعتماد البدائل. ويشمل ذلك اتحادات قطاع الإنتاج التي تضطلع بدور رئيسي في إزالة إنتاج المواد المستنفدة للأوزون ويمكن أن تصبح عوامل مؤثرة في معايرة الصناعة، وأن تصبح عنصرا رئيسيا في تحقيق الاستدامة. وتعتبر العلاقات الإيجابية بين الوكالات ووحدات الأوزون الوطنية ووحدات إدارة المشروعات عاملا ضروريا ويتعين تطويرها وتحديثها (مثل عندما ينشأ اتحاد جديد أو انضمام أصحاب مصلحة جدد لم يكونوا يؤخذوا قبل ذلك في الاعتبار). وتصبح هذه العلاقات أكثر أهمية عندما ينظر الى أنه بوسع الاتحادات التجارية (أو أعضاؤها) الإسهام في تحديد الأساليب غير القانونية، بالنظر الى أنه يمكن بفضل هذه الحالات وقف هذه العناصر غير القانونية. وأبلغت بعض وحدات الأوزون الوطنية المجيبة على الاستبيان عن وجود تعاون مع المنظمات المهنية: أبلغت معه على استمرار التفاعل المستمر مع الجمعية الأمريكية لمهندسي التدفئة والتبريد وتكييف الهواء. وفي حالات أخرى ذكرت وحدات الأوزون الوطنية (شيلي ونيجيريا وفانواتو</w:t>
      </w:r>
      <w:r w:rsidR="00553B65" w:rsidRPr="005963D3">
        <w:rPr>
          <w:rFonts w:hint="cs"/>
          <w:sz w:val="26"/>
          <w:szCs w:val="26"/>
          <w:rtl/>
          <w:lang w:val="en-CA"/>
        </w:rPr>
        <w:t>)</w:t>
      </w:r>
      <w:r w:rsidRPr="005963D3">
        <w:rPr>
          <w:rFonts w:hint="cs"/>
          <w:sz w:val="26"/>
          <w:szCs w:val="26"/>
          <w:rtl/>
          <w:lang w:val="en-CA"/>
        </w:rPr>
        <w:t xml:space="preserve"> أن هذا التعاون</w:t>
      </w:r>
      <w:r w:rsidR="00553B65" w:rsidRPr="005963D3">
        <w:rPr>
          <w:rFonts w:hint="cs"/>
          <w:sz w:val="26"/>
          <w:szCs w:val="26"/>
          <w:rtl/>
          <w:lang w:val="en-CA"/>
        </w:rPr>
        <w:t>، غير فعال أو لم يحدث على الاطلاق.</w:t>
      </w:r>
    </w:p>
    <w:p w:rsidR="00553B65" w:rsidRPr="005963D3" w:rsidRDefault="00553B65" w:rsidP="004317B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ويمكن أن تصبح المؤسسات أو الوكالات التي يتم اختيارها كنظراء وطنيين في مشروع </w:t>
      </w:r>
      <w:r w:rsidR="004317B4" w:rsidRPr="005963D3">
        <w:rPr>
          <w:rFonts w:hint="cs"/>
          <w:sz w:val="26"/>
          <w:szCs w:val="26"/>
          <w:rtl/>
          <w:lang w:val="en-CA"/>
        </w:rPr>
        <w:t>وسيلة</w:t>
      </w:r>
      <w:r w:rsidRPr="005963D3">
        <w:rPr>
          <w:rFonts w:hint="cs"/>
          <w:sz w:val="26"/>
          <w:szCs w:val="26"/>
          <w:rtl/>
          <w:lang w:val="en-CA"/>
        </w:rPr>
        <w:t xml:space="preserve"> ليس فقط لانجاح تنفيذه واستكماله بل أيضا في ضمان استمراره بعد انتهاء المشروع. وقد تحقق ذلك على سبيل المثال في مشروعات بروميد الميثيل حيث دعمت محطات البحوث جهود المشروع من خلال إجراء البحوث والتجارب الإيضاحية، ودورات التدريب وحملات استثارة الوعي. وأسهمت بالاقتران مع الاتحادات التجارية والمنظمات </w:t>
      </w:r>
      <w:r w:rsidRPr="005963D3">
        <w:rPr>
          <w:rFonts w:hint="cs"/>
          <w:sz w:val="26"/>
          <w:szCs w:val="26"/>
          <w:rtl/>
          <w:lang w:val="en-CA"/>
        </w:rPr>
        <w:lastRenderedPageBreak/>
        <w:t>المماثلة في دعم وتسريع عملية تسجيل البدائل الكيميائية ومنح الثقة للمزارعين بشأن استخدام كل من الخيارات الكيميائية وغير الكيميائية، ويمكن العثور على حالات مماثلة مثل في مشروعات تبريد المباني. وفيمايلي بعض الأمثلة على ذلك:</w:t>
      </w:r>
      <w:r w:rsidRPr="005963D3">
        <w:rPr>
          <w:sz w:val="26"/>
          <w:szCs w:val="26"/>
          <w:vertAlign w:val="superscript"/>
          <w:lang w:val="en-CA"/>
        </w:rPr>
        <w:footnoteReference w:id="9"/>
      </w:r>
    </w:p>
    <w:p w:rsidR="00553B65" w:rsidRPr="005963D3" w:rsidRDefault="00553B65" w:rsidP="00631899">
      <w:pPr>
        <w:numPr>
          <w:ilvl w:val="0"/>
          <w:numId w:val="18"/>
        </w:numPr>
        <w:tabs>
          <w:tab w:val="left" w:pos="8280"/>
        </w:tabs>
        <w:bidi/>
        <w:spacing w:after="240"/>
        <w:ind w:left="1418" w:hanging="709"/>
        <w:rPr>
          <w:sz w:val="26"/>
          <w:szCs w:val="26"/>
        </w:rPr>
      </w:pPr>
      <w:r w:rsidRPr="005963D3">
        <w:rPr>
          <w:rFonts w:hint="cs"/>
          <w:sz w:val="26"/>
          <w:szCs w:val="26"/>
          <w:rtl/>
        </w:rPr>
        <w:t>اضطلع مجلس بحوث التبغ في زمبابوي والوكالة الاستئمانية للبحوث الزراعية والإرشاد في مالاوي التي تعمل بالتعاون الكامل مع (مجلس بحوث التبغ في ذلك البلد) بدور رئيسي في تدريب المزارعين وتوفير المساعدات التقنية ودعم البحوث؛</w:t>
      </w:r>
    </w:p>
    <w:p w:rsidR="00553B65" w:rsidRPr="005963D3" w:rsidRDefault="00553B65" w:rsidP="00631899">
      <w:pPr>
        <w:numPr>
          <w:ilvl w:val="0"/>
          <w:numId w:val="18"/>
        </w:numPr>
        <w:tabs>
          <w:tab w:val="left" w:pos="8280"/>
        </w:tabs>
        <w:bidi/>
        <w:spacing w:after="240"/>
        <w:ind w:left="1418" w:hanging="709"/>
        <w:rPr>
          <w:sz w:val="26"/>
          <w:szCs w:val="26"/>
        </w:rPr>
      </w:pPr>
      <w:r w:rsidRPr="005963D3">
        <w:rPr>
          <w:rFonts w:hint="cs"/>
          <w:sz w:val="26"/>
          <w:szCs w:val="26"/>
          <w:rtl/>
        </w:rPr>
        <w:t xml:space="preserve">وكان مركز نقل التكنولوجيا في أغادير، المغرب الذي </w:t>
      </w:r>
      <w:r w:rsidR="005C6307" w:rsidRPr="005963D3">
        <w:rPr>
          <w:rFonts w:hint="cs"/>
          <w:sz w:val="26"/>
          <w:szCs w:val="26"/>
          <w:rtl/>
        </w:rPr>
        <w:t>أنشئ</w:t>
      </w:r>
      <w:r w:rsidRPr="005963D3">
        <w:rPr>
          <w:rFonts w:hint="cs"/>
          <w:sz w:val="26"/>
          <w:szCs w:val="26"/>
          <w:rtl/>
        </w:rPr>
        <w:t xml:space="preserve"> بمشروع استثماري بقيادة اليونيدو يمثل أداة في نشر البدائل وتوفير المساعدات التقنية والتدريب اللازم وتسوية المشكلات التي تواجه المزارعين. وتتجاوز هذه الخدمات تنفيذ البدائل ومعالجة تشخيص الآفات والأمراض، وتغذية النباتات والرى وأفضل الممارسات الزراعية وصناعة الأسمدة الطبيعية وغير ذلك؛</w:t>
      </w:r>
    </w:p>
    <w:p w:rsidR="00553B65" w:rsidRPr="005963D3" w:rsidRDefault="00553B65" w:rsidP="00631899">
      <w:pPr>
        <w:numPr>
          <w:ilvl w:val="0"/>
          <w:numId w:val="18"/>
        </w:numPr>
        <w:tabs>
          <w:tab w:val="left" w:pos="8280"/>
        </w:tabs>
        <w:bidi/>
        <w:spacing w:after="240"/>
        <w:ind w:left="1418" w:hanging="709"/>
        <w:rPr>
          <w:sz w:val="26"/>
          <w:szCs w:val="26"/>
        </w:rPr>
      </w:pPr>
      <w:r w:rsidRPr="005963D3">
        <w:rPr>
          <w:rFonts w:hint="cs"/>
          <w:sz w:val="26"/>
          <w:szCs w:val="26"/>
          <w:rtl/>
        </w:rPr>
        <w:t>وأسهمت الاتحادات التجارية مثل مجلس الزهور في كينيا في نشر المعلومات واستثارة الوعي والتعرف على المشكلات ذات الصلة بتنفيذ بدائل بروميد الميثيل؛</w:t>
      </w:r>
    </w:p>
    <w:p w:rsidR="00553B65" w:rsidRPr="005963D3" w:rsidRDefault="00553B65" w:rsidP="004317B4">
      <w:pPr>
        <w:numPr>
          <w:ilvl w:val="0"/>
          <w:numId w:val="18"/>
        </w:numPr>
        <w:tabs>
          <w:tab w:val="left" w:pos="8280"/>
        </w:tabs>
        <w:bidi/>
        <w:spacing w:after="240"/>
        <w:ind w:left="1418" w:hanging="709"/>
        <w:rPr>
          <w:sz w:val="26"/>
          <w:szCs w:val="26"/>
        </w:rPr>
      </w:pPr>
      <w:r w:rsidRPr="005963D3">
        <w:rPr>
          <w:rFonts w:hint="cs"/>
          <w:sz w:val="26"/>
          <w:szCs w:val="26"/>
          <w:rtl/>
        </w:rPr>
        <w:t xml:space="preserve">وتواصل وحدة الأوزون الوطنية من المكسيك العمل مع اتحادات المنتجين </w:t>
      </w:r>
      <w:r w:rsidR="004317B4" w:rsidRPr="005963D3">
        <w:rPr>
          <w:rFonts w:hint="cs"/>
          <w:sz w:val="26"/>
          <w:szCs w:val="26"/>
          <w:rtl/>
        </w:rPr>
        <w:t>والقائمين بأعمال التطهير</w:t>
      </w:r>
      <w:r w:rsidRPr="005963D3">
        <w:rPr>
          <w:rFonts w:hint="cs"/>
          <w:sz w:val="26"/>
          <w:szCs w:val="26"/>
          <w:rtl/>
        </w:rPr>
        <w:t xml:space="preserve"> في نشر وترويج البدائل</w:t>
      </w:r>
      <w:r w:rsidR="00C93C7A" w:rsidRPr="005963D3">
        <w:rPr>
          <w:rFonts w:hint="cs"/>
          <w:sz w:val="26"/>
          <w:szCs w:val="26"/>
          <w:rtl/>
        </w:rPr>
        <w:t xml:space="preserve"> لبروميد الميثيل وتحديد وتنفيذه </w:t>
      </w:r>
      <w:r w:rsidRPr="005963D3">
        <w:rPr>
          <w:rFonts w:hint="cs"/>
          <w:sz w:val="26"/>
          <w:szCs w:val="26"/>
          <w:rtl/>
        </w:rPr>
        <w:t>خطة الإزالة الوطنية.</w:t>
      </w:r>
    </w:p>
    <w:p w:rsidR="00845AD2" w:rsidRPr="005963D3" w:rsidRDefault="00C93C7A" w:rsidP="00C93C7A">
      <w:pPr>
        <w:numPr>
          <w:ilvl w:val="0"/>
          <w:numId w:val="18"/>
        </w:numPr>
        <w:tabs>
          <w:tab w:val="left" w:pos="8280"/>
        </w:tabs>
        <w:bidi/>
        <w:spacing w:after="240"/>
        <w:ind w:left="1418" w:hanging="709"/>
        <w:rPr>
          <w:sz w:val="26"/>
          <w:szCs w:val="26"/>
        </w:rPr>
      </w:pPr>
      <w:r w:rsidRPr="005963D3">
        <w:rPr>
          <w:rFonts w:hint="cs"/>
          <w:sz w:val="26"/>
          <w:szCs w:val="26"/>
          <w:rtl/>
          <w:lang w:bidi="ar-EG"/>
        </w:rPr>
        <w:t>واختير المعهد الوطني للتبريد في المكسيك في إطار الخطة الوطنية لإزالة الكلوروفلوروكربون لتوفير التدريب لفنيي الخدمة في 2005؛</w:t>
      </w:r>
    </w:p>
    <w:p w:rsidR="00C93C7A" w:rsidRPr="005963D3" w:rsidRDefault="00C93C7A" w:rsidP="00631899">
      <w:pPr>
        <w:numPr>
          <w:ilvl w:val="0"/>
          <w:numId w:val="18"/>
        </w:numPr>
        <w:tabs>
          <w:tab w:val="left" w:pos="8280"/>
        </w:tabs>
        <w:bidi/>
        <w:spacing w:after="240"/>
        <w:ind w:left="1418" w:hanging="709"/>
        <w:rPr>
          <w:sz w:val="26"/>
          <w:szCs w:val="26"/>
        </w:rPr>
      </w:pPr>
      <w:r w:rsidRPr="005963D3">
        <w:rPr>
          <w:rFonts w:hint="cs"/>
          <w:sz w:val="26"/>
          <w:szCs w:val="26"/>
          <w:rtl/>
        </w:rPr>
        <w:t>وتشارك رابطة التبريد في أرمينيا ومركز التشريعات البيئية (جامعة الدولة في يرفين) بنشاط في المناقشات وجلسات الاستماع العامة المتعلقة بالتشريعات الخاصة بالمواد المستنفدة للأوزون وتنفيذها، وأسهمت وحدات الأوزون الوطنية والمنظمات المدنية الأخرى في إنفاذ هذه التشريعات على أساس طوعي.</w:t>
      </w:r>
    </w:p>
    <w:p w:rsidR="00267B4D" w:rsidRPr="005963D3" w:rsidRDefault="00C93C7A" w:rsidP="00631899">
      <w:pPr>
        <w:tabs>
          <w:tab w:val="left" w:pos="8280"/>
        </w:tabs>
        <w:bidi/>
        <w:spacing w:before="120" w:after="240"/>
        <w:rPr>
          <w:b/>
          <w:sz w:val="26"/>
          <w:szCs w:val="26"/>
          <w:lang w:val="en-CA"/>
        </w:rPr>
      </w:pPr>
      <w:r w:rsidRPr="005963D3">
        <w:rPr>
          <w:rFonts w:hint="cs"/>
          <w:sz w:val="26"/>
          <w:szCs w:val="26"/>
          <w:u w:val="single"/>
          <w:rtl/>
        </w:rPr>
        <w:t>الرصد والإبلاغ</w:t>
      </w:r>
    </w:p>
    <w:p w:rsidR="00C93C7A" w:rsidRPr="005963D3" w:rsidRDefault="00C93C7A" w:rsidP="00C93C7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يعتبر الرصد والتسجيل والإبلاغ عن إنتاج واستهلاك المواد المستنفدة للأوزون التزاما من جانب الأطراف في بروتوكول مونتريال بموجب المادة 7. وفي حين وجد الكثير من البلدان أن هذا الالتزام يمثل تحديا في بداية الأمر لدى مقارنة أوضاعها الحالية بما كانت عليه في السنوات السابقة، فإن من الواضح أن المعلومات التي قدمت حققت تحسنا كبيرا على مر السنين، وأصبحت قاعدة بيانات أمانة الأوزون أكثر اكتمالا مما كانت عليه في السابق. وتتحمل وحدات الأوزون الوطنية مسؤولية جمع وتحليل وتقديم البيانات عن استهلاك وإنتاج المواد المستنفدة للأوزون، يدعم هذه الأنشطة التمويل الذي يقدم للتعزيز المؤسسي.</w:t>
      </w:r>
      <w:r w:rsidRPr="005963D3">
        <w:rPr>
          <w:sz w:val="26"/>
          <w:szCs w:val="26"/>
          <w:vertAlign w:val="superscript"/>
          <w:lang w:val="en-CA"/>
        </w:rPr>
        <w:t xml:space="preserve"> </w:t>
      </w:r>
      <w:r w:rsidRPr="005963D3">
        <w:rPr>
          <w:sz w:val="26"/>
          <w:szCs w:val="26"/>
          <w:vertAlign w:val="superscript"/>
          <w:lang w:val="en-CA"/>
        </w:rPr>
        <w:footnoteReference w:id="10"/>
      </w:r>
      <w:r w:rsidRPr="005963D3">
        <w:rPr>
          <w:rFonts w:hint="cs"/>
          <w:sz w:val="26"/>
          <w:szCs w:val="26"/>
          <w:rtl/>
          <w:lang w:val="en-CA"/>
        </w:rPr>
        <w:t xml:space="preserve"> وتجري عملية الرصد في كثير من الأحيان بالتعاون مع موظفي الجمرك وغيرهم من السلطات المعنية بحسب نوع المواد المستنفدة للأوزون (موظفي الصحة النباتية في بروميد الميثيل أو السلطات الصحية فيما يتعلق بأجهزة الاستنشاق بالجرعة المقننة). وتستمر مخططات الرصد الخاصة بالمواد الخاضعة للرقابة التي يجري إزالتها في عملها بعد الانتهاء من المشروعات إلاّ أنها تصبح، بمرور الوقت وتلاشي التركيز على هذه المواد، أكثر صعوبة بل ومستحيلة في أداء عملية الرقابة بكفاءة. وتساعد عمليات إبلاغ البيانات بموجب البرنامج القطري الأمانة واللجنة التنفيذية في تفهم اتجاهات الاستهلاك وتساعد في تحديد التمويل للمشروعات وأنشطتها بالنظر الى أنها البيانات الوحيدة التي توفر مستوى استهلاك كل مادة خاضعة للرقابة بموجب بروتوكول مونتريال بحسب القطاع. وترتبط دقة وحسن توقيت تقديم بيانات البرنامج القطري بقدرة البلد على جمع </w:t>
      </w:r>
      <w:r w:rsidRPr="005963D3">
        <w:rPr>
          <w:rFonts w:hint="cs"/>
          <w:sz w:val="26"/>
          <w:szCs w:val="26"/>
          <w:rtl/>
          <w:lang w:val="en-CA"/>
        </w:rPr>
        <w:lastRenderedPageBreak/>
        <w:t>هذه المعلومات وإجراء تقدير دقيق لمستوى إنتاج واستهلاك المواد المستنفدة للأوزون وفي بعض الأحيان، يعزى التأخير في التقديم الى التغييرات الكبيرة في موظفي الأوزون الوطنية في بعض البلدان، وقضايا اللغة، وعملية الموافقة داخل الحكومة على بيانات البرنامج القطري والتغييرات في الحكومة.</w:t>
      </w:r>
      <w:r w:rsidRPr="005963D3">
        <w:rPr>
          <w:sz w:val="26"/>
          <w:szCs w:val="26"/>
          <w:vertAlign w:val="superscript"/>
          <w:lang w:val="en-CA"/>
        </w:rPr>
        <w:t xml:space="preserve"> </w:t>
      </w:r>
      <w:r w:rsidRPr="005963D3">
        <w:rPr>
          <w:sz w:val="26"/>
          <w:szCs w:val="26"/>
          <w:vertAlign w:val="superscript"/>
          <w:lang w:val="en-CA"/>
        </w:rPr>
        <w:footnoteReference w:id="11"/>
      </w:r>
    </w:p>
    <w:p w:rsidR="00C93C7A" w:rsidRPr="005963D3" w:rsidRDefault="00C93C7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وتمثل التحسينات المستمرة في تقارير التحقق أهمية بالنظر الى أنها تكشف في كثير من الأحيان عن عيوب، وتطرح توصيات لبناء القدرات المؤسسية. فعلى سبيل المثال، تؤكد الدروس المستفادة من تقارير التحقق الحاجة الى أن تراجع وحدة الأوزون الوطنية بصورة دورية ما لديها من سجلات عن بيانات المنشئات المستوردة لكي تتجنب </w:t>
      </w:r>
      <w:r w:rsidRPr="005963D3">
        <w:rPr>
          <w:rFonts w:hint="cs"/>
          <w:i/>
          <w:iCs/>
          <w:sz w:val="26"/>
          <w:szCs w:val="26"/>
          <w:rtl/>
          <w:lang w:val="en-CA"/>
        </w:rPr>
        <w:t>عدة أمور</w:t>
      </w:r>
      <w:r w:rsidRPr="005963D3">
        <w:rPr>
          <w:rFonts w:hint="cs"/>
          <w:sz w:val="26"/>
          <w:szCs w:val="26"/>
          <w:rtl/>
          <w:lang w:val="en-CA"/>
        </w:rPr>
        <w:t xml:space="preserve"> من بينها الاختلافات في كميات الاستهلاك، للتقليل من الاختلاف في البيانات مع وكالات الجمارك (مثل استخدام الرموز الخطأ في النظام الموحد، واختلاف وحدات القياس أو كميات الشحنات، وعدم توافر كمية الشحنات الفعلية)، ولذا ينبغي إجراء المزيد من عمليات التدريب وإنشاء قناة اتصال رسمية بين إدارة الجمارك ووحدة الأوزون الوطنية، وتخصيص وقت كاف لتخطيط المشروع لإتاحة الإجراءات الحكومية (أي اعتماد التشريعات) بين الموافقة على المشروع وتنفيذه.</w:t>
      </w:r>
      <w:r w:rsidRPr="005963D3">
        <w:rPr>
          <w:rStyle w:val="FootnoteReference"/>
          <w:sz w:val="26"/>
          <w:szCs w:val="26"/>
        </w:rPr>
        <w:t xml:space="preserve"> </w:t>
      </w:r>
      <w:r w:rsidRPr="005963D3">
        <w:rPr>
          <w:rStyle w:val="FootnoteReference"/>
          <w:sz w:val="26"/>
          <w:szCs w:val="26"/>
        </w:rPr>
        <w:footnoteReference w:id="12"/>
      </w:r>
      <w:r w:rsidRPr="005963D3">
        <w:rPr>
          <w:rFonts w:hint="cs"/>
          <w:sz w:val="26"/>
          <w:szCs w:val="26"/>
          <w:rtl/>
          <w:lang w:val="en-CA"/>
        </w:rPr>
        <w:t xml:space="preserve"> ويتعين أن تتولى خطط إدارة إزالة المواد الهيدروكلوروفلوروكربونية رصد وتسجيل تنفيذ الأنشطة إلاّ أنها يمكن أن تنطوي على تعقيدات لدى التحقق من المواد كبيرة من المنشئات الصغيرة والمتوسطة بالنظر الى أن التفاعل مع كثير من المستخدمين النهائيين يعد أمرا ضرورويا.</w:t>
      </w:r>
      <w:r w:rsidR="006C6510" w:rsidRPr="005963D3">
        <w:rPr>
          <w:sz w:val="26"/>
          <w:szCs w:val="26"/>
          <w:vertAlign w:val="superscript"/>
        </w:rPr>
        <w:t xml:space="preserve"> </w:t>
      </w:r>
      <w:r w:rsidR="006C6510" w:rsidRPr="005963D3">
        <w:rPr>
          <w:sz w:val="26"/>
          <w:szCs w:val="26"/>
          <w:vertAlign w:val="superscript"/>
        </w:rPr>
        <w:footnoteReference w:id="13"/>
      </w:r>
      <w:r w:rsidRPr="005963D3">
        <w:rPr>
          <w:rFonts w:hint="cs"/>
          <w:sz w:val="26"/>
          <w:szCs w:val="26"/>
          <w:rtl/>
          <w:lang w:val="en-CA"/>
        </w:rPr>
        <w:t xml:space="preserve"> وتبلغ</w:t>
      </w:r>
      <w:r w:rsidR="006C6510" w:rsidRPr="005963D3">
        <w:rPr>
          <w:rFonts w:hint="cs"/>
          <w:sz w:val="26"/>
          <w:szCs w:val="26"/>
          <w:rtl/>
          <w:lang w:val="en-CA"/>
        </w:rPr>
        <w:t xml:space="preserve"> هذه العقبات في معظم الأحيان بالنسبة للمرحلة الأولى عن خطة إدارة إزالة المواد الهيدروكلوروفلوروكربونية وإن كان يتم التغلب عليها عامة في المرحلة الثانية.</w:t>
      </w:r>
    </w:p>
    <w:p w:rsidR="006C6510" w:rsidRPr="005963D3" w:rsidRDefault="006C6510"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وتسهم الوكالات الثنائية والمنفذة بدرجة كبيرة في تسجيل المعلومات عن إنتاج المواد المستنفدة للأوزون واستهلاكها من خلال مسوحات وعمليات حصر تجري كجزء من أنشطة المشروع لتوسيم القطاعات المعنية. وعلاوة على توفير المعلومات المباشرة عن إنتاج واستهلاك المواد المستنفدة للأوزون، تساعد هذه المسوحات في تحديد القطاعات النوعية التي تتأثر بالتخفيضات في هذه المواد، وتفهم ظروفها الخاصة ومن ثم التأثير بصورة مهمة في اختيار البدائل المحتملة (أنظر الجزء الخاص بدور الوكالات الثنائية والمنفذة).</w:t>
      </w:r>
    </w:p>
    <w:p w:rsidR="006C6510" w:rsidRPr="005963D3" w:rsidRDefault="006C6510" w:rsidP="006C6510">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يشكل الرصد المستمر للتخفيضات التي تحققت أهمية للتحقق من الاستدامة. وأبلغت وحدات الأوزون الوطنية التي أجابت على الاستبيان بأن لديها خطط للرصد إلاّ أنها أعربت عن شواغلها للاستدامة الطويلة الأجل (مثل غواتيمالا ونيجيريا)، وأبلغ آخرون مثل أرمينيا بأن التشريعات الوطنية تتضمن آليات لرصد إزالة المواد المستنفدة للأوزون خلال عملية الإزالة وبعد الانتهاء منها. وأشركت بعض وحدات الأوزون الوطنية مثل المكسيك، سلطات الجمارك والمنظمات الصناعية في عملية رصد الأنشطة. وقد أجرت الأمانة مؤخرا استعراضا للرصد والإبلاغ والتحقق ونظم التراخيص والحصص القابلة للإنفاذ في بلدان المادة 5،</w:t>
      </w:r>
      <w:r w:rsidRPr="005963D3">
        <w:rPr>
          <w:sz w:val="26"/>
          <w:szCs w:val="26"/>
          <w:vertAlign w:val="superscript"/>
          <w:lang w:val="en-CA"/>
        </w:rPr>
        <w:footnoteReference w:id="14"/>
      </w:r>
      <w:r w:rsidRPr="005963D3">
        <w:rPr>
          <w:rFonts w:hint="cs"/>
          <w:sz w:val="26"/>
          <w:szCs w:val="26"/>
          <w:rtl/>
          <w:lang w:val="en-CA"/>
        </w:rPr>
        <w:t xml:space="preserve"> حيث قدمت توصية تتضمن ضمن جملة أمور ضمان استمرارية وحدات إدارة المشروعات في الاتفاقات المتعددة السنوات (بل حتى التداخل بين وحدات إدارة المشروعات ووكالتين منفذتين متزامنتين) وضمان المشاركة الكبيرة من جانب أصحاب المصلحة الرئيسيين.</w:t>
      </w:r>
    </w:p>
    <w:p w:rsidR="00267B4D" w:rsidRPr="005963D3" w:rsidRDefault="006C6510" w:rsidP="00631899">
      <w:pPr>
        <w:tabs>
          <w:tab w:val="left" w:pos="8280"/>
        </w:tabs>
        <w:bidi/>
        <w:spacing w:after="240"/>
        <w:rPr>
          <w:sz w:val="26"/>
          <w:szCs w:val="26"/>
          <w:u w:val="single"/>
        </w:rPr>
      </w:pPr>
      <w:r w:rsidRPr="005963D3">
        <w:rPr>
          <w:rFonts w:hint="cs"/>
          <w:sz w:val="26"/>
          <w:szCs w:val="26"/>
          <w:u w:val="single"/>
          <w:rtl/>
        </w:rPr>
        <w:t>دور ومسؤوليات وحدات الأوزون الوطنية والتعزيز المؤسسي</w:t>
      </w:r>
    </w:p>
    <w:p w:rsidR="006C6510" w:rsidRPr="005963D3" w:rsidRDefault="006C6510"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تتضمن أهداف مشروعات التعزيز المؤسسي تمكين وحدات الأوزون الوطنية التنسيق بين تخفيضات المواد المستنفدة للأوزون وإزالتها لتحقيق الامتثال في الوقت المناسب للجداول الزمنية للإزالة المحددة في بروتوكول مونتريال وتعديلاته. وتتولى وحدات الأوزون الوطنية، بدعم من خلال مشروعات التعزيز المؤسسي، رصد إزالة المواد المستنفدة للأوزون وخفض المواد الهيدروفلوروكربون في بلدانها ووضع نظام لقدرات الرصد وإبلاغ البيانات ومعلومات الإدارة يمكن الوصول إليه من جانب أصحاب المصلحة الرئيسيين. وتوضع قواعد البيانات الناشئة عن ذلك معا بالاقتران مع منتجي و/أو مستوردي المواد المستنفدة للأوزون أو المعدات المتضمنة موادا مستنفدة للأوزون، </w:t>
      </w:r>
      <w:r w:rsidRPr="005963D3">
        <w:rPr>
          <w:rFonts w:hint="cs"/>
          <w:sz w:val="26"/>
          <w:szCs w:val="26"/>
          <w:rtl/>
          <w:lang w:val="en-CA"/>
        </w:rPr>
        <w:lastRenderedPageBreak/>
        <w:t>وموظفي الجمارك وغيرهم من السلطات المعنية، وأن تقترن بنظم التراخيص والحصص العاملة لممارسة الرقابة الكافية. ويتعين على منتجي ومستوردي ومصدري المواد المستنفدة للأوزون وفي بعض الأحيان المستخدمين المباشرين لهذه المواد الحصول على تصريح من وحدة الأوزون الوطنية.</w:t>
      </w:r>
    </w:p>
    <w:p w:rsidR="006C6510" w:rsidRPr="005963D3" w:rsidRDefault="006C6510"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وعلى الرغم من أن ذلك ليس مؤشرا يمكن قياسه بوضوح، فإن تمويل مشروعات التعزيز المؤسسي قد تعتبر وسيلة لتمكين وضمان، قدرة بلدان ال</w:t>
      </w:r>
      <w:r w:rsidR="00326BE5" w:rsidRPr="005963D3">
        <w:rPr>
          <w:rFonts w:hint="cs"/>
          <w:sz w:val="26"/>
          <w:szCs w:val="26"/>
          <w:rtl/>
          <w:lang w:val="en-CA"/>
        </w:rPr>
        <w:t>مادة 5 على تحقيق الامتثال.</w:t>
      </w:r>
      <w:r w:rsidR="00326BE5" w:rsidRPr="005963D3">
        <w:rPr>
          <w:sz w:val="26"/>
          <w:szCs w:val="26"/>
          <w:vertAlign w:val="superscript"/>
          <w:lang w:val="en-CA"/>
        </w:rPr>
        <w:t xml:space="preserve"> </w:t>
      </w:r>
      <w:r w:rsidR="00326BE5" w:rsidRPr="005963D3">
        <w:rPr>
          <w:sz w:val="26"/>
          <w:szCs w:val="26"/>
          <w:vertAlign w:val="superscript"/>
          <w:lang w:val="en-CA"/>
        </w:rPr>
        <w:footnoteReference w:id="15"/>
      </w:r>
      <w:r w:rsidR="00326BE5" w:rsidRPr="005963D3">
        <w:rPr>
          <w:rFonts w:hint="cs"/>
          <w:sz w:val="26"/>
          <w:szCs w:val="26"/>
          <w:rtl/>
          <w:lang w:val="en-CA"/>
        </w:rPr>
        <w:t xml:space="preserve"> وكانت قوة دفع في المساعدة على وضع أطر تنظيمية ونظم ترخيص ذات صلة بالمواد المستنفدة للأوزون، ولإنشاء وحدات لإدارة المشروعات. وعلاوة على ذلك كانت مشروعات التعزيز المؤسسي وسيلة في إنشاء نظم لتسجيل ورصد استهلاك وإنتاج المواد المستنفدة للأوزون.</w:t>
      </w:r>
    </w:p>
    <w:p w:rsidR="00326BE5" w:rsidRPr="005963D3" w:rsidRDefault="00326BE5" w:rsidP="00631899">
      <w:pPr>
        <w:numPr>
          <w:ilvl w:val="0"/>
          <w:numId w:val="16"/>
        </w:numPr>
        <w:tabs>
          <w:tab w:val="left" w:pos="0"/>
        </w:tabs>
        <w:bidi/>
        <w:spacing w:before="120" w:after="240"/>
        <w:ind w:left="0" w:firstLine="0"/>
        <w:rPr>
          <w:sz w:val="26"/>
          <w:szCs w:val="26"/>
        </w:rPr>
      </w:pPr>
      <w:r w:rsidRPr="005963D3">
        <w:rPr>
          <w:rFonts w:hint="cs"/>
          <w:sz w:val="26"/>
          <w:szCs w:val="26"/>
          <w:rtl/>
        </w:rPr>
        <w:t>ويعتبر الإبلاغ عن استهلاك وإنتاج المواد الخاضعة للرقابة والمعنية من المواد المستنفدة للأوزون إلزاميا بمقتضى المادة 7 من بروتوكول مونتريال وتشكل عنصرا هاما في رصد الامتثال. ونفذ بناء القدرات في إطار مشروعات التعزيز المؤسسي لضمان عمليات الرقابة على إنتاج واستيراد وتصدير المواد المستنفدة للأوزون بما في ذلك نظم التراخيص والحصص. ويعتبر التحقق من الإنتاج عنصرا أساسيا في هذا المجال، وينبغي أن يشمل الأطر المحاسبية وتسجيل الإنتاج، والاستخدام الداخلي، واستهلاك المواد الخام، والمبيعات الداخلية والصادرات لاستخدام المواد المستنفدة للأوزون لاستخدامات عوامل الصناعة بما في ذلك التي تجري من خلال تجار التجزئة. ويمكن أن يشكل رصد عوامل الصناعة تحديات إلاّ أن أهميتها تقع في واقع أن بالوسع تخزينها ومن ثم التسرب (قد استشهد بهذا الوضع في الإشارة الى رباعي كلوريد الكربون).</w:t>
      </w:r>
      <w:r w:rsidRPr="005963D3">
        <w:rPr>
          <w:rStyle w:val="FootnoteReference"/>
          <w:sz w:val="26"/>
          <w:szCs w:val="26"/>
        </w:rPr>
        <w:t xml:space="preserve"> </w:t>
      </w:r>
      <w:r w:rsidRPr="005963D3">
        <w:rPr>
          <w:rStyle w:val="FootnoteReference"/>
          <w:sz w:val="26"/>
          <w:szCs w:val="26"/>
        </w:rPr>
        <w:footnoteReference w:id="16"/>
      </w:r>
    </w:p>
    <w:p w:rsidR="00326BE5" w:rsidRPr="005963D3" w:rsidRDefault="00326BE5"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وقد بدأ الكثير من البلدان في استخدام نظم التراخيص الالكترونية لاستيراد وتصدير المواد الخاضعة للرقابة واتي سوف ترفض الترخيص لتجاوز الكميات المعنية الحصص المقررة وفيمايلي بعض الأمثلة:</w:t>
      </w:r>
    </w:p>
    <w:p w:rsidR="00326BE5" w:rsidRPr="005963D3" w:rsidRDefault="001C3A40" w:rsidP="00631899">
      <w:pPr>
        <w:numPr>
          <w:ilvl w:val="0"/>
          <w:numId w:val="19"/>
        </w:numPr>
        <w:tabs>
          <w:tab w:val="left" w:pos="8280"/>
        </w:tabs>
        <w:bidi/>
        <w:spacing w:after="240"/>
        <w:ind w:left="1418" w:hanging="709"/>
        <w:rPr>
          <w:sz w:val="26"/>
          <w:szCs w:val="26"/>
        </w:rPr>
      </w:pPr>
      <w:r w:rsidRPr="005963D3">
        <w:rPr>
          <w:rFonts w:hint="cs"/>
          <w:sz w:val="26"/>
          <w:szCs w:val="26"/>
          <w:rtl/>
        </w:rPr>
        <w:t>أنشأت أرمينيا نظام ترخيص إلكتروني بتمويل من الصندوق المتعدد الأطراف أتاح أتممت إمكانيات الإبلاغ بدعم من التزامات الإبلاغ بما في ذلك في التشريعات الوطنية؛</w:t>
      </w:r>
    </w:p>
    <w:p w:rsidR="001C3A40" w:rsidRPr="005963D3" w:rsidRDefault="001C3A40" w:rsidP="001C3A40">
      <w:pPr>
        <w:numPr>
          <w:ilvl w:val="0"/>
          <w:numId w:val="19"/>
        </w:numPr>
        <w:tabs>
          <w:tab w:val="left" w:pos="8280"/>
        </w:tabs>
        <w:bidi/>
        <w:spacing w:after="240"/>
        <w:ind w:left="1418" w:hanging="709"/>
        <w:rPr>
          <w:sz w:val="26"/>
          <w:szCs w:val="26"/>
        </w:rPr>
      </w:pPr>
      <w:r w:rsidRPr="005963D3">
        <w:rPr>
          <w:rFonts w:hint="cs"/>
          <w:sz w:val="26"/>
          <w:szCs w:val="26"/>
          <w:rtl/>
        </w:rPr>
        <w:t>نفذت البرازيل نظام تراخيص في وقت مبكر عن عملية خفض المواد المستنفدة للأوزون وإزالتها كجزء من الإطار التنظيمي الشامل لاستهلاك المواد المستنفدة للأوزون وتصديرها وإنتاجها واستخدامها.</w:t>
      </w:r>
      <w:r w:rsidRPr="005963D3">
        <w:rPr>
          <w:sz w:val="26"/>
          <w:szCs w:val="26"/>
          <w:vertAlign w:val="superscript"/>
        </w:rPr>
        <w:t xml:space="preserve"> </w:t>
      </w:r>
      <w:r w:rsidRPr="005963D3">
        <w:rPr>
          <w:sz w:val="26"/>
          <w:szCs w:val="26"/>
          <w:vertAlign w:val="superscript"/>
        </w:rPr>
        <w:footnoteReference w:id="17"/>
      </w:r>
      <w:r w:rsidRPr="005963D3">
        <w:rPr>
          <w:rFonts w:hint="cs"/>
          <w:sz w:val="26"/>
          <w:szCs w:val="26"/>
          <w:rtl/>
        </w:rPr>
        <w:t xml:space="preserve"> وقد استخدم ذلك كإطار لإدراج المزيد من الخطوات للحالات الخاصة لرقابة أو مماثلة للسنوات التالية؛</w:t>
      </w:r>
    </w:p>
    <w:p w:rsidR="001C3A40" w:rsidRPr="005963D3" w:rsidRDefault="001C3A40" w:rsidP="00631899">
      <w:pPr>
        <w:numPr>
          <w:ilvl w:val="0"/>
          <w:numId w:val="19"/>
        </w:numPr>
        <w:tabs>
          <w:tab w:val="left" w:pos="8280"/>
        </w:tabs>
        <w:bidi/>
        <w:spacing w:after="240"/>
        <w:ind w:left="1418" w:hanging="709"/>
        <w:rPr>
          <w:sz w:val="26"/>
          <w:szCs w:val="26"/>
        </w:rPr>
      </w:pPr>
      <w:r w:rsidRPr="005963D3">
        <w:rPr>
          <w:rFonts w:hint="cs"/>
          <w:sz w:val="26"/>
          <w:szCs w:val="26"/>
          <w:rtl/>
        </w:rPr>
        <w:t>وأبلغت كوستاريكا عن أن لديها نظام تراخيص إلكتروني إلاّ أنها تحتاج الى فريق متخصص من المهنيين لتيسير البيانات وتحديد الإجراءات التالية؛</w:t>
      </w:r>
    </w:p>
    <w:p w:rsidR="001C3A40" w:rsidRPr="005963D3" w:rsidRDefault="00824586" w:rsidP="00824586">
      <w:pPr>
        <w:numPr>
          <w:ilvl w:val="0"/>
          <w:numId w:val="19"/>
        </w:numPr>
        <w:tabs>
          <w:tab w:val="left" w:pos="8280"/>
        </w:tabs>
        <w:bidi/>
        <w:spacing w:after="240"/>
        <w:ind w:left="1418" w:hanging="709"/>
        <w:rPr>
          <w:sz w:val="26"/>
          <w:szCs w:val="26"/>
        </w:rPr>
      </w:pPr>
      <w:r w:rsidRPr="005963D3">
        <w:rPr>
          <w:rFonts w:hint="cs"/>
          <w:sz w:val="26"/>
          <w:szCs w:val="26"/>
          <w:rtl/>
        </w:rPr>
        <w:t>ونفذت تايلند نظام تراخيص إلكتروني بتمويل من الحكومة أتاح لمديرية الأشغال الصناعية تتبع استيراد وتصدير المواد المستنفدة للأوزون في الوقت الحقيقي. ومقارنة الكميات بالتراخيص. ويتعين على المستوردين قبل كل شحنة إبلاغ مديرية الأشغال الصناعية بالكميات المعنية بالنظام الإلكتروني الذي لن يوافق على أي شحنة في حالة تجاوز الحصة المقررة. وفي حالة الموافقة تحول المعلومات الى الجمارك، وفي حالة الترخيص لها يتم التوفيق مع مديرية الأشغال الصناعية لضمان الاتساق فيما بين الوكالتين؛</w:t>
      </w:r>
    </w:p>
    <w:p w:rsidR="00824586" w:rsidRPr="005963D3" w:rsidRDefault="00824586" w:rsidP="00824586">
      <w:pPr>
        <w:numPr>
          <w:ilvl w:val="0"/>
          <w:numId w:val="19"/>
        </w:numPr>
        <w:tabs>
          <w:tab w:val="left" w:pos="8280"/>
        </w:tabs>
        <w:bidi/>
        <w:spacing w:after="240"/>
        <w:ind w:left="1418" w:hanging="709"/>
        <w:rPr>
          <w:sz w:val="26"/>
          <w:szCs w:val="26"/>
        </w:rPr>
      </w:pPr>
      <w:r w:rsidRPr="005963D3">
        <w:rPr>
          <w:rFonts w:hint="cs"/>
          <w:sz w:val="26"/>
          <w:szCs w:val="26"/>
          <w:rtl/>
        </w:rPr>
        <w:lastRenderedPageBreak/>
        <w:t xml:space="preserve">وتتقدم </w:t>
      </w:r>
      <w:r w:rsidRPr="005963D3">
        <w:rPr>
          <w:sz w:val="26"/>
          <w:szCs w:val="26"/>
          <w:rtl/>
        </w:rPr>
        <w:t>فانواتو</w:t>
      </w:r>
      <w:r w:rsidRPr="005963D3">
        <w:rPr>
          <w:rFonts w:hint="cs"/>
          <w:sz w:val="26"/>
          <w:szCs w:val="26"/>
          <w:rtl/>
        </w:rPr>
        <w:t xml:space="preserve"> في عملية إنشاء نظام تراخيص إلكتروني للمواد المستنفدة للأوزون. وقد اتخذت سلطات إدارة الصناعة والجمارك القيادة في هذا الجهد الذي يتضمن مديرية البيئية ووحدة الأوزون الوطنية. وتشكل هذه الجهود جزءا من مشروع البنك الدولي الجاري في الوقت الراهن؛</w:t>
      </w:r>
    </w:p>
    <w:p w:rsidR="00824586" w:rsidRPr="005963D3" w:rsidRDefault="00824586" w:rsidP="00BD4968">
      <w:pPr>
        <w:numPr>
          <w:ilvl w:val="0"/>
          <w:numId w:val="19"/>
        </w:numPr>
        <w:tabs>
          <w:tab w:val="left" w:pos="8280"/>
        </w:tabs>
        <w:bidi/>
        <w:spacing w:after="240"/>
        <w:ind w:left="1418" w:hanging="709"/>
        <w:rPr>
          <w:sz w:val="26"/>
          <w:szCs w:val="26"/>
        </w:rPr>
      </w:pPr>
      <w:r w:rsidRPr="005963D3">
        <w:rPr>
          <w:rFonts w:hint="cs"/>
          <w:sz w:val="26"/>
          <w:szCs w:val="26"/>
          <w:rtl/>
        </w:rPr>
        <w:t xml:space="preserve">وأبلغت بعض وحدات الأوزون الوطنية التي أجابت على الاستبيان (مصر ونيجيريا) </w:t>
      </w:r>
      <w:r w:rsidR="00BD4968" w:rsidRPr="005963D3">
        <w:rPr>
          <w:rFonts w:hint="cs"/>
          <w:sz w:val="26"/>
          <w:szCs w:val="26"/>
          <w:rtl/>
        </w:rPr>
        <w:t>عن الصعوبات في تنفيذ نظم التراخيص بالنظر الى أن المواد المستنفدة للأوزون بالغة التحديد، وأن التعرف عليها يتطلب تدريبا على مستوى عال. وقد أشير الى استدامة هذه النظم بعد انتهاء تمويل الصندوق المتعدد الأطراف يثير الشواغل. وتتمثل المعوقات الرئيسية في ضعف ممارسات الرصد الطويل الأجل أو انعدامه، والحاجة الى تحسينات تكنولوجية للنظم الإلكترونية والى المزيد من التدريب للموظفين.</w:t>
      </w:r>
    </w:p>
    <w:p w:rsidR="00BD4968" w:rsidRPr="005963D3" w:rsidRDefault="00BD4968" w:rsidP="00BD4968">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وتحتفظ وحدة الأوزون الوطنية عموما بمكان في وزارة البيئة ووزارة الموارد الطبيعية أو في هيئة حكومية مماثلة. ومع تزايد أهمية القضايا البيئية في معظم البلدان في أنحاء العالم، أصبحت وحدات الأوزون الوطنية تحصل على دعم متزايد من داخل الحكومات، وترفع تقاريرها لنائب الوزير أو معاون الوزير أو لموظف آخر رفيع المستوى. وكان</w:t>
      </w:r>
      <w:r w:rsidR="005C6307" w:rsidRPr="005963D3">
        <w:rPr>
          <w:rFonts w:hint="cs"/>
          <w:sz w:val="26"/>
          <w:szCs w:val="26"/>
          <w:rtl/>
          <w:lang w:val="en-CA"/>
        </w:rPr>
        <w:t xml:space="preserve"> </w:t>
      </w:r>
      <w:r w:rsidRPr="005963D3">
        <w:rPr>
          <w:rFonts w:hint="cs"/>
          <w:sz w:val="26"/>
          <w:szCs w:val="26"/>
          <w:rtl/>
          <w:lang w:val="en-CA"/>
        </w:rPr>
        <w:t>يتم في الماضي الإشارة الى التغيير في الوزارة المعنية أو تنقلت موظفي وحدة الأوزون الوطنية على أنه سبب للتأخيرات في تقارير الانتهاء من المشروعات (وخاصة في التعزيز المؤسسي) ووضع القواعد وإطلاق الحملات</w:t>
      </w:r>
      <w:r w:rsidRPr="005963D3">
        <w:rPr>
          <w:sz w:val="26"/>
          <w:szCs w:val="26"/>
          <w:vertAlign w:val="superscript"/>
          <w:lang w:val="en-CA"/>
        </w:rPr>
        <w:footnoteReference w:id="18"/>
      </w:r>
      <w:r w:rsidRPr="005963D3">
        <w:rPr>
          <w:rFonts w:hint="cs"/>
          <w:sz w:val="26"/>
          <w:szCs w:val="26"/>
          <w:rtl/>
          <w:lang w:val="en-CA"/>
        </w:rPr>
        <w:t>. وعلى الرغم من أنه مازال يشاء الى تنقلات الموظفين كمشكلة، اتخذ العديد من البلدان إجراءات تكفل عدم تكون وحدات الأوزون الوطنية من مرشحين سياسيين ووجود موظفين أساسين دائمين يتم استكمالهم بأخصائيين خارجيين. وثمة خطوة أخرى تتخذ لضمان  الاستدامة وتتمثل في إنشاء "لجان تنسيق بشأن الأوزون" أو هيئات مماثلة ذات طابع مستدام، و</w:t>
      </w:r>
      <w:r w:rsidR="00E16CBC" w:rsidRPr="005963D3">
        <w:rPr>
          <w:rFonts w:hint="cs"/>
          <w:sz w:val="26"/>
          <w:szCs w:val="26"/>
          <w:rtl/>
          <w:lang w:val="en-CA"/>
        </w:rPr>
        <w:t>تسهيل واستدامة الإجراءات التي تتخذها وحدة الأوزون الوطنية فيما يتعلق بإزالة المواد المستنفدة للأوزون وحماية طبقة الأوزون وإنشاء مراكز للتوثيق تتضمن معلومات تاريخية.</w:t>
      </w:r>
    </w:p>
    <w:p w:rsidR="00E16CBC" w:rsidRPr="005963D3" w:rsidRDefault="00E16CBC" w:rsidP="00E16CB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ويتعين على بلدان المادة 5 وفقا لأحكام بروتوكول مونتريال ومن خلال اتفاقاتها مع اللجنة التنفيذية تنفيذ آليات للرصد والإبلاغ للتحقق من التقدم المحرز فيما يتعلق بالتخفيضات في المواد المستنفدة للأوزون وإزالتها. ويتطلب ذلك في كثير من الأحيان التفاعل مع مختلف الهيئات والمؤسسات الحكومية خارج الوزارة أو المكتب الذي توجد به وحدة الأوزون الوطنية. فعلى سبيل المثال، قد تتأثر مديريات الجمارك ووزارات الزراعة والتجارة والصحة والتنمية الصناعية بل وحتى وزارات الخارجية بإزالة المواد المستنفدة للأوزون. وليس من السهل دوما إشراك مجموعة مختلفة من أصحاب المصلحة لها اهتمامات مختلفة في القضايا المتعلقة بالمواد </w:t>
      </w:r>
      <w:r w:rsidR="00EF28C1" w:rsidRPr="005963D3">
        <w:rPr>
          <w:rFonts w:hint="cs"/>
          <w:sz w:val="26"/>
          <w:szCs w:val="26"/>
          <w:rtl/>
          <w:lang w:val="en-CA"/>
        </w:rPr>
        <w:t>المستنفدة للأوزون، ويمكن أن تؤدي هذه العوامل الى تعقيد عملية الرصد وعمليات إنفاذ خفض المواد المستنفدة للأوزون.</w:t>
      </w:r>
    </w:p>
    <w:p w:rsidR="00EF28C1" w:rsidRPr="005963D3" w:rsidRDefault="00EF28C1"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وتظل نظم التراخيص والحصص عادة في مكانها بعد نهاية المشروعات الممولة من الصندوق </w:t>
      </w:r>
      <w:r w:rsidR="00AE0C07" w:rsidRPr="005963D3">
        <w:rPr>
          <w:rFonts w:hint="cs"/>
          <w:sz w:val="26"/>
          <w:szCs w:val="26"/>
          <w:rtl/>
          <w:lang w:val="en-CA"/>
        </w:rPr>
        <w:t>المتعدد الأطراف</w:t>
      </w:r>
      <w:r w:rsidR="00AE0C07" w:rsidRPr="005963D3">
        <w:rPr>
          <w:rStyle w:val="FootnoteReference"/>
          <w:sz w:val="26"/>
          <w:szCs w:val="26"/>
          <w:lang w:val="en-CA"/>
        </w:rPr>
        <w:footnoteReference w:id="19"/>
      </w:r>
      <w:r w:rsidR="00AE0C07" w:rsidRPr="005963D3">
        <w:rPr>
          <w:rFonts w:hint="cs"/>
          <w:sz w:val="26"/>
          <w:szCs w:val="26"/>
          <w:rtl/>
          <w:lang w:val="en-CA"/>
        </w:rPr>
        <w:t>، بهدف ضمان الامتثال الدائم لبروتوكول مونتريال. وتنظم بعض أنشطة التعزيز المؤسسي لتدعيم هذه العملية وضمان الاستدامة بالاقتران مع وحدة الأوزون الوطنية والسلطات المعنية بالإضافة الى أصحاب المصلحة الرئيسيين.</w:t>
      </w:r>
    </w:p>
    <w:p w:rsidR="000247F9" w:rsidRPr="005963D3" w:rsidRDefault="000247F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تفرض نظم تتبع</w:t>
      </w:r>
      <w:r w:rsidR="00770289" w:rsidRPr="005963D3">
        <w:rPr>
          <w:rFonts w:hint="cs"/>
          <w:sz w:val="26"/>
          <w:szCs w:val="26"/>
          <w:rtl/>
          <w:lang w:val="en-CA"/>
        </w:rPr>
        <w:t xml:space="preserve"> بروميد الميثيل أيضا تحديات نوعية. ونظرا لأن استخدامات بروميد الميثيل في الحجر الزراعي ومعاملات ما قبل الشحن تحظى بالاعفاء بموجب بروتوكول مونتريال فإنها تحول دون قيام الأطراف بفرض حظر على المواد المستنفدة للأوزون بالكامل وإن كان البعض قد اختار هذا الخيار. فقد قدمت كوستاريكا وإكوادور وغواتيمالا والمكسيك وتايلند معلومات عن اتخاذ تدابير محددة لتتبع استيراد واستخدام بروميد الميثيل. وأنشأت المكسيك على وجه الخصوص نظاما لرصد بروميد الميثيل يتضمن مختلف الأقسام في وزارات البيئة والصحة والزراعة والغابات.</w:t>
      </w:r>
    </w:p>
    <w:p w:rsidR="00770289" w:rsidRPr="005963D3" w:rsidRDefault="0077028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ويشكل تتبع الواردات والإنتاج والاستخدام الفعلي من المواد المستنفدة للأوزون المزالة تحديا.</w:t>
      </w:r>
      <w:r w:rsidRPr="005963D3">
        <w:rPr>
          <w:sz w:val="26"/>
          <w:szCs w:val="26"/>
          <w:vertAlign w:val="superscript"/>
          <w:lang w:val="en-CA"/>
        </w:rPr>
        <w:t xml:space="preserve"> </w:t>
      </w:r>
      <w:r w:rsidRPr="005963D3">
        <w:rPr>
          <w:sz w:val="26"/>
          <w:szCs w:val="26"/>
          <w:vertAlign w:val="superscript"/>
          <w:lang w:val="en-CA"/>
        </w:rPr>
        <w:footnoteReference w:id="20"/>
      </w:r>
      <w:r w:rsidRPr="005963D3">
        <w:rPr>
          <w:rFonts w:hint="cs"/>
          <w:sz w:val="26"/>
          <w:szCs w:val="26"/>
          <w:rtl/>
          <w:lang w:val="en-CA"/>
        </w:rPr>
        <w:t xml:space="preserve"> وتنشأ مسألة مماثلة للمواد الهيدروكلوروفلوروكربونية التي تمت إزالتها أو يجري إزالتها (مثل الهيدروكلوروفلوروكربون-22 والهيدروكلوروفلوروكربون-142ب) ويمثل عملية رصد هذه المواد الخام والإبلاغ عن كمياتها السنوية صعوبات في كثير من الأحيان.</w:t>
      </w:r>
    </w:p>
    <w:p w:rsidR="00267B4D" w:rsidRPr="005963D3" w:rsidRDefault="00770289" w:rsidP="00631899">
      <w:pPr>
        <w:tabs>
          <w:tab w:val="left" w:pos="0"/>
        </w:tabs>
        <w:bidi/>
        <w:spacing w:before="120" w:after="240"/>
        <w:rPr>
          <w:sz w:val="26"/>
          <w:szCs w:val="26"/>
          <w:u w:val="single"/>
          <w:lang w:val="en-CA"/>
        </w:rPr>
      </w:pPr>
      <w:r w:rsidRPr="005963D3">
        <w:rPr>
          <w:rFonts w:hint="cs"/>
          <w:sz w:val="26"/>
          <w:szCs w:val="26"/>
          <w:u w:val="single"/>
          <w:rtl/>
          <w:lang w:val="en-CA"/>
        </w:rPr>
        <w:t>دور الوكالات الثنائية والمنفذة</w:t>
      </w:r>
    </w:p>
    <w:p w:rsidR="00770289" w:rsidRPr="005963D3" w:rsidRDefault="0077028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كانت الوكالات الثنائية والمنفذة (اليونيب واليونيدو واليوئنديبي والبنك الدولي) لبروتوكول مونتريال والوكالات الثنائية وسيلة في عملية إزالة المواد المستنفدة للأوزون واستدامتها. وكانت هذه الوكالات مسؤولة بالدرجة الأولى عن وضع المشروعات التي تهدف الى تحديد وتنفيذ أكثر البدائل الممكنة للمواد المستنفدة للأوزون ومن ثم ضمان الإزالة الفعالة. وقد تكون المشروعات إيضاحية لتجربة البدائل أو نشر المعلومات والمساعدة على تعزيز الثقة في تنفيذها أو الاستثمار مع التزام واضح بالإزالة. ويمكن أن تكون هذه المشروعات محددة لبلد واحد أو إقليمية أو حتى عالمية في طابعها.</w:t>
      </w:r>
    </w:p>
    <w:p w:rsidR="00770289" w:rsidRPr="005963D3" w:rsidRDefault="00770289" w:rsidP="0077028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ويتجاوز دور الوكالات الثنائية والمنفذة اعتماد البدائل الممكنة، أو أنها تدعم كذلك استدامة الإزالة التي تحققت بمساعدة البلد المضيف لوضع الإطار التنظيمي المطلوب لإنفاذ إزالة المواد المستنفدة للأوزون وإقامة علاقة متينة معها، وتحديد وكالة نظيرة يمكن أن تعمل بعد ذلك "كإيداع" للأنشطة المتعلقة بالإزالة، وتنظيم أنشطة التدريب وإعداد المواد الإعلامية لدعم الاتصال وتوجيه استراتيجيات استثارة الوعي.</w:t>
      </w:r>
    </w:p>
    <w:p w:rsidR="00770289" w:rsidRPr="005963D3" w:rsidRDefault="00770289" w:rsidP="000F17D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وأسهمت الوكالات الثنائية والمنفذة أيضا بدرجة كبيرة في </w:t>
      </w:r>
      <w:r w:rsidR="000F17D4" w:rsidRPr="005963D3">
        <w:rPr>
          <w:rFonts w:hint="cs"/>
          <w:sz w:val="26"/>
          <w:szCs w:val="26"/>
          <w:rtl/>
          <w:lang w:val="en-CA"/>
        </w:rPr>
        <w:t>تصنيف</w:t>
      </w:r>
      <w:r w:rsidRPr="005963D3">
        <w:rPr>
          <w:rFonts w:hint="cs"/>
          <w:sz w:val="26"/>
          <w:szCs w:val="26"/>
          <w:rtl/>
          <w:lang w:val="en-CA"/>
        </w:rPr>
        <w:t xml:space="preserve"> استخدام المواد المستنفدة للأوزون من خلال المسوحات وعمليات الحصر وتقييم تأثيرات الإزالة ويجري ذلك عموما في مرحلة إعداد المشروع وتحديثه لدى تقديم التقارير المرحلية وإدراج معلومات نوعية عن مستخدمي المواد المستنفدة للأوزون (مثل القطاعات الإنتاجية مثل الخضر من أجل التصدير) وموقع المعدات حسب مقتضى الحال (مثل تبريد المباني)</w:t>
      </w:r>
      <w:r w:rsidR="00B348D6" w:rsidRPr="005963D3">
        <w:rPr>
          <w:rFonts w:hint="cs"/>
          <w:sz w:val="26"/>
          <w:szCs w:val="26"/>
          <w:rtl/>
          <w:lang w:val="en-CA"/>
        </w:rPr>
        <w:t>. وقد ساعد ذلك في تقييم الجدوى التقنية والاقتصادية للبدائل وتفهم المعوقات أمام تطبيقها وإيجاد وسائل للتغلب عليها. وتتوافر أمثلة جيدة في كثير من وثائق المشروعات.</w:t>
      </w:r>
    </w:p>
    <w:p w:rsidR="00B348D6" w:rsidRPr="005963D3" w:rsidRDefault="00B348D6" w:rsidP="004E1427">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w:t>
      </w:r>
      <w:r w:rsidR="004E1427">
        <w:rPr>
          <w:rFonts w:hint="cs"/>
          <w:sz w:val="26"/>
          <w:szCs w:val="26"/>
          <w:rtl/>
          <w:lang w:val="en-CA"/>
        </w:rPr>
        <w:t>تبين</w:t>
      </w:r>
      <w:r w:rsidRPr="005963D3">
        <w:rPr>
          <w:rFonts w:hint="cs"/>
          <w:sz w:val="26"/>
          <w:szCs w:val="26"/>
          <w:rtl/>
          <w:lang w:val="en-CA"/>
        </w:rPr>
        <w:t xml:space="preserve"> أيضا أن ضمان المرونة في تنفيذ المشروعات وتطويرها كجزء من الوكالات الثنائية والمنفذة ينطوي على أهمية. ففي بعض الحالات، لم تؤدي البدائل التي اختيرت في البداية لتحل مكان المواد المستنفدة للأوزون الى تحقيق النتائج المتصورة في ظل ظروف نوعية مثل عدم توافر المواد أو الإمدادات اللازمة، والظروف البيئية، والخبرات الضرورية لتنفيذ البدائل وتأخر المسائل التنظيمية. وقد تبين أن توافر إمكانية تغيير البدائل المقترحة في الأصل بل وحتى إمكانية إدراج مواد مستنفدة للأوزون جديدة أو إضافية في مشروع معين يعتبر ضروريا لكل من تحقيق الإزالة ولضمان كفاءة البدائل في أن تحتل مكان المواد المستنفدة للأوزون بصفة دائمة. ولم تكن هذه العملية سهلة حسبما تبين الأمثلة التالية:</w:t>
      </w:r>
    </w:p>
    <w:p w:rsidR="00B348D6" w:rsidRPr="005963D3" w:rsidRDefault="00B348D6" w:rsidP="003268A8">
      <w:pPr>
        <w:numPr>
          <w:ilvl w:val="0"/>
          <w:numId w:val="21"/>
        </w:numPr>
        <w:bidi/>
        <w:spacing w:after="240"/>
        <w:ind w:left="1418" w:hanging="709"/>
        <w:rPr>
          <w:sz w:val="26"/>
          <w:szCs w:val="26"/>
        </w:rPr>
      </w:pPr>
      <w:r w:rsidRPr="005963D3">
        <w:rPr>
          <w:rFonts w:hint="cs"/>
          <w:sz w:val="26"/>
          <w:szCs w:val="26"/>
          <w:rtl/>
        </w:rPr>
        <w:t>"المشروع الإيضاحي للإدارة المتكاملة في القطاع الفرعي لتبريد المباني في البرازيل بالتركيز على تطبيق التكنولوجيات الخالية من الكلوروفلوروكربون التي تحقق كفاءة استخدام الطاقة"</w:t>
      </w:r>
      <w:r w:rsidRPr="005963D3">
        <w:rPr>
          <w:sz w:val="26"/>
          <w:szCs w:val="26"/>
          <w:vertAlign w:val="superscript"/>
        </w:rPr>
        <w:footnoteReference w:id="21"/>
      </w:r>
      <w:r w:rsidRPr="005963D3">
        <w:rPr>
          <w:rFonts w:hint="cs"/>
          <w:sz w:val="26"/>
          <w:szCs w:val="26"/>
          <w:rtl/>
        </w:rPr>
        <w:t xml:space="preserve"> مثلا التي كان من المتصور </w:t>
      </w:r>
      <w:r w:rsidR="003268A8" w:rsidRPr="005963D3">
        <w:rPr>
          <w:rFonts w:hint="cs"/>
          <w:sz w:val="26"/>
          <w:szCs w:val="26"/>
          <w:rtl/>
          <w:lang w:bidi="ar-EG"/>
        </w:rPr>
        <w:t>في الأصل استكمال حصر لتبريد المباني الذي يستخدم المواد الكلوروفلوروكربونية. غير أن تركيب المشروع تأخر بصورة خطيرة وفي نفس الوقت الذي بدأ في تبين أن عدد أجهزة تبريد المباني بالمواد الكلوروفلوروكربونية صغير وأن المواد الهيدروكلوروفلوروكربونية (المستخدمة) قد أدرجت في قائمة بروتوكول مونتريال. وعلى ذلك أتاحت الظروف المرنة إدراج هذه المواد وتعديل جهود التدريب مع تحقيق نتائج جيدة بصورة كبيرة؛</w:t>
      </w:r>
    </w:p>
    <w:p w:rsidR="003268A8" w:rsidRPr="005963D3" w:rsidRDefault="003268A8" w:rsidP="00631899">
      <w:pPr>
        <w:numPr>
          <w:ilvl w:val="0"/>
          <w:numId w:val="21"/>
        </w:numPr>
        <w:tabs>
          <w:tab w:val="left" w:pos="8280"/>
        </w:tabs>
        <w:bidi/>
        <w:spacing w:after="240"/>
        <w:ind w:left="1418" w:hanging="709"/>
        <w:rPr>
          <w:sz w:val="26"/>
          <w:szCs w:val="26"/>
        </w:rPr>
      </w:pPr>
      <w:r w:rsidRPr="005963D3">
        <w:rPr>
          <w:rFonts w:hint="cs"/>
          <w:sz w:val="26"/>
          <w:szCs w:val="26"/>
          <w:rtl/>
        </w:rPr>
        <w:lastRenderedPageBreak/>
        <w:t>توقع خطة إدارة إزالة المواد الهيدروكلوروفلوروكربونية لكرواتيا التي تنفذها اليونيدو وإيطاليا إزالة مبكرة للمواد الهيدروكلوروفلوروكربونية نتيجة لدخول بلدان الاتحاد الأوروبي في 2016</w:t>
      </w:r>
      <w:r w:rsidRPr="005963D3">
        <w:rPr>
          <w:sz w:val="26"/>
          <w:szCs w:val="26"/>
          <w:vertAlign w:val="superscript"/>
        </w:rPr>
        <w:footnoteReference w:id="22"/>
      </w:r>
      <w:r w:rsidRPr="005963D3">
        <w:rPr>
          <w:rFonts w:hint="cs"/>
          <w:sz w:val="26"/>
          <w:szCs w:val="26"/>
          <w:rtl/>
        </w:rPr>
        <w:t>. ودخلت كرواتيا بعد ذلك الاتحاد الأوروبي في 2013 مما جعل من الضروري أن تحدث استراتيجية خطة إدارة إزالة المواد الهيدروكلوروفلوروكربونية الخاصة بها،</w:t>
      </w:r>
      <w:r w:rsidRPr="005963D3">
        <w:rPr>
          <w:sz w:val="26"/>
          <w:szCs w:val="26"/>
          <w:vertAlign w:val="superscript"/>
        </w:rPr>
        <w:footnoteReference w:id="23"/>
      </w:r>
      <w:r w:rsidRPr="005963D3">
        <w:rPr>
          <w:rFonts w:hint="cs"/>
          <w:sz w:val="26"/>
          <w:szCs w:val="26"/>
          <w:rtl/>
        </w:rPr>
        <w:t xml:space="preserve"> مما أدى الى أن تفرض حظرا على استيراد واستخدام المواد الهيدروكلوروفلوروكربونية بدءا من أول يوليه/ تموز 2013 واستخدام هذه المواد المسترجعة والمعاد تدويرها اعتبارا من 31 ديسمبر/ كانون أول 2014؛</w:t>
      </w:r>
    </w:p>
    <w:p w:rsidR="003268A8" w:rsidRPr="005963D3" w:rsidRDefault="003268A8" w:rsidP="00631899">
      <w:pPr>
        <w:numPr>
          <w:ilvl w:val="0"/>
          <w:numId w:val="21"/>
        </w:numPr>
        <w:tabs>
          <w:tab w:val="left" w:pos="8280"/>
        </w:tabs>
        <w:bidi/>
        <w:spacing w:after="240"/>
        <w:ind w:left="1418" w:hanging="709"/>
        <w:rPr>
          <w:sz w:val="26"/>
          <w:szCs w:val="26"/>
        </w:rPr>
      </w:pPr>
      <w:r w:rsidRPr="005963D3">
        <w:rPr>
          <w:rFonts w:hint="cs"/>
          <w:sz w:val="26"/>
          <w:szCs w:val="26"/>
          <w:rtl/>
        </w:rPr>
        <w:t>وخلال تقييم أجرته الأمانة، تبين أن مشروعات استبدال أجهزة الاستنشاق بالجرعة المقننة المعتمدة على الكلوروفلوروكربون أنها تنطوي على تعقيدات خاصة نتيجة لتداخل المشروع وتباين ونطاق أصحاب المصلحة المعنيين بما في ذلك مختلف الوزارات والمنظمات المعنية والهيئات التنظيمية ومقدمي الخدمات الصحية. وقدمت توصية لتعديل الأشكال التنظيمية للمشروع وإنشاء هيئات تنسيق جيدة وأثيرت بعض الشواغل بشأن سلامة وتكاليف بعض البدائل المختارة.</w:t>
      </w:r>
      <w:r w:rsidRPr="005963D3">
        <w:rPr>
          <w:sz w:val="26"/>
          <w:szCs w:val="26"/>
          <w:vertAlign w:val="superscript"/>
        </w:rPr>
        <w:t xml:space="preserve"> </w:t>
      </w:r>
      <w:r w:rsidRPr="005963D3">
        <w:rPr>
          <w:sz w:val="26"/>
          <w:szCs w:val="26"/>
          <w:vertAlign w:val="superscript"/>
        </w:rPr>
        <w:footnoteReference w:id="24"/>
      </w:r>
    </w:p>
    <w:p w:rsidR="003268A8" w:rsidRPr="005963D3" w:rsidRDefault="003268A8" w:rsidP="004F43A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واضطلعت الوكالات الثنائية والمنفذة بدور رئيسي في التمهيد لعملية الإزالة وتحقيقها. وأسهمت في توفير الثقة في البدائل وفعاليتها في المدى الطويل عندما لا تتوافر المواد المستنفدة للأوزون أو عدم قانونيتها وبمجرد أن تنتهي المشروعات. وجرى مؤخرا تقييم أداء الوكالات المنفذة في ضوء خطط أعمالها عام 2017،</w:t>
      </w:r>
      <w:r w:rsidRPr="005963D3">
        <w:rPr>
          <w:sz w:val="26"/>
          <w:szCs w:val="26"/>
          <w:vertAlign w:val="superscript"/>
          <w:lang w:val="en-CA"/>
        </w:rPr>
        <w:footnoteReference w:id="25"/>
      </w:r>
      <w:r w:rsidRPr="005963D3">
        <w:rPr>
          <w:rFonts w:hint="cs"/>
          <w:sz w:val="26"/>
          <w:szCs w:val="26"/>
          <w:rtl/>
          <w:lang w:val="en-CA"/>
        </w:rPr>
        <w:t xml:space="preserve"> وتضمنت تقييما كميا يستند الى مؤشرات الأداء فضلا عن تقدير نوعي بمدخلات من وحدات الأوزون الوطنية. وقد تبين جدوى ذلك في استخلاص الدروس وتحديد المجالات التي يمكن تحسين العمل فيها. وحققت الوكالات المنفذة عبر السنوات مستويات متباينة من النجاح في مختلف المشروعات التي نفذتها. غير أن النتيجة العامة كانت إيجابية وخا</w:t>
      </w:r>
      <w:r w:rsidR="004F43AA" w:rsidRPr="005963D3">
        <w:rPr>
          <w:rFonts w:hint="cs"/>
          <w:sz w:val="26"/>
          <w:szCs w:val="26"/>
          <w:rtl/>
          <w:lang w:val="en-CA"/>
        </w:rPr>
        <w:t>صة لدى قياسها في ضوء الإنجاز المميز المتعلق بإزالة المواد المستنفدة للأوزون الخاضعة للرقابة. وتمت تسوية بعض القضايا التي أثيرت في بعض البلدان من خلال الحوار مع وحدات الأوزون الوطنية، وتنفيذ تدابير تصحيحية، واضطلعت اللجنة التنفيذية بدور وسيط هام في هذه العملية.</w:t>
      </w:r>
    </w:p>
    <w:p w:rsidR="004F43AA" w:rsidRPr="005963D3" w:rsidRDefault="004F43A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وتحقق نجاح الوكالات الثنائية والمنفذة في إزالة المواد المستنفدة للأوزون بفضل توفير المساعدات المستمرة. ومن المهم النظر الى الإنجازات والدروس المستفادة من كل مرحلة مثل عندما أدى مشروع إيضاحي الى إقامة مشروع استثماري. غير أن هذه المراحل أو المشروعات تنفذ في بعض الأحيان بواسطة وكالات مختلفة مما يبرز أهمية ضمان التعاون بين الوكالات وتبادل المعلومات وخاصة المتعلقة بالمشروعات السابقة. ويمكن تجنب الازدواجية في الجهود والإسهام في استمرارية النتائج.</w:t>
      </w:r>
    </w:p>
    <w:p w:rsidR="004F43AA" w:rsidRPr="005963D3" w:rsidRDefault="004F43A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وثمة مسألة هامة تتعلق بأنه بمجرد انتهاء المشروع لا يسمح للوكالات المنفذة لرصد استخدام المواد المستنفدة للأوزون أبعد من ذلك بالنظر الى ذلك يصبح من مسؤوليات الحكومة. وقد تبين أن الاضطرابات السياسية والأزمات الاقتصادية تعوق استدامة الإزالة التي تحققت.</w:t>
      </w:r>
    </w:p>
    <w:p w:rsidR="004F43AA" w:rsidRPr="005963D3" w:rsidRDefault="004F43A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ويقدم برنامج المساعدة على الامتثال لدى اليونيب مساعدات مباشرة قطرية المنحى لبلدان المادة 5 (وخاصة البلدان التي ينخفض فيها حجم الاستهلاك) لتحقيق وتدعيم الامتثال لالتزامات بروتوكول مونتريال (مثل وضع نظام للتراخيص في سورينام أو المساعدة على الامتثال المقدمة لمالديف). ومساعدات برنامج المساعدة على الامتثال إقليمية وفي بعض الأحيان عالمية، ويمكن وصفها بطريقة عامة بأنها المساعدة على الامتثال، وإقامة</w:t>
      </w:r>
      <w:r w:rsidR="00C0342C" w:rsidRPr="005963D3">
        <w:rPr>
          <w:rFonts w:hint="cs"/>
          <w:sz w:val="26"/>
          <w:szCs w:val="26"/>
          <w:rtl/>
          <w:lang w:val="en-CA"/>
        </w:rPr>
        <w:t xml:space="preserve"> الشبكات وتبادل المعلومات. ويضطلع برنامج المساعدة على الامتثال بدور أساسي في توفير الدعم لتعزيز المؤسسات القائمة والمساهمة في تحقيق استدامة الإزالة التي تحققت. ويسعى الى الحفاظ على الاتصال النشط مع وحدات الأوزون الوطنية لتمديد القضايا الناشئة وتوفير الحلول الى أقصى حد ممكن. وقد نقح البرنامج من استراتيجية للفترة 2018-</w:t>
      </w:r>
      <w:r w:rsidR="00C0342C" w:rsidRPr="005963D3">
        <w:rPr>
          <w:rFonts w:hint="cs"/>
          <w:sz w:val="26"/>
          <w:szCs w:val="26"/>
          <w:rtl/>
          <w:lang w:val="en-CA"/>
        </w:rPr>
        <w:lastRenderedPageBreak/>
        <w:t>2020 لمراعاة التطورات الناشئة عن تعديل كيجالي.</w:t>
      </w:r>
      <w:r w:rsidR="00C0342C" w:rsidRPr="005963D3">
        <w:rPr>
          <w:sz w:val="26"/>
          <w:szCs w:val="26"/>
          <w:vertAlign w:val="superscript"/>
          <w:lang w:val="en-CA"/>
        </w:rPr>
        <w:t xml:space="preserve"> </w:t>
      </w:r>
      <w:r w:rsidR="00C0342C" w:rsidRPr="005963D3">
        <w:rPr>
          <w:sz w:val="26"/>
          <w:szCs w:val="26"/>
          <w:vertAlign w:val="superscript"/>
          <w:lang w:val="en-CA"/>
        </w:rPr>
        <w:footnoteReference w:id="26"/>
      </w:r>
      <w:r w:rsidR="00C0342C" w:rsidRPr="005963D3">
        <w:rPr>
          <w:rFonts w:hint="cs"/>
          <w:sz w:val="26"/>
          <w:szCs w:val="26"/>
          <w:rtl/>
          <w:lang w:val="en-CA"/>
        </w:rPr>
        <w:t xml:space="preserve"> ومازال توفير المساعدة لضمان الامتثال لأهداف الخفض والإزالة يمثل هدفا أساسيا إلاّ العمل مازال جاريا في الوقت الحاضر لوضع أنشطة تمكينية في الإعداد لخفض الهيدروفلوروكربون. كما أن هناك حاجة الى توفير الدعم لتنفيذ نظم التراخيص والحصص لمعالجة هذا الأمر.</w:t>
      </w:r>
    </w:p>
    <w:p w:rsidR="00C0342C" w:rsidRPr="005963D3" w:rsidRDefault="00C0342C"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ومازال أحد ركائز برنامج المساعدة على الامتثال </w:t>
      </w:r>
      <w:r w:rsidR="006C00CF" w:rsidRPr="005963D3">
        <w:rPr>
          <w:rFonts w:hint="cs"/>
          <w:sz w:val="26"/>
          <w:szCs w:val="26"/>
          <w:rtl/>
          <w:lang w:val="en-CA"/>
        </w:rPr>
        <w:t xml:space="preserve"> يتمثل </w:t>
      </w:r>
      <w:r w:rsidRPr="005963D3">
        <w:rPr>
          <w:rFonts w:hint="cs"/>
          <w:sz w:val="26"/>
          <w:szCs w:val="26"/>
          <w:rtl/>
          <w:lang w:val="en-CA"/>
        </w:rPr>
        <w:t>في خدمة تبادل المعلومات التي يمكن من خلالها توفير المعلومات المحدثة الهامة لوحدات الأوزون الوطنية، وتقديم الدعم لأنشطة استثارة الوعي. وقد رؤى أن الأدوار والأنشطة التي يضطلع بها برنامج المساعدة على الامتثال أن اليونيب تتسم بأكثر قدر من الأهمية من جانب وحدات الأوزون الوطنية العشرة التي أجابت على الاستبيان.</w:t>
      </w:r>
    </w:p>
    <w:p w:rsidR="00267B4D" w:rsidRPr="005963D3" w:rsidRDefault="00C0342C" w:rsidP="00631899">
      <w:pPr>
        <w:tabs>
          <w:tab w:val="left" w:pos="8280"/>
        </w:tabs>
        <w:bidi/>
        <w:spacing w:after="240"/>
        <w:rPr>
          <w:sz w:val="26"/>
          <w:szCs w:val="26"/>
          <w:u w:val="single"/>
        </w:rPr>
      </w:pPr>
      <w:r w:rsidRPr="005963D3">
        <w:rPr>
          <w:rFonts w:hint="cs"/>
          <w:sz w:val="26"/>
          <w:szCs w:val="26"/>
          <w:u w:val="single"/>
          <w:rtl/>
        </w:rPr>
        <w:t>دور ومسؤوليات وحدات إدارة المشروعات</w:t>
      </w:r>
    </w:p>
    <w:p w:rsidR="00C0342C" w:rsidRPr="005963D3" w:rsidRDefault="006C00CF"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أنشئت</w:t>
      </w:r>
      <w:r w:rsidR="00C0342C" w:rsidRPr="005963D3">
        <w:rPr>
          <w:rFonts w:hint="cs"/>
          <w:sz w:val="26"/>
          <w:szCs w:val="26"/>
          <w:rtl/>
          <w:lang w:val="en-CA"/>
        </w:rPr>
        <w:t xml:space="preserve"> وحدات إدارة المشروعات عام 1997 لدى تنفيذ اتفاقات التمويل المعتمد على الأداء لإزالة المواد المستنفدة للأوزون بين اللجنة التنفيذية والوكالات المنفذة، وحددت اللجنة التنفيذية خلال اجتماعها الثامن والثلاثين</w:t>
      </w:r>
      <w:r w:rsidR="00C0342C" w:rsidRPr="005963D3">
        <w:rPr>
          <w:sz w:val="26"/>
          <w:szCs w:val="26"/>
          <w:vertAlign w:val="superscript"/>
          <w:lang w:val="en-CA"/>
        </w:rPr>
        <w:footnoteReference w:id="27"/>
      </w:r>
      <w:r w:rsidR="00C0342C" w:rsidRPr="005963D3">
        <w:rPr>
          <w:rFonts w:hint="cs"/>
          <w:sz w:val="26"/>
          <w:szCs w:val="26"/>
          <w:rtl/>
          <w:lang w:val="en-CA"/>
        </w:rPr>
        <w:t xml:space="preserve"> المبادئ التوجيهية لإعداد وتنفيذ وتقييم مشروعات الإزالة. وقد جعل ذلك الوكالات الثنائية والمنفذة مسؤولة عن وضع آليات تتيح التنفيذ الفعّال والشفاف لخطط الإزالة، وتقديم التمويل لإنشاء وحدات لإدارة المشروعات التي تضطلع بدور هام في إعداد خطط العمل السنوية، وتنسيق الأنشطة مع أصحاب المصلحة، ورصد وإبلاغ الالتزامات. وفي معظم الحالات كانت وحدات إدارة المشروعات توجد وحدات الأوزون الوطنية أو تدار بواسطتها. وجرى مؤخرا استعراض دور وحدات إدارة المشروعات بواسطة الأمانة في سياق تقييم طلبته اللجنة التنفيذية للمساعدة في فهم تكاليف وواجبات هذه الوحدات وعلاقتها بمشروعات التعزيز المؤسسي وأنشطة إعداد مشروعات برنامج المساعدة على الامتثال والتحقق منها.</w:t>
      </w:r>
      <w:r w:rsidR="00C776C6" w:rsidRPr="005963D3">
        <w:rPr>
          <w:sz w:val="26"/>
          <w:szCs w:val="26"/>
          <w:vertAlign w:val="superscript"/>
          <w:lang w:val="en-CA"/>
        </w:rPr>
        <w:t xml:space="preserve"> </w:t>
      </w:r>
      <w:r w:rsidR="00C776C6" w:rsidRPr="005963D3">
        <w:rPr>
          <w:sz w:val="26"/>
          <w:szCs w:val="26"/>
          <w:vertAlign w:val="superscript"/>
          <w:lang w:val="en-CA"/>
        </w:rPr>
        <w:footnoteReference w:id="28"/>
      </w:r>
    </w:p>
    <w:p w:rsidR="00C0342C" w:rsidRPr="005963D3" w:rsidRDefault="00C0342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ومنذ إنشاء خطط إدارة إزالة المواد الهيدروكلوروفلوروكربونية واعتماد تعديل كيجالي، أصبحت أدوار ومسؤوليات وحدات الأوزون الوطنية ووحدات إدارة المشروعات ومن ثم الوكالات الثنائية والمنفذة أكثر فائدة ويبدو أن الاتصال والتنسيق الجيدين بين وحدات الأوزون الوطنية ووحدات إدارة المشروعات أصبحا أكثر أهمية مما كانت عليه في السابق.</w:t>
      </w:r>
    </w:p>
    <w:p w:rsidR="00C0342C" w:rsidRPr="005963D3" w:rsidRDefault="00C0342C"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ومن الواضح </w:t>
      </w:r>
      <w:r w:rsidR="006C00CF" w:rsidRPr="005963D3">
        <w:rPr>
          <w:rFonts w:hint="cs"/>
          <w:sz w:val="26"/>
          <w:szCs w:val="26"/>
          <w:rtl/>
          <w:lang w:val="en-CA"/>
        </w:rPr>
        <w:t>من</w:t>
      </w:r>
      <w:r w:rsidRPr="005963D3">
        <w:rPr>
          <w:rFonts w:hint="cs"/>
          <w:sz w:val="26"/>
          <w:szCs w:val="26"/>
          <w:rtl/>
          <w:lang w:val="en-CA"/>
        </w:rPr>
        <w:t xml:space="preserve"> الاستبيان الذي أرسل الى وحدات الأوزون الوطنية كجزء من هذا التقييم أن هذه المسألة حظيت باهتمام متزايد، وقد </w:t>
      </w:r>
      <w:r w:rsidR="000924F9" w:rsidRPr="005963D3">
        <w:rPr>
          <w:rFonts w:hint="cs"/>
          <w:sz w:val="26"/>
          <w:szCs w:val="26"/>
          <w:rtl/>
          <w:lang w:val="en-CA"/>
        </w:rPr>
        <w:t>أبلغ العديد من وحدات الأوزون الوطنية رغم الجهود التي تبذل لضمان المعارف الجيدة ونقل القدرات من وحدات إدارة المشروعات الى وحدات الأوزون الوطنية لدى الانتهاء من المشروعات إلاّ أن ذلك كان يوصف في كثير من الأحيان على أن يشكل تحديا وأبديت في كثير من الأحيان شواغل إزاء الوقت التي ستنتهي فيه المشروعات وانتهاء التمويل من الصندوق المتعدد الأطراف.</w:t>
      </w:r>
    </w:p>
    <w:p w:rsidR="000924F9" w:rsidRPr="005963D3" w:rsidRDefault="006C00CF"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وتحقق</w:t>
      </w:r>
      <w:r w:rsidR="000924F9" w:rsidRPr="005963D3">
        <w:rPr>
          <w:rFonts w:hint="cs"/>
          <w:sz w:val="26"/>
          <w:szCs w:val="26"/>
          <w:rtl/>
          <w:lang w:val="en-CA"/>
        </w:rPr>
        <w:t xml:space="preserve"> وحدات إدارة المشروعات </w:t>
      </w:r>
      <w:r w:rsidRPr="005963D3">
        <w:rPr>
          <w:rFonts w:hint="cs"/>
          <w:sz w:val="26"/>
          <w:szCs w:val="26"/>
          <w:rtl/>
          <w:lang w:val="en-CA"/>
        </w:rPr>
        <w:t>نشاطا</w:t>
      </w:r>
      <w:r w:rsidR="000924F9" w:rsidRPr="005963D3">
        <w:rPr>
          <w:rFonts w:hint="cs"/>
          <w:sz w:val="26"/>
          <w:szCs w:val="26"/>
          <w:rtl/>
          <w:lang w:val="en-CA"/>
        </w:rPr>
        <w:t xml:space="preserve"> أكبر في إعداد خطط العمل الوطنية وتحديد أصحاب المصلحة الرئيسيين وأنشطة التنسيق التي تشملهم ورصد التقدم في المشروعات مع نشاط أقل في وضع السياسات والتشريعات والقواعد لضمان إزالة تجميعية مستدامة للمواد المستنفدة للأوزون، وتتضمن هذه المسائل التي تقع خارج نطاق الحكومة اتخاذ القرارات بصورة أسرع والاستجابة للوكالات الثنائية والمنفذة. وتجلب وحدات إدارة المشروعات كذلك خبرات نوعية الى المشروعات ويمكن أن تساعد في تعيين الخبراء الاستشاريين لدى الحاجة إليهم.</w:t>
      </w:r>
    </w:p>
    <w:p w:rsidR="000924F9" w:rsidRPr="005963D3" w:rsidRDefault="000924F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وليس لدى جميع البلدان مثل عدد كبير من البلدان التي ينخفض فيها حجم الاستهلاك وعدد قليل من البلدان التي لا تنخفض فيها حجم الاستهلاك لديها وحدات إدارة مشروعات عاملة، ولذا تقع مسؤولية إدارة المشروعات </w:t>
      </w:r>
      <w:r w:rsidRPr="005963D3">
        <w:rPr>
          <w:rFonts w:hint="cs"/>
          <w:sz w:val="26"/>
          <w:szCs w:val="26"/>
          <w:rtl/>
          <w:lang w:val="en-CA"/>
        </w:rPr>
        <w:lastRenderedPageBreak/>
        <w:t>وتنفيذها ومتابعتها على عاتق وحدات الأوزون الوطنية (بمساعدة خبير استشاري في بعض الأحيان). واضطلعت وحدات إدارة المشروعات بدور حاسم في إنفاذ القواعد المتعلقة بالمواد المستنفدة للأوزون (مثل في كينيا).</w:t>
      </w:r>
      <w:r w:rsidRPr="005963D3">
        <w:rPr>
          <w:sz w:val="26"/>
          <w:szCs w:val="26"/>
          <w:vertAlign w:val="superscript"/>
          <w:lang w:val="en-CA"/>
        </w:rPr>
        <w:t xml:space="preserve"> </w:t>
      </w:r>
      <w:r w:rsidRPr="005963D3">
        <w:rPr>
          <w:sz w:val="26"/>
          <w:szCs w:val="26"/>
          <w:vertAlign w:val="superscript"/>
          <w:lang w:val="en-CA"/>
        </w:rPr>
        <w:footnoteReference w:id="29"/>
      </w:r>
    </w:p>
    <w:p w:rsidR="00267B4D" w:rsidRPr="005963D3" w:rsidRDefault="000924F9" w:rsidP="00631899">
      <w:pPr>
        <w:keepNext/>
        <w:keepLines/>
        <w:tabs>
          <w:tab w:val="left" w:pos="8280"/>
        </w:tabs>
        <w:bidi/>
        <w:spacing w:after="240"/>
        <w:rPr>
          <w:sz w:val="26"/>
          <w:szCs w:val="26"/>
          <w:u w:val="single"/>
        </w:rPr>
      </w:pPr>
      <w:r w:rsidRPr="005963D3">
        <w:rPr>
          <w:rFonts w:hint="cs"/>
          <w:sz w:val="26"/>
          <w:szCs w:val="26"/>
          <w:u w:val="single"/>
          <w:rtl/>
        </w:rPr>
        <w:t>الإنتاج والاستهلاك والمخزونات</w:t>
      </w:r>
    </w:p>
    <w:p w:rsidR="000924F9" w:rsidRPr="005963D3" w:rsidRDefault="000924F9"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 إعداد المشروعات في كثير من الأحيان المصدر الأول للمعلومات عن استهلاك المواد المستنفدة للأوزون حيث أنه يشمل عموما المسوحات ومجموعة واسعة من أصحاب المصلحة لتصنيف استخدام المواد المستنفدة للأوزون وتأثير إزالتها، ويشمل ذلك المستخدمين المباشرين والمستوردين والمنتجين وموردي الخدمات بحسب المادة المعنية من المواد المستنفدة للأوزون. وتحتفظ وحدات الأوزون الوطنية في الوقت الحاضر بقواعد بيانات عن منشئات التصنيع وخطوطه الممولة لتفكيكها إلاّ أنه يبدو أن الأمر</w:t>
      </w:r>
      <w:r w:rsidR="006C00CF" w:rsidRPr="005963D3">
        <w:rPr>
          <w:rFonts w:hint="cs"/>
          <w:sz w:val="26"/>
          <w:szCs w:val="26"/>
          <w:rtl/>
          <w:lang w:val="en-CA"/>
        </w:rPr>
        <w:t>لبي</w:t>
      </w:r>
      <w:r w:rsidRPr="005963D3">
        <w:rPr>
          <w:rFonts w:hint="cs"/>
          <w:sz w:val="26"/>
          <w:szCs w:val="26"/>
          <w:rtl/>
          <w:lang w:val="en-CA"/>
        </w:rPr>
        <w:t xml:space="preserve"> </w:t>
      </w:r>
      <w:r w:rsidR="006C00CF" w:rsidRPr="005963D3">
        <w:rPr>
          <w:rFonts w:hint="cs"/>
          <w:sz w:val="26"/>
          <w:szCs w:val="26"/>
          <w:rtl/>
          <w:lang w:val="en-CA"/>
        </w:rPr>
        <w:t>بالبسيط</w:t>
      </w:r>
      <w:r w:rsidRPr="005963D3">
        <w:rPr>
          <w:rFonts w:hint="cs"/>
          <w:sz w:val="26"/>
          <w:szCs w:val="26"/>
          <w:rtl/>
          <w:lang w:val="en-CA"/>
        </w:rPr>
        <w:t xml:space="preserve"> في متابعة المنشئات التي تستخدم البدائل المتفق عليها بمجرد الانتهاء من المشروع (على الرغم من أن المكسيك أبلغت عن استمرار الأنشطة في هذا المجال وخاصة بالاقتران مع إزالة الاستخدامات الخاضعة للرقابة لبروميد الميثيل). كما لم يتم الإبلاغ عن مرافق إنتاج المواد المستنفدة للأوزون التي كانت قد تفككت لضمان توقف الإنتاج بالفعل. ولم تبلغ وحدات الأوزون الوطنية التي أجابت على الاستبيان عن آليات المتابعة بالنسبة للخطوط ال</w:t>
      </w:r>
      <w:r w:rsidR="00C776C6" w:rsidRPr="005963D3">
        <w:rPr>
          <w:rFonts w:hint="cs"/>
          <w:sz w:val="26"/>
          <w:szCs w:val="26"/>
          <w:rtl/>
          <w:lang w:val="en-CA"/>
        </w:rPr>
        <w:t xml:space="preserve">ممولة لكي يتم إغلاقها، وبالنسبة لخطوط الإنتاج التي لم تغلق أو الواردات والصادرات التي مازال مسموح بها بالنظر الى أنها تتكون من مواد تستخدم في الاستخدامات المعفية (مثل استخدامات المختبرات والتحليل والمواد </w:t>
      </w:r>
      <w:r w:rsidR="006C00CF" w:rsidRPr="005963D3">
        <w:rPr>
          <w:rFonts w:hint="cs"/>
          <w:sz w:val="26"/>
          <w:szCs w:val="26"/>
          <w:rtl/>
          <w:lang w:val="en-CA"/>
        </w:rPr>
        <w:t>الوسيطة</w:t>
      </w:r>
      <w:r w:rsidR="00C776C6" w:rsidRPr="005963D3">
        <w:rPr>
          <w:rFonts w:hint="cs"/>
          <w:sz w:val="26"/>
          <w:szCs w:val="26"/>
          <w:rtl/>
          <w:lang w:val="en-CA"/>
        </w:rPr>
        <w:t>)، والواردات أو الإنتاج على النحو الذي تم رصده من خلال التراخيص الممنوحة لاستخدامات معينة وتقارير الإنتاج والاستيراد، ومختلف السلطات التي قد يتم إشراكها. مثل التجارة والجمارك والصحة النباتية والزراعة وقد أبلغ عن نظم التراخيص هذه مثل بواسطة شيلي وإكوادور وغواتيمالا والمكسيك وتايلند. ومازال ضمان عدم وجود تحويل من الاستخدامات المعفاة الى تلك الخاضعة للرقابة يمثل تحديا بالنظر الى أن نظم التتبع التي تقطع كامل الطريق من الاستيراد الى الاستخدامات النهائية ينطوي على صعوبة في التنفيذ والإنفاذ. ومن غير الواضح تحديد المواد المستنفدة للأوزون النوعية وفي بعض الأحيان الفرق بين الاستخدامات المعفاة وتلك الخاضعة للرقابة، ومازالت تمثل أسبابا للخلط (مثل تظل الشكوك فيما إذا كان استخدام معين من مادة معفى ومسموح به و/أو إذا كان الاستخدام المقصود أو الفعلي خاضع للرقابة ومن ثم يصبح غير قانوني).</w:t>
      </w:r>
      <w:r w:rsidR="00C776C6" w:rsidRPr="005963D3">
        <w:rPr>
          <w:rStyle w:val="FootnoteReference"/>
          <w:sz w:val="26"/>
          <w:szCs w:val="26"/>
          <w:lang w:val="en-CA"/>
        </w:rPr>
        <w:t xml:space="preserve"> </w:t>
      </w:r>
      <w:r w:rsidR="00C776C6" w:rsidRPr="005963D3">
        <w:rPr>
          <w:rStyle w:val="FootnoteReference"/>
          <w:sz w:val="26"/>
          <w:szCs w:val="26"/>
          <w:lang w:val="en-CA"/>
        </w:rPr>
        <w:footnoteReference w:id="30"/>
      </w:r>
    </w:p>
    <w:p w:rsidR="00C776C6" w:rsidRPr="005963D3" w:rsidRDefault="00C776C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وفي ب</w:t>
      </w:r>
      <w:r w:rsidR="004853A6" w:rsidRPr="005963D3">
        <w:rPr>
          <w:rFonts w:hint="cs"/>
          <w:sz w:val="26"/>
          <w:szCs w:val="26"/>
          <w:rtl/>
          <w:lang w:val="en-CA"/>
        </w:rPr>
        <w:t xml:space="preserve">عض الأعداد المحدودة من المشروعات الرائدة التي تمول حاليا من الصندوق المتعدد الأطراف حيث اتفق على خطة التدمير (مثل احتفاظ كوستاريكا حاليا باتفاق </w:t>
      </w:r>
      <w:r w:rsidR="008E7309" w:rsidRPr="005963D3">
        <w:rPr>
          <w:rFonts w:hint="cs"/>
          <w:sz w:val="26"/>
          <w:szCs w:val="26"/>
          <w:rtl/>
          <w:lang w:val="en-CA"/>
        </w:rPr>
        <w:t xml:space="preserve">تدمير مؤقت مع مصنع أسمنت لتدمير المواد المستنفدة للأوزون دون مقابل)، ثمة شواغل فيما يتعلق باستمرارية الخطة بمجرد توقف التمويل ويتعين على المنشأة أن تغطي التكاليف بصورة مباشرة. واسترجعت إكوادور المواد المستنفدة للأوزون ولديها خطة تدمير ووفق عليها في 2017 دون مشاركة مباشرة من وحدة الأوزون الوطنية  قد دمر البلد حتى الآن </w:t>
      </w:r>
      <w:r w:rsidR="008E7309" w:rsidRPr="005963D3">
        <w:rPr>
          <w:sz w:val="26"/>
          <w:szCs w:val="26"/>
          <w:lang w:val="en-CA"/>
        </w:rPr>
        <w:t>2.7</w:t>
      </w:r>
      <w:r w:rsidR="008E7309" w:rsidRPr="005963D3">
        <w:rPr>
          <w:rFonts w:hint="cs"/>
          <w:sz w:val="26"/>
          <w:szCs w:val="26"/>
          <w:rtl/>
          <w:lang w:val="en-CA"/>
        </w:rPr>
        <w:t xml:space="preserve"> طن متري من المواد المستنفدة للأوزون.</w:t>
      </w:r>
    </w:p>
    <w:p w:rsidR="008E7309" w:rsidRPr="005963D3" w:rsidRDefault="008E7309" w:rsidP="000B306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وأبلغت بعض وحدات الأوزون الوطنية (مثل إكوادور ومصر ونيجيريا و</w:t>
      </w:r>
      <w:r w:rsidRPr="005963D3">
        <w:rPr>
          <w:sz w:val="26"/>
          <w:szCs w:val="26"/>
          <w:rtl/>
          <w:lang w:val="en-CA"/>
        </w:rPr>
        <w:t>فانواتو</w:t>
      </w:r>
      <w:r w:rsidRPr="005963D3">
        <w:rPr>
          <w:rFonts w:hint="cs"/>
          <w:sz w:val="26"/>
          <w:szCs w:val="26"/>
          <w:rtl/>
          <w:lang w:val="en-CA"/>
        </w:rPr>
        <w:t>)</w:t>
      </w:r>
      <w:r w:rsidR="000B3064" w:rsidRPr="005963D3">
        <w:rPr>
          <w:rFonts w:hint="cs"/>
          <w:sz w:val="26"/>
          <w:szCs w:val="26"/>
          <w:rtl/>
          <w:lang w:val="en-CA"/>
        </w:rPr>
        <w:t xml:space="preserve"> عن جمع أو استرجاع مخزونات من المواد المستنفدة للأوزون التي لم يعد يمكن استخدامها. ويتمثل الإجراء الأول (والوحيد في كثير من الأحيان) في تخزين هذه المواد في موقع تحدده السلطات. ولم يتحقق التدمير إلاّ بعض الحالات (مثل البرازيل وكولومبيا والمكسيك)، وثمة شواغل عامة إزاء هذه المسألة بالنظر الى أن تكنولوجيا التدمير الملائمة لا تتوافر في كثير من الأحيان أو أنه لا يمكن من الناحية الاقتصادية تدمير كميات صغيرة من المواد المستنفدة للأوزون. وقد لايمكن نتيجة للقيود المفروضة عبر الحدود شحن هذه المواد الى الخارج. وجرى استعراض مشروعات التخلص من المواد المستنفدة للأوزون بواسطة الصندوق المتعدد الأطراف بما في ذلك الاسترجاع والجمع والنقل والتخزين فضلا عن خيارات التدمير.</w:t>
      </w:r>
      <w:r w:rsidR="000B3064" w:rsidRPr="005963D3">
        <w:rPr>
          <w:rStyle w:val="FootnoteReference"/>
          <w:sz w:val="26"/>
          <w:szCs w:val="26"/>
          <w:lang w:val="en-CA"/>
        </w:rPr>
        <w:t xml:space="preserve"> </w:t>
      </w:r>
      <w:r w:rsidR="000B3064" w:rsidRPr="005963D3">
        <w:rPr>
          <w:rStyle w:val="FootnoteReference"/>
          <w:sz w:val="26"/>
          <w:szCs w:val="26"/>
          <w:lang w:val="en-CA"/>
        </w:rPr>
        <w:footnoteReference w:id="31"/>
      </w:r>
      <w:r w:rsidR="000B3064" w:rsidRPr="005963D3">
        <w:rPr>
          <w:rFonts w:hint="cs"/>
          <w:sz w:val="26"/>
          <w:szCs w:val="26"/>
          <w:rtl/>
          <w:lang w:val="en-CA"/>
        </w:rPr>
        <w:t xml:space="preserve"> وجرى تقييم تدابير دعم مشروعات التخلص من المواد المستنفدة للأوزون فضلا عن التحديات النوعية والإجراءات المقترحة، وأبلغ عن رصد الاتجار غير القانوني في المواد المستنفدة للأوزون أو </w:t>
      </w:r>
      <w:r w:rsidR="000B3064" w:rsidRPr="005963D3">
        <w:rPr>
          <w:rFonts w:hint="cs"/>
          <w:sz w:val="26"/>
          <w:szCs w:val="26"/>
          <w:rtl/>
          <w:lang w:val="en-CA"/>
        </w:rPr>
        <w:lastRenderedPageBreak/>
        <w:t>مصادرة المواد التي تتم عن طريق الاتجار غير القانوني. وقد تنتهي هذه المواد، في عدد متزايد من الحالات.</w:t>
      </w:r>
      <w:r w:rsidR="000B3064" w:rsidRPr="005963D3">
        <w:rPr>
          <w:rStyle w:val="FootnoteReference"/>
          <w:sz w:val="26"/>
          <w:szCs w:val="26"/>
          <w:lang w:val="en-CA"/>
        </w:rPr>
        <w:t xml:space="preserve"> </w:t>
      </w:r>
      <w:r w:rsidR="000B3064" w:rsidRPr="005963D3">
        <w:rPr>
          <w:rStyle w:val="FootnoteReference"/>
          <w:sz w:val="26"/>
          <w:szCs w:val="26"/>
          <w:lang w:val="en-CA"/>
        </w:rPr>
        <w:footnoteReference w:id="32"/>
      </w:r>
      <w:r w:rsidR="000B3064" w:rsidRPr="005963D3">
        <w:rPr>
          <w:rFonts w:hint="cs"/>
          <w:sz w:val="26"/>
          <w:szCs w:val="26"/>
          <w:rtl/>
          <w:lang w:val="en-CA"/>
        </w:rPr>
        <w:t xml:space="preserve"> في المخازن أو تدميرها في بعض الحالات. وأيدت بعض بلدان المادة 5 شواغل بشأن مناولة هذه المواد وخاصة عندما لا تتوافر آليات التدمير أو لا يمكن تمويلها. وهذه مسألة تتطلب المزيد من الاهتمام حيث قد تصبح هذه الكميات كبيرة ويصعب تخزينها أو المواد التي لا تجد طريق العودة الى الأسواق.</w:t>
      </w:r>
    </w:p>
    <w:p w:rsidR="00267B4D" w:rsidRPr="005963D3" w:rsidRDefault="000B3064" w:rsidP="00631899">
      <w:pPr>
        <w:keepNext/>
        <w:keepLines/>
        <w:tabs>
          <w:tab w:val="left" w:pos="8280"/>
        </w:tabs>
        <w:bidi/>
        <w:spacing w:after="240"/>
        <w:rPr>
          <w:sz w:val="26"/>
          <w:szCs w:val="26"/>
          <w:u w:val="single"/>
        </w:rPr>
      </w:pPr>
      <w:r w:rsidRPr="005963D3">
        <w:rPr>
          <w:rFonts w:hint="cs"/>
          <w:sz w:val="26"/>
          <w:szCs w:val="26"/>
          <w:u w:val="single"/>
          <w:rtl/>
        </w:rPr>
        <w:t>أصحاب المصلحة</w:t>
      </w:r>
    </w:p>
    <w:p w:rsidR="000B3064" w:rsidRPr="005963D3" w:rsidRDefault="000B3064"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جرى تحديد المشاركة الكاملة لأصحاب المصلحة الرئيسيين بصورة منتظمة على أنها تشكل عاملا حاسما يؤثر في نجاح إزالة المواد المستنفدة للأوزون.</w:t>
      </w:r>
      <w:r w:rsidRPr="005963D3">
        <w:rPr>
          <w:sz w:val="26"/>
          <w:szCs w:val="26"/>
          <w:vertAlign w:val="superscript"/>
          <w:lang w:val="en-CA"/>
        </w:rPr>
        <w:t xml:space="preserve"> </w:t>
      </w:r>
      <w:r w:rsidRPr="005963D3">
        <w:rPr>
          <w:sz w:val="26"/>
          <w:szCs w:val="26"/>
          <w:vertAlign w:val="superscript"/>
          <w:lang w:val="en-CA"/>
        </w:rPr>
        <w:footnoteReference w:id="33"/>
      </w:r>
      <w:r w:rsidRPr="005963D3">
        <w:rPr>
          <w:rFonts w:hint="cs"/>
          <w:sz w:val="26"/>
          <w:szCs w:val="26"/>
          <w:rtl/>
          <w:lang w:val="en-CA"/>
        </w:rPr>
        <w:t xml:space="preserve"> ويشمل هؤلاء المؤسسات الحكومية، وقطاع الصناعة </w:t>
      </w:r>
      <w:r w:rsidR="000737F1" w:rsidRPr="005963D3">
        <w:rPr>
          <w:rFonts w:hint="cs"/>
          <w:sz w:val="26"/>
          <w:szCs w:val="26"/>
          <w:rtl/>
          <w:lang w:val="en-CA"/>
        </w:rPr>
        <w:t>ووكالات الخدمة/ والصيانة، والموردين والمؤسسات التقنية والخاصة بالتدريب المهني ومراكز البحوث، والمنظمين المرتبطين بهيئات وضع المعايير وإصدار شهادات الاعتماد وغيرهم بحسب المواد المستنفدة للأوزون المعنية.</w:t>
      </w:r>
    </w:p>
    <w:p w:rsidR="000737F1" w:rsidRPr="005963D3" w:rsidRDefault="000737F1"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وتتفاوت آليات التنسيق فيما بين أصحاب المصلحة إلاّ أنها تشمل في كثير من الأحيان إنشاء لجنة توجيهية أو فريق استشاري يجمع معا أصحاب المصلحة الرئيسيين بما في ذلك القطاع الخاص، ووحدة الأوزون الوطنية ووحدة إدارة المشروعات حسب مقتضى الحال. وتتولى وحدة الأوزون الوطنية عادة تنسيق هذه اللجنة وتجتمع بانتظام عموما لإجراء المناقشات والبت في القضايا ذات الصلة. وفي بعض الحالات، لاتوجد لجنة توجيهية رسمية إلاّ أنه يجري بنشاط تشجيع التعاون الوثيق فيما بين أصحاب المصلحة مثل في الأرجنتين من خلال المناسبات السنوية للتشاور مع أصحاب المصلحة التي تشمل ممثلي الصناعة والسلطات الحكومية وهيئات وضع المعايير والمنشئات وغيرهم. وأبلغت المكسيك عن التنسيق المستمر والمتطور مع روابط الصناعة لمعالجة مختلف القضايا مثل تعديل الحصص أو استعراض معايير الطاقة.</w:t>
      </w:r>
    </w:p>
    <w:p w:rsidR="000737F1" w:rsidRPr="005963D3" w:rsidRDefault="000737F1"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على الرغم من التدابير التي نفذت في بعض البلدان لخفض تنقلات الموظفين في وحدات الأوزون الوطنية، وظل الكثير من هذه الوحدات في ذلك الموقع لعدة سنوات أو أجرت تحويلات سلسة عند حدوث </w:t>
      </w:r>
      <w:r w:rsidR="00DA5FEC" w:rsidRPr="005963D3">
        <w:rPr>
          <w:rFonts w:hint="cs"/>
          <w:sz w:val="26"/>
          <w:szCs w:val="26"/>
          <w:rtl/>
          <w:lang w:val="en-CA"/>
        </w:rPr>
        <w:t>التنقلات</w:t>
      </w:r>
      <w:r w:rsidRPr="005963D3">
        <w:rPr>
          <w:rFonts w:hint="cs"/>
          <w:sz w:val="26"/>
          <w:szCs w:val="26"/>
          <w:rtl/>
          <w:lang w:val="en-CA"/>
        </w:rPr>
        <w:t>، مازال يشار الى التغييرات المتكررة في الموظفين على أنه يشكل معوقا أمام ضمان الذاكرة المؤسسية واستمرارية البرامج. وفي كثير من الحالات، يجري تحقيق الاستدامة للتدريب في قطاع الخدمة بفضل إدراج المعلومات التقنية ذات الصلة في المناهج الدراسية للمعاهد التقنية. وعلاوة على ذلك، تدمج المناهج الدراسية في حالة الجمارك في التدريب في أكاديمية الجمارك الوطنية وينبغي تحديثها بصورة منتظمة. ويمثل ذلك نقطة مهمة للاستدامة.</w:t>
      </w:r>
    </w:p>
    <w:p w:rsidR="000737F1" w:rsidRPr="005963D3" w:rsidRDefault="000737F1"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يبلغ عن أن العضوية في اللجان التوجيهية والتنسيق والمسؤوليات تتطور بمرور الوقت من خلال إشراك قطاعات جديدة و/أو أصحاب مصلحة جدد حسب مقتضى الحال إلاّ أن هذه القطاعات </w:t>
      </w:r>
      <w:r w:rsidR="00DA5FEC" w:rsidRPr="005963D3">
        <w:rPr>
          <w:rFonts w:hint="cs"/>
          <w:sz w:val="26"/>
          <w:szCs w:val="26"/>
          <w:rtl/>
          <w:lang w:val="en-CA"/>
        </w:rPr>
        <w:t xml:space="preserve"> التى أزالت</w:t>
      </w:r>
      <w:r w:rsidRPr="005963D3">
        <w:rPr>
          <w:rFonts w:hint="cs"/>
          <w:sz w:val="26"/>
          <w:szCs w:val="26"/>
          <w:rtl/>
          <w:lang w:val="en-CA"/>
        </w:rPr>
        <w:t xml:space="preserve"> المواد المستنفدة للأوزون قد تصبح معطلة </w:t>
      </w:r>
      <w:r w:rsidR="00DA5FEC" w:rsidRPr="005963D3">
        <w:rPr>
          <w:rFonts w:hint="cs"/>
          <w:sz w:val="26"/>
          <w:szCs w:val="26"/>
          <w:rtl/>
          <w:lang w:val="en-CA"/>
        </w:rPr>
        <w:t xml:space="preserve">ومن ثم </w:t>
      </w:r>
      <w:r w:rsidRPr="005963D3">
        <w:rPr>
          <w:rFonts w:hint="cs"/>
          <w:sz w:val="26"/>
          <w:szCs w:val="26"/>
          <w:rtl/>
          <w:lang w:val="en-CA"/>
        </w:rPr>
        <w:t xml:space="preserve"> فقد أو نسيان المعلومات المتعلقة بالأنشطة التي تجري لاستبدالها. وقد يؤثر ذلك على استدامة الإزالة مثل عندما تنشأ حالات محتملة أو حقيقية للاتجار </w:t>
      </w:r>
      <w:r w:rsidR="00EF123C" w:rsidRPr="005963D3">
        <w:rPr>
          <w:rFonts w:hint="cs"/>
          <w:sz w:val="26"/>
          <w:szCs w:val="26"/>
          <w:rtl/>
          <w:lang w:val="en-CA"/>
        </w:rPr>
        <w:t>غير القانوني أو لتلك المواد التي يوجد لها استخدامات معفاة وخاضعة للرقابة (مثل استخدامات ما قبل الشحن والمختبرات أو التحليلية).</w:t>
      </w:r>
    </w:p>
    <w:p w:rsidR="00267B4D" w:rsidRPr="005963D3" w:rsidRDefault="00EF123C" w:rsidP="00631899">
      <w:pPr>
        <w:tabs>
          <w:tab w:val="left" w:pos="8280"/>
        </w:tabs>
        <w:bidi/>
        <w:spacing w:after="240"/>
        <w:rPr>
          <w:sz w:val="26"/>
          <w:szCs w:val="26"/>
          <w:u w:val="single"/>
        </w:rPr>
      </w:pPr>
      <w:r w:rsidRPr="005963D3">
        <w:rPr>
          <w:rFonts w:hint="cs"/>
          <w:sz w:val="26"/>
          <w:szCs w:val="26"/>
          <w:u w:val="single"/>
          <w:rtl/>
        </w:rPr>
        <w:t>التدريب</w:t>
      </w:r>
    </w:p>
    <w:p w:rsidR="00EF123C" w:rsidRPr="005963D3" w:rsidRDefault="00EF123C" w:rsidP="00EF123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يظل التدريب عاملا حاسما في تحقيق الاستدامة لإزالة المواد المستنفدة للأوزون التي تحققت. وفي العديد من الحالات، تستطيع وحدات إدارة المشروعات جلب الخبرات الملائمة لقطاع معين. وذلك في كثير من الأحيان بمساعدة خبراء استشاريين خارجيين.و علاوة على ذلك، تسعى وحدات الأوزون الوطنية بالاقتران مع الوكالات الثنائية والمنفذة ووحدات إدارة المشروعات الى تكوين مجموعة من المدربين يمكن أن تعمل، مثلا، مع فنيي الخدمة في قطاع التدريب وتكييف الهواء. ويجري عادة وضع أنشطة أدلة التدريب وتدريب المدربين، وطرائق التدريب </w:t>
      </w:r>
      <w:r w:rsidRPr="005963D3">
        <w:rPr>
          <w:rFonts w:hint="cs"/>
          <w:sz w:val="26"/>
          <w:szCs w:val="26"/>
          <w:rtl/>
          <w:lang w:val="en-CA"/>
        </w:rPr>
        <w:lastRenderedPageBreak/>
        <w:t>للاستخدام في المعاهد والجامعات وغيرها وذلك عادة في شكل جهود مشتركة بين موظفي الأوزون الوطنيين والمؤسسات المحلية والوكالات الثنائية والمنفذة.</w:t>
      </w:r>
    </w:p>
    <w:p w:rsidR="00EF123C" w:rsidRPr="005963D3" w:rsidRDefault="00EF123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وقد اقترحت مخططات اعتماد شهادات الفنيين المدربين باعتبار ذلك وسيلة جيدة لضمان استمرارية توافر المدربين الجيدين بمجرد انتهاء المشروعات، ونفذت بنجاح كبير في بعض البلدان. لدى دمجها مع المبادئ التوجيهية للمناولة الآمنة لغازات التبريد تيسير الاستخدام المستدام للبدائل. غير أنه لم يمكن ضمان استمرارية هذه البرامج، ومتابعة التعليم والتدريب بالاعتماد على التطورات الجديدة أو العاملين الجدد بمجرد استكمال المشروعات، وكثيرا ما يشار إليها على أنها سبب لإثارة الشواغل.</w:t>
      </w:r>
    </w:p>
    <w:p w:rsidR="00EF123C" w:rsidRPr="005963D3" w:rsidRDefault="00DA5FEC"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ويرى أن</w:t>
      </w:r>
      <w:r w:rsidR="00EF123C" w:rsidRPr="005963D3">
        <w:rPr>
          <w:rFonts w:hint="cs"/>
          <w:sz w:val="26"/>
          <w:szCs w:val="26"/>
          <w:rtl/>
          <w:lang w:val="en-CA"/>
        </w:rPr>
        <w:t xml:space="preserve"> إنشاء مجموعة من المدربين يمكن أن </w:t>
      </w:r>
      <w:r w:rsidRPr="005963D3">
        <w:rPr>
          <w:rFonts w:hint="cs"/>
          <w:sz w:val="26"/>
          <w:szCs w:val="26"/>
          <w:rtl/>
          <w:lang w:val="en-CA"/>
        </w:rPr>
        <w:t>ي</w:t>
      </w:r>
      <w:r w:rsidR="00EF123C" w:rsidRPr="005963D3">
        <w:rPr>
          <w:rFonts w:hint="cs"/>
          <w:sz w:val="26"/>
          <w:szCs w:val="26"/>
          <w:rtl/>
          <w:lang w:val="en-CA"/>
        </w:rPr>
        <w:t>ضمن استمرارية الخبرات والتجارب التي تحققت من خلال المشروعات وجهود اعتماد البدائل خطوة هامة نحو استدامة الإزالة. وأشارت تقارير المشروعات الى وضع برامج تدريب متينة ودقيقة وتدعيم مجموعات التدريب (مثل الخطة القطاعية لإزالة إنتاج الكلوروفلوروكربون-11 والكلوروفلوروكربون-12 في المكسيك</w:t>
      </w:r>
      <w:r w:rsidR="00EF123C" w:rsidRPr="005963D3">
        <w:rPr>
          <w:sz w:val="26"/>
          <w:szCs w:val="26"/>
          <w:vertAlign w:val="superscript"/>
          <w:lang w:val="en-CA"/>
        </w:rPr>
        <w:footnoteReference w:id="34"/>
      </w:r>
      <w:r w:rsidR="00EF123C" w:rsidRPr="005963D3">
        <w:rPr>
          <w:rFonts w:hint="cs"/>
          <w:sz w:val="26"/>
          <w:szCs w:val="26"/>
          <w:rtl/>
          <w:lang w:val="en-CA"/>
        </w:rPr>
        <w:t>)، والبرامج القائمة مع الروابط أو المنظمات التي تجمعها معا. وقدمت وحدات الأوزون التي أجابت على الاستبيان ردودا متباينة في هذا المجال: أشارت نيجيريا وفانواتو الى عدم وجود مجموعات من المدربين متوافرة لديها في حين تعمل كوستاريكا وإكوادور والمكسيك بنشاط على هذا الأمر.</w:t>
      </w:r>
    </w:p>
    <w:p w:rsidR="00EF123C" w:rsidRPr="005963D3" w:rsidRDefault="00EF123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من الواضح عدم توافر البيانات المصنفة بحسب الجنس للمتدربين والمدربين، وإصدار برنامج المساعدة على الامتثال في اليونيب مؤخرا كتيب بعنوان "النساء في صناعة التبريد وتكييف الهواء</w:t>
      </w:r>
      <w:r w:rsidR="00601016" w:rsidRPr="005963D3">
        <w:rPr>
          <w:rFonts w:hint="cs"/>
          <w:sz w:val="26"/>
          <w:szCs w:val="26"/>
          <w:rtl/>
          <w:lang w:val="en-CA"/>
        </w:rPr>
        <w:t>: الإنجازات الشخصية والخبرات"</w:t>
      </w:r>
      <w:r w:rsidR="00601016" w:rsidRPr="005963D3">
        <w:rPr>
          <w:sz w:val="26"/>
          <w:szCs w:val="26"/>
          <w:vertAlign w:val="superscript"/>
          <w:lang w:val="en-CA"/>
        </w:rPr>
        <w:footnoteReference w:id="35"/>
      </w:r>
      <w:r w:rsidR="00601016" w:rsidRPr="005963D3">
        <w:rPr>
          <w:rFonts w:hint="cs"/>
          <w:sz w:val="26"/>
          <w:szCs w:val="26"/>
          <w:rtl/>
          <w:lang w:val="en-CA"/>
        </w:rPr>
        <w:t xml:space="preserve"> يهدف زيادة ظهور النساء في قطاعي التبريد وتكييف الهواء.</w:t>
      </w:r>
    </w:p>
    <w:p w:rsidR="00267B4D" w:rsidRPr="005963D3" w:rsidRDefault="00601016" w:rsidP="00631899">
      <w:pPr>
        <w:tabs>
          <w:tab w:val="left" w:pos="8280"/>
        </w:tabs>
        <w:bidi/>
        <w:spacing w:after="240"/>
        <w:rPr>
          <w:sz w:val="26"/>
          <w:szCs w:val="26"/>
          <w:u w:val="single"/>
        </w:rPr>
      </w:pPr>
      <w:r w:rsidRPr="005963D3">
        <w:rPr>
          <w:rFonts w:hint="cs"/>
          <w:sz w:val="26"/>
          <w:szCs w:val="26"/>
          <w:u w:val="single"/>
          <w:rtl/>
        </w:rPr>
        <w:t>أنشطة استثارة الوعي</w:t>
      </w:r>
    </w:p>
    <w:p w:rsidR="00601016" w:rsidRPr="005963D3" w:rsidRDefault="0060101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كانت أنشطة استثارة الوعي ببروتوكول مونتريال الموجهة الى واضعي القرارات وأصحاب المصلحة والجمهور العام في قلب المشروع وأنشطة وبرامج وحدة الأوزون الوطنية. ويشارك الكثير من وحدات الأوزون الوطنية بنشاط في إعداد هذه الحملات، وفي كثير من الأحيان بالاقتران مع الوكالات الثنائية والمنفذة وفي بعض الأحيان بدعم من الحكومات، ومنحت الصلة بين الأوزون والمناخ المقدمة من تعديل كيجالي دفعة جديدة لهذه الحملات.</w:t>
      </w:r>
    </w:p>
    <w:p w:rsidR="00601016" w:rsidRPr="005963D3" w:rsidRDefault="0060101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ويتزايد استخدام الحملات التي تقودها وحدات الأوزون الوطنية والحكومات (بمشاركة الوكالات الثنائية والمنفذة في كثير من الأحيان) السوشيال ميديا وقنوات الاتصال الافتراضية بما في ذلك مواقع الويب (بالاقتران دائما مع أنشطة أخرى تحصل على دعم من وزارة البيئة) والأجهزة وغيرها بنجاح كبير. غير أن وحدات الأوزون الوطنية أبلغت بأن المواد المطبوعة مازالت مفيدة وفي احتياج شديد. وضعت مواد خدمة تبادل المعلومات بواسطة وحدات الأوزون الوطنية باعتبارها بالغة الفائدة والفعالية لدعم هذه الجهود.</w:t>
      </w:r>
      <w:r w:rsidRPr="005963D3">
        <w:rPr>
          <w:sz w:val="26"/>
          <w:szCs w:val="26"/>
          <w:vertAlign w:val="superscript"/>
          <w:lang w:val="en-CA"/>
        </w:rPr>
        <w:t xml:space="preserve"> </w:t>
      </w:r>
      <w:r w:rsidRPr="005963D3">
        <w:rPr>
          <w:sz w:val="26"/>
          <w:szCs w:val="26"/>
          <w:vertAlign w:val="superscript"/>
          <w:lang w:val="en-CA"/>
        </w:rPr>
        <w:footnoteReference w:id="36"/>
      </w:r>
      <w:r w:rsidRPr="005963D3">
        <w:rPr>
          <w:rFonts w:hint="cs"/>
          <w:sz w:val="26"/>
          <w:szCs w:val="26"/>
          <w:rtl/>
          <w:lang w:val="en-CA"/>
        </w:rPr>
        <w:t xml:space="preserve"> وتعمل بعض وحدات الأوزون الوطنية بنشاط كبير. وثمة مثالان نوعيان هما:</w:t>
      </w:r>
    </w:p>
    <w:p w:rsidR="00601016" w:rsidRPr="005963D3" w:rsidRDefault="00601016" w:rsidP="00631899">
      <w:pPr>
        <w:numPr>
          <w:ilvl w:val="0"/>
          <w:numId w:val="20"/>
        </w:numPr>
        <w:tabs>
          <w:tab w:val="left" w:pos="8280"/>
        </w:tabs>
        <w:bidi/>
        <w:spacing w:after="240"/>
        <w:ind w:left="1418" w:hanging="709"/>
        <w:rPr>
          <w:sz w:val="26"/>
          <w:szCs w:val="26"/>
        </w:rPr>
      </w:pPr>
      <w:r w:rsidRPr="005963D3">
        <w:rPr>
          <w:rFonts w:hint="cs"/>
          <w:sz w:val="26"/>
          <w:szCs w:val="26"/>
          <w:rtl/>
        </w:rPr>
        <w:t>نظمت وحدة الأوزون الوطنية في أرمينيا أنشطة واسعة النطاق تتضمن مختلف الفئات العمرية والمجموعات الاجتماعية أو الطلبة (ماقبل المدرسة وفي عمر المدرسة والتعليم العالي) وصانعي السياسات من مختلف الهيئات الحكومية والروابط المعنية والصحفيين والفنانين (للترويج لحماية طبقة الأوزون من خلال فنونهم) والأحداث الرياضية والمنظمين (المارثونات) ومحطات الإذاعة والبرامج التليفزيونية؛</w:t>
      </w:r>
    </w:p>
    <w:p w:rsidR="00601016" w:rsidRPr="005963D3" w:rsidRDefault="00601016" w:rsidP="00631899">
      <w:pPr>
        <w:numPr>
          <w:ilvl w:val="0"/>
          <w:numId w:val="20"/>
        </w:numPr>
        <w:tabs>
          <w:tab w:val="left" w:pos="8280"/>
        </w:tabs>
        <w:bidi/>
        <w:spacing w:after="240"/>
        <w:ind w:left="1418" w:hanging="709"/>
        <w:rPr>
          <w:sz w:val="26"/>
          <w:szCs w:val="26"/>
        </w:rPr>
      </w:pPr>
      <w:r w:rsidRPr="005963D3">
        <w:rPr>
          <w:rFonts w:hint="cs"/>
          <w:sz w:val="26"/>
          <w:szCs w:val="26"/>
          <w:rtl/>
        </w:rPr>
        <w:lastRenderedPageBreak/>
        <w:t>وضعت المكسيك العديد من المواد وزعت من خلال الصفحة الرسمية لوزارات البيئة وبمساعدة أيضا من الروابط التجارية وعلى السوشيال ميديا</w:t>
      </w:r>
      <w:r w:rsidR="00024693" w:rsidRPr="005963D3">
        <w:rPr>
          <w:rFonts w:hint="cs"/>
          <w:sz w:val="26"/>
          <w:szCs w:val="26"/>
          <w:rtl/>
        </w:rPr>
        <w:t xml:space="preserve"> وكانت آخر إصدارتها شريط كرتون يقدم شخصية جديدة هي "كيجاليتو".</w:t>
      </w:r>
    </w:p>
    <w:p w:rsidR="00024693" w:rsidRPr="005963D3" w:rsidRDefault="00024693"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أبلغ عموما عن الاعتبارات الجنسانية "</w:t>
      </w:r>
      <w:r w:rsidR="00DA5FEC" w:rsidRPr="005963D3">
        <w:rPr>
          <w:rFonts w:hint="cs"/>
          <w:sz w:val="26"/>
          <w:szCs w:val="26"/>
          <w:rtl/>
          <w:lang w:val="en-CA"/>
        </w:rPr>
        <w:t>إلى</w:t>
      </w:r>
      <w:r w:rsidRPr="005963D3">
        <w:rPr>
          <w:rFonts w:hint="cs"/>
          <w:sz w:val="26"/>
          <w:szCs w:val="26"/>
          <w:rtl/>
          <w:lang w:val="en-CA"/>
        </w:rPr>
        <w:t xml:space="preserve"> أقصى حد ممكن". ويقع ذلك بوضوح في مجال سوف يجتذب المزيد من الاهتمام في المستقبل وشرعت الأوزون في إجراء مناقشات عن هذا الموضوع من خلال مطبوع صدر مؤخرا بعنوان "الجنسانية في المعاهدات الخاصة بالأوزون".</w:t>
      </w:r>
      <w:r w:rsidRPr="005963D3">
        <w:rPr>
          <w:sz w:val="26"/>
          <w:szCs w:val="26"/>
          <w:vertAlign w:val="superscript"/>
          <w:lang w:val="en-CA"/>
        </w:rPr>
        <w:footnoteReference w:id="37"/>
      </w:r>
    </w:p>
    <w:p w:rsidR="00024693" w:rsidRPr="005963D3" w:rsidRDefault="00024693"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وكان برنامج العمل من أجل طبقة الأوزون في اليونيب وخدمة تبادل المعلومات لدية وسيلة في تحقيق أنشطة استثارة الوعي، واستشهدت بهم عظم وحدات الأوزون الوطنية المجيبة على الاستبيان باعتباره يوفر الدعم الأساسي ولاسيما من خلال توفير تبادل المعلومات وفرص الإرشاد على المستوى الإقليمي.</w:t>
      </w:r>
    </w:p>
    <w:p w:rsidR="00F33FA5" w:rsidRPr="005963D3" w:rsidRDefault="00024693" w:rsidP="00631899">
      <w:pPr>
        <w:tabs>
          <w:tab w:val="left" w:pos="8280"/>
        </w:tabs>
        <w:bidi/>
        <w:spacing w:after="240"/>
        <w:rPr>
          <w:sz w:val="26"/>
          <w:szCs w:val="26"/>
          <w:u w:val="single"/>
        </w:rPr>
      </w:pPr>
      <w:r w:rsidRPr="005963D3">
        <w:rPr>
          <w:rFonts w:hint="cs"/>
          <w:sz w:val="26"/>
          <w:szCs w:val="26"/>
          <w:u w:val="single"/>
          <w:rtl/>
        </w:rPr>
        <w:t>المزيد من التحليل للتحديات التي حددت</w:t>
      </w:r>
    </w:p>
    <w:p w:rsidR="00024693" w:rsidRPr="005963D3" w:rsidRDefault="003B69B1"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bidi="ar-EG"/>
        </w:rPr>
        <w:t>يمكن القول بصفة عامة أن الجهود التي بذلت لضمان استدامة إزالة المواد المستنفدة للأوزون التي تحققت فعالة وبعيدة المدى. فقد أختيرت بدائل مختلف المواد المستنفدة للأوزون التي أزيلت من خلال بروتوكول مونتريال بعناية من جانب البلدان بمساعدات من الوكالات الثنائية والمنفذة،وجرى تقييم جدواها التقنية والاقتصادية وقد حظى استخدامها واعتمادها بدعم من وحدات إدارة المشروعات وخبراء خارجيين عندما كان الأمر يتطلب ذلك. وشاركت وحدات الأوزون الوطنية بنشاط في وضع وإنفاذ نظم التراخيص والحصص ومتابعة صدور وإنفاذ الوسائل التي سوف تدعم وتحافظ على الإزالة التي تحققت. وأسهم العمل مع الوكالات الحكومية في استدامة الإزالة بفضل التصديق على البروتوكول وتعديلاته، وإصدار الأطر القانونية اللازمة وتيسير استمرارية موظفي الأوزون في وظائفهم وغير ذلك.</w:t>
      </w:r>
    </w:p>
    <w:p w:rsidR="003B69B1" w:rsidRPr="005963D3" w:rsidRDefault="003B69B1"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غير أن وضع وتعزيز آليات لضمان أن تحقق الإزالة التي </w:t>
      </w:r>
      <w:r w:rsidR="00DA5FEC" w:rsidRPr="005963D3">
        <w:rPr>
          <w:rFonts w:hint="cs"/>
          <w:sz w:val="26"/>
          <w:szCs w:val="26"/>
          <w:rtl/>
          <w:lang w:val="en-CA"/>
        </w:rPr>
        <w:t>نفذت</w:t>
      </w:r>
      <w:r w:rsidRPr="005963D3">
        <w:rPr>
          <w:rFonts w:hint="cs"/>
          <w:sz w:val="26"/>
          <w:szCs w:val="26"/>
          <w:rtl/>
          <w:lang w:val="en-CA"/>
        </w:rPr>
        <w:t xml:space="preserve"> الاستدامة الواضحة بمرور الوقت وخاصة عندما تنتهي المشروعات ويتوقف التمويل من الصندوق المتعدد الأطراف مازال يمثل قضية هامة. فالزيادة غير المبررة في انبعاثات الكلوروفلوروكربون-11 منذ عام 2012 (موضوع خضع مؤخرا لمداولات واسعة وتحريات) والانبعاثات الجارية المبلغة عن رباعي كلوريد الكربون يدخل مسائل في الاستدامة الخاصة بالإزالة التي تحققت.</w:t>
      </w:r>
    </w:p>
    <w:p w:rsidR="003B69B1" w:rsidRPr="005963D3" w:rsidRDefault="003B69B1" w:rsidP="00D41C98">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ويجري الاعتراف صراحة بالاتجار غير القانوني من جانب الأطراف في بروتوكول مونتريال ويعالج على نطاق واسع. وتبلغ الأطراف عن الاتجار غير القانوني بصورة تزيد عن السابق،</w:t>
      </w:r>
      <w:r w:rsidRPr="005963D3">
        <w:rPr>
          <w:sz w:val="26"/>
          <w:szCs w:val="26"/>
          <w:vertAlign w:val="superscript"/>
          <w:lang w:val="en-CA"/>
        </w:rPr>
        <w:footnoteReference w:id="38"/>
      </w:r>
      <w:r w:rsidRPr="005963D3">
        <w:rPr>
          <w:rFonts w:hint="cs"/>
          <w:sz w:val="26"/>
          <w:szCs w:val="26"/>
          <w:rtl/>
          <w:lang w:val="en-CA"/>
        </w:rPr>
        <w:t xml:space="preserve"> واعترف صراحة بعمليات مصادرة السلع غير القانونية مع منح جوائز. ويبلغ في كثير من الأحيان عن انعدام الوضوح فيما يتعلق بالمخزونات التي يجري تخزينها في بعض البلدان. ومازال الانحراف المحتمل للمواد المستنفدة للأوزون التي يجري استيرادها أو إنتاجها للاستخدام كمواد خام أو للاستخدامات المعفاة لتصب في الاستخدامات الخاضعة للرقابة (مثل بروميد الميثيل لعمليات الحجر الزراعي وما قبل الشحن واستخدامات المختبرات أو التحليل) يمثل مشكلة .ومن غير المتيسر تنفيذ نظم تتبع متينة لضمان عدم استخدام المواد المستنفدة للأوزون المستوردة في الاستخدامات الخاضعة للرقابة (مثل بروميد الميثيل المستورد لمعاملات الحجر الزراعي </w:t>
      </w:r>
      <w:r w:rsidR="00DA5FEC" w:rsidRPr="005963D3">
        <w:rPr>
          <w:rFonts w:hint="cs"/>
          <w:sz w:val="26"/>
          <w:szCs w:val="26"/>
          <w:rtl/>
          <w:lang w:val="en-CA"/>
        </w:rPr>
        <w:t>ومعاملات</w:t>
      </w:r>
      <w:r w:rsidRPr="005963D3">
        <w:rPr>
          <w:rFonts w:hint="cs"/>
          <w:sz w:val="26"/>
          <w:szCs w:val="26"/>
          <w:rtl/>
          <w:lang w:val="en-CA"/>
        </w:rPr>
        <w:t xml:space="preserve"> ما قبل الشحن </w:t>
      </w:r>
      <w:r w:rsidR="00D41C98" w:rsidRPr="005963D3">
        <w:rPr>
          <w:rFonts w:hint="cs"/>
          <w:sz w:val="26"/>
          <w:szCs w:val="26"/>
          <w:rtl/>
          <w:lang w:val="en-CA"/>
        </w:rPr>
        <w:t>ت</w:t>
      </w:r>
      <w:r w:rsidRPr="005963D3">
        <w:rPr>
          <w:rFonts w:hint="cs"/>
          <w:sz w:val="26"/>
          <w:szCs w:val="26"/>
          <w:rtl/>
          <w:lang w:val="en-CA"/>
        </w:rPr>
        <w:t>عتبر استخداما</w:t>
      </w:r>
      <w:r w:rsidR="00D41C98" w:rsidRPr="005963D3">
        <w:rPr>
          <w:rFonts w:hint="cs"/>
          <w:sz w:val="26"/>
          <w:szCs w:val="26"/>
          <w:rtl/>
          <w:lang w:val="en-CA"/>
        </w:rPr>
        <w:t>ت</w:t>
      </w:r>
      <w:r w:rsidRPr="005963D3">
        <w:rPr>
          <w:rFonts w:hint="cs"/>
          <w:sz w:val="26"/>
          <w:szCs w:val="26"/>
          <w:rtl/>
          <w:lang w:val="en-CA"/>
        </w:rPr>
        <w:t xml:space="preserve"> معفاة وقد تنتهي في عمليات تبخير التربة وه</w:t>
      </w:r>
      <w:r w:rsidR="00D41C98" w:rsidRPr="005963D3">
        <w:rPr>
          <w:rFonts w:hint="cs"/>
          <w:sz w:val="26"/>
          <w:szCs w:val="26"/>
          <w:rtl/>
          <w:lang w:val="en-CA"/>
        </w:rPr>
        <w:t>و</w:t>
      </w:r>
      <w:r w:rsidRPr="005963D3">
        <w:rPr>
          <w:rFonts w:hint="cs"/>
          <w:sz w:val="26"/>
          <w:szCs w:val="26"/>
          <w:rtl/>
          <w:lang w:val="en-CA"/>
        </w:rPr>
        <w:t xml:space="preserve"> استخدام خاضع للرقابة). وفي كثير من الأحيان لا يكون التمييز بين هذه الاستخدامات واضح بصورة كاملة لموظفي الجمارك</w:t>
      </w:r>
      <w:r w:rsidR="00E23BF3" w:rsidRPr="005963D3">
        <w:rPr>
          <w:rFonts w:hint="cs"/>
          <w:sz w:val="26"/>
          <w:szCs w:val="26"/>
          <w:rtl/>
          <w:lang w:val="en-CA"/>
        </w:rPr>
        <w:t xml:space="preserve">(أي الاستخدامات الخاضعة للرقابة مقابل المعفاة من مادة واحدة) كما لا يتوافر نظام للتتبع للتحقق من الاستخدام النهائي للمواد المستنفدة للأوزون المعنية. وتتمثل الاستخدامات الأخرى في الغازات المزيفة أو المواد المزالة المتضمنة في البوليولات وتستخدم مثلا في عمليات نفخ الرغاوي التي يصعب </w:t>
      </w:r>
      <w:r w:rsidR="00E23BF3" w:rsidRPr="005963D3">
        <w:rPr>
          <w:rFonts w:hint="cs"/>
          <w:sz w:val="26"/>
          <w:szCs w:val="26"/>
          <w:rtl/>
          <w:lang w:val="en-CA"/>
        </w:rPr>
        <w:lastRenderedPageBreak/>
        <w:t>بدرجة كبيرة رصدها (ويمكن أن تصنف بصورة خاطئة).</w:t>
      </w:r>
      <w:r w:rsidR="00E23BF3" w:rsidRPr="005963D3">
        <w:rPr>
          <w:sz w:val="26"/>
          <w:szCs w:val="26"/>
          <w:vertAlign w:val="superscript"/>
          <w:lang w:val="en-CA"/>
        </w:rPr>
        <w:t xml:space="preserve"> </w:t>
      </w:r>
      <w:r w:rsidR="00E23BF3" w:rsidRPr="005963D3">
        <w:rPr>
          <w:sz w:val="26"/>
          <w:szCs w:val="26"/>
          <w:vertAlign w:val="superscript"/>
          <w:lang w:val="en-CA"/>
        </w:rPr>
        <w:footnoteReference w:id="39"/>
      </w:r>
      <w:r w:rsidR="00E23BF3" w:rsidRPr="005963D3">
        <w:rPr>
          <w:rFonts w:hint="cs"/>
          <w:sz w:val="26"/>
          <w:szCs w:val="26"/>
          <w:rtl/>
          <w:lang w:val="en-CA"/>
        </w:rPr>
        <w:t xml:space="preserve"> وكثيرا ما توفر القواعد المتساهلة في مناطق التجارة الحرة فرصا للاتجار غير القانوني. ونظرا لانتشار مناطق التجارة الحرة في أنحاء العالم، فإن هذه المسألة تتطلب اهتماما.</w:t>
      </w:r>
      <w:r w:rsidR="00E23BF3" w:rsidRPr="005963D3">
        <w:rPr>
          <w:sz w:val="26"/>
          <w:szCs w:val="26"/>
          <w:vertAlign w:val="superscript"/>
          <w:lang w:val="en-CA"/>
        </w:rPr>
        <w:t xml:space="preserve"> </w:t>
      </w:r>
      <w:r w:rsidR="00E23BF3" w:rsidRPr="005963D3">
        <w:rPr>
          <w:sz w:val="26"/>
          <w:szCs w:val="26"/>
          <w:vertAlign w:val="superscript"/>
          <w:lang w:val="en-CA"/>
        </w:rPr>
        <w:footnoteReference w:id="40"/>
      </w:r>
    </w:p>
    <w:p w:rsidR="00E23BF3" w:rsidRPr="005963D3" w:rsidRDefault="00E23BF3" w:rsidP="00D41C98">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ويتعين النظر الى الاستدامة من وجهات نظر تقنية واقتصادية وتنظيمية. فقد تكون البدائل باهظة التكلفة (مما يتسبب في الاستخدام غير القانوني للمواد المستنفدة للأوزون) وقد لا تتوافر دائما بسهولة للمستخدمين (مثل نتيجة للتباطؤ أو</w:t>
      </w:r>
      <w:r w:rsidR="005C6307" w:rsidRPr="005963D3">
        <w:rPr>
          <w:rFonts w:hint="cs"/>
          <w:sz w:val="26"/>
          <w:szCs w:val="26"/>
          <w:rtl/>
          <w:lang w:val="en-CA"/>
        </w:rPr>
        <w:t xml:space="preserve"> </w:t>
      </w:r>
      <w:r w:rsidRPr="005963D3">
        <w:rPr>
          <w:rFonts w:hint="cs"/>
          <w:sz w:val="26"/>
          <w:szCs w:val="26"/>
          <w:rtl/>
          <w:lang w:val="en-CA"/>
        </w:rPr>
        <w:t xml:space="preserve">صعوبة عملية التسجيل، أو لا يمكن العثور على الإمدادات محليا أو أن استيرادها باهظ التكلفة). وقد يكون من الصعب العثور على خدمات الصيانة  للأجهزة الجديدة أو عدم تلقي موردي الخدمة التدريب الكافي. وعلاوة على ذلك، قد تفقد فعاليتها (مثل </w:t>
      </w:r>
      <w:r w:rsidR="00D41C98" w:rsidRPr="005963D3">
        <w:rPr>
          <w:rFonts w:hint="cs"/>
          <w:sz w:val="26"/>
          <w:szCs w:val="26"/>
          <w:rtl/>
          <w:lang w:val="en-CA"/>
        </w:rPr>
        <w:t>مقاومة</w:t>
      </w:r>
      <w:r w:rsidRPr="005963D3">
        <w:rPr>
          <w:rFonts w:hint="cs"/>
          <w:sz w:val="26"/>
          <w:szCs w:val="26"/>
          <w:rtl/>
          <w:lang w:val="en-CA"/>
        </w:rPr>
        <w:t xml:space="preserve"> الآفات لبدائل تنشأ لبروميد الميثيل) أو إلغاء تسجيلها ويؤدي ذلك الى أن يفقد المستخدمون المحتملون الثقة ويرفضون اعتماد التكنولوجيات الجديدة حتى عندما يفرض حظر على المواد المستنفدة للأوزون التي كانت تستخدم. ويعتبر الاعتماد ضروريا لضمان الجدوى الاقتصادية للبدائل مثل من خلال استخدام الأجهزة أو المواد الصادرة محليا، وقد يتعين النظر الى الجدوى الاقتصادية التي لا تتحقق على الفور بل تدري على المدى الطويل.</w:t>
      </w:r>
    </w:p>
    <w:p w:rsidR="00B46A6C" w:rsidRPr="005963D3" w:rsidRDefault="00B46A6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ويتعين توافر خطط وخيارات التدمير على نطاق واسع وأن تكون في متناول اليد. ولا يمكن بصورة دائمة تخزين كميات المواد المستنفدة للأوزون المصادرة أو المسترجعة والتي لم يعد استخدامها قانونيا.</w:t>
      </w:r>
    </w:p>
    <w:p w:rsidR="00B46A6C" w:rsidRPr="005963D3" w:rsidRDefault="00D41C98" w:rsidP="00525CE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w:t>
      </w:r>
      <w:r w:rsidR="00B46A6C" w:rsidRPr="005963D3">
        <w:rPr>
          <w:rFonts w:hint="cs"/>
          <w:sz w:val="26"/>
          <w:szCs w:val="26"/>
          <w:rtl/>
          <w:lang w:val="en-CA"/>
        </w:rPr>
        <w:t xml:space="preserve">على الرغم من أن تدريب الفنيين يتم على نطاق واسع، فإن ذلك مسألة في </w:t>
      </w:r>
      <w:r w:rsidR="00525CE4" w:rsidRPr="005963D3">
        <w:rPr>
          <w:rFonts w:hint="cs"/>
          <w:sz w:val="26"/>
          <w:szCs w:val="26"/>
          <w:rtl/>
          <w:lang w:val="en-CA"/>
        </w:rPr>
        <w:t>مجال</w:t>
      </w:r>
      <w:r w:rsidR="00B46A6C" w:rsidRPr="005963D3">
        <w:rPr>
          <w:rFonts w:hint="cs"/>
          <w:sz w:val="26"/>
          <w:szCs w:val="26"/>
          <w:rtl/>
          <w:lang w:val="en-CA"/>
        </w:rPr>
        <w:t xml:space="preserve"> يحتاج الى مزيد من العمل ويتعين النظر الى نوعية التدريب، وتوافر مجموعة (دائمة) من الخبراء والأموال اللازمة للحفاظ على جهود التدريب يشكل تحديات. ويتعين إنفاذ معايير السلامة وخاصة لخيارات غازات التبريد الجديدة وكفاءة استخدام الطاقة ويمكن ربط هذه المسائل بشهادات اعتماد الفنيين وجهود التعاون مع الصناعة لإنفاذ التدريب وبناء القدرات على أساس مستدام.</w:t>
      </w:r>
    </w:p>
    <w:p w:rsidR="00B46A6C" w:rsidRPr="005963D3" w:rsidRDefault="00B46A6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ولا تتوافر في بعض الأحيان المعلومات عن بعض المواد المستنفدة للأوزون التي تمت إزالته بموجب البروتوكول مثل الهالونات وبروميد الميثيل، وأجهزة الاستنشاق بالجرعة المقننة المعتمدة على الكلوروفلوروكربون أو أنها تكون مخلوطة. وقد لا تتوافر لموظفي الأوزون الوطنية الجدد سوى معلومات ضئيلة عن هذه المواد مما قد يتيح، مثلا حدوث الاتجار غير القانوني دون رصد. وقد ينطبق ذلك أيضا على الاستخدامات المعفاة المتعلقة </w:t>
      </w:r>
      <w:r w:rsidR="0077761C" w:rsidRPr="005963D3">
        <w:rPr>
          <w:rFonts w:hint="cs"/>
          <w:sz w:val="26"/>
          <w:szCs w:val="26"/>
          <w:rtl/>
          <w:lang w:val="en-CA"/>
        </w:rPr>
        <w:t>بالمواد الخام واستخدامات المختبرات والتحاليل. وسوف تؤثر هذه المسائل في تيسير ونوعية الإبلاغ عن إنتاج واستهلاك المواد المستنفدة للأوزون بحسب المبادئ التوجيهية للمادة 7 مما يشكل تحديا آخر.</w:t>
      </w:r>
    </w:p>
    <w:p w:rsidR="00F33FA5" w:rsidRPr="005963D3" w:rsidRDefault="0077761C" w:rsidP="00631899">
      <w:pPr>
        <w:tabs>
          <w:tab w:val="left" w:pos="8280"/>
        </w:tabs>
        <w:bidi/>
        <w:spacing w:after="240"/>
        <w:rPr>
          <w:bCs/>
          <w:sz w:val="26"/>
          <w:szCs w:val="26"/>
        </w:rPr>
      </w:pPr>
      <w:r w:rsidRPr="005963D3">
        <w:rPr>
          <w:rFonts w:hint="cs"/>
          <w:bCs/>
          <w:sz w:val="26"/>
          <w:szCs w:val="26"/>
          <w:rtl/>
        </w:rPr>
        <w:t>توصيات للمضي قدما</w:t>
      </w:r>
    </w:p>
    <w:p w:rsidR="0077761C" w:rsidRPr="005963D3" w:rsidRDefault="0077761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وصف بروتوكول مونتريال بأنه "أنجح معاهدة بيئية" من جانب كوفي عنان الأمين العام السابق للأمم المتحدة ويعزى ذلك بوضوح الى النسبة المرتفعة من إنتاج واستهلاك المواد المستنفدة للأوزون التي أزيلت حتى الآن. غير أن ضمان استدامة هذا الإنجاز يمثل تحديا.</w:t>
      </w:r>
    </w:p>
    <w:p w:rsidR="0077761C" w:rsidRPr="005963D3" w:rsidRDefault="0077761C" w:rsidP="004D186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w:t>
      </w:r>
      <w:r w:rsidR="004D1864" w:rsidRPr="005963D3">
        <w:rPr>
          <w:rFonts w:hint="cs"/>
          <w:sz w:val="26"/>
          <w:szCs w:val="26"/>
          <w:rtl/>
          <w:lang w:val="en-CA"/>
        </w:rPr>
        <w:t>تدق</w:t>
      </w:r>
      <w:r w:rsidRPr="005963D3">
        <w:rPr>
          <w:rFonts w:hint="cs"/>
          <w:sz w:val="26"/>
          <w:szCs w:val="26"/>
          <w:rtl/>
          <w:lang w:val="en-CA"/>
        </w:rPr>
        <w:t xml:space="preserve"> الانبعاثات غير المبررة الأخيرة للكلوروفلوروكربون-11 </w:t>
      </w:r>
      <w:r w:rsidR="004D1864" w:rsidRPr="005963D3">
        <w:rPr>
          <w:rFonts w:hint="cs"/>
          <w:sz w:val="26"/>
          <w:szCs w:val="26"/>
          <w:rtl/>
          <w:lang w:val="en-CA"/>
        </w:rPr>
        <w:t>ناقوس</w:t>
      </w:r>
      <w:r w:rsidRPr="005963D3">
        <w:rPr>
          <w:rFonts w:hint="cs"/>
          <w:sz w:val="26"/>
          <w:szCs w:val="26"/>
          <w:rtl/>
          <w:lang w:val="en-CA"/>
        </w:rPr>
        <w:t xml:space="preserve"> </w:t>
      </w:r>
      <w:r w:rsidR="004D1864" w:rsidRPr="005963D3">
        <w:rPr>
          <w:rFonts w:hint="cs"/>
          <w:sz w:val="26"/>
          <w:szCs w:val="26"/>
          <w:rtl/>
          <w:lang w:val="en-CA"/>
        </w:rPr>
        <w:t>الخطر</w:t>
      </w:r>
      <w:r w:rsidRPr="005963D3">
        <w:rPr>
          <w:rFonts w:hint="cs"/>
          <w:sz w:val="26"/>
          <w:szCs w:val="26"/>
          <w:rtl/>
          <w:lang w:val="en-CA"/>
        </w:rPr>
        <w:t xml:space="preserve"> </w:t>
      </w:r>
      <w:r w:rsidR="004D1864" w:rsidRPr="005963D3">
        <w:rPr>
          <w:rFonts w:hint="cs"/>
          <w:sz w:val="26"/>
          <w:szCs w:val="26"/>
          <w:rtl/>
          <w:lang w:val="en-CA"/>
        </w:rPr>
        <w:t>بشأن</w:t>
      </w:r>
      <w:r w:rsidRPr="005963D3">
        <w:rPr>
          <w:rFonts w:hint="cs"/>
          <w:sz w:val="26"/>
          <w:szCs w:val="26"/>
          <w:rtl/>
          <w:lang w:val="en-CA"/>
        </w:rPr>
        <w:t xml:space="preserve"> احتمال العودة الى استخدام المواد المستنفدة للأوزون التي تمت إزالتها.وقد ترغب وحدات الأوزون الوطنية في تعزيز مواقفها المعلوماتية لإدراج معلومات أكثر دقة عن هذه المواد المستنفدة للأوزون التي أزيلت بالفعل، والتدابير التي اتخذت لاستبدالها، والقواعد القائمة لحظرها أو إنفاذها، وبدائلها المحتملة، ويمكن أن تصبح المصادر الأخرى للمعلومات </w:t>
      </w:r>
      <w:r w:rsidRPr="005963D3">
        <w:rPr>
          <w:rFonts w:hint="cs"/>
          <w:sz w:val="26"/>
          <w:szCs w:val="26"/>
          <w:rtl/>
          <w:lang w:val="en-CA"/>
        </w:rPr>
        <w:lastRenderedPageBreak/>
        <w:t>جزءا من الحل، وتعرض بعض مواقع</w:t>
      </w:r>
      <w:r w:rsidR="00725B05" w:rsidRPr="005963D3">
        <w:rPr>
          <w:rFonts w:hint="cs"/>
          <w:sz w:val="26"/>
          <w:szCs w:val="26"/>
          <w:rtl/>
          <w:lang w:val="en-CA"/>
        </w:rPr>
        <w:t xml:space="preserve"> الويب (مثل برنامج العمل من أجل طبقة الأوزون/ برنامج المساعدة على الامتثال) هذه الموارد إلاّ </w:t>
      </w:r>
      <w:r w:rsidR="004D1864" w:rsidRPr="005963D3">
        <w:rPr>
          <w:rFonts w:hint="cs"/>
          <w:sz w:val="26"/>
          <w:szCs w:val="26"/>
          <w:rtl/>
          <w:lang w:val="en-CA"/>
        </w:rPr>
        <w:t>أنها</w:t>
      </w:r>
      <w:r w:rsidR="00725B05" w:rsidRPr="005963D3">
        <w:rPr>
          <w:rFonts w:hint="cs"/>
          <w:sz w:val="26"/>
          <w:szCs w:val="26"/>
          <w:rtl/>
          <w:lang w:val="en-CA"/>
        </w:rPr>
        <w:t xml:space="preserve"> لا تتم على أساس قطري كما لا يجري تحديثها دائما.</w:t>
      </w:r>
    </w:p>
    <w:p w:rsidR="00725B05" w:rsidRPr="005963D3" w:rsidRDefault="00725B05" w:rsidP="004D186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وضعت الحكومات عموما القوانين والقواعد التي تقيد أو تحظر إنتاج واستيراد وتصدير المواد المستنفدة للأوزون </w:t>
      </w:r>
      <w:r w:rsidR="004D1864" w:rsidRPr="005963D3">
        <w:rPr>
          <w:rFonts w:hint="cs"/>
          <w:sz w:val="26"/>
          <w:szCs w:val="26"/>
          <w:rtl/>
          <w:lang w:val="en-CA"/>
        </w:rPr>
        <w:t>إلا</w:t>
      </w:r>
      <w:r w:rsidRPr="005963D3">
        <w:rPr>
          <w:rFonts w:hint="cs"/>
          <w:sz w:val="26"/>
          <w:szCs w:val="26"/>
          <w:rtl/>
          <w:lang w:val="en-CA"/>
        </w:rPr>
        <w:t xml:space="preserve"> أنه يبدو أن إنفاذ هذه القواعد، وتطبيق العقوبات الناشئة عن الفشل في الامتثال أمر مطلوب في كثير من الحالات. وعلى وجه الخصوص فإن إزالة إنتاج المواد المستنفدة للأوزون قد يحتاج الى متابعة وثيقة فالإزالة المستدامة للإنتاج تعتبر عنصرا أساسيا في الحفاظ على إزالة الاستهلاك. ويعتبر هذا مجال قد يكون من المفيد زيادة العمل فيه. فعلى سبيل المثال فإن عمليات التحقق المستقل والمراجعة أبلغت عنها بعض وحدات الأوزون الوطنية باعتبارها وسيلة فعالة لإنفاذ الإزالة المستدامة للمواد المستنفدة للأوزون. ويمكن متابعة النظر الى هذه المسائل وتقاسم الخطط الناجحة وخاصة عند التعامل مع المواد المستنفدة للأوزون التي أزيلت بالفعل في السابق.</w:t>
      </w:r>
    </w:p>
    <w:p w:rsidR="00725B05" w:rsidRPr="005963D3" w:rsidRDefault="00725B05"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وعلى ذلك فإن تدمير المواد المستنفدة للأوزون والأجهزة المعتمدة على المواد المستنفدة للأوزون التي استبدلت بأجهزة تعتمد على التكنولوجيات البديلة يمثل بهذا الشكل جانبا مهما لضمان استدامة التحويل وإزالة المواد المستنفدة للأوزون. فعلى سبيل المثال فإن الوكالات الثنائية والمنفذة ترصد عملية التدمير، وتربط الإفراج عن أقساط التمويل الأخيرة بتدمير الأجهزة القديمة إلاّ أنه يمكن وضع السبل التي تضمن/ تشجع عملية تدمير هذه الأجهزة في المستقبل. وينبغي أن تتضمن تقارير انتهاء المشروع معلومات واضحة عن تدمير الأجهزة.</w:t>
      </w:r>
    </w:p>
    <w:p w:rsidR="00725B05" w:rsidRPr="005963D3" w:rsidRDefault="00725B05" w:rsidP="003F363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وتجري معالجة الاتجار غير القانوني في المواد المستنفدة للأوزون من خلال بروتوكول مونتريال ويتزايد إبلاغ الأطراف عن حالات للاتجار غير القانوني. وينبغي دعم ومتابعة التقارير التي تقدم للسلطات المحلية عن الاتجار غير القانوني. </w:t>
      </w:r>
      <w:r w:rsidR="004D1864" w:rsidRPr="005963D3">
        <w:rPr>
          <w:rFonts w:hint="cs"/>
          <w:sz w:val="26"/>
          <w:szCs w:val="26"/>
          <w:rtl/>
          <w:lang w:val="en-CA"/>
        </w:rPr>
        <w:t>ف</w:t>
      </w:r>
      <w:r w:rsidRPr="005963D3">
        <w:rPr>
          <w:rFonts w:hint="cs"/>
          <w:sz w:val="26"/>
          <w:szCs w:val="26"/>
          <w:rtl/>
          <w:lang w:val="en-CA"/>
        </w:rPr>
        <w:t>قد تمر المواد غير القانونية المصادرة في أحد البلدان أو التي وجدت في مناطق للتجارة الحرة دون إبلاغ بالنظر الى أن الطرف الم</w:t>
      </w:r>
      <w:r w:rsidR="003F363C" w:rsidRPr="005963D3">
        <w:rPr>
          <w:rFonts w:hint="cs"/>
          <w:sz w:val="26"/>
          <w:szCs w:val="26"/>
          <w:rtl/>
          <w:lang w:val="en-CA"/>
        </w:rPr>
        <w:t>عني يشعر بالقلق من أن تضاف هذه إلى</w:t>
      </w:r>
      <w:r w:rsidRPr="005963D3">
        <w:rPr>
          <w:rFonts w:hint="cs"/>
          <w:sz w:val="26"/>
          <w:szCs w:val="26"/>
          <w:rtl/>
          <w:lang w:val="en-CA"/>
        </w:rPr>
        <w:t xml:space="preserve"> تقاريره </w:t>
      </w:r>
      <w:r w:rsidR="003F363C" w:rsidRPr="005963D3">
        <w:rPr>
          <w:rFonts w:hint="cs"/>
          <w:sz w:val="26"/>
          <w:szCs w:val="26"/>
          <w:rtl/>
          <w:lang w:val="en-CA"/>
        </w:rPr>
        <w:t>عن الاستهلاك ومن ثم التأثير في حالة امتثاله. ويجري اقتراح حل لهذه المسألة للنظر من جانب اللجنة التنفيذية.</w:t>
      </w:r>
      <w:r w:rsidR="003F363C" w:rsidRPr="005963D3">
        <w:rPr>
          <w:sz w:val="26"/>
          <w:szCs w:val="26"/>
          <w:vertAlign w:val="superscript"/>
          <w:lang w:val="en-CA"/>
        </w:rPr>
        <w:t xml:space="preserve"> </w:t>
      </w:r>
      <w:r w:rsidR="003F363C" w:rsidRPr="005963D3">
        <w:rPr>
          <w:sz w:val="26"/>
          <w:szCs w:val="26"/>
          <w:vertAlign w:val="superscript"/>
          <w:lang w:val="en-CA"/>
        </w:rPr>
        <w:footnoteReference w:id="41"/>
      </w:r>
    </w:p>
    <w:p w:rsidR="005500E3" w:rsidRPr="005963D3" w:rsidRDefault="005500E3" w:rsidP="005963D3">
      <w:pPr>
        <w:bidi/>
        <w:spacing w:before="120" w:after="240"/>
        <w:rPr>
          <w:sz w:val="26"/>
          <w:szCs w:val="26"/>
          <w:rtl/>
          <w:lang w:val="en-CA"/>
        </w:rPr>
      </w:pPr>
      <w:r w:rsidRPr="005963D3">
        <w:rPr>
          <w:rFonts w:hint="cs"/>
          <w:sz w:val="26"/>
          <w:szCs w:val="26"/>
          <w:rtl/>
          <w:lang w:val="en-CA"/>
        </w:rPr>
        <w:t>74</w:t>
      </w:r>
      <w:r w:rsidR="005963D3">
        <w:rPr>
          <w:sz w:val="26"/>
          <w:szCs w:val="26"/>
          <w:lang w:val="en-CA"/>
        </w:rPr>
        <w:tab/>
      </w:r>
      <w:r w:rsidR="003F363C" w:rsidRPr="005963D3">
        <w:rPr>
          <w:rFonts w:hint="cs"/>
          <w:sz w:val="26"/>
          <w:szCs w:val="26"/>
          <w:rtl/>
          <w:lang w:val="en-CA"/>
        </w:rPr>
        <w:t>وتعد مشاركة أصحاب المصلحة في المشروعات وجهود إزالة المواد المستنفدة للأوزون مرتفعة بصفة عامة، ويضطلع ذلك بدور هام في النجاح الذي تحقق حتى الآن. ويمكن استكشاف السبل التي تؤدي الى الحفاظ على اهتمام أصحاب المصلحة المتأثرة من إزالة المواد المستنفدة للأوزون بالفعل. ويمكن أن تفيد الخبرات والمعارف المستخلصة في إقامة صلات مع المعاهدات البيئية الأخرى حيث أن ذلك هو الوضع في بعض الأحيان وقد تشكل الصلة بين الأوزون والمناخ التي أقامها تعديل كيجالي أو خبرات التدمير المتحققة من خلال المشاركة في اتفاقية بازل، أمثلة على ذلك.</w:t>
      </w:r>
    </w:p>
    <w:p w:rsidR="003F363C" w:rsidRPr="005963D3" w:rsidRDefault="005500E3" w:rsidP="005500E3">
      <w:pPr>
        <w:tabs>
          <w:tab w:val="left" w:pos="0"/>
        </w:tabs>
        <w:bidi/>
        <w:spacing w:before="120" w:after="240"/>
        <w:rPr>
          <w:sz w:val="26"/>
          <w:szCs w:val="26"/>
          <w:lang w:val="en-CA"/>
        </w:rPr>
      </w:pPr>
      <w:r w:rsidRPr="005963D3">
        <w:rPr>
          <w:rFonts w:hint="cs"/>
          <w:sz w:val="26"/>
          <w:szCs w:val="26"/>
          <w:rtl/>
          <w:lang w:val="en-CA"/>
        </w:rPr>
        <w:t>75</w:t>
      </w:r>
      <w:r w:rsidR="005963D3">
        <w:rPr>
          <w:sz w:val="26"/>
          <w:szCs w:val="26"/>
          <w:lang w:val="en-CA"/>
        </w:rPr>
        <w:tab/>
      </w:r>
      <w:r w:rsidR="005B32CA" w:rsidRPr="005963D3">
        <w:rPr>
          <w:rFonts w:hint="cs"/>
          <w:sz w:val="26"/>
          <w:szCs w:val="26"/>
          <w:rtl/>
          <w:lang w:val="en-CA"/>
        </w:rPr>
        <w:t xml:space="preserve">وتعد </w:t>
      </w:r>
      <w:r w:rsidR="003F363C" w:rsidRPr="005963D3">
        <w:rPr>
          <w:rFonts w:hint="cs"/>
          <w:sz w:val="26"/>
          <w:szCs w:val="26"/>
          <w:rtl/>
          <w:lang w:val="en-CA"/>
        </w:rPr>
        <w:t>الردود المقدمة من وحدات الأوزون الوطنية العشرة واليونيدو</w:t>
      </w:r>
      <w:r w:rsidR="005B32CA" w:rsidRPr="005963D3">
        <w:rPr>
          <w:rFonts w:hint="cs"/>
          <w:sz w:val="26"/>
          <w:szCs w:val="26"/>
          <w:rtl/>
          <w:lang w:val="en-CA"/>
        </w:rPr>
        <w:t xml:space="preserve"> على</w:t>
      </w:r>
      <w:r w:rsidR="003F363C" w:rsidRPr="005963D3">
        <w:rPr>
          <w:rFonts w:hint="cs"/>
          <w:sz w:val="26"/>
          <w:szCs w:val="26"/>
          <w:rtl/>
          <w:lang w:val="en-CA"/>
        </w:rPr>
        <w:t xml:space="preserve"> الاستبيان الذي أعد بمناسبة هذا التقييم </w:t>
      </w:r>
      <w:r w:rsidR="005B32CA" w:rsidRPr="005963D3">
        <w:rPr>
          <w:rFonts w:hint="cs"/>
          <w:sz w:val="26"/>
          <w:szCs w:val="26"/>
          <w:rtl/>
          <w:lang w:val="en-CA"/>
        </w:rPr>
        <w:t>بالغة</w:t>
      </w:r>
      <w:r w:rsidR="003F363C" w:rsidRPr="005963D3">
        <w:rPr>
          <w:rFonts w:hint="cs"/>
          <w:sz w:val="26"/>
          <w:szCs w:val="26"/>
          <w:rtl/>
          <w:lang w:val="en-CA"/>
        </w:rPr>
        <w:t xml:space="preserve"> الأهمية في تحديد العوامل التي تضع استدامة خفض وإزالة المواد المستنفدة للأوزون التي تحققت موضع خطر، والوسائل التي يمكن بها التخفيف من هذا الخطر أو تجنبه. غير أن مستوى الاستجابة كان بالغ البطء ولم يتحقق التمثيل الجغرافي الجيد، ويؤثر ذلك بدرجة كبيرة في اكتمال هذا التقييم بل وربما نطاق ودقة الاستنتاجات. وقد يكون من المفيد إجراء المزيد من المناقشات مع بلدان المادة 5 ربما من خلال إجراء مسح دقيق ومقابلات مباشرة. ويمكن إجراء ذلك من خلال الجولات الميدانية بل وكذلك من خلال </w:t>
      </w:r>
      <w:r w:rsidR="005B32CA" w:rsidRPr="005963D3">
        <w:rPr>
          <w:rFonts w:hint="cs"/>
          <w:sz w:val="26"/>
          <w:szCs w:val="26"/>
          <w:rtl/>
          <w:lang w:val="en-CA"/>
        </w:rPr>
        <w:t>إغتنام الفرص</w:t>
      </w:r>
      <w:r w:rsidR="003F363C" w:rsidRPr="005963D3">
        <w:rPr>
          <w:rFonts w:hint="cs"/>
          <w:sz w:val="26"/>
          <w:szCs w:val="26"/>
          <w:rtl/>
          <w:lang w:val="en-CA"/>
        </w:rPr>
        <w:t xml:space="preserve"> </w:t>
      </w:r>
      <w:r w:rsidR="005B32CA" w:rsidRPr="005963D3">
        <w:rPr>
          <w:rFonts w:hint="cs"/>
          <w:sz w:val="26"/>
          <w:szCs w:val="26"/>
          <w:rtl/>
          <w:lang w:val="en-CA"/>
        </w:rPr>
        <w:t>التى توفرها</w:t>
      </w:r>
      <w:r w:rsidR="003F363C" w:rsidRPr="005963D3">
        <w:rPr>
          <w:rFonts w:hint="cs"/>
          <w:sz w:val="26"/>
          <w:szCs w:val="26"/>
          <w:rtl/>
          <w:lang w:val="en-CA"/>
        </w:rPr>
        <w:t xml:space="preserve"> اجتماعات الشبكة الإقليمية لليونيب أو اجتماعات اللجنة التنفيذية واجتماعات الأطراف حيث يمثل عدد كبير من وحدات الأوزون الوطنية.</w:t>
      </w:r>
    </w:p>
    <w:p w:rsidR="003F363C" w:rsidRPr="005963D3" w:rsidRDefault="005500E3" w:rsidP="005500E3">
      <w:pPr>
        <w:tabs>
          <w:tab w:val="left" w:pos="0"/>
        </w:tabs>
        <w:bidi/>
        <w:spacing w:before="120" w:after="240"/>
        <w:rPr>
          <w:sz w:val="26"/>
          <w:szCs w:val="26"/>
          <w:lang w:val="en-CA"/>
        </w:rPr>
      </w:pPr>
      <w:r w:rsidRPr="005963D3">
        <w:rPr>
          <w:rFonts w:hint="cs"/>
          <w:sz w:val="26"/>
          <w:szCs w:val="26"/>
          <w:rtl/>
          <w:lang w:val="en-CA"/>
        </w:rPr>
        <w:t>76</w:t>
      </w:r>
      <w:r w:rsidR="005963D3">
        <w:rPr>
          <w:sz w:val="26"/>
          <w:szCs w:val="26"/>
          <w:lang w:val="en-CA"/>
        </w:rPr>
        <w:tab/>
      </w:r>
      <w:r w:rsidR="003F363C" w:rsidRPr="005963D3">
        <w:rPr>
          <w:rFonts w:hint="cs"/>
          <w:sz w:val="26"/>
          <w:szCs w:val="26"/>
          <w:rtl/>
          <w:lang w:val="en-CA"/>
        </w:rPr>
        <w:t xml:space="preserve">وإعمالا لأهداف التنمية المستدامة، ينبغي إدراج القضايا الجنسانية بصورة </w:t>
      </w:r>
      <w:r w:rsidRPr="005963D3">
        <w:rPr>
          <w:rFonts w:hint="cs"/>
          <w:sz w:val="26"/>
          <w:szCs w:val="26"/>
          <w:rtl/>
          <w:lang w:val="en-CA"/>
        </w:rPr>
        <w:t>أقوى</w:t>
      </w:r>
      <w:r w:rsidR="003F363C" w:rsidRPr="005963D3">
        <w:rPr>
          <w:rFonts w:hint="cs"/>
          <w:sz w:val="26"/>
          <w:szCs w:val="26"/>
          <w:rtl/>
          <w:lang w:val="en-CA"/>
        </w:rPr>
        <w:t xml:space="preserve"> في بروتوكول مونتريال عموما وبصفة أدق في عملية إزالة المواد المستنفدة للأوزون وخفض الهيدروفلوروكربون.</w:t>
      </w:r>
    </w:p>
    <w:p w:rsidR="003F363C" w:rsidRPr="005963D3" w:rsidRDefault="005500E3" w:rsidP="005500E3">
      <w:pPr>
        <w:tabs>
          <w:tab w:val="left" w:pos="0"/>
        </w:tabs>
        <w:bidi/>
        <w:spacing w:before="120" w:after="240"/>
        <w:rPr>
          <w:sz w:val="26"/>
          <w:szCs w:val="26"/>
          <w:lang w:val="en-CA"/>
        </w:rPr>
      </w:pPr>
      <w:r w:rsidRPr="005963D3">
        <w:rPr>
          <w:rFonts w:hint="cs"/>
          <w:sz w:val="26"/>
          <w:szCs w:val="26"/>
          <w:rtl/>
          <w:lang w:val="en-CA"/>
        </w:rPr>
        <w:lastRenderedPageBreak/>
        <w:t>77</w:t>
      </w:r>
      <w:r w:rsidR="005963D3">
        <w:rPr>
          <w:sz w:val="26"/>
          <w:szCs w:val="26"/>
          <w:lang w:val="en-CA"/>
        </w:rPr>
        <w:tab/>
      </w:r>
      <w:r w:rsidR="003F363C" w:rsidRPr="005963D3">
        <w:rPr>
          <w:rFonts w:hint="cs"/>
          <w:sz w:val="26"/>
          <w:szCs w:val="26"/>
          <w:rtl/>
          <w:lang w:val="en-CA"/>
        </w:rPr>
        <w:t>وينبغي تصور عملية  الإزالة بطريقة أكثر شمولا في نطاق إطار أهداف التنمية المستدامة بالنظر الى أن أنشطة بروتوكول مونتريال وإنجازاته تلمس الكثير من جوانبها. وبناء على طلب الأطراف (المقرر 36/7) بدأت أفرقة التقييم الثلاثة في بروتوكول مونتريال النظر في قضايا الاستدامة في تقارير التقييم الخاصة بهم لعام 2018.</w:t>
      </w:r>
      <w:r w:rsidR="003F363C" w:rsidRPr="005963D3">
        <w:rPr>
          <w:sz w:val="26"/>
          <w:szCs w:val="26"/>
          <w:vertAlign w:val="superscript"/>
          <w:lang w:val="en-CA"/>
        </w:rPr>
        <w:t xml:space="preserve"> </w:t>
      </w:r>
      <w:r w:rsidR="003F363C" w:rsidRPr="005963D3">
        <w:rPr>
          <w:sz w:val="26"/>
          <w:szCs w:val="26"/>
          <w:vertAlign w:val="superscript"/>
          <w:lang w:val="en-CA"/>
        </w:rPr>
        <w:footnoteReference w:id="42"/>
      </w:r>
    </w:p>
    <w:p w:rsidR="00F33FA5" w:rsidRPr="005963D3" w:rsidRDefault="003F363C" w:rsidP="00631899">
      <w:pPr>
        <w:keepNext/>
        <w:keepLines/>
        <w:tabs>
          <w:tab w:val="left" w:pos="8280"/>
        </w:tabs>
        <w:bidi/>
        <w:spacing w:before="120" w:after="240"/>
        <w:rPr>
          <w:bCs/>
          <w:sz w:val="26"/>
          <w:szCs w:val="26"/>
        </w:rPr>
      </w:pPr>
      <w:r w:rsidRPr="005963D3">
        <w:rPr>
          <w:rFonts w:hint="cs"/>
          <w:bCs/>
          <w:sz w:val="26"/>
          <w:szCs w:val="26"/>
          <w:rtl/>
          <w:lang w:val="en-CA"/>
        </w:rPr>
        <w:t>التوصية</w:t>
      </w:r>
    </w:p>
    <w:p w:rsidR="003F363C" w:rsidRPr="005963D3" w:rsidRDefault="005500E3" w:rsidP="005500E3">
      <w:pPr>
        <w:tabs>
          <w:tab w:val="left" w:pos="0"/>
        </w:tabs>
        <w:bidi/>
        <w:spacing w:before="120" w:after="240"/>
        <w:rPr>
          <w:sz w:val="26"/>
          <w:szCs w:val="26"/>
        </w:rPr>
      </w:pPr>
      <w:r w:rsidRPr="005963D3">
        <w:rPr>
          <w:rFonts w:hint="cs"/>
          <w:sz w:val="26"/>
          <w:szCs w:val="26"/>
          <w:rtl/>
        </w:rPr>
        <w:t>78</w:t>
      </w:r>
      <w:r w:rsidR="005963D3">
        <w:rPr>
          <w:sz w:val="26"/>
          <w:szCs w:val="26"/>
        </w:rPr>
        <w:tab/>
      </w:r>
      <w:r w:rsidR="003F363C" w:rsidRPr="005963D3">
        <w:rPr>
          <w:rFonts w:hint="cs"/>
          <w:sz w:val="26"/>
          <w:szCs w:val="26"/>
          <w:rtl/>
        </w:rPr>
        <w:t xml:space="preserve">قد ترغب اللجنة التنفيذية في أن تحاط علما بالدراسة النظرية عن تقييم استدامة إنجازات بروتوكول مونتريال الواردة في الوثيقة </w:t>
      </w:r>
      <w:r w:rsidR="003F363C" w:rsidRPr="005963D3">
        <w:rPr>
          <w:sz w:val="26"/>
          <w:szCs w:val="26"/>
          <w:lang w:val="en-CA"/>
        </w:rPr>
        <w:t>UNEP/ OzL.Pro/ExCom/84/12</w:t>
      </w:r>
      <w:r w:rsidR="003F363C" w:rsidRPr="005963D3">
        <w:rPr>
          <w:rFonts w:hint="cs"/>
          <w:sz w:val="26"/>
          <w:szCs w:val="26"/>
          <w:rtl/>
          <w:lang w:val="en-CA"/>
        </w:rPr>
        <w:t>.</w:t>
      </w:r>
    </w:p>
    <w:p w:rsidR="00B659B8" w:rsidRPr="005963D3" w:rsidRDefault="00B659B8" w:rsidP="00631899">
      <w:pPr>
        <w:tabs>
          <w:tab w:val="left" w:pos="0"/>
        </w:tabs>
        <w:bidi/>
        <w:spacing w:before="120" w:after="240" w:line="360" w:lineRule="auto"/>
        <w:rPr>
          <w:sz w:val="26"/>
          <w:szCs w:val="26"/>
        </w:rPr>
      </w:pPr>
    </w:p>
    <w:p w:rsidR="00700AC5" w:rsidRPr="005963D3" w:rsidRDefault="00700AC5" w:rsidP="00700AC5">
      <w:pPr>
        <w:tabs>
          <w:tab w:val="left" w:pos="0"/>
        </w:tabs>
        <w:spacing w:before="120" w:after="240"/>
        <w:rPr>
          <w:sz w:val="26"/>
          <w:szCs w:val="26"/>
          <w:lang w:val="en-CA"/>
        </w:rPr>
      </w:pPr>
    </w:p>
    <w:p w:rsidR="00700AC5" w:rsidRPr="005963D3" w:rsidRDefault="00700AC5" w:rsidP="00700AC5">
      <w:pPr>
        <w:tabs>
          <w:tab w:val="left" w:pos="0"/>
        </w:tabs>
        <w:spacing w:before="120" w:after="240"/>
        <w:rPr>
          <w:sz w:val="26"/>
          <w:szCs w:val="26"/>
        </w:rPr>
        <w:sectPr w:rsidR="00700AC5" w:rsidRPr="005963D3" w:rsidSect="00230DF1">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2240" w:h="15840"/>
          <w:pgMar w:top="1440" w:right="1440" w:bottom="1440" w:left="1440" w:header="709" w:footer="709" w:gutter="0"/>
          <w:cols w:space="708"/>
          <w:titlePg/>
          <w:docGrid w:linePitch="360"/>
        </w:sectPr>
      </w:pPr>
    </w:p>
    <w:p w:rsidR="00F33FA5" w:rsidRPr="005963D3" w:rsidRDefault="00F33FA5" w:rsidP="00127966">
      <w:pPr>
        <w:tabs>
          <w:tab w:val="left" w:pos="8280"/>
        </w:tabs>
        <w:spacing w:before="120" w:after="240"/>
        <w:jc w:val="center"/>
        <w:rPr>
          <w:b/>
          <w:sz w:val="26"/>
          <w:szCs w:val="26"/>
        </w:rPr>
      </w:pPr>
    </w:p>
    <w:sectPr w:rsidR="00F33FA5" w:rsidRPr="005963D3" w:rsidSect="00230DF1">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B341C" w16cid:durableId="21814212"/>
  <w16cid:commentId w16cid:paraId="69FB0B95" w16cid:durableId="21814213"/>
  <w16cid:commentId w16cid:paraId="5EF8452B" w16cid:durableId="21815BE0"/>
  <w16cid:commentId w16cid:paraId="75826DFE" w16cid:durableId="21814214"/>
  <w16cid:commentId w16cid:paraId="27C28E47" w16cid:durableId="21814215"/>
  <w16cid:commentId w16cid:paraId="6DD90DEF" w16cid:durableId="21814216"/>
  <w16cid:commentId w16cid:paraId="3AF8895A" w16cid:durableId="21815811"/>
  <w16cid:commentId w16cid:paraId="6BBA2187" w16cid:durableId="21814217"/>
  <w16cid:commentId w16cid:paraId="5EA51E18" w16cid:durableId="21814218"/>
  <w16cid:commentId w16cid:paraId="7F8067D7" w16cid:durableId="21815FDC"/>
  <w16cid:commentId w16cid:paraId="7C1C9D3C" w16cid:durableId="21815FE7"/>
  <w16cid:commentId w16cid:paraId="41D97772" w16cid:durableId="21816168"/>
  <w16cid:commentId w16cid:paraId="4EC8308C" w16cid:durableId="2181619B"/>
  <w16cid:commentId w16cid:paraId="70FB466B" w16cid:durableId="2181421B"/>
  <w16cid:commentId w16cid:paraId="72C975B9" w16cid:durableId="21815FF9"/>
  <w16cid:commentId w16cid:paraId="35B627FA" w16cid:durableId="2181421C"/>
  <w16cid:commentId w16cid:paraId="28287FB5" w16cid:durableId="21816007"/>
  <w16cid:commentId w16cid:paraId="34B80D15" w16cid:durableId="2181421D"/>
  <w16cid:commentId w16cid:paraId="13DABFAA" w16cid:durableId="2181421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EB2" w:rsidRDefault="00204EB2" w:rsidP="004A504B">
      <w:r>
        <w:separator/>
      </w:r>
    </w:p>
  </w:endnote>
  <w:endnote w:type="continuationSeparator" w:id="0">
    <w:p w:rsidR="00204EB2" w:rsidRDefault="00204E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rsidR="00725B05" w:rsidRDefault="00204EB2" w:rsidP="00230DF1">
        <w:pPr>
          <w:pStyle w:val="Footer"/>
          <w:jc w:val="center"/>
        </w:pPr>
        <w:r>
          <w:rPr>
            <w:noProof/>
          </w:rPr>
          <w:fldChar w:fldCharType="begin"/>
        </w:r>
        <w:r>
          <w:rPr>
            <w:noProof/>
          </w:rPr>
          <w:instrText xml:space="preserve"> PAGE   \* MERGEFORMAT </w:instrText>
        </w:r>
        <w:r>
          <w:rPr>
            <w:noProof/>
          </w:rPr>
          <w:fldChar w:fldCharType="separate"/>
        </w:r>
        <w:r w:rsidR="00BB73E8">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rsidR="00725B05" w:rsidRDefault="00204EB2">
        <w:pPr>
          <w:pStyle w:val="Footer"/>
          <w:jc w:val="center"/>
        </w:pPr>
        <w:r>
          <w:rPr>
            <w:noProof/>
          </w:rPr>
          <w:fldChar w:fldCharType="begin"/>
        </w:r>
        <w:r>
          <w:rPr>
            <w:noProof/>
          </w:rPr>
          <w:instrText xml:space="preserve"> PAGE   \* MERGEFORMAT </w:instrText>
        </w:r>
        <w:r>
          <w:rPr>
            <w:noProof/>
          </w:rPr>
          <w:fldChar w:fldCharType="separate"/>
        </w:r>
        <w:r w:rsidR="00BB73E8">
          <w:rPr>
            <w:noProof/>
          </w:rPr>
          <w:t>5</w:t>
        </w:r>
        <w:r>
          <w:rPr>
            <w:noProof/>
          </w:rPr>
          <w:fldChar w:fldCharType="end"/>
        </w:r>
      </w:p>
    </w:sdtContent>
  </w:sdt>
  <w:p w:rsidR="00725B05" w:rsidRPr="00230DF1" w:rsidRDefault="00725B05"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Default="00725B05" w:rsidP="008577F0">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725B05" w:rsidRDefault="00725B05" w:rsidP="008577F0">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rsidR="00725B05" w:rsidRDefault="00725B05" w:rsidP="00230DF1">
    <w:pPr>
      <w:pBdr>
        <w:top w:val="single" w:sz="4" w:space="1" w:color="auto"/>
        <w:left w:val="single" w:sz="4" w:space="4" w:color="auto"/>
        <w:bottom w:val="single" w:sz="4" w:space="1" w:color="auto"/>
        <w:right w:val="single" w:sz="4" w:space="4" w:color="auto"/>
      </w:pBdr>
      <w:jc w:val="center"/>
      <w:rPr>
        <w:sz w:val="18"/>
        <w:szCs w:val="18"/>
      </w:rPr>
    </w:pPr>
  </w:p>
  <w:p w:rsidR="00725B05" w:rsidRDefault="00725B0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Pr="0033525D" w:rsidRDefault="00204EB2">
    <w:pPr>
      <w:jc w:val="center"/>
    </w:pPr>
    <w:r>
      <w:rPr>
        <w:noProof/>
      </w:rPr>
      <w:fldChar w:fldCharType="begin"/>
    </w:r>
    <w:r>
      <w:rPr>
        <w:noProof/>
      </w:rPr>
      <w:instrText xml:space="preserve"> PAGE </w:instrText>
    </w:r>
    <w:r>
      <w:rPr>
        <w:noProof/>
      </w:rPr>
      <w:fldChar w:fldCharType="separate"/>
    </w:r>
    <w:r w:rsidR="00725B0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Pr="0033525D" w:rsidRDefault="00204EB2">
    <w:pPr>
      <w:jc w:val="center"/>
    </w:pPr>
    <w:r>
      <w:rPr>
        <w:noProof/>
      </w:rPr>
      <w:fldChar w:fldCharType="begin"/>
    </w:r>
    <w:r>
      <w:rPr>
        <w:noProof/>
      </w:rPr>
      <w:instrText xml:space="preserve"> PAGE </w:instrText>
    </w:r>
    <w:r>
      <w:rPr>
        <w:noProof/>
      </w:rPr>
      <w:fldChar w:fldCharType="separate"/>
    </w:r>
    <w:r w:rsidR="00725B0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469977"/>
      <w:docPartObj>
        <w:docPartGallery w:val="Page Numbers (Bottom of Page)"/>
        <w:docPartUnique/>
      </w:docPartObj>
    </w:sdtPr>
    <w:sdtEndPr>
      <w:rPr>
        <w:noProof/>
      </w:rPr>
    </w:sdtEndPr>
    <w:sdtContent>
      <w:p w:rsidR="00725B05" w:rsidRDefault="00204EB2">
        <w:pPr>
          <w:pStyle w:val="Footer"/>
          <w:jc w:val="center"/>
        </w:pPr>
        <w:r>
          <w:rPr>
            <w:noProof/>
          </w:rPr>
          <w:fldChar w:fldCharType="begin"/>
        </w:r>
        <w:r>
          <w:rPr>
            <w:noProof/>
          </w:rPr>
          <w:instrText xml:space="preserve"> PAGE   \* MERGEFORMAT </w:instrText>
        </w:r>
        <w:r>
          <w:rPr>
            <w:noProof/>
          </w:rPr>
          <w:fldChar w:fldCharType="separate"/>
        </w:r>
        <w:r w:rsidR="00BB73E8">
          <w:rPr>
            <w:noProof/>
          </w:rPr>
          <w:t>1</w:t>
        </w:r>
        <w:r>
          <w:rPr>
            <w:noProof/>
          </w:rPr>
          <w:fldChar w:fldCharType="end"/>
        </w:r>
      </w:p>
    </w:sdtContent>
  </w:sdt>
  <w:p w:rsidR="00725B05" w:rsidRPr="00230DF1" w:rsidRDefault="00725B05" w:rsidP="00230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EB2" w:rsidRDefault="00204EB2" w:rsidP="008577F0">
      <w:pPr>
        <w:bidi/>
      </w:pPr>
      <w:r>
        <w:separator/>
      </w:r>
    </w:p>
  </w:footnote>
  <w:footnote w:type="continuationSeparator" w:id="0">
    <w:p w:rsidR="00204EB2" w:rsidRDefault="00204EB2" w:rsidP="004A504B">
      <w:r>
        <w:continuationSeparator/>
      </w:r>
    </w:p>
  </w:footnote>
  <w:footnote w:id="1">
    <w:p w:rsidR="00725B05" w:rsidRDefault="00725B05" w:rsidP="006A7435">
      <w:pPr>
        <w:pStyle w:val="FootnoteText"/>
        <w:bidi/>
        <w:rPr>
          <w:rFonts w:ascii="Times New Roman" w:hAnsi="Times New Roman" w:cs="Times New Roman"/>
          <w:rtl/>
          <w:lang w:bidi="ar-EG"/>
        </w:rPr>
      </w:pPr>
      <w:r>
        <w:rPr>
          <w:rStyle w:val="FootnoteReference"/>
        </w:rPr>
        <w:footnoteRef/>
      </w:r>
      <w:r>
        <w:rPr>
          <w:rFonts w:ascii="Times New Roman" w:hAnsi="Times New Roman" w:cs="Times New Roman" w:hint="cs"/>
          <w:rtl/>
          <w:lang w:bidi="ar-EG"/>
        </w:rPr>
        <w:t xml:space="preserve"> الوثيقة </w:t>
      </w:r>
      <w:r w:rsidRPr="00492814">
        <w:rPr>
          <w:rFonts w:ascii="Times New Roman" w:hAnsi="Times New Roman" w:cs="Times New Roman"/>
        </w:rPr>
        <w:t>UNEP/OzL.Pro/ExCom/82/13/Rev.1</w:t>
      </w:r>
      <w:r>
        <w:rPr>
          <w:rFonts w:ascii="Times New Roman" w:hAnsi="Times New Roman" w:cs="Times New Roman" w:hint="cs"/>
          <w:rtl/>
          <w:lang w:bidi="ar-EG"/>
        </w:rPr>
        <w:t>.</w:t>
      </w:r>
    </w:p>
    <w:p w:rsidR="00140059" w:rsidRDefault="00140059" w:rsidP="00140059">
      <w:pPr>
        <w:pStyle w:val="FootnoteText"/>
        <w:bidi/>
        <w:rPr>
          <w:rFonts w:ascii="Times New Roman" w:hAnsi="Times New Roman" w:cs="Times New Roman"/>
          <w:rtl/>
          <w:lang w:bidi="ar-EG"/>
        </w:rPr>
      </w:pPr>
    </w:p>
    <w:p w:rsidR="00140059" w:rsidRDefault="00140059" w:rsidP="00140059">
      <w:pPr>
        <w:pStyle w:val="FootnoteText"/>
        <w:bidi/>
        <w:rPr>
          <w:rFonts w:ascii="Times New Roman" w:hAnsi="Times New Roman" w:cs="Times New Roman"/>
          <w:rtl/>
          <w:lang w:bidi="ar-EG"/>
        </w:rPr>
      </w:pPr>
    </w:p>
    <w:p w:rsidR="00140059" w:rsidRPr="00492814" w:rsidRDefault="00140059" w:rsidP="00140059">
      <w:pPr>
        <w:pStyle w:val="FootnoteText"/>
        <w:bidi/>
        <w:rPr>
          <w:rFonts w:ascii="Times New Roman" w:hAnsi="Times New Roman" w:cs="Times New Roman"/>
          <w:rtl/>
          <w:lang w:bidi="ar-EG"/>
        </w:rPr>
      </w:pPr>
    </w:p>
  </w:footnote>
  <w:footnote w:id="2">
    <w:p w:rsidR="00725B05" w:rsidRPr="008F39BA" w:rsidRDefault="00725B05" w:rsidP="007B6FE6">
      <w:pPr>
        <w:pStyle w:val="FootnoteText"/>
        <w:bidi/>
        <w:rPr>
          <w:rFonts w:ascii="Times New Roman" w:hAnsi="Times New Roman" w:cs="Times New Roman"/>
        </w:rPr>
      </w:pPr>
      <w:r w:rsidRPr="007B6FE6">
        <w:rPr>
          <w:rStyle w:val="FootnoteReference"/>
          <w:rFonts w:ascii="Times New Roman" w:hAnsi="Times New Roman" w:cs="Times New Roman"/>
          <w:sz w:val="18"/>
          <w:szCs w:val="18"/>
        </w:rPr>
        <w:footnoteRef/>
      </w:r>
      <w:r w:rsidRPr="007B6FE6">
        <w:rPr>
          <w:rFonts w:ascii="Times New Roman" w:hAnsi="Times New Roman" w:cs="Times New Roman"/>
          <w:sz w:val="18"/>
          <w:szCs w:val="18"/>
        </w:rPr>
        <w:t xml:space="preserve"> </w:t>
      </w:r>
      <w:r w:rsidRPr="007B6FE6">
        <w:rPr>
          <w:rFonts w:ascii="Times New Roman" w:hAnsi="Times New Roman" w:cs="Times New Roman" w:hint="cs"/>
          <w:sz w:val="18"/>
          <w:szCs w:val="18"/>
          <w:rtl/>
        </w:rPr>
        <w:t xml:space="preserve"> رد على الاستبيان</w:t>
      </w:r>
      <w:r>
        <w:rPr>
          <w:rFonts w:ascii="Times New Roman" w:hAnsi="Times New Roman" w:cs="Times New Roman" w:hint="cs"/>
          <w:sz w:val="18"/>
          <w:szCs w:val="18"/>
          <w:rtl/>
        </w:rPr>
        <w:t xml:space="preserve"> 10 وحدات أوزون وطنية في أرمينيا وشيلي وكوستاريكا، واكوادور، ومصر، وغواتيمالا، والمكسيك، ونيجيريا، وتايلند، وفانو</w:t>
      </w:r>
      <w:r w:rsidR="005C6307">
        <w:rPr>
          <w:rFonts w:ascii="Times New Roman" w:hAnsi="Times New Roman" w:cs="Times New Roman" w:hint="cs"/>
          <w:sz w:val="18"/>
          <w:szCs w:val="18"/>
          <w:rtl/>
        </w:rPr>
        <w:t>ا</w:t>
      </w:r>
      <w:r>
        <w:rPr>
          <w:rFonts w:ascii="Times New Roman" w:hAnsi="Times New Roman" w:cs="Times New Roman" w:hint="cs"/>
          <w:sz w:val="18"/>
          <w:szCs w:val="18"/>
          <w:rtl/>
        </w:rPr>
        <w:t>تو ووكالة منفذة واحدة اليونيدو.</w:t>
      </w:r>
    </w:p>
  </w:footnote>
  <w:footnote w:id="3">
    <w:p w:rsidR="00725B05" w:rsidRPr="000A7A3E" w:rsidRDefault="00725B05" w:rsidP="001E12BC">
      <w:pPr>
        <w:shd w:val="clear" w:color="auto" w:fill="FFFFFF" w:themeFill="background1"/>
        <w:bidi/>
        <w:contextualSpacing/>
        <w:rPr>
          <w:sz w:val="18"/>
          <w:szCs w:val="18"/>
        </w:rPr>
      </w:pPr>
      <w:r w:rsidRPr="000A7A3E">
        <w:rPr>
          <w:rStyle w:val="FootnoteReference"/>
          <w:sz w:val="18"/>
          <w:szCs w:val="18"/>
        </w:rPr>
        <w:footnoteRef/>
      </w:r>
      <w:r w:rsidRPr="000A7A3E">
        <w:rPr>
          <w:sz w:val="18"/>
          <w:szCs w:val="18"/>
        </w:rPr>
        <w:t xml:space="preserve"> </w:t>
      </w:r>
      <w:r w:rsidRPr="000A7A3E">
        <w:rPr>
          <w:rFonts w:hint="cs"/>
          <w:sz w:val="18"/>
          <w:szCs w:val="18"/>
          <w:rtl/>
        </w:rPr>
        <w:t xml:space="preserve"> الوثيقة </w:t>
      </w:r>
      <w:r w:rsidRPr="000A7A3E">
        <w:rPr>
          <w:sz w:val="18"/>
          <w:szCs w:val="18"/>
        </w:rPr>
        <w:t>UNEP/Ozl.Pro/ExCom/56/8</w:t>
      </w:r>
      <w:r w:rsidRPr="000A7A3E">
        <w:rPr>
          <w:rFonts w:hint="cs"/>
          <w:sz w:val="18"/>
          <w:szCs w:val="18"/>
          <w:rtl/>
        </w:rPr>
        <w:t>.</w:t>
      </w:r>
    </w:p>
  </w:footnote>
  <w:footnote w:id="4">
    <w:p w:rsidR="00725B05" w:rsidRPr="000A7A3E" w:rsidRDefault="00725B05" w:rsidP="003608EE">
      <w:pPr>
        <w:pStyle w:val="FootnoteText"/>
        <w:shd w:val="clear" w:color="auto" w:fill="FFFFFF" w:themeFill="background1"/>
        <w:bidi/>
        <w:contextualSpacing/>
        <w:rPr>
          <w:rFonts w:ascii="Times New Roman" w:hAnsi="Times New Roman" w:cs="Times New Roman"/>
          <w:sz w:val="18"/>
          <w:szCs w:val="18"/>
          <w:lang w:val="en-US"/>
        </w:rPr>
      </w:pPr>
      <w:r w:rsidRPr="000A7A3E">
        <w:rPr>
          <w:rStyle w:val="FootnoteReference"/>
          <w:rFonts w:ascii="Times New Roman" w:hAnsi="Times New Roman" w:cs="Times New Roman"/>
          <w:sz w:val="18"/>
          <w:szCs w:val="18"/>
        </w:rPr>
        <w:footnoteRef/>
      </w:r>
      <w:r w:rsidRPr="000A7A3E">
        <w:rPr>
          <w:rFonts w:ascii="Times New Roman" w:hAnsi="Times New Roman" w:cs="Times New Roman"/>
          <w:sz w:val="18"/>
          <w:szCs w:val="18"/>
        </w:rPr>
        <w:t xml:space="preserve"> </w:t>
      </w:r>
      <w:r w:rsidRPr="000A7A3E">
        <w:rPr>
          <w:rFonts w:ascii="Times New Roman" w:hAnsi="Times New Roman" w:cs="Times New Roman" w:hint="cs"/>
          <w:sz w:val="18"/>
          <w:szCs w:val="18"/>
          <w:rtl/>
          <w:lang w:val="en-US"/>
        </w:rPr>
        <w:t xml:space="preserve"> </w:t>
      </w:r>
      <w:r w:rsidRPr="000A7A3E">
        <w:rPr>
          <w:rFonts w:ascii="Times New Roman" w:hAnsi="Times New Roman" w:cs="Times New Roman"/>
          <w:sz w:val="18"/>
          <w:szCs w:val="18"/>
          <w:rtl/>
        </w:rPr>
        <w:t xml:space="preserve">المرفق السادس بالوثيقة </w:t>
      </w:r>
      <w:r w:rsidRPr="000A7A3E">
        <w:rPr>
          <w:rFonts w:ascii="Times New Roman" w:hAnsi="Times New Roman" w:cs="Times New Roman"/>
          <w:sz w:val="18"/>
          <w:szCs w:val="18"/>
        </w:rPr>
        <w:t>UNEP / Ozl.Pro / ExCom / 56/8</w:t>
      </w:r>
      <w:r w:rsidRPr="000A7A3E">
        <w:rPr>
          <w:rFonts w:ascii="Times New Roman" w:hAnsi="Times New Roman" w:cs="Times New Roman" w:hint="cs"/>
          <w:sz w:val="18"/>
          <w:szCs w:val="18"/>
          <w:rtl/>
        </w:rPr>
        <w:t>.</w:t>
      </w:r>
    </w:p>
  </w:footnote>
  <w:footnote w:id="5">
    <w:p w:rsidR="00725B05" w:rsidRPr="000A7A3E" w:rsidRDefault="00725B05" w:rsidP="000A7A3E">
      <w:pPr>
        <w:pStyle w:val="FootnoteText"/>
        <w:bidi/>
        <w:rPr>
          <w:sz w:val="18"/>
          <w:szCs w:val="18"/>
        </w:rPr>
      </w:pPr>
      <w:r w:rsidRPr="000A7A3E">
        <w:rPr>
          <w:rStyle w:val="FootnoteReference"/>
          <w:sz w:val="18"/>
          <w:szCs w:val="18"/>
        </w:rPr>
        <w:footnoteRef/>
      </w:r>
      <w:r w:rsidRPr="000A7A3E">
        <w:rPr>
          <w:sz w:val="18"/>
          <w:szCs w:val="18"/>
        </w:rPr>
        <w:t xml:space="preserve"> </w:t>
      </w:r>
      <w:r w:rsidRPr="000A7A3E">
        <w:rPr>
          <w:rFonts w:hint="cs"/>
          <w:sz w:val="18"/>
          <w:szCs w:val="18"/>
          <w:rtl/>
        </w:rPr>
        <w:t xml:space="preserve"> يتمثل مثال جيد على هذه التعاون قدمته المكسيك حيث فرض حظر على الواردات من بروميد الميثيل للاستخدامات الخاضعة للرقابة منذ عام 2014.</w:t>
      </w:r>
    </w:p>
  </w:footnote>
  <w:footnote w:id="6">
    <w:p w:rsidR="00725B05" w:rsidRPr="000A7A3E" w:rsidRDefault="00725B05" w:rsidP="000A7A3E">
      <w:pPr>
        <w:autoSpaceDE w:val="0"/>
        <w:autoSpaceDN w:val="0"/>
        <w:bidi/>
        <w:adjustRightInd w:val="0"/>
        <w:rPr>
          <w:sz w:val="18"/>
          <w:szCs w:val="18"/>
        </w:rPr>
      </w:pPr>
      <w:r w:rsidRPr="000A7A3E">
        <w:rPr>
          <w:rStyle w:val="FootnoteReference"/>
          <w:sz w:val="18"/>
          <w:szCs w:val="18"/>
        </w:rPr>
        <w:footnoteRef/>
      </w:r>
      <w:r w:rsidRPr="000A7A3E">
        <w:rPr>
          <w:sz w:val="18"/>
          <w:szCs w:val="18"/>
        </w:rPr>
        <w:t xml:space="preserve"> </w:t>
      </w:r>
      <w:r w:rsidRPr="000A7A3E">
        <w:rPr>
          <w:rFonts w:hint="cs"/>
          <w:sz w:val="18"/>
          <w:szCs w:val="18"/>
          <w:rtl/>
        </w:rPr>
        <w:t xml:space="preserve"> المرفق الأول من الوثيقة </w:t>
      </w:r>
      <w:r w:rsidRPr="000A7A3E">
        <w:rPr>
          <w:sz w:val="18"/>
          <w:szCs w:val="18"/>
        </w:rPr>
        <w:t>UNEP/OzL.Pro/ExCom/47/21</w:t>
      </w:r>
      <w:r w:rsidRPr="000A7A3E">
        <w:rPr>
          <w:rFonts w:hint="cs"/>
          <w:sz w:val="18"/>
          <w:szCs w:val="18"/>
          <w:rtl/>
        </w:rPr>
        <w:t>.</w:t>
      </w:r>
    </w:p>
  </w:footnote>
  <w:footnote w:id="7">
    <w:p w:rsidR="00725B05" w:rsidRPr="000A7A3E" w:rsidRDefault="00725B05" w:rsidP="00CF7C95">
      <w:pPr>
        <w:bidi/>
        <w:rPr>
          <w:sz w:val="18"/>
          <w:szCs w:val="18"/>
          <w:lang w:val="en-US"/>
        </w:rPr>
      </w:pPr>
      <w:r w:rsidRPr="000A7A3E">
        <w:rPr>
          <w:rStyle w:val="FootnoteReference"/>
          <w:sz w:val="18"/>
          <w:szCs w:val="18"/>
        </w:rPr>
        <w:footnoteRef/>
      </w:r>
      <w:r w:rsidRPr="000A7A3E">
        <w:rPr>
          <w:sz w:val="18"/>
          <w:szCs w:val="18"/>
        </w:rPr>
        <w:t xml:space="preserve"> </w:t>
      </w:r>
      <w:r w:rsidRPr="000A7A3E">
        <w:rPr>
          <w:rFonts w:hint="cs"/>
          <w:sz w:val="18"/>
          <w:szCs w:val="18"/>
          <w:rtl/>
        </w:rPr>
        <w:t xml:space="preserve"> الوثيقة </w:t>
      </w:r>
      <w:r w:rsidRPr="000A7A3E">
        <w:rPr>
          <w:sz w:val="18"/>
          <w:szCs w:val="18"/>
        </w:rPr>
        <w:t>UNEP</w:t>
      </w:r>
      <w:r w:rsidRPr="000A7A3E">
        <w:rPr>
          <w:sz w:val="18"/>
          <w:szCs w:val="18"/>
          <w:lang w:val="en-CA"/>
        </w:rPr>
        <w:t>/OzL.Pro/ExCom/61/33</w:t>
      </w:r>
      <w:r w:rsidRPr="000A7A3E">
        <w:rPr>
          <w:rFonts w:hint="cs"/>
          <w:sz w:val="18"/>
          <w:szCs w:val="18"/>
          <w:rtl/>
        </w:rPr>
        <w:t>.</w:t>
      </w:r>
    </w:p>
  </w:footnote>
  <w:footnote w:id="8">
    <w:p w:rsidR="00725B05" w:rsidRPr="000A7A3E" w:rsidRDefault="00725B05" w:rsidP="00CF7C95">
      <w:pPr>
        <w:pStyle w:val="FootnoteText"/>
        <w:bidi/>
        <w:rPr>
          <w:rFonts w:ascii="Times New Roman" w:hAnsi="Times New Roman" w:cs="Times New Roman"/>
          <w:sz w:val="18"/>
          <w:szCs w:val="18"/>
        </w:rPr>
      </w:pPr>
      <w:r w:rsidRPr="000A7A3E">
        <w:rPr>
          <w:rStyle w:val="FootnoteReference"/>
          <w:rFonts w:ascii="Times New Roman" w:hAnsi="Times New Roman" w:cs="Times New Roman"/>
          <w:sz w:val="18"/>
          <w:szCs w:val="18"/>
        </w:rPr>
        <w:footnoteRef/>
      </w:r>
      <w:r w:rsidRPr="000A7A3E">
        <w:rPr>
          <w:rFonts w:ascii="Times New Roman" w:hAnsi="Times New Roman" w:cs="Times New Roman"/>
          <w:sz w:val="18"/>
          <w:szCs w:val="18"/>
        </w:rPr>
        <w:t xml:space="preserve"> </w:t>
      </w:r>
      <w:r w:rsidRPr="000A7A3E">
        <w:rPr>
          <w:rFonts w:ascii="Times New Roman" w:hAnsi="Times New Roman" w:cs="Times New Roman" w:hint="cs"/>
          <w:sz w:val="18"/>
          <w:szCs w:val="18"/>
          <w:rtl/>
        </w:rPr>
        <w:t xml:space="preserve"> </w:t>
      </w:r>
      <w:r w:rsidRPr="000A7A3E">
        <w:rPr>
          <w:rFonts w:hint="cs"/>
          <w:sz w:val="18"/>
          <w:szCs w:val="18"/>
          <w:rtl/>
        </w:rPr>
        <w:t xml:space="preserve">الوثيقة </w:t>
      </w:r>
      <w:r w:rsidRPr="000A7A3E">
        <w:rPr>
          <w:rFonts w:ascii="Times New Roman" w:hAnsi="Times New Roman" w:cs="Times New Roman"/>
          <w:sz w:val="18"/>
          <w:szCs w:val="18"/>
        </w:rPr>
        <w:t>UNEP/OzL.Pro/ExCom/56/8</w:t>
      </w:r>
      <w:r w:rsidRPr="000A7A3E">
        <w:rPr>
          <w:rFonts w:hint="cs"/>
          <w:sz w:val="18"/>
          <w:szCs w:val="18"/>
          <w:rtl/>
        </w:rPr>
        <w:t>.</w:t>
      </w:r>
    </w:p>
  </w:footnote>
  <w:footnote w:id="9">
    <w:p w:rsidR="00725B05" w:rsidRPr="00240034" w:rsidRDefault="00725B05" w:rsidP="00465140">
      <w:pPr>
        <w:bidi/>
        <w:rPr>
          <w:sz w:val="20"/>
          <w:szCs w:val="20"/>
        </w:rPr>
      </w:pPr>
      <w:r w:rsidRPr="00240034">
        <w:rPr>
          <w:rStyle w:val="FootnoteReference"/>
          <w:sz w:val="20"/>
          <w:szCs w:val="20"/>
        </w:rPr>
        <w:footnoteRef/>
      </w:r>
      <w:r>
        <w:rPr>
          <w:sz w:val="20"/>
          <w:szCs w:val="20"/>
        </w:rPr>
        <w:t xml:space="preserve"> </w:t>
      </w:r>
      <w:r>
        <w:rPr>
          <w:rFonts w:hint="cs"/>
          <w:sz w:val="20"/>
          <w:szCs w:val="20"/>
          <w:rtl/>
        </w:rPr>
        <w:t xml:space="preserve"> الوثيقتان </w:t>
      </w:r>
      <w:r>
        <w:rPr>
          <w:sz w:val="20"/>
          <w:szCs w:val="20"/>
        </w:rPr>
        <w:t xml:space="preserve">UNEP/OzL.Pro/ExCom/68/11 </w:t>
      </w:r>
      <w:r>
        <w:rPr>
          <w:rFonts w:hint="cs"/>
          <w:sz w:val="20"/>
          <w:szCs w:val="20"/>
          <w:rtl/>
        </w:rPr>
        <w:t xml:space="preserve"> و</w:t>
      </w:r>
      <w:r>
        <w:rPr>
          <w:sz w:val="20"/>
          <w:szCs w:val="20"/>
        </w:rPr>
        <w:t>UNEP/OzL.Pro/ExCom/42/39/Add.1</w:t>
      </w:r>
      <w:r>
        <w:rPr>
          <w:rFonts w:hint="cs"/>
          <w:sz w:val="20"/>
          <w:szCs w:val="20"/>
          <w:rtl/>
        </w:rPr>
        <w:t>.</w:t>
      </w:r>
    </w:p>
  </w:footnote>
  <w:footnote w:id="10">
    <w:p w:rsidR="00725B05" w:rsidRPr="00240034" w:rsidRDefault="00725B05" w:rsidP="00C93C7A">
      <w:pPr>
        <w:bidi/>
        <w:jc w:val="left"/>
        <w:rPr>
          <w:sz w:val="20"/>
          <w:szCs w:val="20"/>
        </w:rPr>
      </w:pPr>
      <w:r w:rsidRPr="00240034">
        <w:rPr>
          <w:rStyle w:val="FootnoteReference"/>
          <w:sz w:val="20"/>
          <w:szCs w:val="20"/>
        </w:rPr>
        <w:footnoteRef/>
      </w:r>
      <w:r>
        <w:rPr>
          <w:sz w:val="20"/>
          <w:szCs w:val="20"/>
        </w:rPr>
        <w:t xml:space="preserve"> </w:t>
      </w:r>
      <w:r>
        <w:rPr>
          <w:rFonts w:hint="cs"/>
          <w:sz w:val="20"/>
          <w:szCs w:val="20"/>
          <w:rtl/>
        </w:rPr>
        <w:t xml:space="preserve"> الوثيقة </w:t>
      </w:r>
      <w:r>
        <w:rPr>
          <w:sz w:val="20"/>
          <w:szCs w:val="20"/>
        </w:rPr>
        <w:t>UNEP/OzL.Pro/ExCom/82/63</w:t>
      </w:r>
      <w:r>
        <w:rPr>
          <w:rFonts w:hint="cs"/>
          <w:sz w:val="20"/>
          <w:szCs w:val="20"/>
          <w:rtl/>
        </w:rPr>
        <w:t>.</w:t>
      </w:r>
    </w:p>
  </w:footnote>
  <w:footnote w:id="11">
    <w:p w:rsidR="00725B05" w:rsidRPr="00B75815" w:rsidRDefault="00725B05" w:rsidP="005C6307">
      <w:pPr>
        <w:widowControl w:val="0"/>
        <w:bidi/>
        <w:jc w:val="left"/>
        <w:rPr>
          <w:szCs w:val="24"/>
          <w:lang w:val="en-US"/>
        </w:rPr>
      </w:pPr>
      <w:r>
        <w:rPr>
          <w:rStyle w:val="FootnoteReference"/>
        </w:rPr>
        <w:footnoteRef/>
      </w:r>
      <w:r>
        <w:t xml:space="preserve"> </w:t>
      </w:r>
      <w:r>
        <w:rPr>
          <w:rFonts w:hint="cs"/>
          <w:rtl/>
        </w:rPr>
        <w:t xml:space="preserve"> </w:t>
      </w:r>
      <w:r>
        <w:rPr>
          <w:rFonts w:hint="cs"/>
          <w:sz w:val="20"/>
          <w:szCs w:val="20"/>
          <w:rtl/>
        </w:rPr>
        <w:t xml:space="preserve">الوثيقتان </w:t>
      </w:r>
      <w:r w:rsidRPr="00D92A16">
        <w:rPr>
          <w:sz w:val="20"/>
          <w:szCs w:val="20"/>
          <w:lang w:val="en-US"/>
        </w:rPr>
        <w:t>MLF/IACM.2018/1/24</w:t>
      </w:r>
      <w:r>
        <w:rPr>
          <w:sz w:val="20"/>
          <w:szCs w:val="20"/>
          <w:lang w:val="en-US"/>
        </w:rPr>
        <w:t xml:space="preserve"> </w:t>
      </w:r>
      <w:r>
        <w:rPr>
          <w:rFonts w:hint="cs"/>
          <w:sz w:val="20"/>
          <w:szCs w:val="20"/>
          <w:rtl/>
          <w:lang w:val="en-US"/>
        </w:rPr>
        <w:t xml:space="preserve"> و</w:t>
      </w:r>
      <w:r>
        <w:rPr>
          <w:sz w:val="20"/>
          <w:szCs w:val="20"/>
          <w:lang w:val="en-US"/>
        </w:rPr>
        <w:t xml:space="preserve"> </w:t>
      </w:r>
      <w:r w:rsidRPr="00224D45">
        <w:rPr>
          <w:sz w:val="20"/>
        </w:rPr>
        <w:t>UNEP/OzL.Pro/ExCom/81/6</w:t>
      </w:r>
      <w:r w:rsidR="005C6307">
        <w:rPr>
          <w:rFonts w:hint="cs"/>
          <w:sz w:val="20"/>
          <w:rtl/>
        </w:rPr>
        <w:t>و</w:t>
      </w:r>
      <w:r w:rsidRPr="00224D45">
        <w:rPr>
          <w:sz w:val="20"/>
        </w:rPr>
        <w:t xml:space="preserve"> Corr.1</w:t>
      </w:r>
      <w:r>
        <w:rPr>
          <w:rFonts w:hint="cs"/>
          <w:sz w:val="20"/>
          <w:szCs w:val="20"/>
          <w:rtl/>
        </w:rPr>
        <w:t>.</w:t>
      </w:r>
    </w:p>
  </w:footnote>
  <w:footnote w:id="12">
    <w:p w:rsidR="00725B05" w:rsidRPr="00AE0C07" w:rsidRDefault="00725B05" w:rsidP="00C93C7A">
      <w:pPr>
        <w:pStyle w:val="FootnoteText"/>
        <w:bidi/>
        <w:rPr>
          <w:sz w:val="18"/>
          <w:szCs w:val="18"/>
        </w:rPr>
      </w:pPr>
      <w:r w:rsidRPr="00AE0C07">
        <w:rPr>
          <w:rStyle w:val="FootnoteReference"/>
          <w:sz w:val="18"/>
          <w:szCs w:val="18"/>
        </w:rPr>
        <w:footnoteRef/>
      </w:r>
      <w:r w:rsidRPr="00AE0C07">
        <w:rPr>
          <w:sz w:val="18"/>
          <w:szCs w:val="18"/>
        </w:rPr>
        <w:t xml:space="preserve"> </w:t>
      </w:r>
      <w:r w:rsidRPr="00AE0C07">
        <w:rPr>
          <w:rFonts w:hint="cs"/>
          <w:sz w:val="18"/>
          <w:szCs w:val="18"/>
          <w:rtl/>
        </w:rPr>
        <w:t xml:space="preserve"> الوثيقة </w:t>
      </w:r>
      <w:r w:rsidRPr="00AE0C07">
        <w:rPr>
          <w:rFonts w:ascii="Times New Roman" w:hAnsi="Times New Roman" w:cs="Times New Roman"/>
          <w:sz w:val="18"/>
          <w:szCs w:val="18"/>
          <w:lang w:val="en-US"/>
        </w:rPr>
        <w:t>UNEP/OzL.Pro/ExCom/84/24</w:t>
      </w:r>
      <w:r w:rsidRPr="00AE0C07">
        <w:rPr>
          <w:rFonts w:hint="cs"/>
          <w:sz w:val="18"/>
          <w:szCs w:val="18"/>
          <w:rtl/>
        </w:rPr>
        <w:t>.</w:t>
      </w:r>
    </w:p>
  </w:footnote>
  <w:footnote w:id="13">
    <w:p w:rsidR="00725B05" w:rsidRPr="00AE0C07" w:rsidRDefault="00725B05" w:rsidP="006C6510">
      <w:pPr>
        <w:bidi/>
        <w:rPr>
          <w:sz w:val="18"/>
          <w:szCs w:val="18"/>
        </w:rPr>
      </w:pPr>
      <w:r w:rsidRPr="00AE0C07">
        <w:rPr>
          <w:rStyle w:val="FootnoteReference"/>
          <w:sz w:val="18"/>
          <w:szCs w:val="18"/>
        </w:rPr>
        <w:footnoteRef/>
      </w:r>
      <w:r w:rsidRPr="00AE0C07">
        <w:rPr>
          <w:rFonts w:hint="cs"/>
          <w:sz w:val="18"/>
          <w:szCs w:val="18"/>
          <w:rtl/>
        </w:rPr>
        <w:t xml:space="preserve">  الوثيقة </w:t>
      </w:r>
      <w:r w:rsidRPr="00AE0C07">
        <w:rPr>
          <w:sz w:val="18"/>
          <w:szCs w:val="18"/>
        </w:rPr>
        <w:t>UNEP/OzL.Pro/ExCom/74/9</w:t>
      </w:r>
      <w:r w:rsidRPr="00AE0C07">
        <w:rPr>
          <w:rFonts w:hint="cs"/>
          <w:sz w:val="18"/>
          <w:szCs w:val="18"/>
          <w:rtl/>
        </w:rPr>
        <w:t>.</w:t>
      </w:r>
    </w:p>
  </w:footnote>
  <w:footnote w:id="14">
    <w:p w:rsidR="00725B05" w:rsidRPr="00AE0C07" w:rsidRDefault="00725B05" w:rsidP="006C6510">
      <w:pPr>
        <w:pStyle w:val="FootnoteText"/>
        <w:bidi/>
        <w:rPr>
          <w:rFonts w:ascii="Times New Roman" w:hAnsi="Times New Roman" w:cs="Times New Roman"/>
          <w:sz w:val="18"/>
          <w:szCs w:val="18"/>
          <w:lang w:val="en-US"/>
        </w:rPr>
      </w:pPr>
      <w:r w:rsidRPr="00AE0C07">
        <w:rPr>
          <w:rStyle w:val="FootnoteReference"/>
          <w:rFonts w:ascii="Times New Roman" w:hAnsi="Times New Roman" w:cs="Times New Roman"/>
          <w:sz w:val="18"/>
          <w:szCs w:val="18"/>
        </w:rPr>
        <w:footnoteRef/>
      </w:r>
      <w:r w:rsidRPr="00AE0C07">
        <w:rPr>
          <w:rFonts w:ascii="Times New Roman" w:hAnsi="Times New Roman" w:cs="Times New Roman" w:hint="cs"/>
          <w:sz w:val="18"/>
          <w:szCs w:val="18"/>
          <w:rtl/>
          <w:lang w:val="en-US"/>
        </w:rPr>
        <w:t xml:space="preserve">  </w:t>
      </w:r>
      <w:r w:rsidRPr="00AE0C07">
        <w:rPr>
          <w:rFonts w:hint="cs"/>
          <w:sz w:val="18"/>
          <w:szCs w:val="18"/>
          <w:rtl/>
        </w:rPr>
        <w:t xml:space="preserve">الوثيقة </w:t>
      </w:r>
      <w:r w:rsidRPr="00AE0C07">
        <w:rPr>
          <w:rFonts w:ascii="Times New Roman" w:hAnsi="Times New Roman" w:cs="Times New Roman"/>
          <w:sz w:val="18"/>
          <w:szCs w:val="18"/>
          <w:lang w:val="en-US"/>
        </w:rPr>
        <w:t>UNEP/OzL.Pro/ExCom/83/38</w:t>
      </w:r>
      <w:r w:rsidRPr="00AE0C07">
        <w:rPr>
          <w:rFonts w:hint="cs"/>
          <w:sz w:val="18"/>
          <w:szCs w:val="18"/>
          <w:rtl/>
        </w:rPr>
        <w:t>.</w:t>
      </w:r>
    </w:p>
  </w:footnote>
  <w:footnote w:id="15">
    <w:p w:rsidR="00725B05" w:rsidRPr="00AE0C07" w:rsidRDefault="00725B05" w:rsidP="00326BE5">
      <w:pPr>
        <w:pStyle w:val="FootnoteText"/>
        <w:bidi/>
        <w:rPr>
          <w:rFonts w:ascii="Times New Roman" w:hAnsi="Times New Roman" w:cs="Times New Roman"/>
          <w:sz w:val="18"/>
          <w:szCs w:val="18"/>
        </w:rPr>
      </w:pPr>
      <w:r w:rsidRPr="00AE0C07">
        <w:rPr>
          <w:rStyle w:val="FootnoteReference"/>
          <w:rFonts w:ascii="Times New Roman" w:hAnsi="Times New Roman" w:cs="Times New Roman"/>
          <w:sz w:val="18"/>
          <w:szCs w:val="18"/>
        </w:rPr>
        <w:footnoteRef/>
      </w:r>
      <w:r w:rsidRPr="00AE0C07">
        <w:rPr>
          <w:rFonts w:ascii="Times New Roman" w:hAnsi="Times New Roman" w:cs="Times New Roman"/>
          <w:sz w:val="18"/>
          <w:szCs w:val="18"/>
        </w:rPr>
        <w:t xml:space="preserve"> </w:t>
      </w:r>
      <w:r w:rsidRPr="00AE0C07">
        <w:rPr>
          <w:rFonts w:ascii="Times New Roman" w:hAnsi="Times New Roman" w:cs="Times New Roman" w:hint="cs"/>
          <w:sz w:val="18"/>
          <w:szCs w:val="18"/>
          <w:rtl/>
        </w:rPr>
        <w:t xml:space="preserve"> </w:t>
      </w:r>
      <w:r w:rsidRPr="00AE0C07">
        <w:rPr>
          <w:rFonts w:hint="cs"/>
          <w:sz w:val="18"/>
          <w:szCs w:val="18"/>
          <w:rtl/>
        </w:rPr>
        <w:t xml:space="preserve">الوثيقتان </w:t>
      </w:r>
      <w:r w:rsidRPr="00AE0C07">
        <w:rPr>
          <w:rFonts w:ascii="Times New Roman" w:hAnsi="Times New Roman" w:cs="Times New Roman"/>
          <w:sz w:val="18"/>
          <w:szCs w:val="18"/>
        </w:rPr>
        <w:t xml:space="preserve">UNEP/OzL.Pro/ExCom/56/8 </w:t>
      </w:r>
      <w:r w:rsidRPr="00AE0C07">
        <w:rPr>
          <w:rFonts w:ascii="Times New Roman" w:hAnsi="Times New Roman" w:cs="Times New Roman" w:hint="cs"/>
          <w:sz w:val="18"/>
          <w:szCs w:val="18"/>
          <w:rtl/>
        </w:rPr>
        <w:t xml:space="preserve"> و</w:t>
      </w:r>
      <w:r w:rsidRPr="00AE0C07">
        <w:rPr>
          <w:rFonts w:ascii="Times New Roman" w:hAnsi="Times New Roman" w:cs="Times New Roman"/>
          <w:sz w:val="18"/>
          <w:szCs w:val="18"/>
        </w:rPr>
        <w:t xml:space="preserve"> UNEP/OzL.Pro/ExCom/74/51</w:t>
      </w:r>
      <w:r w:rsidRPr="00AE0C07">
        <w:rPr>
          <w:rFonts w:hint="cs"/>
          <w:sz w:val="18"/>
          <w:szCs w:val="18"/>
          <w:rtl/>
        </w:rPr>
        <w:t>.</w:t>
      </w:r>
    </w:p>
  </w:footnote>
  <w:footnote w:id="16">
    <w:p w:rsidR="00725B05" w:rsidRPr="00AE0C07" w:rsidRDefault="00725B05" w:rsidP="00326BE5">
      <w:pPr>
        <w:pStyle w:val="FootnoteText"/>
        <w:bidi/>
        <w:rPr>
          <w:sz w:val="18"/>
          <w:szCs w:val="18"/>
        </w:rPr>
      </w:pPr>
      <w:r w:rsidRPr="00AE0C07">
        <w:rPr>
          <w:rStyle w:val="FootnoteReference"/>
          <w:sz w:val="18"/>
          <w:szCs w:val="18"/>
        </w:rPr>
        <w:footnoteRef/>
      </w:r>
      <w:r w:rsidRPr="00AE0C07">
        <w:rPr>
          <w:rFonts w:ascii="Times New Roman" w:hAnsi="Times New Roman" w:cs="Times New Roman" w:hint="cs"/>
          <w:sz w:val="18"/>
          <w:szCs w:val="18"/>
          <w:rtl/>
          <w:lang w:val="en-US"/>
        </w:rPr>
        <w:t xml:space="preserve">  </w:t>
      </w:r>
      <w:r w:rsidRPr="00AE0C07">
        <w:rPr>
          <w:rFonts w:hint="cs"/>
          <w:sz w:val="18"/>
          <w:szCs w:val="18"/>
          <w:rtl/>
        </w:rPr>
        <w:t xml:space="preserve">الوثيقة </w:t>
      </w:r>
      <w:r w:rsidRPr="00AE0C07">
        <w:rPr>
          <w:rFonts w:ascii="Times New Roman" w:hAnsi="Times New Roman" w:cs="Times New Roman"/>
          <w:sz w:val="18"/>
          <w:szCs w:val="18"/>
          <w:lang w:val="en-US"/>
        </w:rPr>
        <w:t>UNEP/OzL.Pro/ExCom/83/38</w:t>
      </w:r>
      <w:r w:rsidRPr="00AE0C07">
        <w:rPr>
          <w:rFonts w:hint="cs"/>
          <w:sz w:val="18"/>
          <w:szCs w:val="18"/>
          <w:rtl/>
        </w:rPr>
        <w:t>.</w:t>
      </w:r>
    </w:p>
  </w:footnote>
  <w:footnote w:id="17">
    <w:p w:rsidR="00725B05" w:rsidRPr="00AE0C07" w:rsidRDefault="00725B05" w:rsidP="001C3A40">
      <w:pPr>
        <w:autoSpaceDE w:val="0"/>
        <w:autoSpaceDN w:val="0"/>
        <w:bidi/>
        <w:adjustRightInd w:val="0"/>
        <w:rPr>
          <w:rFonts w:ascii="Arial" w:hAnsi="Arial" w:cs="Arial"/>
          <w:sz w:val="18"/>
          <w:szCs w:val="18"/>
        </w:rPr>
      </w:pPr>
      <w:r w:rsidRPr="00AE0C07">
        <w:rPr>
          <w:rStyle w:val="FootnoteReference"/>
          <w:sz w:val="18"/>
          <w:szCs w:val="18"/>
        </w:rPr>
        <w:footnoteRef/>
      </w:r>
      <w:r w:rsidRPr="00AE0C07">
        <w:rPr>
          <w:rFonts w:hint="cs"/>
          <w:sz w:val="18"/>
          <w:szCs w:val="18"/>
          <w:rtl/>
        </w:rPr>
        <w:t xml:space="preserve">  الوثيقة </w:t>
      </w:r>
      <w:r w:rsidRPr="00AE0C07">
        <w:rPr>
          <w:sz w:val="18"/>
          <w:szCs w:val="18"/>
        </w:rPr>
        <w:t>UNEP/OzL.Pro/ExCom/47/21</w:t>
      </w:r>
      <w:r w:rsidRPr="00AE0C07">
        <w:rPr>
          <w:rFonts w:hint="cs"/>
          <w:sz w:val="18"/>
          <w:szCs w:val="18"/>
          <w:rtl/>
        </w:rPr>
        <w:t>.</w:t>
      </w:r>
    </w:p>
  </w:footnote>
  <w:footnote w:id="18">
    <w:p w:rsidR="00725B05" w:rsidRPr="00AE0C07" w:rsidRDefault="00725B05" w:rsidP="00BD4968">
      <w:pPr>
        <w:pStyle w:val="FootnoteText"/>
        <w:bidi/>
        <w:rPr>
          <w:rFonts w:ascii="Times New Roman" w:hAnsi="Times New Roman" w:cs="Times New Roman"/>
          <w:sz w:val="18"/>
          <w:szCs w:val="18"/>
          <w:lang w:val="en-US"/>
        </w:rPr>
      </w:pPr>
      <w:r w:rsidRPr="00AE0C07">
        <w:rPr>
          <w:rStyle w:val="FootnoteReference"/>
          <w:rFonts w:ascii="Times New Roman" w:hAnsi="Times New Roman" w:cs="Times New Roman"/>
          <w:sz w:val="18"/>
          <w:szCs w:val="18"/>
        </w:rPr>
        <w:footnoteRef/>
      </w:r>
      <w:r w:rsidRPr="00AE0C07">
        <w:rPr>
          <w:rFonts w:ascii="Times New Roman" w:hAnsi="Times New Roman" w:cs="Times New Roman" w:hint="cs"/>
          <w:sz w:val="18"/>
          <w:szCs w:val="18"/>
          <w:rtl/>
        </w:rPr>
        <w:t xml:space="preserve">  </w:t>
      </w:r>
      <w:r w:rsidRPr="00AE0C07">
        <w:rPr>
          <w:rFonts w:hint="cs"/>
          <w:sz w:val="18"/>
          <w:szCs w:val="18"/>
          <w:rtl/>
        </w:rPr>
        <w:t xml:space="preserve">الوثيقة </w:t>
      </w:r>
      <w:r w:rsidRPr="00AE0C07">
        <w:rPr>
          <w:rFonts w:ascii="Times New Roman" w:hAnsi="Times New Roman" w:cs="Times New Roman"/>
          <w:sz w:val="18"/>
          <w:szCs w:val="18"/>
        </w:rPr>
        <w:t>UNEP/OzL.Pro/ExCom/56/8</w:t>
      </w:r>
      <w:r w:rsidRPr="00AE0C07">
        <w:rPr>
          <w:rFonts w:hint="cs"/>
          <w:sz w:val="18"/>
          <w:szCs w:val="18"/>
          <w:rtl/>
        </w:rPr>
        <w:t>.</w:t>
      </w:r>
    </w:p>
  </w:footnote>
  <w:footnote w:id="19">
    <w:p w:rsidR="00725B05" w:rsidRPr="00AE0C07" w:rsidRDefault="00725B05" w:rsidP="00AE0C07">
      <w:pPr>
        <w:pStyle w:val="FootnoteText"/>
        <w:bidi/>
        <w:rPr>
          <w:rFonts w:ascii="Times New Roman" w:hAnsi="Times New Roman" w:cs="Times New Roman"/>
          <w:sz w:val="18"/>
          <w:szCs w:val="18"/>
        </w:rPr>
      </w:pPr>
      <w:r w:rsidRPr="00AE0C07">
        <w:rPr>
          <w:rStyle w:val="FootnoteReference"/>
          <w:rFonts w:ascii="Times New Roman" w:hAnsi="Times New Roman" w:cs="Times New Roman"/>
          <w:sz w:val="18"/>
          <w:szCs w:val="18"/>
        </w:rPr>
        <w:footnoteRef/>
      </w:r>
      <w:r w:rsidRPr="00AE0C07">
        <w:rPr>
          <w:rFonts w:ascii="Times New Roman" w:hAnsi="Times New Roman" w:cs="Times New Roman"/>
          <w:sz w:val="18"/>
          <w:szCs w:val="18"/>
        </w:rPr>
        <w:t xml:space="preserve"> </w:t>
      </w:r>
      <w:r w:rsidRPr="00AE0C07">
        <w:rPr>
          <w:rFonts w:ascii="Times New Roman" w:hAnsi="Times New Roman" w:cs="Times New Roman" w:hint="cs"/>
          <w:sz w:val="18"/>
          <w:szCs w:val="18"/>
          <w:rtl/>
        </w:rPr>
        <w:t xml:space="preserve"> تحافظ بعض البلدان على حصص الاستيراد في حين يفرض بعضها الآخر على خطر.</w:t>
      </w:r>
    </w:p>
  </w:footnote>
  <w:footnote w:id="20">
    <w:p w:rsidR="00725B05" w:rsidRPr="003268A8" w:rsidRDefault="00725B05" w:rsidP="00B348D6">
      <w:pPr>
        <w:pStyle w:val="FootnoteText"/>
        <w:bidi/>
        <w:jc w:val="both"/>
        <w:rPr>
          <w:rFonts w:ascii="Times New Roman" w:hAnsi="Times New Roman" w:cs="Times New Roman"/>
          <w:sz w:val="18"/>
          <w:szCs w:val="18"/>
        </w:rPr>
      </w:pPr>
      <w:r w:rsidRPr="003268A8">
        <w:rPr>
          <w:rStyle w:val="FootnoteReference"/>
          <w:rFonts w:ascii="Times New Roman" w:hAnsi="Times New Roman" w:cs="Times New Roman"/>
          <w:sz w:val="18"/>
          <w:szCs w:val="18"/>
        </w:rPr>
        <w:footnoteRef/>
      </w:r>
      <w:r w:rsidRPr="003268A8">
        <w:rPr>
          <w:rFonts w:ascii="Times New Roman" w:hAnsi="Times New Roman" w:cs="Times New Roman"/>
          <w:sz w:val="18"/>
          <w:szCs w:val="18"/>
        </w:rPr>
        <w:t xml:space="preserve"> </w:t>
      </w:r>
      <w:r w:rsidRPr="003268A8">
        <w:rPr>
          <w:rFonts w:ascii="Times New Roman" w:hAnsi="Times New Roman" w:cs="Times New Roman" w:hint="cs"/>
          <w:sz w:val="18"/>
          <w:szCs w:val="18"/>
          <w:rtl/>
        </w:rPr>
        <w:t xml:space="preserve"> كلتا المادتين الكيميائيتين معفية من عمليات رقابة بروتوكول مونتريال لدى استخدام المواد المرجعية المحددة للمختبرات والاستخدامات التحليلية.</w:t>
      </w:r>
    </w:p>
  </w:footnote>
  <w:footnote w:id="21">
    <w:p w:rsidR="00725B05" w:rsidRPr="003268A8" w:rsidRDefault="00725B05" w:rsidP="003268A8">
      <w:pPr>
        <w:pStyle w:val="FootnoteText"/>
        <w:bidi/>
        <w:rPr>
          <w:rFonts w:ascii="Times New Roman" w:hAnsi="Times New Roman" w:cs="Times New Roman"/>
          <w:sz w:val="18"/>
          <w:szCs w:val="18"/>
          <w:lang w:val="en-US"/>
        </w:rPr>
      </w:pPr>
      <w:r w:rsidRPr="003268A8">
        <w:rPr>
          <w:rStyle w:val="FootnoteReference"/>
          <w:rFonts w:ascii="Times New Roman" w:hAnsi="Times New Roman" w:cs="Times New Roman"/>
          <w:sz w:val="18"/>
          <w:szCs w:val="18"/>
        </w:rPr>
        <w:footnoteRef/>
      </w:r>
      <w:r w:rsidRPr="003268A8">
        <w:rPr>
          <w:rFonts w:ascii="Times New Roman" w:hAnsi="Times New Roman" w:cs="Times New Roman"/>
          <w:sz w:val="18"/>
          <w:szCs w:val="18"/>
        </w:rPr>
        <w:t xml:space="preserve"> </w:t>
      </w:r>
      <w:r w:rsidRPr="003268A8">
        <w:rPr>
          <w:rFonts w:ascii="Times New Roman" w:hAnsi="Times New Roman" w:cs="Times New Roman" w:hint="cs"/>
          <w:sz w:val="18"/>
          <w:szCs w:val="18"/>
          <w:rtl/>
        </w:rPr>
        <w:t xml:space="preserve"> رقم المشروع </w:t>
      </w:r>
      <w:r w:rsidRPr="003268A8">
        <w:rPr>
          <w:rFonts w:ascii="Times New Roman" w:hAnsi="Times New Roman" w:cs="Times New Roman"/>
          <w:sz w:val="18"/>
          <w:szCs w:val="18"/>
        </w:rPr>
        <w:t xml:space="preserve"> BRA/REF/47/DEM/275</w:t>
      </w:r>
    </w:p>
  </w:footnote>
  <w:footnote w:id="22">
    <w:p w:rsidR="00725B05" w:rsidRPr="003268A8" w:rsidRDefault="00725B05" w:rsidP="003268A8">
      <w:pPr>
        <w:pStyle w:val="FootnoteText"/>
        <w:bidi/>
        <w:rPr>
          <w:rFonts w:ascii="Times New Roman" w:hAnsi="Times New Roman" w:cs="Times New Roman"/>
          <w:sz w:val="18"/>
          <w:szCs w:val="18"/>
          <w:lang w:val="en-US"/>
        </w:rPr>
      </w:pPr>
      <w:r w:rsidRPr="003268A8">
        <w:rPr>
          <w:rStyle w:val="FootnoteReference"/>
          <w:rFonts w:ascii="Times New Roman" w:hAnsi="Times New Roman" w:cs="Times New Roman"/>
          <w:sz w:val="18"/>
          <w:szCs w:val="18"/>
        </w:rPr>
        <w:footnoteRef/>
      </w:r>
      <w:r w:rsidRPr="003268A8">
        <w:rPr>
          <w:rFonts w:ascii="Times New Roman" w:hAnsi="Times New Roman" w:cs="Times New Roman" w:hint="cs"/>
          <w:sz w:val="18"/>
          <w:szCs w:val="18"/>
          <w:rtl/>
        </w:rPr>
        <w:t xml:space="preserve">  </w:t>
      </w:r>
      <w:r w:rsidRPr="003268A8">
        <w:rPr>
          <w:rFonts w:hint="cs"/>
          <w:sz w:val="18"/>
          <w:szCs w:val="18"/>
          <w:rtl/>
        </w:rPr>
        <w:t xml:space="preserve">الوثيقة </w:t>
      </w:r>
      <w:r w:rsidRPr="003268A8">
        <w:rPr>
          <w:rFonts w:ascii="Times New Roman" w:hAnsi="Times New Roman" w:cs="Times New Roman"/>
          <w:sz w:val="18"/>
          <w:szCs w:val="18"/>
        </w:rPr>
        <w:t>UNEP/OzL.Pro/ExCom/61/33</w:t>
      </w:r>
      <w:r w:rsidRPr="003268A8">
        <w:rPr>
          <w:rFonts w:hint="cs"/>
          <w:sz w:val="18"/>
          <w:szCs w:val="18"/>
          <w:rtl/>
        </w:rPr>
        <w:t>.</w:t>
      </w:r>
    </w:p>
  </w:footnote>
  <w:footnote w:id="23">
    <w:p w:rsidR="00725B05" w:rsidRPr="003268A8" w:rsidRDefault="00725B05" w:rsidP="003268A8">
      <w:pPr>
        <w:pStyle w:val="FootnoteText"/>
        <w:bidi/>
        <w:rPr>
          <w:rFonts w:ascii="Times New Roman" w:hAnsi="Times New Roman" w:cs="Times New Roman"/>
          <w:sz w:val="18"/>
          <w:szCs w:val="18"/>
          <w:lang w:val="en-US"/>
        </w:rPr>
      </w:pPr>
      <w:r w:rsidRPr="003268A8">
        <w:rPr>
          <w:rStyle w:val="FootnoteReference"/>
          <w:rFonts w:ascii="Times New Roman" w:hAnsi="Times New Roman" w:cs="Times New Roman"/>
          <w:sz w:val="18"/>
          <w:szCs w:val="18"/>
        </w:rPr>
        <w:footnoteRef/>
      </w:r>
      <w:r w:rsidRPr="003268A8">
        <w:rPr>
          <w:rFonts w:ascii="Times New Roman" w:hAnsi="Times New Roman" w:cs="Times New Roman" w:hint="cs"/>
          <w:sz w:val="18"/>
          <w:szCs w:val="18"/>
          <w:rtl/>
          <w:lang w:val="en-US"/>
        </w:rPr>
        <w:t xml:space="preserve">  </w:t>
      </w:r>
      <w:r w:rsidRPr="003268A8">
        <w:rPr>
          <w:rFonts w:hint="cs"/>
          <w:sz w:val="18"/>
          <w:szCs w:val="18"/>
          <w:rtl/>
        </w:rPr>
        <w:t xml:space="preserve">الوثيقة </w:t>
      </w:r>
      <w:r w:rsidRPr="003268A8">
        <w:rPr>
          <w:rFonts w:ascii="Times New Roman" w:hAnsi="Times New Roman" w:cs="Times New Roman"/>
          <w:sz w:val="18"/>
          <w:szCs w:val="18"/>
          <w:lang w:val="en-US"/>
        </w:rPr>
        <w:t>UNEP/OzL.Pro/ExCom/71/32</w:t>
      </w:r>
      <w:r w:rsidRPr="003268A8">
        <w:rPr>
          <w:rFonts w:hint="cs"/>
          <w:sz w:val="18"/>
          <w:szCs w:val="18"/>
          <w:rtl/>
        </w:rPr>
        <w:t>.</w:t>
      </w:r>
    </w:p>
  </w:footnote>
  <w:footnote w:id="24">
    <w:p w:rsidR="00725B05" w:rsidRPr="003268A8" w:rsidRDefault="00725B05" w:rsidP="003268A8">
      <w:pPr>
        <w:pStyle w:val="FootnoteText"/>
        <w:bidi/>
        <w:rPr>
          <w:rFonts w:ascii="Times New Roman" w:hAnsi="Times New Roman" w:cs="Times New Roman"/>
          <w:sz w:val="18"/>
          <w:szCs w:val="18"/>
          <w:lang w:val="en-US"/>
        </w:rPr>
      </w:pPr>
      <w:r w:rsidRPr="003268A8">
        <w:rPr>
          <w:rStyle w:val="FootnoteReference"/>
          <w:rFonts w:ascii="Times New Roman" w:hAnsi="Times New Roman" w:cs="Times New Roman"/>
          <w:sz w:val="18"/>
          <w:szCs w:val="18"/>
        </w:rPr>
        <w:footnoteRef/>
      </w:r>
      <w:r w:rsidRPr="003268A8">
        <w:rPr>
          <w:rFonts w:ascii="Times New Roman" w:hAnsi="Times New Roman" w:cs="Times New Roman" w:hint="cs"/>
          <w:sz w:val="18"/>
          <w:szCs w:val="18"/>
          <w:rtl/>
          <w:lang w:val="en-US"/>
        </w:rPr>
        <w:t xml:space="preserve">  </w:t>
      </w:r>
      <w:r w:rsidRPr="003268A8">
        <w:rPr>
          <w:rFonts w:hint="cs"/>
          <w:sz w:val="18"/>
          <w:szCs w:val="18"/>
          <w:rtl/>
        </w:rPr>
        <w:t xml:space="preserve">الوثيقة </w:t>
      </w:r>
      <w:r w:rsidRPr="003268A8">
        <w:rPr>
          <w:rFonts w:ascii="Times New Roman" w:hAnsi="Times New Roman" w:cs="Times New Roman"/>
          <w:sz w:val="18"/>
          <w:szCs w:val="18"/>
          <w:lang w:val="en-US"/>
        </w:rPr>
        <w:t>UNEP/OzL.Pro/ExCom/71/15</w:t>
      </w:r>
      <w:r w:rsidRPr="003268A8">
        <w:rPr>
          <w:rFonts w:hint="cs"/>
          <w:sz w:val="18"/>
          <w:szCs w:val="18"/>
          <w:rtl/>
        </w:rPr>
        <w:t>.</w:t>
      </w:r>
    </w:p>
  </w:footnote>
  <w:footnote w:id="25">
    <w:p w:rsidR="00725B05" w:rsidRPr="003268A8" w:rsidRDefault="00725B05" w:rsidP="003268A8">
      <w:pPr>
        <w:pStyle w:val="FootnoteText"/>
        <w:bidi/>
        <w:rPr>
          <w:sz w:val="18"/>
          <w:szCs w:val="18"/>
        </w:rPr>
      </w:pPr>
      <w:r w:rsidRPr="003268A8">
        <w:rPr>
          <w:rStyle w:val="FootnoteReference"/>
          <w:rFonts w:ascii="Times New Roman" w:hAnsi="Times New Roman" w:cs="Times New Roman"/>
          <w:sz w:val="18"/>
          <w:szCs w:val="18"/>
        </w:rPr>
        <w:footnoteRef/>
      </w:r>
      <w:r w:rsidRPr="003268A8">
        <w:rPr>
          <w:rFonts w:ascii="Times New Roman" w:hAnsi="Times New Roman" w:cs="Times New Roman" w:hint="cs"/>
          <w:sz w:val="18"/>
          <w:szCs w:val="18"/>
          <w:rtl/>
        </w:rPr>
        <w:t xml:space="preserve">  </w:t>
      </w:r>
      <w:r w:rsidRPr="003268A8">
        <w:rPr>
          <w:rFonts w:hint="cs"/>
          <w:sz w:val="18"/>
          <w:szCs w:val="18"/>
          <w:rtl/>
        </w:rPr>
        <w:t xml:space="preserve">الوثيقة </w:t>
      </w:r>
      <w:r w:rsidRPr="003268A8">
        <w:rPr>
          <w:rFonts w:ascii="Times New Roman" w:hAnsi="Times New Roman" w:cs="Times New Roman"/>
          <w:sz w:val="18"/>
          <w:szCs w:val="18"/>
        </w:rPr>
        <w:t>UNEP/OzL.Pro/ExCom/82/10</w:t>
      </w:r>
      <w:r w:rsidRPr="003268A8">
        <w:rPr>
          <w:rFonts w:hint="cs"/>
          <w:sz w:val="18"/>
          <w:szCs w:val="18"/>
          <w:rtl/>
        </w:rPr>
        <w:t>.</w:t>
      </w:r>
    </w:p>
  </w:footnote>
  <w:footnote w:id="26">
    <w:p w:rsidR="00725B05" w:rsidRPr="00022851" w:rsidRDefault="00725B05" w:rsidP="00C0342C">
      <w:pPr>
        <w:pStyle w:val="FootnoteText"/>
        <w:bidi/>
        <w:rPr>
          <w:rFonts w:ascii="Times New Roman" w:hAnsi="Times New Roman" w:cs="Times New Roman"/>
          <w:lang w:val="en-US"/>
        </w:rPr>
      </w:pPr>
      <w:r w:rsidRPr="00022851">
        <w:rPr>
          <w:rStyle w:val="FootnoteReference"/>
          <w:rFonts w:ascii="Times New Roman" w:hAnsi="Times New Roman" w:cs="Times New Roman"/>
        </w:rPr>
        <w:footnoteRef/>
      </w:r>
      <w:r>
        <w:rPr>
          <w:rFonts w:ascii="Times New Roman" w:hAnsi="Times New Roman" w:cs="Times New Roman" w:hint="cs"/>
          <w:szCs w:val="24"/>
          <w:rtl/>
        </w:rPr>
        <w:t xml:space="preserve">  </w:t>
      </w:r>
      <w:r>
        <w:rPr>
          <w:rFonts w:hint="cs"/>
          <w:rtl/>
        </w:rPr>
        <w:t xml:space="preserve">الوثيقة </w:t>
      </w:r>
      <w:r w:rsidRPr="00022851">
        <w:rPr>
          <w:rFonts w:ascii="Times New Roman" w:hAnsi="Times New Roman" w:cs="Times New Roman"/>
          <w:szCs w:val="24"/>
        </w:rPr>
        <w:t>UNEP/OzL.Pro/ExCom/80/28</w:t>
      </w:r>
      <w:r>
        <w:rPr>
          <w:rFonts w:hint="cs"/>
          <w:rtl/>
        </w:rPr>
        <w:t>.</w:t>
      </w:r>
    </w:p>
  </w:footnote>
  <w:footnote w:id="27">
    <w:p w:rsidR="00725B05" w:rsidRPr="00C541C0" w:rsidRDefault="00725B05" w:rsidP="00C0342C">
      <w:pPr>
        <w:pStyle w:val="FootnoteText"/>
        <w:bidi/>
        <w:rPr>
          <w:rFonts w:ascii="Times New Roman" w:hAnsi="Times New Roman" w:cs="Times New Roman"/>
          <w:lang w:val="en-US"/>
        </w:rPr>
      </w:pPr>
      <w:r w:rsidRPr="00C541C0">
        <w:rPr>
          <w:rStyle w:val="FootnoteReference"/>
          <w:rFonts w:ascii="Times New Roman" w:hAnsi="Times New Roman" w:cs="Times New Roman"/>
        </w:rPr>
        <w:footnoteRef/>
      </w:r>
      <w:r>
        <w:rPr>
          <w:rFonts w:ascii="Times New Roman" w:hAnsi="Times New Roman" w:cs="Times New Roman" w:hint="cs"/>
          <w:rtl/>
        </w:rPr>
        <w:t xml:space="preserve"> </w:t>
      </w:r>
      <w:r>
        <w:rPr>
          <w:rFonts w:hint="cs"/>
          <w:rtl/>
        </w:rPr>
        <w:t xml:space="preserve">الوثيقة </w:t>
      </w:r>
      <w:r w:rsidRPr="00C541C0">
        <w:rPr>
          <w:rFonts w:ascii="Times New Roman" w:hAnsi="Times New Roman" w:cs="Times New Roman"/>
        </w:rPr>
        <w:t>UNEP/OzL.Pro/ExCom/38/57/Rev.1</w:t>
      </w:r>
      <w:r>
        <w:rPr>
          <w:rFonts w:hint="cs"/>
          <w:rtl/>
        </w:rPr>
        <w:t>.</w:t>
      </w:r>
    </w:p>
  </w:footnote>
  <w:footnote w:id="28">
    <w:p w:rsidR="00725B05" w:rsidRPr="008E7309" w:rsidRDefault="00725B05" w:rsidP="00C776C6">
      <w:pPr>
        <w:bidi/>
        <w:rPr>
          <w:sz w:val="18"/>
          <w:szCs w:val="18"/>
          <w:lang w:val="en-US"/>
        </w:rPr>
      </w:pPr>
      <w:r w:rsidRPr="008E7309">
        <w:rPr>
          <w:rStyle w:val="FootnoteReference"/>
          <w:sz w:val="18"/>
          <w:szCs w:val="18"/>
        </w:rPr>
        <w:footnoteRef/>
      </w:r>
      <w:r w:rsidRPr="008E7309">
        <w:rPr>
          <w:sz w:val="18"/>
          <w:szCs w:val="18"/>
          <w:vertAlign w:val="superscript"/>
        </w:rPr>
        <w:t xml:space="preserve"> </w:t>
      </w:r>
      <w:r w:rsidRPr="008E7309">
        <w:rPr>
          <w:rFonts w:hint="cs"/>
          <w:sz w:val="18"/>
          <w:szCs w:val="18"/>
          <w:vertAlign w:val="superscript"/>
          <w:rtl/>
        </w:rPr>
        <w:t xml:space="preserve"> </w:t>
      </w:r>
      <w:r w:rsidRPr="008E7309">
        <w:rPr>
          <w:rFonts w:hint="cs"/>
          <w:sz w:val="18"/>
          <w:szCs w:val="18"/>
          <w:rtl/>
        </w:rPr>
        <w:t xml:space="preserve">الوثيقة </w:t>
      </w:r>
      <w:r w:rsidRPr="008E7309">
        <w:rPr>
          <w:sz w:val="18"/>
          <w:szCs w:val="18"/>
        </w:rPr>
        <w:t>UNEP/OzL.Pro/ExCom/82/63</w:t>
      </w:r>
      <w:r w:rsidRPr="008E7309">
        <w:rPr>
          <w:rFonts w:hint="cs"/>
          <w:sz w:val="18"/>
          <w:szCs w:val="18"/>
          <w:rtl/>
        </w:rPr>
        <w:t>.</w:t>
      </w:r>
    </w:p>
  </w:footnote>
  <w:footnote w:id="29">
    <w:p w:rsidR="00725B05" w:rsidRPr="008E7309" w:rsidRDefault="00725B05" w:rsidP="000924F9">
      <w:pPr>
        <w:pStyle w:val="FootnoteText"/>
        <w:bidi/>
        <w:rPr>
          <w:rFonts w:ascii="Times New Roman" w:hAnsi="Times New Roman" w:cs="Times New Roman"/>
          <w:sz w:val="18"/>
          <w:szCs w:val="18"/>
          <w:lang w:val="en-US"/>
        </w:rPr>
      </w:pPr>
      <w:r w:rsidRPr="008E7309">
        <w:rPr>
          <w:rStyle w:val="FootnoteReference"/>
          <w:rFonts w:ascii="Times New Roman" w:hAnsi="Times New Roman" w:cs="Times New Roman"/>
          <w:sz w:val="18"/>
          <w:szCs w:val="18"/>
        </w:rPr>
        <w:footnoteRef/>
      </w:r>
      <w:r w:rsidRPr="008E7309">
        <w:rPr>
          <w:rFonts w:ascii="Times New Roman" w:hAnsi="Times New Roman" w:cs="Times New Roman" w:hint="cs"/>
          <w:sz w:val="18"/>
          <w:szCs w:val="18"/>
          <w:rtl/>
        </w:rPr>
        <w:t xml:space="preserve"> </w:t>
      </w:r>
      <w:r w:rsidRPr="008E7309">
        <w:rPr>
          <w:rFonts w:hint="cs"/>
          <w:sz w:val="18"/>
          <w:szCs w:val="18"/>
          <w:rtl/>
        </w:rPr>
        <w:t xml:space="preserve">الوثيقة </w:t>
      </w:r>
      <w:r w:rsidRPr="008E7309">
        <w:rPr>
          <w:rFonts w:ascii="Times New Roman" w:hAnsi="Times New Roman" w:cs="Times New Roman"/>
          <w:sz w:val="18"/>
          <w:szCs w:val="18"/>
        </w:rPr>
        <w:t>UNEP/OzL.Pro/ExCom/82/63</w:t>
      </w:r>
      <w:r w:rsidRPr="008E7309">
        <w:rPr>
          <w:rFonts w:hint="cs"/>
          <w:sz w:val="18"/>
          <w:szCs w:val="18"/>
          <w:rtl/>
        </w:rPr>
        <w:t>.</w:t>
      </w:r>
    </w:p>
  </w:footnote>
  <w:footnote w:id="30">
    <w:p w:rsidR="00725B05" w:rsidRPr="008E7309" w:rsidRDefault="00725B05" w:rsidP="008E7309">
      <w:pPr>
        <w:pStyle w:val="FootnoteText"/>
        <w:bidi/>
        <w:rPr>
          <w:rFonts w:ascii="Times New Roman" w:hAnsi="Times New Roman" w:cs="Times New Roman"/>
          <w:sz w:val="18"/>
          <w:szCs w:val="18"/>
          <w:lang w:val="en-US"/>
        </w:rPr>
      </w:pPr>
      <w:r w:rsidRPr="008E7309">
        <w:rPr>
          <w:rStyle w:val="FootnoteReference"/>
          <w:rFonts w:ascii="Times New Roman" w:hAnsi="Times New Roman" w:cs="Times New Roman"/>
          <w:sz w:val="18"/>
          <w:szCs w:val="18"/>
        </w:rPr>
        <w:footnoteRef/>
      </w:r>
      <w:r w:rsidRPr="008E7309">
        <w:rPr>
          <w:rFonts w:ascii="Times New Roman" w:hAnsi="Times New Roman" w:cs="Times New Roman"/>
          <w:sz w:val="18"/>
          <w:szCs w:val="18"/>
        </w:rPr>
        <w:t xml:space="preserve"> </w:t>
      </w:r>
      <w:r w:rsidRPr="008E7309">
        <w:rPr>
          <w:rFonts w:ascii="Times New Roman" w:hAnsi="Times New Roman" w:cs="Times New Roman" w:hint="cs"/>
          <w:sz w:val="18"/>
          <w:szCs w:val="18"/>
          <w:rtl/>
          <w:lang w:val="en-US"/>
        </w:rPr>
        <w:t xml:space="preserve"> تقرير فريق التكنولوجيا والتقييم الاقتصادي، المجلد الثالث التقرير المرحلي للفريق لعام 2018.</w:t>
      </w:r>
    </w:p>
  </w:footnote>
  <w:footnote w:id="31">
    <w:p w:rsidR="00725B05" w:rsidRPr="00E80A6E" w:rsidRDefault="00725B05" w:rsidP="000B3064">
      <w:pPr>
        <w:pStyle w:val="FootnoteText"/>
        <w:bidi/>
        <w:rPr>
          <w:rFonts w:ascii="Times New Roman" w:hAnsi="Times New Roman" w:cs="Times New Roman"/>
          <w:lang w:val="en-US"/>
        </w:rPr>
      </w:pPr>
      <w:r w:rsidRPr="00C70B6F">
        <w:rPr>
          <w:rStyle w:val="FootnoteReference"/>
        </w:rPr>
        <w:footnoteRef/>
      </w:r>
      <w:r w:rsidRPr="00C70B6F">
        <w:t xml:space="preserve"> </w:t>
      </w:r>
      <w:r>
        <w:rPr>
          <w:rFonts w:ascii="Times New Roman" w:hAnsi="Times New Roman" w:cs="Times New Roman" w:hint="cs"/>
          <w:rtl/>
        </w:rPr>
        <w:t xml:space="preserve"> </w:t>
      </w:r>
      <w:r>
        <w:rPr>
          <w:rFonts w:hint="cs"/>
          <w:rtl/>
        </w:rPr>
        <w:t xml:space="preserve">الوثيقة </w:t>
      </w:r>
      <w:r w:rsidRPr="00E80A6E">
        <w:rPr>
          <w:rFonts w:ascii="Times New Roman" w:hAnsi="Times New Roman" w:cs="Times New Roman"/>
        </w:rPr>
        <w:t>UNEP/OzL.Pro/ExCom/82/21</w:t>
      </w:r>
      <w:r>
        <w:rPr>
          <w:rFonts w:hint="cs"/>
          <w:rtl/>
        </w:rPr>
        <w:t>.</w:t>
      </w:r>
    </w:p>
  </w:footnote>
  <w:footnote w:id="32">
    <w:p w:rsidR="00725B05" w:rsidRPr="00E80A6E" w:rsidRDefault="00725B05" w:rsidP="000B3064">
      <w:pPr>
        <w:pStyle w:val="FootnoteText"/>
        <w:bidi/>
        <w:rPr>
          <w:rFonts w:ascii="Times New Roman" w:hAnsi="Times New Roman" w:cs="Times New Roman"/>
          <w:lang w:val="en-US"/>
        </w:rPr>
      </w:pPr>
      <w:r w:rsidRPr="00E80A6E">
        <w:rPr>
          <w:rStyle w:val="FootnoteReference"/>
          <w:rFonts w:ascii="Times New Roman" w:hAnsi="Times New Roman" w:cs="Times New Roman"/>
        </w:rPr>
        <w:footnoteRef/>
      </w:r>
      <w:r>
        <w:rPr>
          <w:rFonts w:ascii="Times New Roman" w:hAnsi="Times New Roman" w:cs="Times New Roman" w:hint="cs"/>
          <w:rtl/>
        </w:rPr>
        <w:t xml:space="preserve"> </w:t>
      </w:r>
      <w:r>
        <w:rPr>
          <w:rFonts w:hint="cs"/>
          <w:rtl/>
        </w:rPr>
        <w:t xml:space="preserve">الوثيقة </w:t>
      </w:r>
      <w:r w:rsidRPr="00E80A6E">
        <w:rPr>
          <w:rFonts w:ascii="Times New Roman" w:hAnsi="Times New Roman" w:cs="Times New Roman"/>
          <w:bCs/>
        </w:rPr>
        <w:t>UNEP</w:t>
      </w:r>
      <w:r w:rsidRPr="00E80A6E">
        <w:rPr>
          <w:rFonts w:ascii="Times New Roman" w:hAnsi="Times New Roman" w:cs="Times New Roman"/>
        </w:rPr>
        <w:t>/OzL.Pro.31/INF/6</w:t>
      </w:r>
      <w:r>
        <w:rPr>
          <w:rFonts w:hint="cs"/>
          <w:rtl/>
        </w:rPr>
        <w:t>.</w:t>
      </w:r>
    </w:p>
  </w:footnote>
  <w:footnote w:id="33">
    <w:p w:rsidR="00725B05" w:rsidRPr="00E80A6E" w:rsidRDefault="00725B05" w:rsidP="000737F1">
      <w:pPr>
        <w:bidi/>
        <w:rPr>
          <w:sz w:val="20"/>
          <w:szCs w:val="20"/>
        </w:rPr>
      </w:pPr>
      <w:r w:rsidRPr="00E80A6E">
        <w:rPr>
          <w:rStyle w:val="FootnoteReference"/>
          <w:sz w:val="20"/>
          <w:szCs w:val="20"/>
        </w:rPr>
        <w:footnoteRef/>
      </w:r>
      <w:r>
        <w:rPr>
          <w:rFonts w:hint="cs"/>
          <w:sz w:val="20"/>
          <w:szCs w:val="20"/>
          <w:rtl/>
        </w:rPr>
        <w:t xml:space="preserve"> الوثيقتان</w:t>
      </w:r>
      <w:r w:rsidRPr="00E80A6E">
        <w:rPr>
          <w:sz w:val="20"/>
          <w:szCs w:val="20"/>
        </w:rPr>
        <w:t xml:space="preserve">UNEP/OzL.Pro/ExCom/68/11 </w:t>
      </w:r>
      <w:r>
        <w:rPr>
          <w:rFonts w:hint="cs"/>
          <w:sz w:val="20"/>
          <w:szCs w:val="20"/>
          <w:rtl/>
        </w:rPr>
        <w:t xml:space="preserve"> و</w:t>
      </w:r>
      <w:r w:rsidRPr="00E80A6E">
        <w:rPr>
          <w:sz w:val="20"/>
          <w:szCs w:val="20"/>
        </w:rPr>
        <w:t>UNEP/OzL.Pro/ExCom/71/15</w:t>
      </w:r>
      <w:r>
        <w:rPr>
          <w:rFonts w:hint="cs"/>
          <w:sz w:val="20"/>
          <w:szCs w:val="20"/>
          <w:rtl/>
        </w:rPr>
        <w:t>.</w:t>
      </w:r>
    </w:p>
  </w:footnote>
  <w:footnote w:id="34">
    <w:p w:rsidR="00725B05" w:rsidRPr="00E23BF3" w:rsidRDefault="00725B05" w:rsidP="00601016">
      <w:pPr>
        <w:pStyle w:val="Default"/>
        <w:bidi/>
        <w:rPr>
          <w:sz w:val="18"/>
          <w:szCs w:val="18"/>
        </w:rPr>
      </w:pPr>
      <w:r w:rsidRPr="00E23BF3">
        <w:rPr>
          <w:rStyle w:val="FootnoteReference"/>
          <w:sz w:val="18"/>
          <w:szCs w:val="18"/>
        </w:rPr>
        <w:footnoteRef/>
      </w:r>
      <w:r w:rsidRPr="00E23BF3">
        <w:rPr>
          <w:sz w:val="18"/>
          <w:szCs w:val="18"/>
        </w:rPr>
        <w:t xml:space="preserve"> </w:t>
      </w:r>
      <w:r w:rsidRPr="00E23BF3">
        <w:rPr>
          <w:rFonts w:hint="cs"/>
          <w:sz w:val="18"/>
          <w:szCs w:val="18"/>
          <w:rtl/>
        </w:rPr>
        <w:t xml:space="preserve"> الوثيقتان </w:t>
      </w:r>
      <w:r w:rsidRPr="00E23BF3">
        <w:rPr>
          <w:sz w:val="18"/>
          <w:szCs w:val="18"/>
        </w:rPr>
        <w:t xml:space="preserve">UNEP/OzL.Pro/ExCom/45/38 </w:t>
      </w:r>
      <w:r w:rsidRPr="00E23BF3">
        <w:rPr>
          <w:rFonts w:hint="cs"/>
          <w:sz w:val="18"/>
          <w:szCs w:val="18"/>
          <w:rtl/>
        </w:rPr>
        <w:t xml:space="preserve"> و</w:t>
      </w:r>
      <w:r w:rsidRPr="00E23BF3">
        <w:rPr>
          <w:sz w:val="18"/>
          <w:szCs w:val="18"/>
        </w:rPr>
        <w:t xml:space="preserve"> MEX/PRO/40/INV/115</w:t>
      </w:r>
      <w:r w:rsidRPr="00E23BF3">
        <w:rPr>
          <w:rFonts w:hint="cs"/>
          <w:sz w:val="18"/>
          <w:szCs w:val="18"/>
          <w:rtl/>
        </w:rPr>
        <w:t>.</w:t>
      </w:r>
    </w:p>
  </w:footnote>
  <w:footnote w:id="35">
    <w:p w:rsidR="00725B05" w:rsidRPr="00E23BF3" w:rsidRDefault="00725B05" w:rsidP="005C6307">
      <w:pPr>
        <w:pStyle w:val="FootnoteText"/>
        <w:bidi/>
        <w:rPr>
          <w:rFonts w:ascii="Times New Roman" w:hAnsi="Times New Roman" w:cs="Times New Roman"/>
          <w:sz w:val="18"/>
          <w:szCs w:val="18"/>
          <w:lang w:val="en-US"/>
        </w:rPr>
      </w:pPr>
      <w:r w:rsidRPr="00E23BF3">
        <w:rPr>
          <w:rFonts w:ascii="Times New Roman" w:hAnsi="Times New Roman" w:cs="Times New Roman" w:hint="cs"/>
          <w:sz w:val="18"/>
          <w:szCs w:val="18"/>
          <w:rtl/>
        </w:rPr>
        <w:t xml:space="preserve"> </w:t>
      </w:r>
      <w:r w:rsidRPr="00E23BF3">
        <w:rPr>
          <w:rStyle w:val="FootnoteReference"/>
          <w:rFonts w:ascii="Times New Roman" w:hAnsi="Times New Roman" w:cs="Times New Roman"/>
          <w:sz w:val="18"/>
          <w:szCs w:val="18"/>
        </w:rPr>
        <w:footnoteRef/>
      </w:r>
      <w:r w:rsidRPr="00E23BF3">
        <w:rPr>
          <w:rFonts w:ascii="Times New Roman" w:hAnsi="Times New Roman" w:cs="Times New Roman" w:hint="cs"/>
          <w:sz w:val="18"/>
          <w:szCs w:val="18"/>
          <w:rtl/>
        </w:rPr>
        <w:t xml:space="preserve"> العمل من أجل الأوزون في اليونيب: النساء في صناعة التبريد وتكييف الهواء: الإنجازات الشخصية والخبرات</w:t>
      </w:r>
      <w:hyperlink r:id="rId1" w:history="1">
        <w:r w:rsidRPr="00E23BF3">
          <w:rPr>
            <w:rStyle w:val="Hyperlink"/>
            <w:rFonts w:ascii="Times New Roman" w:hAnsi="Times New Roman" w:cs="Times New Roman"/>
            <w:sz w:val="18"/>
            <w:szCs w:val="18"/>
            <w:lang w:val="en-US"/>
          </w:rPr>
          <w:t>https://wedocs.unep.org/bitstream/handle/20.500.11822/29236/8051Women_in_RAC.pdf?sequence=1&amp;isAllowed=y</w:t>
        </w:r>
      </w:hyperlink>
      <w:r w:rsidRPr="00E23BF3">
        <w:rPr>
          <w:rFonts w:ascii="Times New Roman" w:hAnsi="Times New Roman" w:cs="Times New Roman"/>
          <w:sz w:val="18"/>
          <w:szCs w:val="18"/>
          <w:lang w:val="en-US"/>
        </w:rPr>
        <w:t xml:space="preserve"> </w:t>
      </w:r>
    </w:p>
  </w:footnote>
  <w:footnote w:id="36">
    <w:p w:rsidR="00725B05" w:rsidRPr="00E23BF3" w:rsidRDefault="00725B05" w:rsidP="00024693">
      <w:pPr>
        <w:pStyle w:val="FootnoteText"/>
        <w:bidi/>
        <w:jc w:val="both"/>
        <w:rPr>
          <w:rFonts w:ascii="Times New Roman" w:hAnsi="Times New Roman" w:cs="Times New Roman"/>
          <w:sz w:val="18"/>
          <w:szCs w:val="18"/>
          <w:lang w:val="en-US"/>
        </w:rPr>
      </w:pPr>
      <w:r w:rsidRPr="00E23BF3">
        <w:rPr>
          <w:rStyle w:val="FootnoteReference"/>
          <w:rFonts w:ascii="Times New Roman" w:hAnsi="Times New Roman" w:cs="Times New Roman"/>
          <w:sz w:val="18"/>
          <w:szCs w:val="18"/>
        </w:rPr>
        <w:footnoteRef/>
      </w:r>
      <w:r w:rsidRPr="00E23BF3">
        <w:rPr>
          <w:rFonts w:ascii="Times New Roman" w:hAnsi="Times New Roman" w:cs="Times New Roman"/>
          <w:sz w:val="18"/>
          <w:szCs w:val="18"/>
        </w:rPr>
        <w:t xml:space="preserve"> </w:t>
      </w:r>
      <w:r w:rsidRPr="00E23BF3">
        <w:rPr>
          <w:rFonts w:ascii="Times New Roman" w:hAnsi="Times New Roman" w:cs="Times New Roman" w:hint="cs"/>
          <w:sz w:val="18"/>
          <w:szCs w:val="18"/>
          <w:rtl/>
        </w:rPr>
        <w:t xml:space="preserve"> اليونيب. المرفق الأول من الوثيقة المعنونة "مذكرة موجزة عن العمل من أجل الأوزون من خدمة تبادل المعلومات (استعراض برنامج المساعدة على الامتثال مايو/ آيار 2018</w:t>
      </w:r>
    </w:p>
  </w:footnote>
  <w:footnote w:id="37">
    <w:p w:rsidR="00725B05" w:rsidRPr="00E23BF3" w:rsidRDefault="00725B05" w:rsidP="00E23BF3">
      <w:pPr>
        <w:pStyle w:val="FootnoteText"/>
        <w:bidi/>
        <w:rPr>
          <w:sz w:val="18"/>
          <w:szCs w:val="18"/>
          <w:lang w:val="en-US"/>
        </w:rPr>
      </w:pPr>
      <w:r w:rsidRPr="00E23BF3">
        <w:rPr>
          <w:rStyle w:val="FootnoteReference"/>
          <w:rFonts w:ascii="Times New Roman" w:hAnsi="Times New Roman" w:cs="Times New Roman"/>
          <w:sz w:val="18"/>
          <w:szCs w:val="18"/>
        </w:rPr>
        <w:footnoteRef/>
      </w:r>
      <w:r w:rsidRPr="00E23BF3">
        <w:rPr>
          <w:rFonts w:ascii="Times New Roman" w:hAnsi="Times New Roman" w:cs="Times New Roman"/>
          <w:sz w:val="18"/>
          <w:szCs w:val="18"/>
        </w:rPr>
        <w:t xml:space="preserve"> </w:t>
      </w:r>
      <w:r w:rsidRPr="00E23BF3">
        <w:rPr>
          <w:rFonts w:ascii="Times New Roman" w:hAnsi="Times New Roman" w:cs="Times New Roman" w:hint="cs"/>
          <w:sz w:val="18"/>
          <w:szCs w:val="18"/>
          <w:rtl/>
        </w:rPr>
        <w:t xml:space="preserve"> </w:t>
      </w:r>
      <w:r w:rsidRPr="00E23BF3">
        <w:rPr>
          <w:rFonts w:ascii="Times New Roman" w:hAnsi="Times New Roman" w:cs="Times New Roman" w:hint="cs"/>
          <w:sz w:val="18"/>
          <w:szCs w:val="18"/>
          <w:rtl/>
          <w:lang w:val="en-US"/>
        </w:rPr>
        <w:t>اليونيب</w:t>
      </w:r>
      <w:r w:rsidRPr="00E23BF3">
        <w:rPr>
          <w:rFonts w:ascii="Times New Roman" w:hAnsi="Times New Roman" w:cs="Times New Roman"/>
          <w:sz w:val="18"/>
          <w:szCs w:val="18"/>
          <w:rtl/>
          <w:lang w:val="en-US"/>
        </w:rPr>
        <w:t>، أمانة الأوزون. الجنس في معاهدات الأوزون. 2019</w:t>
      </w:r>
      <w:r>
        <w:rPr>
          <w:rFonts w:ascii="Times New Roman" w:hAnsi="Times New Roman" w:cs="Times New Roman" w:hint="cs"/>
          <w:sz w:val="18"/>
          <w:szCs w:val="18"/>
          <w:rtl/>
          <w:lang w:val="en-US"/>
        </w:rPr>
        <w:t xml:space="preserve"> </w:t>
      </w:r>
      <w:r w:rsidRPr="00E23BF3">
        <w:rPr>
          <w:rFonts w:ascii="Times New Roman" w:hAnsi="Times New Roman" w:cs="Times New Roman"/>
          <w:sz w:val="18"/>
          <w:szCs w:val="18"/>
          <w:lang w:val="en-US"/>
        </w:rPr>
        <w:t xml:space="preserve">. </w:t>
      </w:r>
      <w:hyperlink r:id="rId2" w:history="1">
        <w:r w:rsidRPr="00E23BF3">
          <w:rPr>
            <w:rStyle w:val="Hyperlink"/>
            <w:rFonts w:ascii="Times New Roman" w:hAnsi="Times New Roman" w:cs="Times New Roman"/>
            <w:sz w:val="18"/>
            <w:szCs w:val="18"/>
            <w:lang w:val="en-US"/>
          </w:rPr>
          <w:t>https://ozone.unep.org/sites/default/files/2019-08/OEWG-41-gender-in-the-ozone-treaties.pdf</w:t>
        </w:r>
      </w:hyperlink>
    </w:p>
  </w:footnote>
  <w:footnote w:id="38">
    <w:p w:rsidR="00725B05" w:rsidRPr="00B46A6C" w:rsidRDefault="00725B05" w:rsidP="003B69B1">
      <w:pPr>
        <w:bidi/>
        <w:jc w:val="left"/>
        <w:rPr>
          <w:sz w:val="18"/>
          <w:szCs w:val="18"/>
          <w:lang w:val="en-US"/>
        </w:rPr>
      </w:pPr>
      <w:r w:rsidRPr="00B46A6C">
        <w:rPr>
          <w:rStyle w:val="FootnoteReference"/>
          <w:sz w:val="18"/>
          <w:szCs w:val="18"/>
        </w:rPr>
        <w:footnoteRef/>
      </w:r>
      <w:r w:rsidRPr="00B46A6C">
        <w:rPr>
          <w:rFonts w:hint="cs"/>
          <w:sz w:val="18"/>
          <w:szCs w:val="18"/>
          <w:rtl/>
        </w:rPr>
        <w:t xml:space="preserve"> الوثيقة </w:t>
      </w:r>
      <w:r w:rsidRPr="00B46A6C">
        <w:rPr>
          <w:sz w:val="18"/>
          <w:szCs w:val="18"/>
        </w:rPr>
        <w:t>UNEP/OzL.Pro.31/INF/6</w:t>
      </w:r>
      <w:r w:rsidRPr="00B46A6C">
        <w:rPr>
          <w:rFonts w:hint="cs"/>
          <w:sz w:val="18"/>
          <w:szCs w:val="18"/>
          <w:rtl/>
        </w:rPr>
        <w:t>.</w:t>
      </w:r>
    </w:p>
  </w:footnote>
  <w:footnote w:id="39">
    <w:p w:rsidR="00725B05" w:rsidRPr="00B46A6C" w:rsidRDefault="00725B05" w:rsidP="00B46A6C">
      <w:pPr>
        <w:pStyle w:val="FootnoteText"/>
        <w:bidi/>
        <w:rPr>
          <w:sz w:val="18"/>
          <w:szCs w:val="18"/>
        </w:rPr>
      </w:pPr>
      <w:r w:rsidRPr="00B46A6C">
        <w:rPr>
          <w:rStyle w:val="FootnoteReference"/>
          <w:sz w:val="18"/>
          <w:szCs w:val="18"/>
        </w:rPr>
        <w:footnoteRef/>
      </w:r>
      <w:r w:rsidRPr="00B46A6C">
        <w:rPr>
          <w:sz w:val="18"/>
          <w:szCs w:val="18"/>
        </w:rPr>
        <w:t xml:space="preserve"> </w:t>
      </w:r>
      <w:r w:rsidRPr="00B46A6C">
        <w:rPr>
          <w:rFonts w:ascii="Times New Roman" w:hAnsi="Times New Roman" w:cs="Times New Roman" w:hint="cs"/>
          <w:sz w:val="18"/>
          <w:szCs w:val="18"/>
          <w:rtl/>
          <w:lang w:val="en-US"/>
        </w:rPr>
        <w:t xml:space="preserve"> تقرير فريق التكنولوجيا والتقييم الاقتصادي عن الانبعاثات غير المبررة للكلوروفلوروكربون-11.</w:t>
      </w:r>
    </w:p>
  </w:footnote>
  <w:footnote w:id="40">
    <w:p w:rsidR="00725B05" w:rsidRPr="00B46A6C" w:rsidRDefault="00725B05" w:rsidP="00B46A6C">
      <w:pPr>
        <w:pStyle w:val="FootnoteText"/>
        <w:bidi/>
        <w:rPr>
          <w:rFonts w:ascii="Times New Roman" w:hAnsi="Times New Roman" w:cs="Times New Roman"/>
          <w:sz w:val="18"/>
          <w:szCs w:val="18"/>
          <w:lang w:val="fr-FR"/>
        </w:rPr>
      </w:pPr>
      <w:r w:rsidRPr="00B46A6C">
        <w:rPr>
          <w:rStyle w:val="FootnoteReference"/>
          <w:rFonts w:ascii="Times New Roman" w:hAnsi="Times New Roman" w:cs="Times New Roman"/>
          <w:sz w:val="18"/>
          <w:szCs w:val="18"/>
        </w:rPr>
        <w:footnoteRef/>
      </w:r>
      <w:r w:rsidRPr="00B46A6C">
        <w:rPr>
          <w:rFonts w:ascii="Times New Roman" w:hAnsi="Times New Roman" w:cs="Times New Roman"/>
          <w:sz w:val="18"/>
          <w:szCs w:val="18"/>
        </w:rPr>
        <w:t xml:space="preserve"> </w:t>
      </w:r>
      <w:r w:rsidRPr="00B46A6C">
        <w:rPr>
          <w:rFonts w:ascii="Times New Roman" w:hAnsi="Times New Roman" w:cs="Times New Roman" w:hint="cs"/>
          <w:sz w:val="18"/>
          <w:szCs w:val="18"/>
          <w:rtl/>
        </w:rPr>
        <w:t xml:space="preserve"> مناطق التجارة الحرة والاتجار بالمواد المستنفدة للأوزون برنامج العمل من أجل طبقة الأوزون </w:t>
      </w:r>
      <w:hyperlink r:id="rId3" w:history="1">
        <w:r w:rsidRPr="0059754B">
          <w:rPr>
            <w:rStyle w:val="Hyperlink"/>
            <w:rFonts w:ascii="Times New Roman" w:hAnsi="Times New Roman" w:cs="Times New Roman"/>
            <w:sz w:val="18"/>
            <w:szCs w:val="18"/>
            <w:lang w:val="fr-FR"/>
          </w:rPr>
          <w:t>https://wedocs.unep.org/bitstream/handle/20.500.11822/28382/7745FreeTradeZ_EN.pdf?sequence=1&amp;isAllowed=y</w:t>
        </w:r>
      </w:hyperlink>
    </w:p>
  </w:footnote>
  <w:footnote w:id="41">
    <w:p w:rsidR="003F363C" w:rsidRPr="00C541C0" w:rsidRDefault="003F363C" w:rsidP="003F363C">
      <w:pPr>
        <w:pStyle w:val="FootnoteText"/>
        <w:bidi/>
        <w:rPr>
          <w:rFonts w:ascii="Times New Roman" w:hAnsi="Times New Roman" w:cs="Times New Roman"/>
          <w:szCs w:val="22"/>
          <w:lang w:val="en-US"/>
        </w:rPr>
      </w:pPr>
      <w:r w:rsidRPr="00C541C0">
        <w:rPr>
          <w:rStyle w:val="FootnoteReference"/>
          <w:rFonts w:ascii="Times New Roman" w:hAnsi="Times New Roman" w:cs="Times New Roman"/>
        </w:rPr>
        <w:footnoteRef/>
      </w:r>
      <w:r>
        <w:rPr>
          <w:rFonts w:ascii="Times New Roman" w:hAnsi="Times New Roman" w:cs="Times New Roman" w:hint="cs"/>
          <w:szCs w:val="22"/>
          <w:rtl/>
          <w:lang w:val="en-US"/>
        </w:rPr>
        <w:t xml:space="preserve"> </w:t>
      </w:r>
      <w:r>
        <w:rPr>
          <w:rFonts w:hint="cs"/>
          <w:rtl/>
        </w:rPr>
        <w:t xml:space="preserve">الوثيقة </w:t>
      </w:r>
      <w:r w:rsidRPr="00C541C0">
        <w:rPr>
          <w:rFonts w:ascii="Times New Roman" w:hAnsi="Times New Roman" w:cs="Times New Roman"/>
          <w:szCs w:val="22"/>
          <w:lang w:val="en-US"/>
        </w:rPr>
        <w:t>UNEP/OzL.Pro/ExCom/83/3</w:t>
      </w:r>
      <w:r>
        <w:rPr>
          <w:rFonts w:ascii="Times New Roman" w:hAnsi="Times New Roman" w:cs="Times New Roman"/>
          <w:szCs w:val="22"/>
          <w:lang w:val="en-US"/>
        </w:rPr>
        <w:t>8</w:t>
      </w:r>
      <w:r>
        <w:rPr>
          <w:rFonts w:hint="cs"/>
          <w:rtl/>
        </w:rPr>
        <w:t>.</w:t>
      </w:r>
    </w:p>
  </w:footnote>
  <w:footnote w:id="42">
    <w:p w:rsidR="003F363C" w:rsidRPr="003F363C" w:rsidRDefault="003F363C" w:rsidP="003F363C">
      <w:pPr>
        <w:pStyle w:val="FootnoteText"/>
        <w:bidi/>
        <w:rPr>
          <w:rFonts w:ascii="Times New Roman" w:hAnsi="Times New Roman" w:cs="Times New Roman"/>
          <w:sz w:val="18"/>
          <w:szCs w:val="18"/>
          <w:lang w:val="en-US"/>
        </w:rPr>
      </w:pPr>
      <w:r w:rsidRPr="003F363C">
        <w:rPr>
          <w:rStyle w:val="FootnoteReference"/>
          <w:rFonts w:ascii="Times New Roman" w:hAnsi="Times New Roman" w:cs="Times New Roman"/>
          <w:sz w:val="18"/>
          <w:szCs w:val="18"/>
        </w:rPr>
        <w:footnoteRef/>
      </w:r>
      <w:r w:rsidRPr="003F363C">
        <w:rPr>
          <w:rFonts w:ascii="Times New Roman" w:hAnsi="Times New Roman" w:cs="Times New Roman"/>
          <w:sz w:val="18"/>
          <w:szCs w:val="18"/>
        </w:rPr>
        <w:t xml:space="preserve"> </w:t>
      </w:r>
      <w:r w:rsidRPr="003F363C">
        <w:rPr>
          <w:rFonts w:ascii="Times New Roman" w:hAnsi="Times New Roman" w:cs="Times New Roman" w:hint="cs"/>
          <w:sz w:val="18"/>
          <w:szCs w:val="18"/>
          <w:rtl/>
        </w:rPr>
        <w:t xml:space="preserve"> </w:t>
      </w:r>
      <w:r w:rsidRPr="003F363C">
        <w:rPr>
          <w:rFonts w:ascii="Times New Roman" w:hAnsi="Times New Roman" w:cs="Times New Roman"/>
          <w:sz w:val="18"/>
          <w:szCs w:val="18"/>
          <w:rtl/>
          <w:lang w:val="en-US"/>
        </w:rPr>
        <w:t xml:space="preserve">صفحة الويب الخاصة بأمانة الأوزون. لوحات التقييم </w:t>
      </w:r>
      <w:r w:rsidRPr="003F363C">
        <w:rPr>
          <w:rFonts w:ascii="Times New Roman" w:hAnsi="Times New Roman" w:cs="Times New Roman"/>
          <w:sz w:val="18"/>
          <w:szCs w:val="18"/>
          <w:lang w:val="en-US"/>
        </w:rPr>
        <w:t xml:space="preserve"> </w:t>
      </w:r>
      <w:hyperlink r:id="rId4" w:history="1">
        <w:r w:rsidRPr="003F363C">
          <w:rPr>
            <w:rStyle w:val="Hyperlink"/>
            <w:rFonts w:ascii="Times New Roman" w:hAnsi="Times New Roman" w:cs="Times New Roman"/>
            <w:sz w:val="18"/>
            <w:szCs w:val="18"/>
            <w:lang w:val="en-US"/>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Pr="00057A3F" w:rsidRDefault="00EA57DC" w:rsidP="004D6AB3">
    <w:pPr>
      <w:pStyle w:val="Header"/>
      <w:jc w:val="right"/>
      <w:rPr>
        <w:lang w:val="en-CA"/>
      </w:rPr>
    </w:pPr>
    <w:fldSimple w:instr=" DOCPROPERTY &quot;Document number&quot;  \* MERGEFORMAT ">
      <w:r w:rsidR="00BB73E8">
        <w:t>UNEP/OzL.Pro/ExCom/84/12</w:t>
      </w:r>
    </w:fldSimple>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Default="00EA57DC" w:rsidP="004D6AB3">
    <w:pPr>
      <w:pStyle w:val="Header"/>
      <w:jc w:val="left"/>
    </w:pPr>
    <w:fldSimple w:instr=" DOCPROPERTY &quot;Document number&quot;  \* MERGEFORMAT ">
      <w:r w:rsidR="00BB73E8">
        <w:t>UNEP/OzL.Pro/ExCom/84/12</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AB3" w:rsidRDefault="004D6AB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Pr="0033525D" w:rsidRDefault="00EA57DC">
    <w:fldSimple w:instr=" DOCPROPERTY &quot;Document number&quot;  \* MERGEFORMAT ">
      <w:r w:rsidR="00BB73E8">
        <w:t>UNEP/OzL.Pro/ExCom/84/12</w:t>
      </w:r>
    </w:fldSimple>
  </w:p>
  <w:p w:rsidR="00725B05" w:rsidRDefault="00725B05" w:rsidP="00E910D1">
    <w:r>
      <w:t>Annex II</w:t>
    </w:r>
  </w:p>
  <w:p w:rsidR="00725B05" w:rsidRPr="0033525D" w:rsidRDefault="00725B0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Pr="0033525D" w:rsidRDefault="00EA57DC">
    <w:pPr>
      <w:jc w:val="right"/>
    </w:pPr>
    <w:fldSimple w:instr=" DOCPROPERTY &quot;Document number&quot;  \* MERGEFORMAT ">
      <w:r w:rsidR="00BB73E8">
        <w:t>UNEP/OzL.Pro/ExCom/84/12</w:t>
      </w:r>
    </w:fldSimple>
  </w:p>
  <w:p w:rsidR="00725B05" w:rsidRPr="0033525D" w:rsidRDefault="00725B05" w:rsidP="00A22218">
    <w:pPr>
      <w:jc w:val="right"/>
    </w:pPr>
    <w:r>
      <w:t>Annex II</w:t>
    </w:r>
  </w:p>
  <w:p w:rsidR="00725B05" w:rsidRPr="0033525D" w:rsidRDefault="00725B0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B05" w:rsidRDefault="00EA57DC" w:rsidP="00230DF1">
    <w:pPr>
      <w:pStyle w:val="Header"/>
      <w:jc w:val="right"/>
    </w:pPr>
    <w:fldSimple w:instr=" DOCPROPERTY &quot;Document number&quot;  \* MERGEFORMAT ">
      <w:r w:rsidR="00BB73E8">
        <w:t>UNEP/OzL.Pro/ExCom/84/12</w:t>
      </w:r>
    </w:fldSimple>
  </w:p>
  <w:p w:rsidR="00725B05" w:rsidRDefault="00725B05" w:rsidP="00230DF1">
    <w:pPr>
      <w:pStyle w:val="Header"/>
      <w:jc w:val="right"/>
    </w:pPr>
    <w:r>
      <w:t>Annex II</w:t>
    </w:r>
  </w:p>
  <w:p w:rsidR="00725B05" w:rsidRDefault="00725B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3486426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9E3DD7"/>
    <w:multiLevelType w:val="hybridMultilevel"/>
    <w:tmpl w:val="6F78CC1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F6661B"/>
    <w:multiLevelType w:val="hybridMultilevel"/>
    <w:tmpl w:val="6CAA4F8A"/>
    <w:lvl w:ilvl="0" w:tplc="E0A23F52">
      <w:start w:val="1"/>
      <w:numFmt w:val="decimal"/>
      <w:lvlText w:val="%1."/>
      <w:lvlJc w:val="left"/>
      <w:pPr>
        <w:ind w:left="360" w:hanging="360"/>
      </w:pPr>
      <w:rPr>
        <w:rFonts w:hint="default"/>
        <w:b w:val="0"/>
        <w:lang w:val="en-CA"/>
      </w:rPr>
    </w:lvl>
    <w:lvl w:ilvl="1" w:tplc="812AC1BC">
      <w:start w:val="1"/>
      <w:numFmt w:val="lowerLetter"/>
      <w:pStyle w:val="ListParagraph"/>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D27766"/>
    <w:multiLevelType w:val="hybridMultilevel"/>
    <w:tmpl w:val="E7CC12B0"/>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F30978"/>
    <w:multiLevelType w:val="hybridMultilevel"/>
    <w:tmpl w:val="0F1C17F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7D34FB9"/>
    <w:multiLevelType w:val="hybridMultilevel"/>
    <w:tmpl w:val="AF9A5CC8"/>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2FA3828"/>
    <w:multiLevelType w:val="hybridMultilevel"/>
    <w:tmpl w:val="27A4310E"/>
    <w:lvl w:ilvl="0" w:tplc="1009000F">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11"/>
  </w:num>
  <w:num w:numId="7">
    <w:abstractNumId w:val="12"/>
  </w:num>
  <w:num w:numId="8">
    <w:abstractNumId w:val="21"/>
  </w:num>
  <w:num w:numId="9">
    <w:abstractNumId w:val="9"/>
  </w:num>
  <w:num w:numId="10">
    <w:abstractNumId w:val="10"/>
  </w:num>
  <w:num w:numId="11">
    <w:abstractNumId w:val="20"/>
  </w:num>
  <w:num w:numId="12">
    <w:abstractNumId w:val="5"/>
  </w:num>
  <w:num w:numId="13">
    <w:abstractNumId w:val="13"/>
  </w:num>
  <w:num w:numId="14">
    <w:abstractNumId w:val="4"/>
  </w:num>
  <w:num w:numId="15">
    <w:abstractNumId w:val="14"/>
  </w:num>
  <w:num w:numId="16">
    <w:abstractNumId w:val="8"/>
  </w:num>
  <w:num w:numId="17">
    <w:abstractNumId w:val="16"/>
  </w:num>
  <w:num w:numId="18">
    <w:abstractNumId w:val="15"/>
  </w:num>
  <w:num w:numId="19">
    <w:abstractNumId w:val="3"/>
  </w:num>
  <w:num w:numId="20">
    <w:abstractNumId w:val="17"/>
  </w:num>
  <w:num w:numId="21">
    <w:abstractNumId w:val="1"/>
  </w:num>
  <w:num w:numId="22">
    <w:abstractNumId w:val="2"/>
  </w:num>
  <w:num w:numId="23">
    <w:abstractNumId w:val="6"/>
  </w:num>
  <w:num w:numId="24">
    <w:abstractNumId w:val="18"/>
  </w:num>
  <w:num w:numId="25">
    <w:abstractNumId w:val="19"/>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5938"/>
    <w:rsid w:val="0000652D"/>
    <w:rsid w:val="00017C3F"/>
    <w:rsid w:val="000211A9"/>
    <w:rsid w:val="00022851"/>
    <w:rsid w:val="00024693"/>
    <w:rsid w:val="000247F9"/>
    <w:rsid w:val="00031260"/>
    <w:rsid w:val="0003681A"/>
    <w:rsid w:val="00040918"/>
    <w:rsid w:val="00047480"/>
    <w:rsid w:val="00052C5C"/>
    <w:rsid w:val="00060BB5"/>
    <w:rsid w:val="00061EC2"/>
    <w:rsid w:val="000737F1"/>
    <w:rsid w:val="00080ED0"/>
    <w:rsid w:val="00085B8F"/>
    <w:rsid w:val="00090481"/>
    <w:rsid w:val="00092009"/>
    <w:rsid w:val="000924F9"/>
    <w:rsid w:val="000A6C26"/>
    <w:rsid w:val="000A7A3E"/>
    <w:rsid w:val="000B3064"/>
    <w:rsid w:val="000B5078"/>
    <w:rsid w:val="000C1D90"/>
    <w:rsid w:val="000D52A4"/>
    <w:rsid w:val="000E07BC"/>
    <w:rsid w:val="000E44B8"/>
    <w:rsid w:val="000E5908"/>
    <w:rsid w:val="000E59CB"/>
    <w:rsid w:val="000F17D4"/>
    <w:rsid w:val="000F1CD4"/>
    <w:rsid w:val="000F223D"/>
    <w:rsid w:val="000F4103"/>
    <w:rsid w:val="000F70A7"/>
    <w:rsid w:val="001027D6"/>
    <w:rsid w:val="001072DB"/>
    <w:rsid w:val="00110D6B"/>
    <w:rsid w:val="00113CCA"/>
    <w:rsid w:val="0011478D"/>
    <w:rsid w:val="00122F25"/>
    <w:rsid w:val="001258F6"/>
    <w:rsid w:val="00127966"/>
    <w:rsid w:val="00130682"/>
    <w:rsid w:val="00135980"/>
    <w:rsid w:val="0013635A"/>
    <w:rsid w:val="00136BEF"/>
    <w:rsid w:val="00140059"/>
    <w:rsid w:val="001635ED"/>
    <w:rsid w:val="00163993"/>
    <w:rsid w:val="00164719"/>
    <w:rsid w:val="00166FC4"/>
    <w:rsid w:val="001677AC"/>
    <w:rsid w:val="001804EA"/>
    <w:rsid w:val="00190A61"/>
    <w:rsid w:val="00191FE1"/>
    <w:rsid w:val="001A01BC"/>
    <w:rsid w:val="001A2E7F"/>
    <w:rsid w:val="001A3342"/>
    <w:rsid w:val="001A3E3D"/>
    <w:rsid w:val="001A7049"/>
    <w:rsid w:val="001B061B"/>
    <w:rsid w:val="001B1D88"/>
    <w:rsid w:val="001B1E40"/>
    <w:rsid w:val="001B308C"/>
    <w:rsid w:val="001B6487"/>
    <w:rsid w:val="001C3A40"/>
    <w:rsid w:val="001C3C80"/>
    <w:rsid w:val="001C764E"/>
    <w:rsid w:val="001E1052"/>
    <w:rsid w:val="001E12BC"/>
    <w:rsid w:val="001E21B1"/>
    <w:rsid w:val="001E2F93"/>
    <w:rsid w:val="001E61E5"/>
    <w:rsid w:val="001E7709"/>
    <w:rsid w:val="001F2159"/>
    <w:rsid w:val="001F6D08"/>
    <w:rsid w:val="00204EB2"/>
    <w:rsid w:val="00213B82"/>
    <w:rsid w:val="00214863"/>
    <w:rsid w:val="002156B4"/>
    <w:rsid w:val="0021624F"/>
    <w:rsid w:val="002216DD"/>
    <w:rsid w:val="00224D45"/>
    <w:rsid w:val="00230DF1"/>
    <w:rsid w:val="00242332"/>
    <w:rsid w:val="00243BBE"/>
    <w:rsid w:val="00245108"/>
    <w:rsid w:val="00250A33"/>
    <w:rsid w:val="00253222"/>
    <w:rsid w:val="00262847"/>
    <w:rsid w:val="00264ACF"/>
    <w:rsid w:val="00264F3D"/>
    <w:rsid w:val="00267B4D"/>
    <w:rsid w:val="00276D9D"/>
    <w:rsid w:val="00281BB2"/>
    <w:rsid w:val="0028259B"/>
    <w:rsid w:val="00291CD7"/>
    <w:rsid w:val="002B08D9"/>
    <w:rsid w:val="002B72E9"/>
    <w:rsid w:val="002C7998"/>
    <w:rsid w:val="002D55F2"/>
    <w:rsid w:val="002F1E53"/>
    <w:rsid w:val="002F263D"/>
    <w:rsid w:val="002F2CAA"/>
    <w:rsid w:val="002F6685"/>
    <w:rsid w:val="0030052C"/>
    <w:rsid w:val="003268A8"/>
    <w:rsid w:val="00326BE5"/>
    <w:rsid w:val="003306E1"/>
    <w:rsid w:val="003320E4"/>
    <w:rsid w:val="0033525D"/>
    <w:rsid w:val="003414F3"/>
    <w:rsid w:val="0034451D"/>
    <w:rsid w:val="00346674"/>
    <w:rsid w:val="003512CB"/>
    <w:rsid w:val="0035613E"/>
    <w:rsid w:val="003608EE"/>
    <w:rsid w:val="003618FB"/>
    <w:rsid w:val="003629D0"/>
    <w:rsid w:val="00363EE9"/>
    <w:rsid w:val="00364191"/>
    <w:rsid w:val="0036427C"/>
    <w:rsid w:val="00366505"/>
    <w:rsid w:val="00372479"/>
    <w:rsid w:val="003757DF"/>
    <w:rsid w:val="00376128"/>
    <w:rsid w:val="0037742E"/>
    <w:rsid w:val="00377D56"/>
    <w:rsid w:val="0038245A"/>
    <w:rsid w:val="003840E6"/>
    <w:rsid w:val="00385613"/>
    <w:rsid w:val="00385CFC"/>
    <w:rsid w:val="00387333"/>
    <w:rsid w:val="003919B9"/>
    <w:rsid w:val="0039337A"/>
    <w:rsid w:val="003A0FEC"/>
    <w:rsid w:val="003A3189"/>
    <w:rsid w:val="003A3CA7"/>
    <w:rsid w:val="003B33BD"/>
    <w:rsid w:val="003B569D"/>
    <w:rsid w:val="003B5BC6"/>
    <w:rsid w:val="003B69B1"/>
    <w:rsid w:val="003C0C29"/>
    <w:rsid w:val="003C3C0E"/>
    <w:rsid w:val="003D4FAC"/>
    <w:rsid w:val="003E7906"/>
    <w:rsid w:val="003F2DA8"/>
    <w:rsid w:val="003F363C"/>
    <w:rsid w:val="003F3C50"/>
    <w:rsid w:val="003F5FBE"/>
    <w:rsid w:val="00406A6A"/>
    <w:rsid w:val="00406B22"/>
    <w:rsid w:val="00416249"/>
    <w:rsid w:val="004174B4"/>
    <w:rsid w:val="004317B4"/>
    <w:rsid w:val="004328A7"/>
    <w:rsid w:val="0043338E"/>
    <w:rsid w:val="00434C74"/>
    <w:rsid w:val="00456EB4"/>
    <w:rsid w:val="00465140"/>
    <w:rsid w:val="00465BBD"/>
    <w:rsid w:val="004665A9"/>
    <w:rsid w:val="004718F3"/>
    <w:rsid w:val="004731B8"/>
    <w:rsid w:val="00475040"/>
    <w:rsid w:val="004853A6"/>
    <w:rsid w:val="00493D40"/>
    <w:rsid w:val="004967B6"/>
    <w:rsid w:val="004A504B"/>
    <w:rsid w:val="004A6911"/>
    <w:rsid w:val="004B54E0"/>
    <w:rsid w:val="004B7384"/>
    <w:rsid w:val="004B7BFF"/>
    <w:rsid w:val="004C4269"/>
    <w:rsid w:val="004D1864"/>
    <w:rsid w:val="004D6236"/>
    <w:rsid w:val="004D6AB3"/>
    <w:rsid w:val="004D7F90"/>
    <w:rsid w:val="004E1427"/>
    <w:rsid w:val="004E4DBB"/>
    <w:rsid w:val="004E4E41"/>
    <w:rsid w:val="004E7F9C"/>
    <w:rsid w:val="004F18A7"/>
    <w:rsid w:val="004F3493"/>
    <w:rsid w:val="004F43AA"/>
    <w:rsid w:val="004F5143"/>
    <w:rsid w:val="004F553F"/>
    <w:rsid w:val="004F72FA"/>
    <w:rsid w:val="00512B09"/>
    <w:rsid w:val="00515B2F"/>
    <w:rsid w:val="00525CE4"/>
    <w:rsid w:val="00533796"/>
    <w:rsid w:val="005500E3"/>
    <w:rsid w:val="00553B65"/>
    <w:rsid w:val="00555D75"/>
    <w:rsid w:val="00560DF0"/>
    <w:rsid w:val="0056759C"/>
    <w:rsid w:val="00572E04"/>
    <w:rsid w:val="0059513E"/>
    <w:rsid w:val="005963D3"/>
    <w:rsid w:val="00597FCC"/>
    <w:rsid w:val="005A4390"/>
    <w:rsid w:val="005B32CA"/>
    <w:rsid w:val="005B4434"/>
    <w:rsid w:val="005B48FF"/>
    <w:rsid w:val="005C5BAF"/>
    <w:rsid w:val="005C6307"/>
    <w:rsid w:val="005F31CC"/>
    <w:rsid w:val="00600625"/>
    <w:rsid w:val="00601016"/>
    <w:rsid w:val="00604C15"/>
    <w:rsid w:val="00606A77"/>
    <w:rsid w:val="00614BE0"/>
    <w:rsid w:val="006158D5"/>
    <w:rsid w:val="00615D98"/>
    <w:rsid w:val="00625D83"/>
    <w:rsid w:val="00631899"/>
    <w:rsid w:val="00631A84"/>
    <w:rsid w:val="00655E68"/>
    <w:rsid w:val="006623E7"/>
    <w:rsid w:val="00662B80"/>
    <w:rsid w:val="00665F97"/>
    <w:rsid w:val="00670F6C"/>
    <w:rsid w:val="00675795"/>
    <w:rsid w:val="006852C7"/>
    <w:rsid w:val="006852CE"/>
    <w:rsid w:val="006A7435"/>
    <w:rsid w:val="006C00CF"/>
    <w:rsid w:val="006C1727"/>
    <w:rsid w:val="006C32FD"/>
    <w:rsid w:val="006C39CE"/>
    <w:rsid w:val="006C6510"/>
    <w:rsid w:val="006D0FCC"/>
    <w:rsid w:val="006D1D2D"/>
    <w:rsid w:val="006D54FC"/>
    <w:rsid w:val="006E1FC3"/>
    <w:rsid w:val="006F2D69"/>
    <w:rsid w:val="00700AC5"/>
    <w:rsid w:val="0070616B"/>
    <w:rsid w:val="00706FDA"/>
    <w:rsid w:val="007079DD"/>
    <w:rsid w:val="007114EA"/>
    <w:rsid w:val="00711F9A"/>
    <w:rsid w:val="0071257C"/>
    <w:rsid w:val="00713810"/>
    <w:rsid w:val="00717DA8"/>
    <w:rsid w:val="00720B6E"/>
    <w:rsid w:val="00725B05"/>
    <w:rsid w:val="007303A5"/>
    <w:rsid w:val="00730B3E"/>
    <w:rsid w:val="0073420B"/>
    <w:rsid w:val="00742478"/>
    <w:rsid w:val="0074760E"/>
    <w:rsid w:val="00754ABA"/>
    <w:rsid w:val="00760FC4"/>
    <w:rsid w:val="00770289"/>
    <w:rsid w:val="00772462"/>
    <w:rsid w:val="00773454"/>
    <w:rsid w:val="0077761C"/>
    <w:rsid w:val="007861C0"/>
    <w:rsid w:val="007875FB"/>
    <w:rsid w:val="00791491"/>
    <w:rsid w:val="007A1546"/>
    <w:rsid w:val="007A228C"/>
    <w:rsid w:val="007A368E"/>
    <w:rsid w:val="007A5868"/>
    <w:rsid w:val="007B04CE"/>
    <w:rsid w:val="007B6871"/>
    <w:rsid w:val="007B6FE6"/>
    <w:rsid w:val="007B7A2F"/>
    <w:rsid w:val="007C227C"/>
    <w:rsid w:val="007C30B2"/>
    <w:rsid w:val="007C3D33"/>
    <w:rsid w:val="007D294A"/>
    <w:rsid w:val="007D47D2"/>
    <w:rsid w:val="007D6EC0"/>
    <w:rsid w:val="007D7E1D"/>
    <w:rsid w:val="007E7340"/>
    <w:rsid w:val="007F1399"/>
    <w:rsid w:val="008037EF"/>
    <w:rsid w:val="00824586"/>
    <w:rsid w:val="00826E75"/>
    <w:rsid w:val="00831979"/>
    <w:rsid w:val="008445F0"/>
    <w:rsid w:val="00845AD2"/>
    <w:rsid w:val="00846E3A"/>
    <w:rsid w:val="00847A13"/>
    <w:rsid w:val="00851352"/>
    <w:rsid w:val="008577F0"/>
    <w:rsid w:val="00863230"/>
    <w:rsid w:val="008717D8"/>
    <w:rsid w:val="0087215C"/>
    <w:rsid w:val="00877763"/>
    <w:rsid w:val="00880E35"/>
    <w:rsid w:val="008875FE"/>
    <w:rsid w:val="00887F8E"/>
    <w:rsid w:val="00896234"/>
    <w:rsid w:val="00897E43"/>
    <w:rsid w:val="008C3219"/>
    <w:rsid w:val="008C5738"/>
    <w:rsid w:val="008C7EAD"/>
    <w:rsid w:val="008D0CFE"/>
    <w:rsid w:val="008D3375"/>
    <w:rsid w:val="008D54C2"/>
    <w:rsid w:val="008D6152"/>
    <w:rsid w:val="008E3CCD"/>
    <w:rsid w:val="008E7309"/>
    <w:rsid w:val="008F0F81"/>
    <w:rsid w:val="008F1FD4"/>
    <w:rsid w:val="008F27BF"/>
    <w:rsid w:val="008F39BA"/>
    <w:rsid w:val="00906BD4"/>
    <w:rsid w:val="009142EC"/>
    <w:rsid w:val="009154C3"/>
    <w:rsid w:val="00923540"/>
    <w:rsid w:val="00926767"/>
    <w:rsid w:val="00931364"/>
    <w:rsid w:val="009361D5"/>
    <w:rsid w:val="00937E14"/>
    <w:rsid w:val="009428A4"/>
    <w:rsid w:val="0095350C"/>
    <w:rsid w:val="009659F4"/>
    <w:rsid w:val="009709B0"/>
    <w:rsid w:val="00970D60"/>
    <w:rsid w:val="009734D0"/>
    <w:rsid w:val="00987F6D"/>
    <w:rsid w:val="009960E5"/>
    <w:rsid w:val="009A7ADC"/>
    <w:rsid w:val="009A7C19"/>
    <w:rsid w:val="009B71F1"/>
    <w:rsid w:val="009C19B7"/>
    <w:rsid w:val="009D3CFA"/>
    <w:rsid w:val="009D7C51"/>
    <w:rsid w:val="009E196C"/>
    <w:rsid w:val="009E1A9E"/>
    <w:rsid w:val="009F36BF"/>
    <w:rsid w:val="00A111B6"/>
    <w:rsid w:val="00A22218"/>
    <w:rsid w:val="00A2547B"/>
    <w:rsid w:val="00A26D27"/>
    <w:rsid w:val="00A376EE"/>
    <w:rsid w:val="00A4191A"/>
    <w:rsid w:val="00A42A99"/>
    <w:rsid w:val="00A5151A"/>
    <w:rsid w:val="00A56465"/>
    <w:rsid w:val="00A57098"/>
    <w:rsid w:val="00A57E0A"/>
    <w:rsid w:val="00A823F6"/>
    <w:rsid w:val="00A82BB2"/>
    <w:rsid w:val="00A932A3"/>
    <w:rsid w:val="00A93BBA"/>
    <w:rsid w:val="00AA0A89"/>
    <w:rsid w:val="00AA6429"/>
    <w:rsid w:val="00AC01AA"/>
    <w:rsid w:val="00AC2D4E"/>
    <w:rsid w:val="00AC4F72"/>
    <w:rsid w:val="00AD0250"/>
    <w:rsid w:val="00AE0C07"/>
    <w:rsid w:val="00AE77AA"/>
    <w:rsid w:val="00AF741A"/>
    <w:rsid w:val="00B00CBF"/>
    <w:rsid w:val="00B01ADB"/>
    <w:rsid w:val="00B0287C"/>
    <w:rsid w:val="00B04161"/>
    <w:rsid w:val="00B056F9"/>
    <w:rsid w:val="00B1071D"/>
    <w:rsid w:val="00B11E3D"/>
    <w:rsid w:val="00B1201B"/>
    <w:rsid w:val="00B14C63"/>
    <w:rsid w:val="00B17E82"/>
    <w:rsid w:val="00B348D6"/>
    <w:rsid w:val="00B4575A"/>
    <w:rsid w:val="00B46A6C"/>
    <w:rsid w:val="00B575BA"/>
    <w:rsid w:val="00B659B8"/>
    <w:rsid w:val="00B75815"/>
    <w:rsid w:val="00B7637E"/>
    <w:rsid w:val="00B76429"/>
    <w:rsid w:val="00B84420"/>
    <w:rsid w:val="00B90F2D"/>
    <w:rsid w:val="00B910F2"/>
    <w:rsid w:val="00B956D4"/>
    <w:rsid w:val="00B97446"/>
    <w:rsid w:val="00BA47E2"/>
    <w:rsid w:val="00BA6F99"/>
    <w:rsid w:val="00BA7432"/>
    <w:rsid w:val="00BB4CF5"/>
    <w:rsid w:val="00BB73E8"/>
    <w:rsid w:val="00BC1AA0"/>
    <w:rsid w:val="00BC2495"/>
    <w:rsid w:val="00BC7EB9"/>
    <w:rsid w:val="00BD030C"/>
    <w:rsid w:val="00BD2643"/>
    <w:rsid w:val="00BD4968"/>
    <w:rsid w:val="00BD56B1"/>
    <w:rsid w:val="00BD6165"/>
    <w:rsid w:val="00BD6558"/>
    <w:rsid w:val="00BF3022"/>
    <w:rsid w:val="00BF3214"/>
    <w:rsid w:val="00BF5573"/>
    <w:rsid w:val="00C0058F"/>
    <w:rsid w:val="00C03150"/>
    <w:rsid w:val="00C0342C"/>
    <w:rsid w:val="00C104A8"/>
    <w:rsid w:val="00C10BD0"/>
    <w:rsid w:val="00C15867"/>
    <w:rsid w:val="00C2296D"/>
    <w:rsid w:val="00C22AB8"/>
    <w:rsid w:val="00C23155"/>
    <w:rsid w:val="00C347A4"/>
    <w:rsid w:val="00C35B41"/>
    <w:rsid w:val="00C40C41"/>
    <w:rsid w:val="00C45885"/>
    <w:rsid w:val="00C50F22"/>
    <w:rsid w:val="00C55303"/>
    <w:rsid w:val="00C5688B"/>
    <w:rsid w:val="00C57971"/>
    <w:rsid w:val="00C65BD7"/>
    <w:rsid w:val="00C70B6F"/>
    <w:rsid w:val="00C71A57"/>
    <w:rsid w:val="00C76BA4"/>
    <w:rsid w:val="00C776C6"/>
    <w:rsid w:val="00C811DE"/>
    <w:rsid w:val="00C83A48"/>
    <w:rsid w:val="00C85865"/>
    <w:rsid w:val="00C85E85"/>
    <w:rsid w:val="00C93C7A"/>
    <w:rsid w:val="00CA2EAE"/>
    <w:rsid w:val="00CA4AC1"/>
    <w:rsid w:val="00CB0316"/>
    <w:rsid w:val="00CB0B11"/>
    <w:rsid w:val="00CB49DC"/>
    <w:rsid w:val="00CB5354"/>
    <w:rsid w:val="00CC299E"/>
    <w:rsid w:val="00CC6236"/>
    <w:rsid w:val="00CC6A14"/>
    <w:rsid w:val="00CC70A3"/>
    <w:rsid w:val="00CD4442"/>
    <w:rsid w:val="00CD53C3"/>
    <w:rsid w:val="00CD574E"/>
    <w:rsid w:val="00CE4C22"/>
    <w:rsid w:val="00CF41EC"/>
    <w:rsid w:val="00CF5D04"/>
    <w:rsid w:val="00CF7C95"/>
    <w:rsid w:val="00D04DE4"/>
    <w:rsid w:val="00D0546C"/>
    <w:rsid w:val="00D063F1"/>
    <w:rsid w:val="00D13384"/>
    <w:rsid w:val="00D13CD0"/>
    <w:rsid w:val="00D14F22"/>
    <w:rsid w:val="00D22563"/>
    <w:rsid w:val="00D22E26"/>
    <w:rsid w:val="00D257C8"/>
    <w:rsid w:val="00D30085"/>
    <w:rsid w:val="00D41C98"/>
    <w:rsid w:val="00D4741C"/>
    <w:rsid w:val="00D51B89"/>
    <w:rsid w:val="00D524D0"/>
    <w:rsid w:val="00D57918"/>
    <w:rsid w:val="00D62899"/>
    <w:rsid w:val="00D66982"/>
    <w:rsid w:val="00D67D93"/>
    <w:rsid w:val="00D73DC6"/>
    <w:rsid w:val="00D74C1A"/>
    <w:rsid w:val="00D754C1"/>
    <w:rsid w:val="00D77393"/>
    <w:rsid w:val="00D77A35"/>
    <w:rsid w:val="00D81B3E"/>
    <w:rsid w:val="00D90C70"/>
    <w:rsid w:val="00D90E49"/>
    <w:rsid w:val="00D92A16"/>
    <w:rsid w:val="00D96ADE"/>
    <w:rsid w:val="00DA0CE2"/>
    <w:rsid w:val="00DA5FEC"/>
    <w:rsid w:val="00DA78EF"/>
    <w:rsid w:val="00DB1A3F"/>
    <w:rsid w:val="00DC486E"/>
    <w:rsid w:val="00DC6A10"/>
    <w:rsid w:val="00DE657E"/>
    <w:rsid w:val="00DF3F1C"/>
    <w:rsid w:val="00DF4704"/>
    <w:rsid w:val="00E024AA"/>
    <w:rsid w:val="00E16CBC"/>
    <w:rsid w:val="00E23BF3"/>
    <w:rsid w:val="00E250F1"/>
    <w:rsid w:val="00E27E1B"/>
    <w:rsid w:val="00E3550D"/>
    <w:rsid w:val="00E35513"/>
    <w:rsid w:val="00E37DBA"/>
    <w:rsid w:val="00E41335"/>
    <w:rsid w:val="00E51BEF"/>
    <w:rsid w:val="00E551EC"/>
    <w:rsid w:val="00E614E0"/>
    <w:rsid w:val="00E73F7F"/>
    <w:rsid w:val="00E75C41"/>
    <w:rsid w:val="00E80A6E"/>
    <w:rsid w:val="00E85409"/>
    <w:rsid w:val="00E910D1"/>
    <w:rsid w:val="00EA429F"/>
    <w:rsid w:val="00EA4896"/>
    <w:rsid w:val="00EA4F9E"/>
    <w:rsid w:val="00EA57DC"/>
    <w:rsid w:val="00EA63CA"/>
    <w:rsid w:val="00EA6D3B"/>
    <w:rsid w:val="00EB00AD"/>
    <w:rsid w:val="00EB136C"/>
    <w:rsid w:val="00EB480E"/>
    <w:rsid w:val="00EB5EC6"/>
    <w:rsid w:val="00EB7FC9"/>
    <w:rsid w:val="00ED27E8"/>
    <w:rsid w:val="00ED7137"/>
    <w:rsid w:val="00EE054D"/>
    <w:rsid w:val="00EE236D"/>
    <w:rsid w:val="00EE5C1D"/>
    <w:rsid w:val="00EE66BA"/>
    <w:rsid w:val="00EF123C"/>
    <w:rsid w:val="00EF28C1"/>
    <w:rsid w:val="00EF428B"/>
    <w:rsid w:val="00EF468C"/>
    <w:rsid w:val="00EF58EE"/>
    <w:rsid w:val="00EF75FA"/>
    <w:rsid w:val="00F0063E"/>
    <w:rsid w:val="00F07A58"/>
    <w:rsid w:val="00F134EE"/>
    <w:rsid w:val="00F21088"/>
    <w:rsid w:val="00F268BE"/>
    <w:rsid w:val="00F26E2B"/>
    <w:rsid w:val="00F327E7"/>
    <w:rsid w:val="00F3290A"/>
    <w:rsid w:val="00F33FA5"/>
    <w:rsid w:val="00F35746"/>
    <w:rsid w:val="00F37971"/>
    <w:rsid w:val="00F40478"/>
    <w:rsid w:val="00F447C7"/>
    <w:rsid w:val="00F5211B"/>
    <w:rsid w:val="00F554A9"/>
    <w:rsid w:val="00F70489"/>
    <w:rsid w:val="00F716FD"/>
    <w:rsid w:val="00F7751D"/>
    <w:rsid w:val="00F80355"/>
    <w:rsid w:val="00F87C43"/>
    <w:rsid w:val="00FA0DBC"/>
    <w:rsid w:val="00FA74D0"/>
    <w:rsid w:val="00FB0C81"/>
    <w:rsid w:val="00FC2200"/>
    <w:rsid w:val="00FC2540"/>
    <w:rsid w:val="00FC4183"/>
    <w:rsid w:val="00FD0CD3"/>
    <w:rsid w:val="00FE6F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0BEB5F2-B681-4EEE-ACE5-446E7FBA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E37DBA"/>
    <w:pPr>
      <w:numPr>
        <w:ilvl w:val="1"/>
        <w:numId w:val="16"/>
      </w:numPr>
      <w:tabs>
        <w:tab w:val="left" w:pos="0"/>
      </w:tabs>
      <w:spacing w:before="120" w:after="240"/>
    </w:pPr>
    <w:rPr>
      <w:rFonts w:eastAsia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33FA5"/>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33FA5"/>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customStyle="1" w:styleId="GridTable4-Accent51">
    <w:name w:val="Grid Table 4 - Accent 51"/>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 w:type="paragraph" w:styleId="Caption">
    <w:name w:val="caption"/>
    <w:basedOn w:val="Normal"/>
    <w:next w:val="Normal"/>
    <w:qFormat/>
    <w:rsid w:val="008577F0"/>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8382/7745FreeTradeZ_EN.pdf?sequence=1&amp;isAllowed=y"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 Id="rId4" Type="http://schemas.openxmlformats.org/officeDocument/2006/relationships/hyperlink" Target="https://ozone.unep.org/science/ov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UNEP/OzL.Pro/ExCom/84/12</Document_x0020_Number>
    <DocumentType xmlns="48d2d36d-b4e3-478b-a344-cdbeebaca89a">Pre-session</DocumentType>
  </documentManagement>
</p:properties>
</file>

<file path=customXml/itemProps1.xml><?xml version="1.0" encoding="utf-8"?>
<ds:datastoreItem xmlns:ds="http://schemas.openxmlformats.org/officeDocument/2006/customXml" ds:itemID="{517F8945-B402-4FC3-8BCB-9A6772B4C940}"/>
</file>

<file path=customXml/itemProps2.xml><?xml version="1.0" encoding="utf-8"?>
<ds:datastoreItem xmlns:ds="http://schemas.openxmlformats.org/officeDocument/2006/customXml" ds:itemID="{B7BD12B8-791E-4315-B92C-3316FE3AF959}"/>
</file>

<file path=customXml/itemProps3.xml><?xml version="1.0" encoding="utf-8"?>
<ds:datastoreItem xmlns:ds="http://schemas.openxmlformats.org/officeDocument/2006/customXml" ds:itemID="{9CE76B68-E445-414F-AF16-8C157227F482}"/>
</file>

<file path=customXml/itemProps4.xml><?xml version="1.0" encoding="utf-8"?>
<ds:datastoreItem xmlns:ds="http://schemas.openxmlformats.org/officeDocument/2006/customXml" ds:itemID="{92BE77F8-D221-48C9-ABD5-AF23A325E042}"/>
</file>

<file path=docProps/app.xml><?xml version="1.0" encoding="utf-8"?>
<Properties xmlns="http://schemas.openxmlformats.org/officeDocument/2006/extended-properties" xmlns:vt="http://schemas.openxmlformats.org/officeDocument/2006/docPropsVTypes">
  <Template>Eec84G</Template>
  <TotalTime>919</TotalTime>
  <Pages>21</Pages>
  <Words>8167</Words>
  <Characters>46556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الدراسة النظرية عن تقييم استدامة إنجازات بروتوكول مونتريال</vt:lpstr>
    </vt:vector>
  </TitlesOfParts>
  <Company>UNMFS</Company>
  <LinksUpToDate>false</LinksUpToDate>
  <CharactersWithSpaces>54614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الدراسة النظرية عن تقييم استدامة إنجازات بروتوكول مونتريال</dc:title>
  <dc:creator>Joel Pare-Julien</dc:creator>
  <cp:lastModifiedBy>HBE</cp:lastModifiedBy>
  <cp:revision>43</cp:revision>
  <cp:lastPrinted>2019-12-04T19:05:00Z</cp:lastPrinted>
  <dcterms:created xsi:type="dcterms:W3CDTF">2019-11-25T17:32:00Z</dcterms:created>
  <dcterms:modified xsi:type="dcterms:W3CDTF">2019-12-04T19:05:00Z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UNEP/OzL.Pro/ExCom/84/12</vt:lpwstr>
  </property>
  <property fmtid="{D5CDD505-2E9C-101B-9397-08002B2CF9AE}" pid="3" name="Revision date">
    <vt:lpwstr>11/22/2019</vt:lpwstr>
  </property>
  <property fmtid="{D5CDD505-2E9C-101B-9397-08002B2CF9AE}" pid="4" name="ContentTypeId">
    <vt:lpwstr>0x010100EA99018734B2C14FBE47A02BC3D0CA56</vt:lpwstr>
  </property>
</Properties>
</file>