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8" w:type="dxa"/>
        <w:tblInd w:w="-432" w:type="dxa"/>
        <w:tblLayout w:type="fixed"/>
        <w:tblLook w:val="0000" w:firstRow="0" w:lastRow="0" w:firstColumn="0" w:lastColumn="0" w:noHBand="0" w:noVBand="0"/>
      </w:tblPr>
      <w:tblGrid>
        <w:gridCol w:w="1973"/>
        <w:gridCol w:w="4757"/>
        <w:gridCol w:w="3378"/>
      </w:tblGrid>
      <w:tr w:rsidR="00441083" w14:paraId="0D4987B2" w14:textId="77777777" w:rsidTr="006E6E38">
        <w:trPr>
          <w:trHeight w:val="711"/>
        </w:trPr>
        <w:tc>
          <w:tcPr>
            <w:tcW w:w="6730" w:type="dxa"/>
            <w:gridSpan w:val="2"/>
            <w:tcBorders>
              <w:bottom w:val="single" w:sz="18" w:space="0" w:color="auto"/>
            </w:tcBorders>
          </w:tcPr>
          <w:p w14:paraId="23C30D0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CD892C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8" w:type="dxa"/>
            <w:tcBorders>
              <w:bottom w:val="single" w:sz="18" w:space="0" w:color="auto"/>
            </w:tcBorders>
          </w:tcPr>
          <w:p w14:paraId="6B82A038"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AB358E9" w14:textId="77777777" w:rsidTr="006E6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973" w:type="dxa"/>
            <w:tcBorders>
              <w:top w:val="nil"/>
              <w:left w:val="nil"/>
              <w:bottom w:val="single" w:sz="36" w:space="0" w:color="auto"/>
              <w:right w:val="nil"/>
            </w:tcBorders>
          </w:tcPr>
          <w:p w14:paraId="58E77B2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6C6859A4" wp14:editId="7A43E28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9577D11" wp14:editId="4C65A50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6682424B" w14:textId="77777777" w:rsidR="00EF0F45" w:rsidRDefault="00EF0F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059C4BE" w14:textId="6442820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EDD7EB3" w14:textId="77777777" w:rsidR="00441083" w:rsidRDefault="00E60D9C">
            <w:pPr>
              <w:rPr>
                <w:rFonts w:ascii="Univers" w:hAnsi="Univers"/>
                <w:b/>
                <w:sz w:val="32"/>
                <w:lang w:val="fr-CA"/>
              </w:rPr>
            </w:pPr>
            <w:r>
              <w:rPr>
                <w:rFonts w:ascii="Univers" w:hAnsi="Univers"/>
                <w:b/>
                <w:sz w:val="32"/>
                <w:lang w:val="fr-CA"/>
              </w:rPr>
              <w:t>Nations Unies pour</w:t>
            </w:r>
          </w:p>
          <w:p w14:paraId="32524C0E"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1A3C8350" w14:textId="77777777" w:rsidR="00441083" w:rsidRDefault="00E60D9C">
            <w:pPr>
              <w:spacing w:before="720"/>
              <w:ind w:left="158"/>
              <w:rPr>
                <w:lang w:val="fr-FR"/>
              </w:rPr>
            </w:pPr>
            <w:r>
              <w:rPr>
                <w:lang w:val="fr-FR"/>
              </w:rPr>
              <w:t xml:space="preserve"> </w:t>
            </w:r>
          </w:p>
        </w:tc>
        <w:tc>
          <w:tcPr>
            <w:tcW w:w="3378" w:type="dxa"/>
            <w:tcBorders>
              <w:top w:val="nil"/>
              <w:left w:val="nil"/>
              <w:bottom w:val="single" w:sz="36" w:space="0" w:color="auto"/>
              <w:right w:val="nil"/>
            </w:tcBorders>
          </w:tcPr>
          <w:p w14:paraId="426B9B01" w14:textId="77777777" w:rsidR="00EF0F45" w:rsidRDefault="00EF0F45">
            <w:pPr>
              <w:rPr>
                <w:lang w:val="fr-FR"/>
              </w:rPr>
            </w:pPr>
          </w:p>
          <w:p w14:paraId="2416A0E8" w14:textId="613ED483" w:rsidR="00441083" w:rsidRPr="00DD3433" w:rsidRDefault="00E60D9C">
            <w:pPr>
              <w:rPr>
                <w:lang w:val="fr-FR"/>
              </w:rPr>
            </w:pPr>
            <w:proofErr w:type="spellStart"/>
            <w:r w:rsidRPr="00DD3433">
              <w:rPr>
                <w:lang w:val="fr-FR"/>
              </w:rPr>
              <w:t>Distr</w:t>
            </w:r>
            <w:proofErr w:type="spellEnd"/>
            <w:r w:rsidRPr="00DD3433">
              <w:rPr>
                <w:lang w:val="fr-FR"/>
              </w:rPr>
              <w:t>.</w:t>
            </w:r>
          </w:p>
          <w:p w14:paraId="13279ECE"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203F2FD" w14:textId="77777777" w:rsidR="00441083" w:rsidRPr="00DD3433" w:rsidRDefault="00441083">
            <w:pPr>
              <w:rPr>
                <w:lang w:val="fr-FR"/>
              </w:rPr>
            </w:pPr>
          </w:p>
          <w:p w14:paraId="1C8DCFEB" w14:textId="55778DEF" w:rsidR="00441083" w:rsidRPr="004D228A" w:rsidRDefault="00E60D9C">
            <w:pPr>
              <w:rPr>
                <w:lang w:val="fr-CA"/>
              </w:rPr>
            </w:pPr>
            <w:r>
              <w:fldChar w:fldCharType="begin"/>
            </w:r>
            <w:r w:rsidRPr="004D228A">
              <w:rPr>
                <w:lang w:val="fr-CA"/>
              </w:rPr>
              <w:instrText xml:space="preserve"> DOCPROPERTY "Document number"  \* MERGEFORMAT </w:instrText>
            </w:r>
            <w:r>
              <w:fldChar w:fldCharType="separate"/>
            </w:r>
            <w:r w:rsidR="0077048A">
              <w:rPr>
                <w:lang w:val="fr-CA"/>
              </w:rPr>
              <w:t>UNEP/</w:t>
            </w:r>
            <w:proofErr w:type="spellStart"/>
            <w:r w:rsidR="0077048A">
              <w:rPr>
                <w:lang w:val="fr-CA"/>
              </w:rPr>
              <w:t>OzL.Pro</w:t>
            </w:r>
            <w:proofErr w:type="spellEnd"/>
            <w:r w:rsidR="0077048A">
              <w:rPr>
                <w:lang w:val="fr-CA"/>
              </w:rPr>
              <w:t>/</w:t>
            </w:r>
            <w:proofErr w:type="spellStart"/>
            <w:r w:rsidR="0077048A">
              <w:rPr>
                <w:lang w:val="fr-CA"/>
              </w:rPr>
              <w:t>ExCom</w:t>
            </w:r>
            <w:proofErr w:type="spellEnd"/>
            <w:r w:rsidR="0077048A">
              <w:rPr>
                <w:lang w:val="fr-CA"/>
              </w:rPr>
              <w:t>/91/69</w:t>
            </w:r>
            <w:r>
              <w:fldChar w:fldCharType="end"/>
            </w:r>
          </w:p>
          <w:p w14:paraId="076E3587" w14:textId="5749C352" w:rsidR="002F0B57" w:rsidRPr="00417FCB" w:rsidRDefault="00677FF6" w:rsidP="00C9547D">
            <w:pPr>
              <w:rPr>
                <w:lang w:val="fr-CA"/>
              </w:rPr>
            </w:pPr>
            <w:r w:rsidRPr="00417FCB">
              <w:rPr>
                <w:lang w:val="fr-CA"/>
              </w:rPr>
              <w:t>11 novembre</w:t>
            </w:r>
            <w:r w:rsidR="002F0B57">
              <w:fldChar w:fldCharType="begin"/>
            </w:r>
            <w:r w:rsidR="002F0B57" w:rsidRPr="00417FCB">
              <w:rPr>
                <w:lang w:val="fr-CA"/>
              </w:rPr>
              <w:instrText xml:space="preserve"> DOCPROPERTY "Revision date" \@ "d MMMM YYYY"  \* MERGEFORMAT </w:instrText>
            </w:r>
            <w:r w:rsidR="002F0B57">
              <w:fldChar w:fldCharType="separate"/>
            </w:r>
            <w:r w:rsidR="00067C21" w:rsidRPr="00417FCB">
              <w:rPr>
                <w:lang w:val="fr-CA"/>
              </w:rPr>
              <w:t xml:space="preserve"> 2022</w:t>
            </w:r>
            <w:r w:rsidR="002F0B57">
              <w:fldChar w:fldCharType="end"/>
            </w:r>
          </w:p>
          <w:p w14:paraId="2A0836A3" w14:textId="77777777" w:rsidR="00441083" w:rsidRDefault="00FC5578">
            <w:pPr>
              <w:rPr>
                <w:caps/>
                <w:lang w:val="fr-FR"/>
              </w:rPr>
            </w:pPr>
            <w:r w:rsidRPr="00417FCB">
              <w:rPr>
                <w:caps/>
                <w:lang w:val="fr-CA"/>
              </w:rPr>
              <w:br/>
            </w:r>
            <w:r w:rsidR="00E60D9C">
              <w:rPr>
                <w:caps/>
                <w:lang w:val="fr-FR"/>
              </w:rPr>
              <w:t>FRANÇAIS</w:t>
            </w:r>
          </w:p>
          <w:p w14:paraId="1824E6B4" w14:textId="77777777" w:rsidR="00441083" w:rsidRDefault="00E60D9C">
            <w:r>
              <w:t xml:space="preserve">ORIGINAL: </w:t>
            </w:r>
            <w:r w:rsidR="0091161A">
              <w:t>ANGLAIS</w:t>
            </w:r>
          </w:p>
        </w:tc>
      </w:tr>
    </w:tbl>
    <w:p w14:paraId="5CF18955"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392E733F"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46080AE8" w14:textId="6507E2D9" w:rsidR="00441083" w:rsidRPr="00843511" w:rsidRDefault="00677FF6">
      <w:pPr>
        <w:pStyle w:val="Heading3"/>
        <w:numPr>
          <w:ilvl w:val="0"/>
          <w:numId w:val="0"/>
        </w:numPr>
        <w:spacing w:after="0"/>
        <w:rPr>
          <w:lang w:val="fr-CA"/>
        </w:rPr>
      </w:pPr>
      <w:r>
        <w:rPr>
          <w:lang w:val="fr-CA"/>
        </w:rPr>
        <w:t>Point 14 de l’ordre du jour provisoire</w:t>
      </w:r>
      <w:r>
        <w:rPr>
          <w:rStyle w:val="FootnoteReference"/>
          <w:lang w:val="fr-CA"/>
        </w:rPr>
        <w:footnoteReference w:id="1"/>
      </w:r>
    </w:p>
    <w:p w14:paraId="3D974A03" w14:textId="77777777" w:rsidR="00441083" w:rsidRDefault="00441083">
      <w:pPr>
        <w:pStyle w:val="Title1"/>
        <w:rPr>
          <w:lang w:val="fr-FR"/>
        </w:rPr>
      </w:pPr>
    </w:p>
    <w:p w14:paraId="2A5C61C8" w14:textId="77777777" w:rsidR="00441083" w:rsidRDefault="00441083">
      <w:pPr>
        <w:pStyle w:val="Title1"/>
        <w:rPr>
          <w:lang w:val="fr-FR"/>
        </w:rPr>
      </w:pPr>
    </w:p>
    <w:p w14:paraId="35200F0C" w14:textId="4AD34879" w:rsidR="00441083" w:rsidRDefault="0092020F" w:rsidP="003203AF">
      <w:pPr>
        <w:tabs>
          <w:tab w:val="left" w:pos="567"/>
        </w:tabs>
        <w:jc w:val="center"/>
        <w:rPr>
          <w:lang w:val="fr-CA"/>
        </w:rPr>
      </w:pPr>
      <w:r>
        <w:rPr>
          <w:b/>
          <w:bCs/>
          <w:lang w:val="fr-CA"/>
        </w:rPr>
        <w:t>APERÇU DES PROGRAMMES ACTUELS DE SUIVI, D’ÉTABLISSEMENT DES RAPPORTS, DE VÉRIFICATION ET D’OCTROI DE PERMIS ET DE QUOTAS EXÉCUTOIRES ÉLABORÉS AVEC LE SOUTIEN DU FONDS MULTILATÉRAL (DÉCISION 89/2)</w:t>
      </w:r>
    </w:p>
    <w:p w14:paraId="29EE0D96" w14:textId="77777777" w:rsidR="00441083" w:rsidRDefault="00441083">
      <w:pPr>
        <w:jc w:val="center"/>
        <w:rPr>
          <w:lang w:val="fr-CA"/>
        </w:rPr>
      </w:pPr>
    </w:p>
    <w:p w14:paraId="2C8BFF3F" w14:textId="24D4B798" w:rsidR="00441083" w:rsidRDefault="00677FF6">
      <w:pPr>
        <w:jc w:val="center"/>
        <w:rPr>
          <w:b/>
          <w:bCs/>
          <w:lang w:val="fr-CA"/>
        </w:rPr>
      </w:pPr>
      <w:r w:rsidRPr="00677FF6">
        <w:rPr>
          <w:b/>
          <w:bCs/>
          <w:lang w:val="fr-CA"/>
        </w:rPr>
        <w:t>Note du Secrétariat</w:t>
      </w:r>
    </w:p>
    <w:p w14:paraId="0F93F7A5" w14:textId="3A903BF9" w:rsidR="00677FF6" w:rsidRDefault="00677FF6">
      <w:pPr>
        <w:jc w:val="center"/>
        <w:rPr>
          <w:b/>
          <w:bCs/>
          <w:lang w:val="fr-CA"/>
        </w:rPr>
      </w:pPr>
    </w:p>
    <w:p w14:paraId="4A59A0CA" w14:textId="34BE3D22" w:rsidR="00677FF6" w:rsidRPr="00677FF6" w:rsidRDefault="00677FF6" w:rsidP="00677FF6">
      <w:pPr>
        <w:rPr>
          <w:b/>
          <w:bCs/>
          <w:lang w:val="fr-CA"/>
        </w:rPr>
      </w:pPr>
      <w:r>
        <w:rPr>
          <w:b/>
          <w:bCs/>
          <w:lang w:val="fr-CA"/>
        </w:rPr>
        <w:t>Introduction</w:t>
      </w:r>
    </w:p>
    <w:p w14:paraId="11CBDFDE" w14:textId="77777777" w:rsidR="00441083" w:rsidRDefault="00441083">
      <w:pPr>
        <w:jc w:val="center"/>
        <w:rPr>
          <w:lang w:val="fr-CA"/>
        </w:rPr>
      </w:pPr>
    </w:p>
    <w:p w14:paraId="4CF00E53" w14:textId="51620D5F" w:rsidR="00A84967" w:rsidRDefault="00677FF6" w:rsidP="003203AF">
      <w:pPr>
        <w:pStyle w:val="StyleHeading1Para1Heading1CharHeading1Char3CharHeadin"/>
        <w:numPr>
          <w:ilvl w:val="0"/>
          <w:numId w:val="1"/>
        </w:numPr>
        <w:tabs>
          <w:tab w:val="clear" w:pos="0"/>
          <w:tab w:val="clear" w:pos="720"/>
          <w:tab w:val="left" w:pos="567"/>
        </w:tabs>
        <w:rPr>
          <w:lang w:val="fr-CA"/>
        </w:rPr>
      </w:pPr>
      <w:r>
        <w:rPr>
          <w:lang w:val="fr-CA"/>
        </w:rPr>
        <w:t>À</w:t>
      </w:r>
      <w:r w:rsidR="003203AF">
        <w:rPr>
          <w:lang w:val="fr-CA"/>
        </w:rPr>
        <w:t xml:space="preserve"> </w:t>
      </w:r>
      <w:r w:rsidR="00A84967">
        <w:rPr>
          <w:lang w:val="fr-CA"/>
        </w:rPr>
        <w:t>sa 89</w:t>
      </w:r>
      <w:r w:rsidR="00A84967" w:rsidRPr="00A84967">
        <w:rPr>
          <w:vertAlign w:val="superscript"/>
          <w:lang w:val="fr-CA"/>
        </w:rPr>
        <w:t>e</w:t>
      </w:r>
      <w:r w:rsidR="00A84967">
        <w:rPr>
          <w:lang w:val="fr-CA"/>
        </w:rPr>
        <w:t xml:space="preserve"> réunion, le Comité exécutif a examiné le document UNEP/</w:t>
      </w:r>
      <w:proofErr w:type="spellStart"/>
      <w:r w:rsidR="00A84967">
        <w:rPr>
          <w:lang w:val="fr-CA"/>
        </w:rPr>
        <w:t>OzL.Pro</w:t>
      </w:r>
      <w:proofErr w:type="spellEnd"/>
      <w:r w:rsidR="00A84967">
        <w:rPr>
          <w:lang w:val="fr-CA"/>
        </w:rPr>
        <w:t>/</w:t>
      </w:r>
      <w:proofErr w:type="spellStart"/>
      <w:r w:rsidR="00A84967">
        <w:rPr>
          <w:lang w:val="fr-CA"/>
        </w:rPr>
        <w:t>ExCom</w:t>
      </w:r>
      <w:proofErr w:type="spellEnd"/>
      <w:r w:rsidR="00A84967">
        <w:rPr>
          <w:lang w:val="fr-CA"/>
        </w:rPr>
        <w:t xml:space="preserve">/89/3 </w:t>
      </w:r>
      <w:r w:rsidR="00417FCB">
        <w:rPr>
          <w:lang w:val="fr-CA"/>
        </w:rPr>
        <w:t>qui s’appuyait</w:t>
      </w:r>
      <w:r w:rsidR="005504F0">
        <w:rPr>
          <w:lang w:val="fr-CA"/>
        </w:rPr>
        <w:t xml:space="preserve"> sur</w:t>
      </w:r>
      <w:r w:rsidR="00A84967">
        <w:rPr>
          <w:lang w:val="fr-CA"/>
        </w:rPr>
        <w:t xml:space="preserve"> le document UNEP/</w:t>
      </w:r>
      <w:proofErr w:type="spellStart"/>
      <w:r w:rsidR="00A84967">
        <w:rPr>
          <w:lang w:val="fr-CA"/>
        </w:rPr>
        <w:t>OzL.Pro</w:t>
      </w:r>
      <w:proofErr w:type="spellEnd"/>
      <w:r w:rsidR="00A84967">
        <w:rPr>
          <w:lang w:val="fr-CA"/>
        </w:rPr>
        <w:t>/</w:t>
      </w:r>
      <w:proofErr w:type="spellStart"/>
      <w:r w:rsidR="00A84967">
        <w:rPr>
          <w:lang w:val="fr-CA"/>
        </w:rPr>
        <w:t>ExCom</w:t>
      </w:r>
      <w:proofErr w:type="spellEnd"/>
      <w:r w:rsidR="00A84967">
        <w:rPr>
          <w:lang w:val="fr-CA"/>
        </w:rPr>
        <w:t xml:space="preserve">/88/66 et dont le Secrétariat avait retiré des suggestions concernant </w:t>
      </w:r>
      <w:r w:rsidR="004D228A">
        <w:rPr>
          <w:lang w:val="fr-CA"/>
        </w:rPr>
        <w:t>l’établissement de</w:t>
      </w:r>
      <w:r w:rsidR="00A84967">
        <w:rPr>
          <w:lang w:val="fr-CA"/>
        </w:rPr>
        <w:t xml:space="preserve"> rapports sur des saisies de commerce illicite, des zones de libre-échange et l’identification de pays vers lesquels des polyols pré</w:t>
      </w:r>
      <w:r w:rsidR="00417FCB">
        <w:rPr>
          <w:lang w:val="fr-CA"/>
        </w:rPr>
        <w:t>-</w:t>
      </w:r>
      <w:r w:rsidR="00A84967">
        <w:rPr>
          <w:lang w:val="fr-CA"/>
        </w:rPr>
        <w:t>mélangés ét</w:t>
      </w:r>
      <w:r w:rsidR="00417FCB">
        <w:rPr>
          <w:lang w:val="fr-CA"/>
        </w:rPr>
        <w:t>aient</w:t>
      </w:r>
      <w:r w:rsidR="00A84967">
        <w:rPr>
          <w:lang w:val="fr-CA"/>
        </w:rPr>
        <w:t xml:space="preserve"> exportés.</w:t>
      </w:r>
    </w:p>
    <w:p w14:paraId="7CCC04A0" w14:textId="4B568FB5" w:rsidR="005504F0" w:rsidRDefault="00A84967" w:rsidP="0077048A">
      <w:pPr>
        <w:pStyle w:val="StyleHeading1Para1Heading1CharHeading1Char3CharHeadin"/>
        <w:numPr>
          <w:ilvl w:val="0"/>
          <w:numId w:val="1"/>
        </w:numPr>
        <w:tabs>
          <w:tab w:val="clear" w:pos="0"/>
          <w:tab w:val="clear" w:pos="720"/>
          <w:tab w:val="left" w:pos="567"/>
        </w:tabs>
        <w:spacing w:after="120"/>
        <w:rPr>
          <w:lang w:val="fr-CA"/>
        </w:rPr>
      </w:pPr>
      <w:r>
        <w:rPr>
          <w:lang w:val="fr-CA"/>
        </w:rPr>
        <w:t xml:space="preserve">Lors de la discussion, il a été </w:t>
      </w:r>
      <w:r w:rsidR="005504F0">
        <w:rPr>
          <w:lang w:val="fr-CA"/>
        </w:rPr>
        <w:t>mentionn</w:t>
      </w:r>
      <w:r>
        <w:rPr>
          <w:lang w:val="fr-CA"/>
        </w:rPr>
        <w:t>é</w:t>
      </w:r>
      <w:r w:rsidR="007D725F">
        <w:rPr>
          <w:lang w:val="fr-CA"/>
        </w:rPr>
        <w:t xml:space="preserve"> qu’il serait important que le Comité exécutif examine la viabilité à long terme des activités soutenues par le Fonds multilatéral, </w:t>
      </w:r>
      <w:r w:rsidR="005504F0">
        <w:rPr>
          <w:lang w:val="fr-CA"/>
        </w:rPr>
        <w:t xml:space="preserve">tel que </w:t>
      </w:r>
      <w:r w:rsidR="007D725F">
        <w:rPr>
          <w:lang w:val="fr-CA"/>
        </w:rPr>
        <w:t xml:space="preserve">souligné </w:t>
      </w:r>
      <w:r w:rsidR="004D228A">
        <w:rPr>
          <w:lang w:val="fr-CA"/>
        </w:rPr>
        <w:t>d</w:t>
      </w:r>
      <w:r w:rsidR="00155BA0">
        <w:rPr>
          <w:lang w:val="fr-CA"/>
        </w:rPr>
        <w:t>a</w:t>
      </w:r>
      <w:r w:rsidR="004D228A">
        <w:rPr>
          <w:lang w:val="fr-CA"/>
        </w:rPr>
        <w:t>ns</w:t>
      </w:r>
      <w:r w:rsidR="005504F0">
        <w:rPr>
          <w:lang w:val="fr-CA"/>
        </w:rPr>
        <w:t xml:space="preserve"> </w:t>
      </w:r>
      <w:r w:rsidR="007D725F">
        <w:rPr>
          <w:lang w:val="fr-CA"/>
        </w:rPr>
        <w:t xml:space="preserve">l’évaluation </w:t>
      </w:r>
      <w:r w:rsidR="004D228A">
        <w:rPr>
          <w:lang w:val="fr-CA"/>
        </w:rPr>
        <w:t>du Réseau</w:t>
      </w:r>
      <w:r w:rsidR="007D725F">
        <w:rPr>
          <w:lang w:val="fr-CA"/>
        </w:rPr>
        <w:t xml:space="preserve"> pour l’évaluation de la performance des organisations multilatérales (MOPAN)</w:t>
      </w:r>
      <w:r w:rsidR="007D725F">
        <w:rPr>
          <w:rStyle w:val="FootnoteReference"/>
          <w:lang w:val="fr-CA"/>
        </w:rPr>
        <w:footnoteReference w:id="2"/>
      </w:r>
      <w:r w:rsidR="007D725F">
        <w:rPr>
          <w:lang w:val="fr-CA"/>
        </w:rPr>
        <w:t xml:space="preserve"> .  Certains pays ont </w:t>
      </w:r>
      <w:r w:rsidR="00417FCB">
        <w:rPr>
          <w:lang w:val="fr-CA"/>
        </w:rPr>
        <w:t>signal</w:t>
      </w:r>
      <w:r w:rsidR="007D725F">
        <w:rPr>
          <w:lang w:val="fr-CA"/>
        </w:rPr>
        <w:t>é que le document couvrait une série d</w:t>
      </w:r>
      <w:r w:rsidR="00155BA0">
        <w:rPr>
          <w:lang w:val="fr-CA"/>
        </w:rPr>
        <w:t>’</w:t>
      </w:r>
      <w:r w:rsidR="007D725F">
        <w:rPr>
          <w:lang w:val="fr-CA"/>
        </w:rPr>
        <w:t>e</w:t>
      </w:r>
      <w:r w:rsidR="00155BA0">
        <w:rPr>
          <w:lang w:val="fr-CA"/>
        </w:rPr>
        <w:t>njeux</w:t>
      </w:r>
      <w:r w:rsidR="007D725F">
        <w:rPr>
          <w:lang w:val="fr-CA"/>
        </w:rPr>
        <w:t xml:space="preserve"> complexes dont certains dépas</w:t>
      </w:r>
      <w:r w:rsidR="00155BA0">
        <w:rPr>
          <w:lang w:val="fr-CA"/>
        </w:rPr>
        <w:t>s</w:t>
      </w:r>
      <w:r w:rsidR="007D725F">
        <w:rPr>
          <w:lang w:val="fr-CA"/>
        </w:rPr>
        <w:t>ent le mandat du Comité exécutif et de</w:t>
      </w:r>
      <w:r w:rsidR="00417FCB">
        <w:rPr>
          <w:lang w:val="fr-CA"/>
        </w:rPr>
        <w:t>vr</w:t>
      </w:r>
      <w:r w:rsidR="007D725F">
        <w:rPr>
          <w:lang w:val="fr-CA"/>
        </w:rPr>
        <w:t xml:space="preserve">aient plutôt être </w:t>
      </w:r>
      <w:r w:rsidR="00155BA0">
        <w:rPr>
          <w:lang w:val="fr-CA"/>
        </w:rPr>
        <w:t>portés à l’attention de</w:t>
      </w:r>
      <w:r w:rsidR="007D725F">
        <w:rPr>
          <w:lang w:val="fr-CA"/>
        </w:rPr>
        <w:t xml:space="preserve"> la Réunion des Parties. Le Comité exécutif a pour rôle d</w:t>
      </w:r>
      <w:r w:rsidR="00155BA0">
        <w:rPr>
          <w:lang w:val="fr-CA"/>
        </w:rPr>
        <w:t>e veiller à ce que les pays visés à l’article 5 respectent l</w:t>
      </w:r>
      <w:r w:rsidR="007D725F">
        <w:rPr>
          <w:lang w:val="fr-CA"/>
        </w:rPr>
        <w:t xml:space="preserve">es accords </w:t>
      </w:r>
      <w:r w:rsidR="00155BA0">
        <w:rPr>
          <w:lang w:val="fr-CA"/>
        </w:rPr>
        <w:t xml:space="preserve">associés aux </w:t>
      </w:r>
      <w:r w:rsidR="00367646">
        <w:rPr>
          <w:lang w:val="fr-CA"/>
        </w:rPr>
        <w:t xml:space="preserve">projets et </w:t>
      </w:r>
      <w:r w:rsidR="004D228A">
        <w:rPr>
          <w:lang w:val="fr-CA"/>
        </w:rPr>
        <w:t>tout</w:t>
      </w:r>
      <w:r w:rsidR="00367646">
        <w:rPr>
          <w:lang w:val="fr-CA"/>
        </w:rPr>
        <w:t xml:space="preserve"> changement</w:t>
      </w:r>
      <w:r w:rsidR="00155BA0">
        <w:rPr>
          <w:lang w:val="fr-CA"/>
        </w:rPr>
        <w:t xml:space="preserve"> apporté aux questions figurant </w:t>
      </w:r>
      <w:r w:rsidR="00367646">
        <w:rPr>
          <w:lang w:val="fr-CA"/>
        </w:rPr>
        <w:t xml:space="preserve">dans le </w:t>
      </w:r>
      <w:r w:rsidR="00417FCB">
        <w:rPr>
          <w:lang w:val="fr-CA"/>
        </w:rPr>
        <w:t>ré</w:t>
      </w:r>
      <w:r w:rsidR="00155BA0">
        <w:rPr>
          <w:lang w:val="fr-CA"/>
        </w:rPr>
        <w:t>s</w:t>
      </w:r>
      <w:r w:rsidR="00417FCB">
        <w:rPr>
          <w:lang w:val="fr-CA"/>
        </w:rPr>
        <w:t>umé</w:t>
      </w:r>
      <w:r w:rsidR="00155BA0">
        <w:rPr>
          <w:lang w:val="fr-CA"/>
        </w:rPr>
        <w:t xml:space="preserve"> </w:t>
      </w:r>
      <w:r w:rsidR="00367646">
        <w:rPr>
          <w:lang w:val="fr-CA"/>
        </w:rPr>
        <w:t>présenté dans le document UNEP/</w:t>
      </w:r>
      <w:proofErr w:type="spellStart"/>
      <w:r w:rsidR="00367646">
        <w:rPr>
          <w:lang w:val="fr-CA"/>
        </w:rPr>
        <w:t>OzL.Pro</w:t>
      </w:r>
      <w:proofErr w:type="spellEnd"/>
      <w:r w:rsidR="00367646">
        <w:rPr>
          <w:lang w:val="fr-CA"/>
        </w:rPr>
        <w:t>/</w:t>
      </w:r>
      <w:proofErr w:type="spellStart"/>
      <w:r w:rsidR="00367646">
        <w:rPr>
          <w:lang w:val="fr-CA"/>
        </w:rPr>
        <w:t>ExCom</w:t>
      </w:r>
      <w:proofErr w:type="spellEnd"/>
      <w:r w:rsidR="00367646">
        <w:rPr>
          <w:lang w:val="fr-CA"/>
        </w:rPr>
        <w:t>/89/3</w:t>
      </w:r>
      <w:r>
        <w:rPr>
          <w:lang w:val="fr-CA"/>
        </w:rPr>
        <w:t xml:space="preserve"> </w:t>
      </w:r>
      <w:r w:rsidR="00367646">
        <w:rPr>
          <w:lang w:val="fr-CA"/>
        </w:rPr>
        <w:t xml:space="preserve">ne devrait </w:t>
      </w:r>
      <w:r w:rsidR="004D228A">
        <w:rPr>
          <w:lang w:val="fr-CA"/>
        </w:rPr>
        <w:t xml:space="preserve">pas </w:t>
      </w:r>
      <w:r w:rsidR="00155BA0">
        <w:rPr>
          <w:lang w:val="fr-CA"/>
        </w:rPr>
        <w:t xml:space="preserve">alourdir le </w:t>
      </w:r>
      <w:r w:rsidR="00367646">
        <w:rPr>
          <w:lang w:val="fr-CA"/>
        </w:rPr>
        <w:t xml:space="preserve">fardeau </w:t>
      </w:r>
      <w:r w:rsidR="00155BA0">
        <w:rPr>
          <w:lang w:val="fr-CA"/>
        </w:rPr>
        <w:t>de ces</w:t>
      </w:r>
      <w:r w:rsidR="00367646">
        <w:rPr>
          <w:lang w:val="fr-CA"/>
        </w:rPr>
        <w:t xml:space="preserve"> pays. Les pays visés à l’article 5 ne devraient pas être </w:t>
      </w:r>
      <w:r w:rsidR="009B0C06">
        <w:rPr>
          <w:lang w:val="fr-CA"/>
        </w:rPr>
        <w:t>pri</w:t>
      </w:r>
      <w:r w:rsidR="00367646">
        <w:rPr>
          <w:lang w:val="fr-CA"/>
        </w:rPr>
        <w:t>s</w:t>
      </w:r>
      <w:r w:rsidR="009B0C06">
        <w:rPr>
          <w:lang w:val="fr-CA"/>
        </w:rPr>
        <w:t xml:space="preserve"> à partie</w:t>
      </w:r>
      <w:r w:rsidR="00367646">
        <w:rPr>
          <w:lang w:val="fr-CA"/>
        </w:rPr>
        <w:t xml:space="preserve"> car les questions </w:t>
      </w:r>
      <w:r w:rsidR="004D228A">
        <w:rPr>
          <w:lang w:val="fr-CA"/>
        </w:rPr>
        <w:t xml:space="preserve">figurant dans le </w:t>
      </w:r>
      <w:r w:rsidR="00417FCB">
        <w:rPr>
          <w:lang w:val="fr-CA"/>
        </w:rPr>
        <w:t>ré</w:t>
      </w:r>
      <w:r w:rsidR="004D228A">
        <w:rPr>
          <w:lang w:val="fr-CA"/>
        </w:rPr>
        <w:t>s</w:t>
      </w:r>
      <w:r w:rsidR="00417FCB">
        <w:rPr>
          <w:lang w:val="fr-CA"/>
        </w:rPr>
        <w:t>umé</w:t>
      </w:r>
      <w:r w:rsidR="00367646">
        <w:rPr>
          <w:lang w:val="fr-CA"/>
        </w:rPr>
        <w:t xml:space="preserve"> devraient s’appliquer à </w:t>
      </w:r>
      <w:r w:rsidR="005504F0">
        <w:rPr>
          <w:lang w:val="fr-CA"/>
        </w:rPr>
        <w:t xml:space="preserve">toutes les Parties au Protocole de Montréal. D’autres </w:t>
      </w:r>
      <w:r w:rsidR="00155BA0">
        <w:rPr>
          <w:lang w:val="fr-CA"/>
        </w:rPr>
        <w:t xml:space="preserve">membres </w:t>
      </w:r>
      <w:r w:rsidR="009B0C06">
        <w:rPr>
          <w:lang w:val="fr-CA"/>
        </w:rPr>
        <w:t>ont précisé que bien que la plupart</w:t>
      </w:r>
      <w:r w:rsidR="005504F0">
        <w:rPr>
          <w:lang w:val="fr-CA"/>
        </w:rPr>
        <w:t xml:space="preserve"> des questions soulevées </w:t>
      </w:r>
      <w:r w:rsidR="009B0C06">
        <w:rPr>
          <w:lang w:val="fr-CA"/>
        </w:rPr>
        <w:t>concernaient</w:t>
      </w:r>
      <w:r w:rsidR="005504F0">
        <w:rPr>
          <w:lang w:val="fr-CA"/>
        </w:rPr>
        <w:t xml:space="preserve"> toutes les Parties, </w:t>
      </w:r>
      <w:r w:rsidR="009B0C06">
        <w:rPr>
          <w:lang w:val="fr-CA"/>
        </w:rPr>
        <w:t xml:space="preserve">telle la </w:t>
      </w:r>
      <w:r w:rsidR="005504F0">
        <w:rPr>
          <w:lang w:val="fr-CA"/>
        </w:rPr>
        <w:t xml:space="preserve">problématique </w:t>
      </w:r>
      <w:r w:rsidR="009B0C06">
        <w:rPr>
          <w:lang w:val="fr-CA"/>
        </w:rPr>
        <w:t>du</w:t>
      </w:r>
      <w:r w:rsidR="005504F0">
        <w:rPr>
          <w:lang w:val="fr-CA"/>
        </w:rPr>
        <w:t xml:space="preserve"> commerce illicite qu</w:t>
      </w:r>
      <w:r w:rsidR="009B0C06">
        <w:rPr>
          <w:lang w:val="fr-CA"/>
        </w:rPr>
        <w:t xml:space="preserve">e </w:t>
      </w:r>
      <w:r w:rsidR="005504F0">
        <w:rPr>
          <w:lang w:val="fr-CA"/>
        </w:rPr>
        <w:t xml:space="preserve">le Groupe de travail à composition non limitée </w:t>
      </w:r>
      <w:r w:rsidR="009B0C06">
        <w:rPr>
          <w:lang w:val="fr-CA"/>
        </w:rPr>
        <w:t xml:space="preserve">aborderait, </w:t>
      </w:r>
      <w:r w:rsidR="005504F0">
        <w:rPr>
          <w:lang w:val="fr-CA"/>
        </w:rPr>
        <w:t xml:space="preserve">les </w:t>
      </w:r>
      <w:r w:rsidR="009B0C06">
        <w:rPr>
          <w:lang w:val="fr-CA"/>
        </w:rPr>
        <w:t xml:space="preserve">questions </w:t>
      </w:r>
      <w:r w:rsidR="00417FCB">
        <w:rPr>
          <w:lang w:val="fr-CA"/>
        </w:rPr>
        <w:t>soulevées</w:t>
      </w:r>
      <w:r w:rsidR="005504F0">
        <w:rPr>
          <w:lang w:val="fr-CA"/>
        </w:rPr>
        <w:t xml:space="preserve"> relevaient du mandat du Comité exécutif car </w:t>
      </w:r>
      <w:r w:rsidR="009B0C06">
        <w:rPr>
          <w:lang w:val="fr-CA"/>
        </w:rPr>
        <w:t>el</w:t>
      </w:r>
      <w:r w:rsidR="005504F0">
        <w:rPr>
          <w:lang w:val="fr-CA"/>
        </w:rPr>
        <w:t>l</w:t>
      </w:r>
      <w:r w:rsidR="009B0C06">
        <w:rPr>
          <w:lang w:val="fr-CA"/>
        </w:rPr>
        <w:t>e</w:t>
      </w:r>
      <w:r w:rsidR="005504F0">
        <w:rPr>
          <w:lang w:val="fr-CA"/>
        </w:rPr>
        <w:t>s concernaient le financement des projets et étaient important</w:t>
      </w:r>
      <w:r w:rsidR="009B0C06">
        <w:rPr>
          <w:lang w:val="fr-CA"/>
        </w:rPr>
        <w:t>e</w:t>
      </w:r>
      <w:r w:rsidR="005504F0">
        <w:rPr>
          <w:lang w:val="fr-CA"/>
        </w:rPr>
        <w:t>s pour le renforcement des activités du Fonds multilatéral.</w:t>
      </w:r>
    </w:p>
    <w:p w14:paraId="5558022B" w14:textId="28256395" w:rsidR="00441083" w:rsidRDefault="005504F0" w:rsidP="0077048A">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À l’issue d</w:t>
      </w:r>
      <w:r w:rsidR="00FF4010">
        <w:rPr>
          <w:lang w:val="fr-CA"/>
        </w:rPr>
        <w:t>’une</w:t>
      </w:r>
      <w:r>
        <w:rPr>
          <w:lang w:val="fr-CA"/>
        </w:rPr>
        <w:t xml:space="preserve"> discussion au sein d’un groupe de contact, le Comité exécutif a décidé de reporter </w:t>
      </w:r>
      <w:r w:rsidR="009B0C06">
        <w:rPr>
          <w:lang w:val="fr-CA"/>
        </w:rPr>
        <w:t>à la 91</w:t>
      </w:r>
      <w:r w:rsidR="009B0C06" w:rsidRPr="009B0C06">
        <w:rPr>
          <w:vertAlign w:val="superscript"/>
          <w:lang w:val="fr-CA"/>
        </w:rPr>
        <w:t>e</w:t>
      </w:r>
      <w:r w:rsidR="009B0C06">
        <w:rPr>
          <w:lang w:val="fr-CA"/>
        </w:rPr>
        <w:t xml:space="preserve"> réunion la suite de </w:t>
      </w:r>
      <w:r>
        <w:rPr>
          <w:lang w:val="fr-CA"/>
        </w:rPr>
        <w:t xml:space="preserve">l’examen </w:t>
      </w:r>
      <w:r w:rsidR="009B0C06">
        <w:rPr>
          <w:lang w:val="fr-CA"/>
        </w:rPr>
        <w:t>de l’aperçu des programmes actuels de suivi, d’établissement de rapports, de vérification et de programmes d’octroi de permis et de quotas exécutoires élaborés avec le soutien du Fonds multilatéral , figurant dans le document UNEP/</w:t>
      </w:r>
      <w:proofErr w:type="spellStart"/>
      <w:r w:rsidR="009B0C06">
        <w:rPr>
          <w:lang w:val="fr-CA"/>
        </w:rPr>
        <w:t>OzL.Pro</w:t>
      </w:r>
      <w:proofErr w:type="spellEnd"/>
      <w:r w:rsidR="009B0C06">
        <w:rPr>
          <w:lang w:val="fr-CA"/>
        </w:rPr>
        <w:t>/</w:t>
      </w:r>
      <w:proofErr w:type="spellStart"/>
      <w:r w:rsidR="009B0C06">
        <w:rPr>
          <w:lang w:val="fr-CA"/>
        </w:rPr>
        <w:t>ExCom</w:t>
      </w:r>
      <w:proofErr w:type="spellEnd"/>
      <w:r w:rsidR="009B0C06">
        <w:rPr>
          <w:lang w:val="fr-CA"/>
        </w:rPr>
        <w:t>/89/</w:t>
      </w:r>
      <w:r w:rsidR="00A84967">
        <w:rPr>
          <w:lang w:val="fr-CA"/>
        </w:rPr>
        <w:t>3</w:t>
      </w:r>
      <w:r w:rsidR="009B0C06">
        <w:rPr>
          <w:lang w:val="fr-CA"/>
        </w:rPr>
        <w:t>, en tenant compte des résultats de la 44</w:t>
      </w:r>
      <w:r w:rsidR="009B0C06" w:rsidRPr="009B0C06">
        <w:rPr>
          <w:vertAlign w:val="superscript"/>
          <w:lang w:val="fr-CA"/>
        </w:rPr>
        <w:t>e</w:t>
      </w:r>
      <w:r w:rsidR="009B0C06">
        <w:rPr>
          <w:lang w:val="fr-CA"/>
        </w:rPr>
        <w:t xml:space="preserve"> réunion du Groupe de travail à composition non limitée et de la trente-quatrième Réunion des Parties  (décision 89/2).</w:t>
      </w:r>
    </w:p>
    <w:p w14:paraId="0E56E608" w14:textId="36C37FB2" w:rsidR="00906AC2" w:rsidRPr="00906AC2" w:rsidRDefault="00906AC2" w:rsidP="0077048A">
      <w:pPr>
        <w:pStyle w:val="StyleHeading1Para1Heading1CharHeading1Char3CharHeadin"/>
        <w:tabs>
          <w:tab w:val="clear" w:pos="720"/>
          <w:tab w:val="left" w:pos="567"/>
        </w:tabs>
        <w:spacing w:after="120"/>
        <w:rPr>
          <w:u w:val="single"/>
          <w:lang w:val="fr-CA"/>
        </w:rPr>
      </w:pPr>
      <w:r>
        <w:rPr>
          <w:u w:val="single"/>
          <w:lang w:val="fr-CA"/>
        </w:rPr>
        <w:t>Discussions à la 44</w:t>
      </w:r>
      <w:r w:rsidRPr="00906AC2">
        <w:rPr>
          <w:u w:val="single"/>
          <w:vertAlign w:val="superscript"/>
          <w:lang w:val="fr-CA"/>
        </w:rPr>
        <w:t>e</w:t>
      </w:r>
      <w:r>
        <w:rPr>
          <w:u w:val="single"/>
          <w:lang w:val="fr-CA"/>
        </w:rPr>
        <w:t xml:space="preserve"> réunion du Groupe de travail à composition non limitée</w:t>
      </w:r>
    </w:p>
    <w:p w14:paraId="2E5C9524" w14:textId="639234CD" w:rsidR="00504C31" w:rsidRDefault="00906AC2" w:rsidP="0077048A">
      <w:pPr>
        <w:pStyle w:val="StyleHeading1Para1Heading1CharHeading1Char3CharHeadin"/>
        <w:numPr>
          <w:ilvl w:val="0"/>
          <w:numId w:val="1"/>
        </w:numPr>
        <w:tabs>
          <w:tab w:val="clear" w:pos="0"/>
          <w:tab w:val="clear" w:pos="720"/>
          <w:tab w:val="left" w:pos="567"/>
        </w:tabs>
        <w:spacing w:after="120"/>
        <w:rPr>
          <w:lang w:val="fr-CA"/>
        </w:rPr>
      </w:pPr>
      <w:r>
        <w:rPr>
          <w:lang w:val="fr-CA"/>
        </w:rPr>
        <w:t>Les Parties ont examiné deux notes préparées par le Secrétariat de l’ozone, l’une contenant de</w:t>
      </w:r>
      <w:r w:rsidR="004D228A">
        <w:rPr>
          <w:lang w:val="fr-CA"/>
        </w:rPr>
        <w:t xml:space="preserve"> l’</w:t>
      </w:r>
      <w:r w:rsidR="0092020F">
        <w:rPr>
          <w:lang w:val="fr-CA"/>
        </w:rPr>
        <w:t> </w:t>
      </w:r>
      <w:r>
        <w:rPr>
          <w:lang w:val="fr-CA"/>
        </w:rPr>
        <w:t>information context</w:t>
      </w:r>
      <w:r w:rsidR="004D228A">
        <w:rPr>
          <w:lang w:val="fr-CA"/>
        </w:rPr>
        <w:t>uell</w:t>
      </w:r>
      <w:r>
        <w:rPr>
          <w:lang w:val="fr-CA"/>
        </w:rPr>
        <w:t xml:space="preserve">e </w:t>
      </w:r>
      <w:r w:rsidR="004D228A">
        <w:rPr>
          <w:lang w:val="fr-CA"/>
        </w:rPr>
        <w:t>sur</w:t>
      </w:r>
      <w:r>
        <w:rPr>
          <w:lang w:val="fr-CA"/>
        </w:rPr>
        <w:t xml:space="preserve"> cet enjeu (UNEP/OzL.Pro.WG1/44/2) et l’autre qui reproduisait les annexes pertinentes de la soixante-troisième réunion du Comité d’application</w:t>
      </w:r>
      <w:r w:rsidR="00101751">
        <w:rPr>
          <w:lang w:val="fr-CA"/>
        </w:rPr>
        <w:t>,</w:t>
      </w:r>
      <w:r>
        <w:rPr>
          <w:lang w:val="fr-CA"/>
        </w:rPr>
        <w:t xml:space="preserve"> portant sur les </w:t>
      </w:r>
      <w:r w:rsidR="00101751">
        <w:rPr>
          <w:lang w:val="fr-CA"/>
        </w:rPr>
        <w:t xml:space="preserve">solutions pour lutter contre </w:t>
      </w:r>
      <w:r>
        <w:rPr>
          <w:lang w:val="fr-CA"/>
        </w:rPr>
        <w:t xml:space="preserve">la production et </w:t>
      </w:r>
      <w:r w:rsidR="00101751">
        <w:rPr>
          <w:lang w:val="fr-CA"/>
        </w:rPr>
        <w:t>le</w:t>
      </w:r>
      <w:r>
        <w:rPr>
          <w:lang w:val="fr-CA"/>
        </w:rPr>
        <w:t xml:space="preserve"> commerce illicites de substances réglementées </w:t>
      </w:r>
      <w:r w:rsidR="00101751">
        <w:rPr>
          <w:lang w:val="fr-CA"/>
        </w:rPr>
        <w:t>d</w:t>
      </w:r>
      <w:r>
        <w:rPr>
          <w:lang w:val="fr-CA"/>
        </w:rPr>
        <w:t>a</w:t>
      </w:r>
      <w:r w:rsidR="00101751">
        <w:rPr>
          <w:lang w:val="fr-CA"/>
        </w:rPr>
        <w:t>ns le cad</w:t>
      </w:r>
      <w:r>
        <w:rPr>
          <w:lang w:val="fr-CA"/>
        </w:rPr>
        <w:t>r</w:t>
      </w:r>
      <w:r w:rsidR="00101751">
        <w:rPr>
          <w:lang w:val="fr-CA"/>
        </w:rPr>
        <w:t>e du</w:t>
      </w:r>
      <w:r>
        <w:rPr>
          <w:lang w:val="fr-CA"/>
        </w:rPr>
        <w:t xml:space="preserve"> Protocole de Montréal et </w:t>
      </w:r>
      <w:r w:rsidR="00101751">
        <w:rPr>
          <w:lang w:val="fr-CA"/>
        </w:rPr>
        <w:t>l’</w:t>
      </w:r>
      <w:r>
        <w:rPr>
          <w:lang w:val="fr-CA"/>
        </w:rPr>
        <w:t>identifi</w:t>
      </w:r>
      <w:r w:rsidR="00101751">
        <w:rPr>
          <w:lang w:val="fr-CA"/>
        </w:rPr>
        <w:t>c</w:t>
      </w:r>
      <w:r>
        <w:rPr>
          <w:lang w:val="fr-CA"/>
        </w:rPr>
        <w:t>at</w:t>
      </w:r>
      <w:r w:rsidR="00101751">
        <w:rPr>
          <w:lang w:val="fr-CA"/>
        </w:rPr>
        <w:t>ion</w:t>
      </w:r>
      <w:r>
        <w:rPr>
          <w:lang w:val="fr-CA"/>
        </w:rPr>
        <w:t xml:space="preserve"> des lacunes potentielles dans la procédure </w:t>
      </w:r>
      <w:r w:rsidR="00101751">
        <w:rPr>
          <w:lang w:val="fr-CA"/>
        </w:rPr>
        <w:t xml:space="preserve">applicable en cas </w:t>
      </w:r>
      <w:r>
        <w:rPr>
          <w:lang w:val="fr-CA"/>
        </w:rPr>
        <w:t>de non-conformité, des d</w:t>
      </w:r>
      <w:r w:rsidR="00101751">
        <w:rPr>
          <w:lang w:val="fr-CA"/>
        </w:rPr>
        <w:t>ifficult</w:t>
      </w:r>
      <w:r>
        <w:rPr>
          <w:lang w:val="fr-CA"/>
        </w:rPr>
        <w:t xml:space="preserve">és, des outils, des idées et </w:t>
      </w:r>
      <w:r w:rsidR="00101751">
        <w:rPr>
          <w:lang w:val="fr-CA"/>
        </w:rPr>
        <w:t>proposition</w:t>
      </w:r>
      <w:r>
        <w:rPr>
          <w:lang w:val="fr-CA"/>
        </w:rPr>
        <w:t>s d’amélioration (UNEP/OzL.Pro.WG1/44/3).  À l’issue d’une discussion, le Groupe de travail a convenu de constituer un groupe informel pour discuter des objectifs reliés aux processus institutionnels</w:t>
      </w:r>
      <w:r w:rsidR="00B16011">
        <w:rPr>
          <w:lang w:val="fr-CA"/>
        </w:rPr>
        <w:t xml:space="preserve"> destinés à</w:t>
      </w:r>
      <w:r>
        <w:rPr>
          <w:lang w:val="fr-CA"/>
        </w:rPr>
        <w:t xml:space="preserve"> renforce</w:t>
      </w:r>
      <w:r w:rsidR="00101751">
        <w:rPr>
          <w:lang w:val="fr-CA"/>
        </w:rPr>
        <w:t>r</w:t>
      </w:r>
      <w:r>
        <w:rPr>
          <w:lang w:val="fr-CA"/>
        </w:rPr>
        <w:t xml:space="preserve"> la mise en œuvre </w:t>
      </w:r>
      <w:r w:rsidR="00B16011">
        <w:rPr>
          <w:lang w:val="fr-CA"/>
        </w:rPr>
        <w:t xml:space="preserve">effective </w:t>
      </w:r>
      <w:r>
        <w:rPr>
          <w:lang w:val="fr-CA"/>
        </w:rPr>
        <w:t xml:space="preserve">et </w:t>
      </w:r>
      <w:r w:rsidR="00B16011">
        <w:rPr>
          <w:lang w:val="fr-CA"/>
        </w:rPr>
        <w:t>l</w:t>
      </w:r>
      <w:r>
        <w:rPr>
          <w:lang w:val="fr-CA"/>
        </w:rPr>
        <w:t xml:space="preserve">e </w:t>
      </w:r>
      <w:r w:rsidR="00B16011">
        <w:rPr>
          <w:lang w:val="fr-CA"/>
        </w:rPr>
        <w:t>respect</w:t>
      </w:r>
      <w:r>
        <w:rPr>
          <w:lang w:val="fr-CA"/>
        </w:rPr>
        <w:t xml:space="preserve"> du Protocole de Montréal, </w:t>
      </w:r>
      <w:r w:rsidR="00417FCB">
        <w:rPr>
          <w:lang w:val="fr-CA"/>
        </w:rPr>
        <w:t>avec l</w:t>
      </w:r>
      <w:r>
        <w:rPr>
          <w:lang w:val="fr-CA"/>
        </w:rPr>
        <w:t>e document UNEP/OzL.Pro.WG1/44/3 com</w:t>
      </w:r>
      <w:r w:rsidR="00504C31">
        <w:rPr>
          <w:lang w:val="fr-CA"/>
        </w:rPr>
        <w:t>me base de discussion.</w:t>
      </w:r>
    </w:p>
    <w:p w14:paraId="2C580024" w14:textId="21C2FBC0" w:rsidR="00441083" w:rsidRDefault="00504C31" w:rsidP="0077048A">
      <w:pPr>
        <w:pStyle w:val="StyleHeading1Para1Heading1CharHeading1Char3CharHeadin"/>
        <w:numPr>
          <w:ilvl w:val="0"/>
          <w:numId w:val="1"/>
        </w:numPr>
        <w:tabs>
          <w:tab w:val="clear" w:pos="0"/>
          <w:tab w:val="clear" w:pos="720"/>
          <w:tab w:val="left" w:pos="567"/>
        </w:tabs>
        <w:spacing w:after="120"/>
        <w:rPr>
          <w:lang w:val="fr-CA"/>
        </w:rPr>
      </w:pPr>
      <w:r>
        <w:rPr>
          <w:lang w:val="fr-CA"/>
        </w:rPr>
        <w:t>Lors des délib</w:t>
      </w:r>
      <w:r w:rsidR="00906AC2">
        <w:rPr>
          <w:lang w:val="fr-CA"/>
        </w:rPr>
        <w:t>é</w:t>
      </w:r>
      <w:r>
        <w:rPr>
          <w:lang w:val="fr-CA"/>
        </w:rPr>
        <w:t>r</w:t>
      </w:r>
      <w:r w:rsidR="00906AC2">
        <w:rPr>
          <w:lang w:val="fr-CA"/>
        </w:rPr>
        <w:t>at</w:t>
      </w:r>
      <w:r>
        <w:rPr>
          <w:lang w:val="fr-CA"/>
        </w:rPr>
        <w:t xml:space="preserve">ions informelles, il a été constaté que </w:t>
      </w:r>
      <w:r w:rsidR="00A3185D">
        <w:rPr>
          <w:lang w:val="fr-CA"/>
        </w:rPr>
        <w:t>le fonctionnement d</w:t>
      </w:r>
      <w:r>
        <w:rPr>
          <w:lang w:val="fr-CA"/>
        </w:rPr>
        <w:t xml:space="preserve">es institutions du Protocole de Montréal, </w:t>
      </w:r>
      <w:r w:rsidR="00A3185D">
        <w:rPr>
          <w:lang w:val="fr-CA"/>
        </w:rPr>
        <w:t>notamment du</w:t>
      </w:r>
      <w:r>
        <w:rPr>
          <w:lang w:val="fr-CA"/>
        </w:rPr>
        <w:t xml:space="preserve"> Comité d’application, </w:t>
      </w:r>
      <w:r w:rsidR="00A3185D">
        <w:rPr>
          <w:lang w:val="fr-CA"/>
        </w:rPr>
        <w:t>est déjà satisfaisant</w:t>
      </w:r>
      <w:r>
        <w:rPr>
          <w:lang w:val="fr-CA"/>
        </w:rPr>
        <w:t xml:space="preserve">; que ce point </w:t>
      </w:r>
      <w:r w:rsidR="0052242F">
        <w:rPr>
          <w:lang w:val="fr-CA"/>
        </w:rPr>
        <w:t xml:space="preserve">de l’ordre du jour </w:t>
      </w:r>
      <w:r w:rsidR="00A3185D">
        <w:rPr>
          <w:lang w:val="fr-CA"/>
        </w:rPr>
        <w:t>offre la possibilité</w:t>
      </w:r>
      <w:r>
        <w:rPr>
          <w:lang w:val="fr-CA"/>
        </w:rPr>
        <w:t xml:space="preserve"> d’améliorer le partage d’information</w:t>
      </w:r>
      <w:r w:rsidR="00101751">
        <w:rPr>
          <w:lang w:val="fr-CA"/>
        </w:rPr>
        <w:t>s</w:t>
      </w:r>
      <w:r>
        <w:rPr>
          <w:lang w:val="fr-CA"/>
        </w:rPr>
        <w:t xml:space="preserve"> et de</w:t>
      </w:r>
      <w:r w:rsidR="00A3185D">
        <w:rPr>
          <w:lang w:val="fr-CA"/>
        </w:rPr>
        <w:t>s</w:t>
      </w:r>
      <w:r>
        <w:rPr>
          <w:lang w:val="fr-CA"/>
        </w:rPr>
        <w:t xml:space="preserve"> pratiques </w:t>
      </w:r>
      <w:r w:rsidR="00A3185D">
        <w:rPr>
          <w:lang w:val="fr-CA"/>
        </w:rPr>
        <w:t>optimales</w:t>
      </w:r>
      <w:r>
        <w:rPr>
          <w:lang w:val="fr-CA"/>
        </w:rPr>
        <w:t xml:space="preserve">, y compris </w:t>
      </w:r>
      <w:r w:rsidR="00A3185D">
        <w:rPr>
          <w:lang w:val="fr-CA"/>
        </w:rPr>
        <w:t xml:space="preserve">la possibilité </w:t>
      </w:r>
      <w:r>
        <w:rPr>
          <w:lang w:val="fr-CA"/>
        </w:rPr>
        <w:t xml:space="preserve"> d’améliorer l</w:t>
      </w:r>
      <w:r w:rsidR="00A3185D">
        <w:rPr>
          <w:lang w:val="fr-CA"/>
        </w:rPr>
        <w:t>a rédaction des</w:t>
      </w:r>
      <w:r>
        <w:rPr>
          <w:lang w:val="fr-CA"/>
        </w:rPr>
        <w:t xml:space="preserve"> rapports; que </w:t>
      </w:r>
      <w:r w:rsidR="00A3185D">
        <w:rPr>
          <w:lang w:val="fr-CA"/>
        </w:rPr>
        <w:t>l</w:t>
      </w:r>
      <w:r>
        <w:rPr>
          <w:lang w:val="fr-CA"/>
        </w:rPr>
        <w:t xml:space="preserve">es </w:t>
      </w:r>
      <w:r w:rsidR="00A3185D">
        <w:rPr>
          <w:lang w:val="fr-CA"/>
        </w:rPr>
        <w:t xml:space="preserve">nouvelles </w:t>
      </w:r>
      <w:r>
        <w:rPr>
          <w:lang w:val="fr-CA"/>
        </w:rPr>
        <w:t xml:space="preserve">mesures devraient s’appliquer à toutes les Parties et que </w:t>
      </w:r>
      <w:r w:rsidR="00A3185D">
        <w:rPr>
          <w:lang w:val="fr-CA"/>
        </w:rPr>
        <w:t>les nouvelles mesures devraient</w:t>
      </w:r>
      <w:r>
        <w:rPr>
          <w:lang w:val="fr-CA"/>
        </w:rPr>
        <w:t xml:space="preserve"> être proportionnelle</w:t>
      </w:r>
      <w:r w:rsidR="00A3185D">
        <w:rPr>
          <w:lang w:val="fr-CA"/>
        </w:rPr>
        <w:t>s</w:t>
      </w:r>
      <w:r>
        <w:rPr>
          <w:lang w:val="fr-CA"/>
        </w:rPr>
        <w:t xml:space="preserve"> au</w:t>
      </w:r>
      <w:r w:rsidR="00A3185D">
        <w:rPr>
          <w:lang w:val="fr-CA"/>
        </w:rPr>
        <w:t>x avantages escomptés</w:t>
      </w:r>
      <w:r>
        <w:rPr>
          <w:lang w:val="fr-CA"/>
        </w:rPr>
        <w:t xml:space="preserve">; qu’il faudrait </w:t>
      </w:r>
      <w:r w:rsidR="00A3185D">
        <w:rPr>
          <w:lang w:val="fr-CA"/>
        </w:rPr>
        <w:t>prendre en considération les</w:t>
      </w:r>
      <w:r>
        <w:rPr>
          <w:lang w:val="fr-CA"/>
        </w:rPr>
        <w:t xml:space="preserve"> coût</w:t>
      </w:r>
      <w:r w:rsidR="00A3185D">
        <w:rPr>
          <w:lang w:val="fr-CA"/>
        </w:rPr>
        <w:t>s</w:t>
      </w:r>
      <w:r>
        <w:rPr>
          <w:lang w:val="fr-CA"/>
        </w:rPr>
        <w:t xml:space="preserve"> et </w:t>
      </w:r>
      <w:r w:rsidR="00A3185D">
        <w:rPr>
          <w:lang w:val="fr-CA"/>
        </w:rPr>
        <w:t xml:space="preserve">la charge liés à </w:t>
      </w:r>
      <w:r>
        <w:rPr>
          <w:lang w:val="fr-CA"/>
        </w:rPr>
        <w:t xml:space="preserve">toute mesure nouvelle; et que les Parties devraient </w:t>
      </w:r>
      <w:r w:rsidR="00B45843">
        <w:rPr>
          <w:lang w:val="fr-CA"/>
        </w:rPr>
        <w:t>prendre en compte</w:t>
      </w:r>
      <w:r>
        <w:rPr>
          <w:lang w:val="fr-CA"/>
        </w:rPr>
        <w:t xml:space="preserve"> les différences entre le</w:t>
      </w:r>
      <w:r w:rsidR="00A3185D">
        <w:rPr>
          <w:lang w:val="fr-CA"/>
        </w:rPr>
        <w:t>ur</w:t>
      </w:r>
      <w:r>
        <w:rPr>
          <w:lang w:val="fr-CA"/>
        </w:rPr>
        <w:t xml:space="preserve">s obligations </w:t>
      </w:r>
      <w:r w:rsidR="00A3185D">
        <w:rPr>
          <w:lang w:val="fr-CA"/>
        </w:rPr>
        <w:t>juridiques</w:t>
      </w:r>
      <w:r w:rsidR="00B45843">
        <w:rPr>
          <w:lang w:val="fr-CA"/>
        </w:rPr>
        <w:t>,</w:t>
      </w:r>
      <w:r>
        <w:rPr>
          <w:lang w:val="fr-CA"/>
        </w:rPr>
        <w:t xml:space="preserve"> en tant que Partie</w:t>
      </w:r>
      <w:r w:rsidR="00CD2DA3">
        <w:rPr>
          <w:lang w:val="fr-CA"/>
        </w:rPr>
        <w:t>s</w:t>
      </w:r>
      <w:r>
        <w:rPr>
          <w:lang w:val="fr-CA"/>
        </w:rPr>
        <w:t xml:space="preserve"> au Protocole de Montréal</w:t>
      </w:r>
      <w:r w:rsidR="00CD2DA3">
        <w:rPr>
          <w:lang w:val="fr-CA"/>
        </w:rPr>
        <w:t xml:space="preserve"> et au titre du droit interne</w:t>
      </w:r>
      <w:r>
        <w:rPr>
          <w:lang w:val="fr-CA"/>
        </w:rPr>
        <w:t>.  Le groupe informel a identifié une série d</w:t>
      </w:r>
      <w:r w:rsidR="00B45843">
        <w:rPr>
          <w:lang w:val="fr-CA"/>
        </w:rPr>
        <w:t>’enjeux qui mériteraient d’être examinés davantage, incluant l’absence de définition de la production et du commerce illicites, le partage d</w:t>
      </w:r>
      <w:r w:rsidR="00CD2DA3">
        <w:rPr>
          <w:lang w:val="fr-CA"/>
        </w:rPr>
        <w:t>’information</w:t>
      </w:r>
      <w:r w:rsidR="00B45843">
        <w:rPr>
          <w:lang w:val="fr-CA"/>
        </w:rPr>
        <w:t xml:space="preserve">s </w:t>
      </w:r>
      <w:r w:rsidR="00CD2DA3">
        <w:rPr>
          <w:lang w:val="fr-CA"/>
        </w:rPr>
        <w:t xml:space="preserve">sur les </w:t>
      </w:r>
      <w:r w:rsidR="00B45843">
        <w:rPr>
          <w:lang w:val="fr-CA"/>
        </w:rPr>
        <w:t>pratiques</w:t>
      </w:r>
      <w:r w:rsidR="00A3185D">
        <w:rPr>
          <w:lang w:val="fr-CA"/>
        </w:rPr>
        <w:t xml:space="preserve"> optimales</w:t>
      </w:r>
      <w:r w:rsidR="00B45843">
        <w:rPr>
          <w:lang w:val="fr-CA"/>
        </w:rPr>
        <w:t xml:space="preserve"> et </w:t>
      </w:r>
      <w:r w:rsidR="00CD2DA3">
        <w:rPr>
          <w:lang w:val="fr-CA"/>
        </w:rPr>
        <w:t>l</w:t>
      </w:r>
      <w:r w:rsidR="00B45843">
        <w:rPr>
          <w:lang w:val="fr-CA"/>
        </w:rPr>
        <w:t>es e</w:t>
      </w:r>
      <w:r w:rsidR="00CD2DA3">
        <w:rPr>
          <w:lang w:val="fr-CA"/>
        </w:rPr>
        <w:t>nseignements tirés de l’e</w:t>
      </w:r>
      <w:r w:rsidR="00B45843">
        <w:rPr>
          <w:lang w:val="fr-CA"/>
        </w:rPr>
        <w:t xml:space="preserve">xpérience sur des questions reliées à la mise en œuvre et l’application et autres </w:t>
      </w:r>
      <w:r w:rsidR="0052242F">
        <w:rPr>
          <w:lang w:val="fr-CA"/>
        </w:rPr>
        <w:t>suje</w:t>
      </w:r>
      <w:r w:rsidR="00B45843">
        <w:rPr>
          <w:lang w:val="fr-CA"/>
        </w:rPr>
        <w:t>ts. Le groupe a produit</w:t>
      </w:r>
      <w:r w:rsidR="00A36126">
        <w:rPr>
          <w:lang w:val="fr-CA"/>
        </w:rPr>
        <w:t>, comme base de discussions futures,</w:t>
      </w:r>
      <w:r w:rsidR="00B45843">
        <w:rPr>
          <w:lang w:val="fr-CA"/>
        </w:rPr>
        <w:t xml:space="preserve"> une liste non exhaustive d’idées sur des domaines à améliorer qui n'a pas été établie par ordre de priorité et qui n’indique pas un consensus sur les enjeux qui requièrent d’autres mesures</w:t>
      </w:r>
      <w:r w:rsidR="003B3412">
        <w:rPr>
          <w:lang w:val="fr-CA"/>
        </w:rPr>
        <w:t xml:space="preserve">. Le groupe a convenu </w:t>
      </w:r>
      <w:r w:rsidR="00A36126">
        <w:rPr>
          <w:lang w:val="fr-CA"/>
        </w:rPr>
        <w:t>aussi</w:t>
      </w:r>
      <w:r w:rsidR="003B3412">
        <w:rPr>
          <w:lang w:val="fr-CA"/>
        </w:rPr>
        <w:t xml:space="preserve"> que les Parties devraient avoir l’occasion de fournir d</w:t>
      </w:r>
      <w:r w:rsidR="00B45843">
        <w:rPr>
          <w:lang w:val="fr-CA"/>
        </w:rPr>
        <w:t xml:space="preserve">es </w:t>
      </w:r>
      <w:r w:rsidR="003B3412">
        <w:rPr>
          <w:lang w:val="fr-CA"/>
        </w:rPr>
        <w:t xml:space="preserve">suggestions durant la période intersession avant de poursuivre la discussion </w:t>
      </w:r>
      <w:r w:rsidR="0052242F">
        <w:rPr>
          <w:lang w:val="fr-CA"/>
        </w:rPr>
        <w:t>à</w:t>
      </w:r>
      <w:r w:rsidR="003B3412">
        <w:rPr>
          <w:lang w:val="fr-CA"/>
        </w:rPr>
        <w:t xml:space="preserve"> la trente-quatrième Réunion des Parties.</w:t>
      </w:r>
    </w:p>
    <w:p w14:paraId="3A89AFF6" w14:textId="4A62A5B6" w:rsidR="003B3412" w:rsidRDefault="003B3412" w:rsidP="00906AC2">
      <w:pPr>
        <w:pStyle w:val="StyleHeading1Para1Heading1CharHeading1Char3CharHeadin"/>
        <w:numPr>
          <w:ilvl w:val="0"/>
          <w:numId w:val="1"/>
        </w:numPr>
        <w:tabs>
          <w:tab w:val="clear" w:pos="0"/>
          <w:tab w:val="clear" w:pos="720"/>
          <w:tab w:val="left" w:pos="567"/>
        </w:tabs>
        <w:rPr>
          <w:lang w:val="fr-CA"/>
        </w:rPr>
      </w:pPr>
      <w:r>
        <w:rPr>
          <w:lang w:val="fr-CA"/>
        </w:rPr>
        <w:t>Le groupe de travail a accepté de transmettre la liste</w:t>
      </w:r>
      <w:r w:rsidR="00A3185D">
        <w:rPr>
          <w:rStyle w:val="FootnoteReference"/>
          <w:lang w:val="fr-CA"/>
        </w:rPr>
        <w:footnoteReference w:id="3"/>
      </w:r>
      <w:r>
        <w:rPr>
          <w:lang w:val="fr-CA"/>
        </w:rPr>
        <w:t xml:space="preserve"> d’idées sur </w:t>
      </w:r>
      <w:r w:rsidR="00A3185D">
        <w:rPr>
          <w:lang w:val="fr-CA"/>
        </w:rPr>
        <w:t>l</w:t>
      </w:r>
      <w:r>
        <w:rPr>
          <w:lang w:val="fr-CA"/>
        </w:rPr>
        <w:t xml:space="preserve">es </w:t>
      </w:r>
      <w:r w:rsidR="00A3185D">
        <w:rPr>
          <w:lang w:val="fr-CA"/>
        </w:rPr>
        <w:t>p</w:t>
      </w:r>
      <w:r>
        <w:rPr>
          <w:lang w:val="fr-CA"/>
        </w:rPr>
        <w:t>o</w:t>
      </w:r>
      <w:r w:rsidR="00A3185D">
        <w:rPr>
          <w:lang w:val="fr-CA"/>
        </w:rPr>
        <w:t>ints</w:t>
      </w:r>
      <w:r>
        <w:rPr>
          <w:lang w:val="fr-CA"/>
        </w:rPr>
        <w:t xml:space="preserve"> à améliorer</w:t>
      </w:r>
      <w:r w:rsidR="00A3185D">
        <w:rPr>
          <w:lang w:val="fr-CA"/>
        </w:rPr>
        <w:t xml:space="preserve"> dans </w:t>
      </w:r>
      <w:r w:rsidR="0052242F">
        <w:rPr>
          <w:lang w:val="fr-CA"/>
        </w:rPr>
        <w:t>les processus</w:t>
      </w:r>
      <w:r>
        <w:rPr>
          <w:lang w:val="fr-CA"/>
        </w:rPr>
        <w:t xml:space="preserve"> institutionnels </w:t>
      </w:r>
      <w:r w:rsidR="000F2659">
        <w:rPr>
          <w:lang w:val="fr-CA"/>
        </w:rPr>
        <w:t>destinés à</w:t>
      </w:r>
      <w:r>
        <w:rPr>
          <w:lang w:val="fr-CA"/>
        </w:rPr>
        <w:t xml:space="preserve"> renforcer la mise en œuvre </w:t>
      </w:r>
      <w:r w:rsidR="000F2659">
        <w:rPr>
          <w:lang w:val="fr-CA"/>
        </w:rPr>
        <w:t xml:space="preserve">effective </w:t>
      </w:r>
      <w:r>
        <w:rPr>
          <w:lang w:val="fr-CA"/>
        </w:rPr>
        <w:t>et l</w:t>
      </w:r>
      <w:r w:rsidR="000F2659">
        <w:rPr>
          <w:lang w:val="fr-CA"/>
        </w:rPr>
        <w:t xml:space="preserve">e respect </w:t>
      </w:r>
      <w:r>
        <w:rPr>
          <w:lang w:val="fr-CA"/>
        </w:rPr>
        <w:t>du Protocole de Montréal à la trente-quatrième Réunion des Parties</w:t>
      </w:r>
      <w:r w:rsidR="00FF4010">
        <w:rPr>
          <w:lang w:val="fr-CA"/>
        </w:rPr>
        <w:t>, aux fins d’examen</w:t>
      </w:r>
      <w:r>
        <w:rPr>
          <w:lang w:val="fr-CA"/>
        </w:rPr>
        <w:t>.</w:t>
      </w:r>
    </w:p>
    <w:p w14:paraId="17F04774" w14:textId="0D6BDF61" w:rsidR="00162786" w:rsidRDefault="003B3412" w:rsidP="006E6E38">
      <w:pPr>
        <w:pStyle w:val="StyleHeading1Para1Heading1CharHeading1Char3CharHeadin"/>
        <w:numPr>
          <w:ilvl w:val="0"/>
          <w:numId w:val="1"/>
        </w:numPr>
        <w:tabs>
          <w:tab w:val="clear" w:pos="0"/>
          <w:tab w:val="clear" w:pos="720"/>
          <w:tab w:val="left" w:pos="567"/>
        </w:tabs>
        <w:spacing w:after="120"/>
        <w:rPr>
          <w:lang w:val="fr-CA"/>
        </w:rPr>
      </w:pPr>
      <w:r>
        <w:rPr>
          <w:lang w:val="fr-CA"/>
        </w:rPr>
        <w:t>De même à la 44</w:t>
      </w:r>
      <w:r w:rsidRPr="003B3412">
        <w:rPr>
          <w:vertAlign w:val="superscript"/>
          <w:lang w:val="fr-CA"/>
        </w:rPr>
        <w:t>e</w:t>
      </w:r>
      <w:r>
        <w:rPr>
          <w:lang w:val="fr-CA"/>
        </w:rPr>
        <w:t xml:space="preserve"> réunion du Groupe de travail à composition non limitée, les Parties se sont penchées sur l</w:t>
      </w:r>
      <w:r w:rsidR="00B16011">
        <w:rPr>
          <w:lang w:val="fr-CA"/>
        </w:rPr>
        <w:t>e recensement</w:t>
      </w:r>
      <w:r>
        <w:rPr>
          <w:lang w:val="fr-CA"/>
        </w:rPr>
        <w:t xml:space="preserve"> des lacunes dans la couverture mondiale d</w:t>
      </w:r>
      <w:r w:rsidR="00B16011">
        <w:rPr>
          <w:lang w:val="fr-CA"/>
        </w:rPr>
        <w:t>e la surveillance</w:t>
      </w:r>
      <w:r>
        <w:rPr>
          <w:lang w:val="fr-CA"/>
        </w:rPr>
        <w:t xml:space="preserve"> atmosphérique des substances réglementées et des options pour renforcer ce</w:t>
      </w:r>
      <w:r w:rsidR="00B16011">
        <w:rPr>
          <w:lang w:val="fr-CA"/>
        </w:rPr>
        <w:t>tte</w:t>
      </w:r>
      <w:r>
        <w:rPr>
          <w:lang w:val="fr-CA"/>
        </w:rPr>
        <w:t xml:space="preserve"> su</w:t>
      </w:r>
      <w:r w:rsidR="00B16011">
        <w:rPr>
          <w:lang w:val="fr-CA"/>
        </w:rPr>
        <w:t>rveillance</w:t>
      </w:r>
      <w:r>
        <w:rPr>
          <w:lang w:val="fr-CA"/>
        </w:rPr>
        <w:t xml:space="preserve">. Il a été rappelé aux Parties que l’Union européenne avait informé la trente-troisième Réunion des Parties qu’elle financerait un projet pilote </w:t>
      </w:r>
      <w:r w:rsidR="00162786">
        <w:rPr>
          <w:lang w:val="fr-CA"/>
        </w:rPr>
        <w:t>sur l</w:t>
      </w:r>
      <w:r w:rsidR="00B16011">
        <w:rPr>
          <w:lang w:val="fr-CA"/>
        </w:rPr>
        <w:t>e recensement d’emplacements appropriés pour accroître la surveillance</w:t>
      </w:r>
      <w:r>
        <w:rPr>
          <w:lang w:val="fr-CA"/>
        </w:rPr>
        <w:t>.</w:t>
      </w:r>
      <w:r w:rsidR="00162786">
        <w:rPr>
          <w:lang w:val="fr-CA"/>
        </w:rPr>
        <w:t xml:space="preserve"> Lors des discussions, plusieurs représentants ont pris note à la fois de la portée délibérément limitée du projet et du désir d’</w:t>
      </w:r>
      <w:r w:rsidR="00B16011">
        <w:rPr>
          <w:lang w:val="fr-CA"/>
        </w:rPr>
        <w:t xml:space="preserve">autres régions </w:t>
      </w:r>
      <w:r w:rsidR="0052242F">
        <w:rPr>
          <w:lang w:val="fr-CA"/>
        </w:rPr>
        <w:t>d’</w:t>
      </w:r>
      <w:r w:rsidR="00162786">
        <w:rPr>
          <w:lang w:val="fr-CA"/>
        </w:rPr>
        <w:t>être impliqué</w:t>
      </w:r>
      <w:r w:rsidR="00B16011">
        <w:rPr>
          <w:lang w:val="fr-CA"/>
        </w:rPr>
        <w:t>es</w:t>
      </w:r>
      <w:r w:rsidR="00162786">
        <w:rPr>
          <w:lang w:val="fr-CA"/>
        </w:rPr>
        <w:t xml:space="preserve"> et </w:t>
      </w:r>
      <w:r w:rsidR="00B16011">
        <w:rPr>
          <w:lang w:val="fr-CA"/>
        </w:rPr>
        <w:t xml:space="preserve">ils </w:t>
      </w:r>
      <w:r w:rsidR="00162786">
        <w:rPr>
          <w:lang w:val="fr-CA"/>
        </w:rPr>
        <w:t>ont insisté sur le fait qu’</w:t>
      </w:r>
      <w:r w:rsidR="00B16011">
        <w:rPr>
          <w:lang w:val="fr-CA"/>
        </w:rPr>
        <w:t>il était nécessaire non seulement de suivr</w:t>
      </w:r>
      <w:r w:rsidR="00162786">
        <w:rPr>
          <w:lang w:val="fr-CA"/>
        </w:rPr>
        <w:t>e</w:t>
      </w:r>
      <w:r w:rsidR="00B16011">
        <w:rPr>
          <w:lang w:val="fr-CA"/>
        </w:rPr>
        <w:t xml:space="preserve"> </w:t>
      </w:r>
      <w:r w:rsidR="00162786">
        <w:rPr>
          <w:lang w:val="fr-CA"/>
        </w:rPr>
        <w:t xml:space="preserve">une approche scientifique pour le choix des </w:t>
      </w:r>
      <w:r w:rsidR="00B16011">
        <w:rPr>
          <w:lang w:val="fr-CA"/>
        </w:rPr>
        <w:t>emplacements</w:t>
      </w:r>
      <w:r w:rsidR="00162786">
        <w:rPr>
          <w:lang w:val="fr-CA"/>
        </w:rPr>
        <w:t xml:space="preserve"> </w:t>
      </w:r>
      <w:r w:rsidR="00B16011">
        <w:rPr>
          <w:lang w:val="fr-CA"/>
        </w:rPr>
        <w:t>additionnels mais aussi</w:t>
      </w:r>
      <w:r w:rsidR="00162786">
        <w:rPr>
          <w:lang w:val="fr-CA"/>
        </w:rPr>
        <w:t xml:space="preserve"> </w:t>
      </w:r>
      <w:r w:rsidR="0052242F">
        <w:rPr>
          <w:lang w:val="fr-CA"/>
        </w:rPr>
        <w:t xml:space="preserve">de </w:t>
      </w:r>
      <w:r w:rsidR="00162786">
        <w:rPr>
          <w:lang w:val="fr-CA"/>
        </w:rPr>
        <w:t xml:space="preserve">tenir compte de la volonté des Parties de faire partie du réseau; de l’indépendance </w:t>
      </w:r>
      <w:r w:rsidR="00A36126">
        <w:rPr>
          <w:lang w:val="fr-CA"/>
        </w:rPr>
        <w:t>en matière de</w:t>
      </w:r>
      <w:r w:rsidR="00162786">
        <w:rPr>
          <w:lang w:val="fr-CA"/>
        </w:rPr>
        <w:t xml:space="preserve"> prise de décision; des cadres, de la législation et des capacités nationaux, </w:t>
      </w:r>
      <w:r w:rsidR="00A36126">
        <w:rPr>
          <w:lang w:val="fr-CA"/>
        </w:rPr>
        <w:t>notamment en matière de</w:t>
      </w:r>
      <w:r w:rsidR="00162786">
        <w:rPr>
          <w:lang w:val="fr-CA"/>
        </w:rPr>
        <w:t xml:space="preserve"> construction, </w:t>
      </w:r>
      <w:r w:rsidR="00A36126">
        <w:rPr>
          <w:lang w:val="fr-CA"/>
        </w:rPr>
        <w:t xml:space="preserve">d’exploitation et de maintenance des sites et de </w:t>
      </w:r>
      <w:r w:rsidR="00162786">
        <w:rPr>
          <w:lang w:val="fr-CA"/>
        </w:rPr>
        <w:t xml:space="preserve">connaissance des normes </w:t>
      </w:r>
      <w:r w:rsidR="00A36126">
        <w:rPr>
          <w:lang w:val="fr-CA"/>
        </w:rPr>
        <w:t>d’étalonnage</w:t>
      </w:r>
      <w:r w:rsidR="00162786">
        <w:rPr>
          <w:lang w:val="fr-CA"/>
        </w:rPr>
        <w:t xml:space="preserve"> des données; et de la charge de travail pour r</w:t>
      </w:r>
      <w:r w:rsidR="00A36126">
        <w:rPr>
          <w:lang w:val="fr-CA"/>
        </w:rPr>
        <w:t>especter les</w:t>
      </w:r>
      <w:r w:rsidR="00162786">
        <w:rPr>
          <w:lang w:val="fr-CA"/>
        </w:rPr>
        <w:t xml:space="preserve"> obligations </w:t>
      </w:r>
      <w:r w:rsidR="00A36126">
        <w:rPr>
          <w:lang w:val="fr-CA"/>
        </w:rPr>
        <w:t>au titre</w:t>
      </w:r>
      <w:r w:rsidR="00162786">
        <w:rPr>
          <w:lang w:val="fr-CA"/>
        </w:rPr>
        <w:t xml:space="preserve"> du Protocole de Montréal. </w:t>
      </w:r>
      <w:r w:rsidR="00A36126">
        <w:rPr>
          <w:lang w:val="fr-CA"/>
        </w:rPr>
        <w:t xml:space="preserve">Il faudrait </w:t>
      </w:r>
      <w:r w:rsidR="00FF4010">
        <w:rPr>
          <w:lang w:val="fr-CA"/>
        </w:rPr>
        <w:t xml:space="preserve">aussi aborder les </w:t>
      </w:r>
      <w:r w:rsidR="00162786">
        <w:rPr>
          <w:lang w:val="fr-CA"/>
        </w:rPr>
        <w:t>défis techniques et de financement.</w:t>
      </w:r>
    </w:p>
    <w:p w14:paraId="5F562D56" w14:textId="3E5CBD4D" w:rsidR="003B3412" w:rsidRDefault="00162786" w:rsidP="006E6E38">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Un représentant</w:t>
      </w:r>
      <w:r w:rsidR="000F2659">
        <w:rPr>
          <w:lang w:val="fr-CA"/>
        </w:rPr>
        <w:t xml:space="preserve"> a souligné l’intention de son pays de compléter le projet pilote par une initiative qui examinerait et contribuerait à identifier des sources d’émissions de substances pertinentes pour le Protocole de Montréal, provenant notamment de procédés industriels, leur emplacement et la répartition régionale correspondante. En raison d’un manque de temps, le Groupe de </w:t>
      </w:r>
      <w:r w:rsidR="00CD2DA3">
        <w:rPr>
          <w:lang w:val="fr-CA"/>
        </w:rPr>
        <w:t xml:space="preserve">travail qui </w:t>
      </w:r>
      <w:r w:rsidR="000F2659">
        <w:rPr>
          <w:lang w:val="fr-CA"/>
        </w:rPr>
        <w:t>avait reçu le mandat d’examiner le projet de décision soumis par l’Union européenne, a convenu de transmettre le projet de décision</w:t>
      </w:r>
      <w:r w:rsidR="000F2659">
        <w:rPr>
          <w:rStyle w:val="FootnoteReference"/>
          <w:lang w:val="fr-CA"/>
        </w:rPr>
        <w:footnoteReference w:id="4"/>
      </w:r>
      <w:r w:rsidR="00CD2DA3">
        <w:rPr>
          <w:lang w:val="fr-CA"/>
        </w:rPr>
        <w:t xml:space="preserve"> à la trente-quatrième Réunion des Parties, aux fins d’examen.</w:t>
      </w:r>
    </w:p>
    <w:p w14:paraId="06D70672" w14:textId="753B143F" w:rsidR="00CD2DA3" w:rsidRPr="00CD2DA3" w:rsidRDefault="00CD2DA3" w:rsidP="006E6E38">
      <w:pPr>
        <w:pStyle w:val="StyleHeading1Para1Heading1CharHeading1Char3CharHeadin"/>
        <w:tabs>
          <w:tab w:val="clear" w:pos="720"/>
          <w:tab w:val="left" w:pos="567"/>
        </w:tabs>
        <w:spacing w:after="120"/>
        <w:rPr>
          <w:u w:val="single"/>
          <w:lang w:val="fr-CA"/>
        </w:rPr>
      </w:pPr>
      <w:r>
        <w:rPr>
          <w:u w:val="single"/>
          <w:lang w:val="fr-CA"/>
        </w:rPr>
        <w:t>Discussions à la trente-quatrième Réunion des Parties</w:t>
      </w:r>
    </w:p>
    <w:p w14:paraId="6CEA2D3A" w14:textId="5DF83D58" w:rsidR="00F256E3" w:rsidRDefault="00CD2DA3" w:rsidP="006E6E38">
      <w:pPr>
        <w:pStyle w:val="Heading1"/>
        <w:tabs>
          <w:tab w:val="left" w:pos="567"/>
        </w:tabs>
        <w:spacing w:after="120"/>
        <w:rPr>
          <w:lang w:val="fr-CA"/>
        </w:rPr>
      </w:pPr>
      <w:r>
        <w:rPr>
          <w:lang w:val="fr-CA"/>
        </w:rPr>
        <w:t xml:space="preserve">À </w:t>
      </w:r>
      <w:r w:rsidRPr="00CD2DA3">
        <w:rPr>
          <w:lang w:val="fr-CA"/>
        </w:rPr>
        <w:t>l</w:t>
      </w:r>
      <w:r>
        <w:rPr>
          <w:lang w:val="fr-CA"/>
        </w:rPr>
        <w:t>eur</w:t>
      </w:r>
      <w:r w:rsidRPr="00CD2DA3">
        <w:rPr>
          <w:lang w:val="fr-CA"/>
        </w:rPr>
        <w:t xml:space="preserve"> trente-quatrième Réunion</w:t>
      </w:r>
      <w:r>
        <w:rPr>
          <w:lang w:val="fr-CA"/>
        </w:rPr>
        <w:t>, l</w:t>
      </w:r>
      <w:r w:rsidRPr="00CD2DA3">
        <w:rPr>
          <w:lang w:val="fr-CA"/>
        </w:rPr>
        <w:t>es Parties</w:t>
      </w:r>
      <w:r>
        <w:rPr>
          <w:lang w:val="fr-CA"/>
        </w:rPr>
        <w:t xml:space="preserve"> ont étudié deux documents de conférence (CRP) au point de l’ordre du jour sur les processus institutionnels destinés à renforcer la mise en œuvre effective et le respect </w:t>
      </w:r>
      <w:r w:rsidR="007564BC">
        <w:rPr>
          <w:lang w:val="fr-CA"/>
        </w:rPr>
        <w:t>du Protocole de Montréal. Le premier document proposait une série de mesures que les Parties pourraient entreprendre à court terme (par ex., introduction dans leurs systèmes nationaux de classification douanière, de sous-divisions distinctes pour les HFC et les mélanges; encourager l’échange d’informations et intensifier les efforts conjoints pour améliorer les moyens de détecter et de prévenir le commerce illicite; et encourager la communication au Secrétariat des cas de commerce illicite pleinement prouvés) et la poursuite des discussions sur ce sujet en 2023</w:t>
      </w:r>
      <w:r w:rsidR="0052242F">
        <w:rPr>
          <w:lang w:val="fr-CA"/>
        </w:rPr>
        <w:t>,</w:t>
      </w:r>
      <w:r w:rsidR="007564BC">
        <w:rPr>
          <w:lang w:val="fr-CA"/>
        </w:rPr>
        <w:t xml:space="preserve"> tandis que le Secrétariat de l’ozone fournirait de l’information supplémentaire et organiserait un atelier sur la poursuite du renforcement de la mise en œuvre effective et du respect du Protocole de Montréal qui se tiendrait immédiatement après la 45</w:t>
      </w:r>
      <w:r w:rsidR="007564BC" w:rsidRPr="007564BC">
        <w:rPr>
          <w:vertAlign w:val="superscript"/>
          <w:lang w:val="fr-CA"/>
        </w:rPr>
        <w:t>e</w:t>
      </w:r>
      <w:r w:rsidR="007564BC">
        <w:rPr>
          <w:lang w:val="fr-CA"/>
        </w:rPr>
        <w:t xml:space="preserve"> réunion du Groupe de travail à composition non limitée.  Le deuxième document demandait au Groupe de l’évaluation technique et économique de préparer, pour la trente-cinquième Réunion des Parties, un rapport contenant des informations additionnelles concernant le HFC-23. À l’issue de discussions dans un groupe de contact, les Parties ont adopté la décision XXXIV/7 (</w:t>
      </w:r>
      <w:r w:rsidR="00F256E3">
        <w:rPr>
          <w:lang w:val="fr-CA"/>
        </w:rPr>
        <w:t>R</w:t>
      </w:r>
      <w:r w:rsidR="007564BC">
        <w:rPr>
          <w:lang w:val="fr-CA"/>
        </w:rPr>
        <w:t xml:space="preserve">enforcement </w:t>
      </w:r>
      <w:r w:rsidR="00F256E3">
        <w:rPr>
          <w:lang w:val="fr-CA"/>
        </w:rPr>
        <w:t>des processus institutionnels concernant de l’information sur les émissions du sous-produit HFC-23) et la décision XXXIV/8 (Renforcement des institutions du Protocole de Montréal, notamment pour lutter contre le commerce illicite).</w:t>
      </w:r>
    </w:p>
    <w:p w14:paraId="34272E29" w14:textId="4079466A" w:rsidR="00E90DED" w:rsidRDefault="00F256E3" w:rsidP="006E6E38">
      <w:pPr>
        <w:pStyle w:val="Heading1"/>
        <w:tabs>
          <w:tab w:val="left" w:pos="567"/>
        </w:tabs>
        <w:spacing w:after="120"/>
        <w:rPr>
          <w:lang w:val="fr-CA"/>
        </w:rPr>
      </w:pPr>
      <w:r>
        <w:rPr>
          <w:lang w:val="fr-CA"/>
        </w:rPr>
        <w:t xml:space="preserve">En outre, les Parties ont examiné : une mise à jour du rapport périodique </w:t>
      </w:r>
      <w:r w:rsidR="0052242F">
        <w:rPr>
          <w:lang w:val="fr-CA"/>
        </w:rPr>
        <w:t xml:space="preserve">du Secrétariat </w:t>
      </w:r>
      <w:r>
        <w:rPr>
          <w:lang w:val="fr-CA"/>
        </w:rPr>
        <w:t xml:space="preserve">en réponse à la demande des Parties formulée dans la décision XXXIII/4 pour renforcer </w:t>
      </w:r>
      <w:r w:rsidR="0017037D">
        <w:rPr>
          <w:lang w:val="fr-CA"/>
        </w:rPr>
        <w:t>l</w:t>
      </w:r>
      <w:r w:rsidR="007564BC">
        <w:rPr>
          <w:lang w:val="fr-CA"/>
        </w:rPr>
        <w:t>a</w:t>
      </w:r>
      <w:r w:rsidR="0017037D">
        <w:rPr>
          <w:lang w:val="fr-CA"/>
        </w:rPr>
        <w:t xml:space="preserve"> surveillance atmosphérique mondiale et régionale des substances réglementées par le Protocole de Montréal;</w:t>
      </w:r>
      <w:r w:rsidR="0017037D">
        <w:rPr>
          <w:rStyle w:val="FootnoteReference"/>
          <w:lang w:val="fr-CA"/>
        </w:rPr>
        <w:footnoteReference w:id="5"/>
      </w:r>
      <w:r w:rsidR="0017037D">
        <w:rPr>
          <w:lang w:val="fr-CA"/>
        </w:rPr>
        <w:t xml:space="preserve"> le projet de décision sur l’identification des sources d’émissions provenant de procédés industriels, soumis par l’Union européenne à la 44</w:t>
      </w:r>
      <w:r w:rsidR="0017037D" w:rsidRPr="0017037D">
        <w:rPr>
          <w:vertAlign w:val="superscript"/>
          <w:lang w:val="fr-CA"/>
        </w:rPr>
        <w:t>e</w:t>
      </w:r>
      <w:r w:rsidR="0017037D">
        <w:rPr>
          <w:lang w:val="fr-CA"/>
        </w:rPr>
        <w:t xml:space="preserve"> réunion du Groupe de travail à composition non limitée; et un document de conférence </w:t>
      </w:r>
      <w:r w:rsidR="00E90DED">
        <w:rPr>
          <w:lang w:val="fr-CA"/>
        </w:rPr>
        <w:t>devant contribuer à combler le manque actuel de connaissances sur les émissions de tétrachlorure de carbone.  À la suite des discussions dans un groupe de contact, les Parties ont adopté l</w:t>
      </w:r>
      <w:r w:rsidR="00FF4010">
        <w:rPr>
          <w:lang w:val="fr-CA"/>
        </w:rPr>
        <w:t>a</w:t>
      </w:r>
      <w:r w:rsidR="00E90DED">
        <w:rPr>
          <w:lang w:val="fr-CA"/>
        </w:rPr>
        <w:t xml:space="preserve"> décision </w:t>
      </w:r>
      <w:proofErr w:type="spellStart"/>
      <w:r w:rsidR="00E90DED">
        <w:rPr>
          <w:lang w:val="fr-CA"/>
        </w:rPr>
        <w:t>XXXlV</w:t>
      </w:r>
      <w:proofErr w:type="spellEnd"/>
      <w:r w:rsidR="00E90DED">
        <w:rPr>
          <w:lang w:val="fr-CA"/>
        </w:rPr>
        <w:t>/5 (Recensement des lacunes dans la couverture mondiale de la surveillance atmosphérique des substances réglementées et options pour renforcer cette surveillance) et la décision XXXIV/6 (Émissions continues de tétrachlorure de carbone).</w:t>
      </w:r>
    </w:p>
    <w:p w14:paraId="70C20CE7" w14:textId="460BC2CD" w:rsidR="00E90DED" w:rsidRDefault="00E90DED" w:rsidP="006E6E38">
      <w:pPr>
        <w:spacing w:after="120"/>
        <w:rPr>
          <w:b/>
          <w:bCs/>
          <w:lang w:val="fr-CA"/>
        </w:rPr>
      </w:pPr>
      <w:r>
        <w:rPr>
          <w:b/>
          <w:bCs/>
          <w:lang w:val="fr-CA"/>
        </w:rPr>
        <w:t>Présentation à la 91</w:t>
      </w:r>
      <w:r w:rsidRPr="00E90DED">
        <w:rPr>
          <w:b/>
          <w:bCs/>
          <w:vertAlign w:val="superscript"/>
          <w:lang w:val="fr-CA"/>
        </w:rPr>
        <w:t>e</w:t>
      </w:r>
      <w:r>
        <w:rPr>
          <w:b/>
          <w:bCs/>
          <w:lang w:val="fr-CA"/>
        </w:rPr>
        <w:t xml:space="preserve"> réunion</w:t>
      </w:r>
    </w:p>
    <w:p w14:paraId="29C80083" w14:textId="78C875F5" w:rsidR="00E90DED" w:rsidRDefault="00E90DED" w:rsidP="006E6E38">
      <w:pPr>
        <w:pStyle w:val="Heading1"/>
        <w:tabs>
          <w:tab w:val="left" w:pos="567"/>
        </w:tabs>
        <w:spacing w:after="120"/>
        <w:rPr>
          <w:lang w:val="fr-CA"/>
        </w:rPr>
      </w:pPr>
      <w:r>
        <w:rPr>
          <w:lang w:val="fr-CA"/>
        </w:rPr>
        <w:t>Pour faciliter les discussions à la 91</w:t>
      </w:r>
      <w:r w:rsidRPr="00E90DED">
        <w:rPr>
          <w:vertAlign w:val="superscript"/>
          <w:lang w:val="fr-CA"/>
        </w:rPr>
        <w:t>e</w:t>
      </w:r>
      <w:r>
        <w:rPr>
          <w:lang w:val="fr-CA"/>
        </w:rPr>
        <w:t xml:space="preserve"> réunion conformément à la décision 89/2, le Secrétariat a joint le document UNEP/</w:t>
      </w:r>
      <w:proofErr w:type="spellStart"/>
      <w:r>
        <w:rPr>
          <w:lang w:val="fr-CA"/>
        </w:rPr>
        <w:t>OzL.Pro</w:t>
      </w:r>
      <w:proofErr w:type="spellEnd"/>
      <w:r>
        <w:rPr>
          <w:lang w:val="fr-CA"/>
        </w:rPr>
        <w:t>/</w:t>
      </w:r>
      <w:proofErr w:type="spellStart"/>
      <w:r>
        <w:rPr>
          <w:lang w:val="fr-CA"/>
        </w:rPr>
        <w:t>ExCom</w:t>
      </w:r>
      <w:proofErr w:type="spellEnd"/>
      <w:r>
        <w:rPr>
          <w:lang w:val="fr-CA"/>
        </w:rPr>
        <w:t>/89/3 à la présente note du Secrétariat.</w:t>
      </w:r>
    </w:p>
    <w:p w14:paraId="3D622613" w14:textId="272DCED4" w:rsidR="00E90DED" w:rsidRDefault="00E90DED" w:rsidP="006E6E38">
      <w:pPr>
        <w:spacing w:after="120"/>
        <w:rPr>
          <w:b/>
          <w:bCs/>
          <w:lang w:val="fr-CA"/>
        </w:rPr>
      </w:pPr>
      <w:r>
        <w:rPr>
          <w:b/>
          <w:bCs/>
          <w:lang w:val="fr-CA"/>
        </w:rPr>
        <w:t>Recommandation</w:t>
      </w:r>
    </w:p>
    <w:p w14:paraId="470A3AB9" w14:textId="5AAB90D8" w:rsidR="00441083" w:rsidRDefault="00E90DED" w:rsidP="006E6E38">
      <w:pPr>
        <w:pStyle w:val="Heading1"/>
        <w:tabs>
          <w:tab w:val="left" w:pos="567"/>
        </w:tabs>
        <w:spacing w:after="120"/>
        <w:rPr>
          <w:lang w:val="fr-CA"/>
        </w:rPr>
      </w:pPr>
      <w:r>
        <w:rPr>
          <w:lang w:val="fr-CA"/>
        </w:rPr>
        <w:t xml:space="preserve">Le Comité exécutif pourrait souhaiter demander au Secrétariat, </w:t>
      </w:r>
      <w:r w:rsidR="0052242F">
        <w:rPr>
          <w:lang w:val="fr-CA"/>
        </w:rPr>
        <w:t>pour examen</w:t>
      </w:r>
      <w:r>
        <w:rPr>
          <w:lang w:val="fr-CA"/>
        </w:rPr>
        <w:t xml:space="preserve"> à la 93</w:t>
      </w:r>
      <w:r w:rsidRPr="00E90DED">
        <w:rPr>
          <w:vertAlign w:val="superscript"/>
          <w:lang w:val="fr-CA"/>
        </w:rPr>
        <w:t>e</w:t>
      </w:r>
      <w:r>
        <w:rPr>
          <w:lang w:val="fr-CA"/>
        </w:rPr>
        <w:t xml:space="preserve"> réunion, une mise à jour du document UNEP/</w:t>
      </w:r>
      <w:proofErr w:type="spellStart"/>
      <w:r>
        <w:rPr>
          <w:lang w:val="fr-CA"/>
        </w:rPr>
        <w:t>OzL.Pro</w:t>
      </w:r>
      <w:proofErr w:type="spellEnd"/>
      <w:r>
        <w:rPr>
          <w:lang w:val="fr-CA"/>
        </w:rPr>
        <w:t>/</w:t>
      </w:r>
      <w:proofErr w:type="spellStart"/>
      <w:r>
        <w:rPr>
          <w:lang w:val="fr-CA"/>
        </w:rPr>
        <w:t>ExCom</w:t>
      </w:r>
      <w:proofErr w:type="spellEnd"/>
      <w:r>
        <w:rPr>
          <w:lang w:val="fr-CA"/>
        </w:rPr>
        <w:t xml:space="preserve">/89/3 sur l’aperçu des programmes actuels </w:t>
      </w:r>
      <w:r w:rsidR="002B66D2">
        <w:rPr>
          <w:lang w:val="fr-CA"/>
        </w:rPr>
        <w:t>de suivi, établissement de rapports et vérification et des programmes exécutoires d’octroi de permis et de quotas, en tenant compte des discussions lors des 89</w:t>
      </w:r>
      <w:r w:rsidR="002B66D2" w:rsidRPr="002B66D2">
        <w:rPr>
          <w:vertAlign w:val="superscript"/>
          <w:lang w:val="fr-CA"/>
        </w:rPr>
        <w:t>e</w:t>
      </w:r>
      <w:r w:rsidR="002B66D2">
        <w:rPr>
          <w:lang w:val="fr-CA"/>
        </w:rPr>
        <w:t xml:space="preserve"> et 91</w:t>
      </w:r>
      <w:r w:rsidR="002B66D2" w:rsidRPr="002B66D2">
        <w:rPr>
          <w:vertAlign w:val="superscript"/>
          <w:lang w:val="fr-CA"/>
        </w:rPr>
        <w:t>e</w:t>
      </w:r>
      <w:r w:rsidR="002B66D2">
        <w:rPr>
          <w:lang w:val="fr-CA"/>
        </w:rPr>
        <w:t xml:space="preserve"> réunions du Comité exécutif, des résultats de la trente-quatrième Réunion des Parties au Protocole de Montréal et, le cas échéant, des discussions lors de l’atelier qui sera organisé conformément à la décision XXXIV/8.  </w:t>
      </w: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AD32" w14:textId="77777777" w:rsidR="003C0348" w:rsidRDefault="003C0348">
      <w:r>
        <w:separator/>
      </w:r>
    </w:p>
  </w:endnote>
  <w:endnote w:type="continuationSeparator" w:id="0">
    <w:p w14:paraId="65FECB3E" w14:textId="77777777" w:rsidR="003C0348" w:rsidRDefault="003C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559966"/>
      <w:docPartObj>
        <w:docPartGallery w:val="Page Numbers (Bottom of Page)"/>
        <w:docPartUnique/>
      </w:docPartObj>
    </w:sdtPr>
    <w:sdtEndPr>
      <w:rPr>
        <w:noProof/>
      </w:rPr>
    </w:sdtEndPr>
    <w:sdtContent>
      <w:p w14:paraId="23EAB291" w14:textId="31E5F724" w:rsidR="0077048A" w:rsidRDefault="007704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E868D2" w14:textId="77777777" w:rsidR="0077048A" w:rsidRDefault="00770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3711941"/>
      <w:docPartObj>
        <w:docPartGallery w:val="Page Numbers (Bottom of Page)"/>
        <w:docPartUnique/>
      </w:docPartObj>
    </w:sdtPr>
    <w:sdtEndPr>
      <w:rPr>
        <w:noProof/>
      </w:rPr>
    </w:sdtEndPr>
    <w:sdtContent>
      <w:p w14:paraId="10B70EBE" w14:textId="04022C1E" w:rsidR="0077048A" w:rsidRDefault="007704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98AED" w14:textId="77777777" w:rsidR="0077048A" w:rsidRDefault="007704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6498" w14:textId="7640FA4D" w:rsidR="006E6E38" w:rsidRDefault="006E6E38"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1F602AB" w14:textId="35CF43C0" w:rsidR="00441083" w:rsidRPr="006E6E38" w:rsidRDefault="006E6E38"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44D1D" w14:textId="77777777" w:rsidR="003C0348" w:rsidRDefault="003C0348">
      <w:r>
        <w:separator/>
      </w:r>
    </w:p>
  </w:footnote>
  <w:footnote w:type="continuationSeparator" w:id="0">
    <w:p w14:paraId="0DADFF2E" w14:textId="77777777" w:rsidR="003C0348" w:rsidRDefault="003C0348">
      <w:r>
        <w:continuationSeparator/>
      </w:r>
    </w:p>
  </w:footnote>
  <w:footnote w:id="1">
    <w:p w14:paraId="7A9695E4" w14:textId="0B982CB2" w:rsidR="00677FF6" w:rsidRPr="004D228A" w:rsidRDefault="00677FF6">
      <w:pPr>
        <w:pStyle w:val="FootnoteText"/>
        <w:rPr>
          <w:lang w:val="en-CA"/>
        </w:rPr>
      </w:pPr>
      <w:r>
        <w:rPr>
          <w:rStyle w:val="FootnoteReference"/>
        </w:rPr>
        <w:footnoteRef/>
      </w:r>
      <w:r>
        <w:t xml:space="preserve"> </w:t>
      </w:r>
      <w:r w:rsidRPr="004D228A">
        <w:rPr>
          <w:lang w:val="en-CA"/>
        </w:rPr>
        <w:t>UNEP/OzL.Pro/ExCom/91/1</w:t>
      </w:r>
    </w:p>
  </w:footnote>
  <w:footnote w:id="2">
    <w:p w14:paraId="1CF9E4D0" w14:textId="3526410B" w:rsidR="007D725F" w:rsidRDefault="007D725F">
      <w:pPr>
        <w:pStyle w:val="FootnoteText"/>
        <w:rPr>
          <w:lang w:val="en-CA"/>
        </w:rPr>
      </w:pPr>
      <w:r>
        <w:rPr>
          <w:rStyle w:val="FootnoteReference"/>
        </w:rPr>
        <w:footnoteRef/>
      </w:r>
      <w:r>
        <w:t xml:space="preserve"> </w:t>
      </w:r>
      <w:r w:rsidRPr="007D725F">
        <w:rPr>
          <w:lang w:val="en-CA"/>
        </w:rPr>
        <w:t>UNEP/</w:t>
      </w:r>
      <w:proofErr w:type="spellStart"/>
      <w:r w:rsidRPr="007D725F">
        <w:rPr>
          <w:lang w:val="en-CA"/>
        </w:rPr>
        <w:t>OzL.Pro</w:t>
      </w:r>
      <w:proofErr w:type="spellEnd"/>
      <w:r w:rsidRPr="007D725F">
        <w:rPr>
          <w:lang w:val="en-CA"/>
        </w:rPr>
        <w:t>/ExCom/86/2/Add.</w:t>
      </w:r>
      <w:r>
        <w:rPr>
          <w:lang w:val="en-CA"/>
        </w:rPr>
        <w:t>1</w:t>
      </w:r>
    </w:p>
    <w:p w14:paraId="179A0802" w14:textId="77777777" w:rsidR="00EF0F45" w:rsidRPr="007D725F" w:rsidRDefault="00EF0F45">
      <w:pPr>
        <w:pStyle w:val="FootnoteText"/>
        <w:rPr>
          <w:lang w:val="en-CA"/>
        </w:rPr>
      </w:pPr>
    </w:p>
  </w:footnote>
  <w:footnote w:id="3">
    <w:p w14:paraId="4F722C9D" w14:textId="3612E30B" w:rsidR="00A3185D" w:rsidRPr="00A3185D" w:rsidRDefault="00A3185D">
      <w:pPr>
        <w:pStyle w:val="FootnoteText"/>
        <w:rPr>
          <w:lang w:val="fr-CA"/>
        </w:rPr>
      </w:pPr>
      <w:r>
        <w:rPr>
          <w:rStyle w:val="FootnoteReference"/>
        </w:rPr>
        <w:footnoteRef/>
      </w:r>
      <w:r w:rsidRPr="00A3185D">
        <w:rPr>
          <w:lang w:val="fr-CA"/>
        </w:rPr>
        <w:t xml:space="preserve"> </w:t>
      </w:r>
      <w:r>
        <w:rPr>
          <w:lang w:val="fr-CA"/>
        </w:rPr>
        <w:t>Telle que présentée dans la section B de l’annexe II au document UNEP/OzL.Pro.WG.1/44/4.</w:t>
      </w:r>
    </w:p>
  </w:footnote>
  <w:footnote w:id="4">
    <w:p w14:paraId="590B7507" w14:textId="7AE50AB3" w:rsidR="000F2659" w:rsidRPr="000F2659" w:rsidRDefault="000F2659">
      <w:pPr>
        <w:pStyle w:val="FootnoteText"/>
        <w:rPr>
          <w:lang w:val="fr-CA"/>
        </w:rPr>
      </w:pPr>
      <w:r>
        <w:rPr>
          <w:rStyle w:val="FootnoteReference"/>
        </w:rPr>
        <w:footnoteRef/>
      </w:r>
      <w:r w:rsidRPr="00A3185D">
        <w:rPr>
          <w:lang w:val="fr-CA"/>
        </w:rPr>
        <w:t xml:space="preserve"> </w:t>
      </w:r>
      <w:r w:rsidR="00A3185D">
        <w:rPr>
          <w:lang w:val="fr-CA"/>
        </w:rPr>
        <w:t>Telle que présentée dans la section A de l’annexe II au document UNEP/OzL.Pro.WG.1/44/4.</w:t>
      </w:r>
    </w:p>
  </w:footnote>
  <w:footnote w:id="5">
    <w:p w14:paraId="2D8F33A1" w14:textId="4531F44F" w:rsidR="0017037D" w:rsidRPr="0017037D" w:rsidRDefault="0017037D">
      <w:pPr>
        <w:pStyle w:val="FootnoteText"/>
        <w:rPr>
          <w:lang w:val="fr-CA"/>
        </w:rPr>
      </w:pPr>
      <w:r>
        <w:rPr>
          <w:rStyle w:val="FootnoteReference"/>
        </w:rPr>
        <w:footnoteRef/>
      </w:r>
      <w:r>
        <w:t xml:space="preserve"> </w:t>
      </w:r>
      <w:r>
        <w:rPr>
          <w:lang w:val="fr-CA"/>
        </w:rPr>
        <w:t>UNEP/OzL.Pro.34/2Add.1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2A6E5" w14:textId="13EF8340" w:rsidR="006E6E38" w:rsidRDefault="006E6E38" w:rsidP="006E6E38">
    <w:pPr>
      <w:jc w:val="left"/>
    </w:pPr>
    <w:r>
      <w:fldChar w:fldCharType="begin"/>
    </w:r>
    <w:r>
      <w:instrText xml:space="preserve"> DOCPROPERTY "Document number"  \* MERGEFORMAT </w:instrText>
    </w:r>
    <w:r>
      <w:fldChar w:fldCharType="separate"/>
    </w:r>
    <w:r w:rsidR="0077048A">
      <w:t>UNEP/</w:t>
    </w:r>
    <w:proofErr w:type="spellStart"/>
    <w:r w:rsidR="0077048A">
      <w:t>OzL.Pro</w:t>
    </w:r>
    <w:proofErr w:type="spellEnd"/>
    <w:r w:rsidR="0077048A">
      <w:t>/ExCom/91/69</w:t>
    </w:r>
    <w:r>
      <w:fldChar w:fldCharType="end"/>
    </w:r>
  </w:p>
  <w:p w14:paraId="60359320" w14:textId="6A39E369" w:rsidR="006E6E38" w:rsidRDefault="006E6E38">
    <w:pPr>
      <w:pStyle w:val="Header"/>
    </w:pPr>
  </w:p>
  <w:p w14:paraId="49D612D4" w14:textId="77777777" w:rsidR="00EF0F45" w:rsidRDefault="00EF0F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9B46" w14:textId="46030110" w:rsidR="006E6E38" w:rsidRDefault="006E6E38" w:rsidP="006E6E38">
    <w:pPr>
      <w:jc w:val="right"/>
    </w:pPr>
    <w:r>
      <w:fldChar w:fldCharType="begin"/>
    </w:r>
    <w:r>
      <w:instrText xml:space="preserve"> DOCPROPERTY "Document number"  \* MERGEFORMAT </w:instrText>
    </w:r>
    <w:r>
      <w:fldChar w:fldCharType="separate"/>
    </w:r>
    <w:r w:rsidR="0077048A">
      <w:t>UNEP/</w:t>
    </w:r>
    <w:proofErr w:type="spellStart"/>
    <w:r w:rsidR="0077048A">
      <w:t>OzL.Pro</w:t>
    </w:r>
    <w:proofErr w:type="spellEnd"/>
    <w:r w:rsidR="0077048A">
      <w:t>/ExCom/91/69</w:t>
    </w:r>
    <w:r>
      <w:fldChar w:fldCharType="end"/>
    </w:r>
  </w:p>
  <w:p w14:paraId="55DBE909" w14:textId="349D2722" w:rsidR="006E6E38" w:rsidRDefault="006E6E38">
    <w:pPr>
      <w:pStyle w:val="Header"/>
    </w:pPr>
  </w:p>
  <w:p w14:paraId="0BF30E35" w14:textId="77777777" w:rsidR="00EF0F45" w:rsidRDefault="00EF0F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2E42" w14:textId="0E2C1F37" w:rsidR="00441083" w:rsidRDefault="00441083">
    <w:pPr>
      <w:jc w:val="right"/>
    </w:pPr>
  </w:p>
  <w:p w14:paraId="03617E29"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21"/>
    <w:rsid w:val="0005110A"/>
    <w:rsid w:val="00067C21"/>
    <w:rsid w:val="000F2659"/>
    <w:rsid w:val="000F6C8E"/>
    <w:rsid w:val="00101751"/>
    <w:rsid w:val="00155BA0"/>
    <w:rsid w:val="00162786"/>
    <w:rsid w:val="0017037D"/>
    <w:rsid w:val="00177D11"/>
    <w:rsid w:val="001A1F51"/>
    <w:rsid w:val="001C3D0C"/>
    <w:rsid w:val="001D4CE7"/>
    <w:rsid w:val="0022310B"/>
    <w:rsid w:val="00265AF0"/>
    <w:rsid w:val="002B66D2"/>
    <w:rsid w:val="002C06D4"/>
    <w:rsid w:val="002F0B57"/>
    <w:rsid w:val="003029F8"/>
    <w:rsid w:val="003203AF"/>
    <w:rsid w:val="00334F2E"/>
    <w:rsid w:val="00367646"/>
    <w:rsid w:val="003A0CA4"/>
    <w:rsid w:val="003B3412"/>
    <w:rsid w:val="003C0348"/>
    <w:rsid w:val="00403EDF"/>
    <w:rsid w:val="00417FCB"/>
    <w:rsid w:val="00441083"/>
    <w:rsid w:val="00444619"/>
    <w:rsid w:val="004B1B59"/>
    <w:rsid w:val="004C2C87"/>
    <w:rsid w:val="004D228A"/>
    <w:rsid w:val="004D7878"/>
    <w:rsid w:val="004E3A36"/>
    <w:rsid w:val="00504C31"/>
    <w:rsid w:val="0052242F"/>
    <w:rsid w:val="005504F0"/>
    <w:rsid w:val="005B3CAD"/>
    <w:rsid w:val="005C278F"/>
    <w:rsid w:val="00605093"/>
    <w:rsid w:val="00677FF6"/>
    <w:rsid w:val="006E6E38"/>
    <w:rsid w:val="007034FA"/>
    <w:rsid w:val="007564BC"/>
    <w:rsid w:val="0075750B"/>
    <w:rsid w:val="0077048A"/>
    <w:rsid w:val="00775FBB"/>
    <w:rsid w:val="007D725F"/>
    <w:rsid w:val="00843511"/>
    <w:rsid w:val="00847BDB"/>
    <w:rsid w:val="00906AC2"/>
    <w:rsid w:val="0091161A"/>
    <w:rsid w:val="0092020F"/>
    <w:rsid w:val="00972E99"/>
    <w:rsid w:val="009A5180"/>
    <w:rsid w:val="009B0C06"/>
    <w:rsid w:val="009F6617"/>
    <w:rsid w:val="009F709E"/>
    <w:rsid w:val="00A3185D"/>
    <w:rsid w:val="00A36126"/>
    <w:rsid w:val="00A84967"/>
    <w:rsid w:val="00A97E14"/>
    <w:rsid w:val="00AC013C"/>
    <w:rsid w:val="00AE63D8"/>
    <w:rsid w:val="00B16011"/>
    <w:rsid w:val="00B45843"/>
    <w:rsid w:val="00B55AA4"/>
    <w:rsid w:val="00B74771"/>
    <w:rsid w:val="00B811F2"/>
    <w:rsid w:val="00BC0665"/>
    <w:rsid w:val="00BC3C7D"/>
    <w:rsid w:val="00C16E3F"/>
    <w:rsid w:val="00C34C3E"/>
    <w:rsid w:val="00C6443E"/>
    <w:rsid w:val="00C9547D"/>
    <w:rsid w:val="00CC2B33"/>
    <w:rsid w:val="00CD2DA3"/>
    <w:rsid w:val="00D7654A"/>
    <w:rsid w:val="00DB4E64"/>
    <w:rsid w:val="00DD3433"/>
    <w:rsid w:val="00E348C6"/>
    <w:rsid w:val="00E54871"/>
    <w:rsid w:val="00E60D9C"/>
    <w:rsid w:val="00E90DED"/>
    <w:rsid w:val="00EB2067"/>
    <w:rsid w:val="00EF0F45"/>
    <w:rsid w:val="00F218B0"/>
    <w:rsid w:val="00F256E3"/>
    <w:rsid w:val="00F37A42"/>
    <w:rsid w:val="00F557F5"/>
    <w:rsid w:val="00FC0D87"/>
    <w:rsid w:val="00FC5578"/>
    <w:rsid w:val="00FD22FE"/>
    <w:rsid w:val="00FE431D"/>
    <w:rsid w:val="00FF3CF1"/>
    <w:rsid w:val="00FF40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F63F1"/>
  <w15:docId w15:val="{AD590B7A-A2D7-2D49-8C50-6E230049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62BEDD9C2E66478E9E97D073C18E36" ma:contentTypeVersion="5" ma:contentTypeDescription="Create a new document." ma:contentTypeScope="" ma:versionID="25b26fa303c08cffd27c41a5e04835e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19B946B7-2F23-44E9-9E98-0D0B473A61A4}"/>
</file>

<file path=customXml/itemProps3.xml><?xml version="1.0" encoding="utf-8"?>
<ds:datastoreItem xmlns:ds="http://schemas.openxmlformats.org/officeDocument/2006/customXml" ds:itemID="{818AEB5A-CB07-47BC-BA6D-8D4816EEFD91}"/>
</file>

<file path=customXml/itemProps4.xml><?xml version="1.0" encoding="utf-8"?>
<ds:datastoreItem xmlns:ds="http://schemas.openxmlformats.org/officeDocument/2006/customXml" ds:itemID="{EA0DCF8D-5723-42FB-B960-797592957ACF}"/>
</file>

<file path=docProps/app.xml><?xml version="1.0" encoding="utf-8"?>
<Properties xmlns="http://schemas.openxmlformats.org/officeDocument/2006/extended-properties" xmlns:vt="http://schemas.openxmlformats.org/officeDocument/2006/docPropsVTypes">
  <Template>normal</Template>
  <TotalTime>3</TotalTime>
  <Pages>3</Pages>
  <Words>1647</Words>
  <Characters>9549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Aperçu des programmes actuels de suivi, d’établissement des rapports, de vérification et d’octroi de permis et de quotas exécutoires élaborés avec le soutien du fonds multilatéral (décision 89/2)</vt:lpstr>
    </vt:vector>
  </TitlesOfParts>
  <Company>UNMFS</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d’établissement des rapports, de vérification et d’octroi de permis et de quotas exécutoires élaborés avec le soutien du fonds multilatéral (décision 89/2)</dc:title>
  <dc:creator>Microsoft Office User</dc:creator>
  <cp:lastModifiedBy>HBE</cp:lastModifiedBy>
  <cp:revision>3</cp:revision>
  <cp:lastPrinted>2001-05-26T16:40:00Z</cp:lastPrinted>
  <dcterms:created xsi:type="dcterms:W3CDTF">2022-11-10T11:55:00Z</dcterms:created>
  <dcterms:modified xsi:type="dcterms:W3CDTF">2022-11-24T17:03:00Z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UNEP/OzL.Pro/ExCom/91/69</vt:lpwstr>
  </property>
  <property fmtid="{D5CDD505-2E9C-101B-9397-08002B2CF9AE}" pid="3" name="Revision date">
    <vt:lpwstr>11/11/2022</vt:lpwstr>
  </property>
  <property fmtid="{D5CDD505-2E9C-101B-9397-08002B2CF9AE}" pid="4" name="ContentTypeId">
    <vt:lpwstr>0x0101008462BEDD9C2E66478E9E97D073C18E36</vt:lpwstr>
  </property>
</Properties>
</file>