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B357A" w14:paraId="1D74CFF1" w14:textId="77777777">
        <w:trPr>
          <w:trHeight w:val="720"/>
        </w:trPr>
        <w:tc>
          <w:tcPr>
            <w:tcW w:w="6012" w:type="dxa"/>
            <w:gridSpan w:val="2"/>
            <w:tcBorders>
              <w:bottom w:val="single" w:sz="18" w:space="0" w:color="000000"/>
            </w:tcBorders>
            <w:vAlign w:val="center"/>
          </w:tcPr>
          <w:p w14:paraId="1D74CFEE" w14:textId="77777777" w:rsidR="00FB357A" w:rsidRDefault="00F615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28"/>
                <w:szCs w:val="28"/>
                <w:lang w:val="en-CA" w:eastAsia="en-US"/>
              </w:rPr>
            </w:pPr>
            <w:r>
              <w:rPr>
                <w:rFonts w:ascii="Univers" w:hAnsi="Univers"/>
                <w:b/>
                <w:sz w:val="28"/>
                <w:szCs w:val="28"/>
                <w:lang w:val="en-CA" w:eastAsia="en-US"/>
              </w:rPr>
              <w:t>NATIONS</w:t>
            </w:r>
          </w:p>
          <w:p w14:paraId="1D74CFEF" w14:textId="77777777" w:rsidR="00FB357A" w:rsidRDefault="00F615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lang w:val="en-CA" w:eastAsia="en-US"/>
              </w:rPr>
            </w:pPr>
            <w:r>
              <w:rPr>
                <w:rFonts w:ascii="Univers" w:hAnsi="Univers"/>
                <w:b/>
                <w:sz w:val="28"/>
                <w:szCs w:val="28"/>
                <w:lang w:val="en-CA" w:eastAsia="en-US"/>
              </w:rPr>
              <w:t xml:space="preserve">UNIES </w:t>
            </w:r>
          </w:p>
        </w:tc>
        <w:tc>
          <w:tcPr>
            <w:tcW w:w="4140" w:type="dxa"/>
            <w:tcBorders>
              <w:bottom w:val="single" w:sz="18" w:space="0" w:color="000000"/>
            </w:tcBorders>
          </w:tcPr>
          <w:p w14:paraId="1D74CFF0" w14:textId="77777777" w:rsidR="00FB357A" w:rsidRDefault="00F615F7">
            <w:pPr>
              <w:tabs>
                <w:tab w:val="left" w:pos="3010"/>
              </w:tabs>
              <w:jc w:val="center"/>
              <w:rPr>
                <w:sz w:val="52"/>
                <w:szCs w:val="52"/>
                <w:lang w:val="en-CA" w:eastAsia="en-US"/>
              </w:rPr>
            </w:pPr>
            <w:r>
              <w:rPr>
                <w:rFonts w:ascii="Univers Bold" w:hAnsi="Univers Bold"/>
                <w:b/>
                <w:sz w:val="72"/>
                <w:lang w:eastAsia="en-US"/>
              </w:rPr>
              <w:t xml:space="preserve">             EP</w:t>
            </w:r>
          </w:p>
        </w:tc>
      </w:tr>
      <w:tr w:rsidR="00FB357A" w14:paraId="1D74CFFF" w14:textId="77777777">
        <w:trPr>
          <w:trHeight w:val="2502"/>
        </w:trPr>
        <w:tc>
          <w:tcPr>
            <w:tcW w:w="2142" w:type="dxa"/>
            <w:tcBorders>
              <w:bottom w:val="single" w:sz="36" w:space="0" w:color="000000"/>
            </w:tcBorders>
          </w:tcPr>
          <w:p w14:paraId="1D74CFF2" w14:textId="77777777" w:rsidR="00FB357A" w:rsidRDefault="00F615F7">
            <w:pPr>
              <w:spacing w:before="120"/>
              <w:rPr>
                <w:lang w:val="en-CA" w:eastAsia="en-US"/>
              </w:rPr>
            </w:pPr>
            <w:r>
              <w:rPr>
                <w:noProof/>
                <w:lang w:val="en-CA" w:eastAsia="en-US"/>
              </w:rPr>
              <w:drawing>
                <wp:anchor distT="0" distB="0" distL="0" distR="0" simplePos="0" relativeHeight="2" behindDoc="0" locked="0" layoutInCell="1" allowOverlap="1" wp14:anchorId="1D74D0FA" wp14:editId="1D74D0FB">
                  <wp:simplePos x="0" y="0"/>
                  <wp:positionH relativeFrom="column">
                    <wp:posOffset>62865</wp:posOffset>
                  </wp:positionH>
                  <wp:positionV relativeFrom="paragraph">
                    <wp:posOffset>814705</wp:posOffset>
                  </wp:positionV>
                  <wp:extent cx="761365" cy="687705"/>
                  <wp:effectExtent l="0" t="0" r="0" b="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1"/>
                          <a:stretch>
                            <a:fillRect/>
                          </a:stretch>
                        </pic:blipFill>
                        <pic:spPr bwMode="auto">
                          <a:xfrm>
                            <a:off x="0" y="0"/>
                            <a:ext cx="761365" cy="687705"/>
                          </a:xfrm>
                          <a:prstGeom prst="rect">
                            <a:avLst/>
                          </a:prstGeom>
                        </pic:spPr>
                      </pic:pic>
                    </a:graphicData>
                  </a:graphic>
                </wp:anchor>
              </w:drawing>
            </w:r>
            <w:r>
              <w:rPr>
                <w:noProof/>
                <w:lang w:val="en-CA" w:eastAsia="en-US"/>
              </w:rPr>
              <w:drawing>
                <wp:anchor distT="0" distB="0" distL="0" distR="0" simplePos="0" relativeHeight="3" behindDoc="1" locked="0" layoutInCell="1" allowOverlap="1" wp14:anchorId="1D74D0FC" wp14:editId="1D74D0FD">
                  <wp:simplePos x="0" y="0"/>
                  <wp:positionH relativeFrom="column">
                    <wp:posOffset>51435</wp:posOffset>
                  </wp:positionH>
                  <wp:positionV relativeFrom="paragraph">
                    <wp:posOffset>105410</wp:posOffset>
                  </wp:positionV>
                  <wp:extent cx="771525" cy="675640"/>
                  <wp:effectExtent l="0" t="0" r="0" b="0"/>
                  <wp:wrapNone/>
                  <wp:docPr id="2"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Description automatically generated"/>
                          <pic:cNvPicPr>
                            <a:picLocks noChangeAspect="1" noChangeArrowheads="1"/>
                          </pic:cNvPicPr>
                        </pic:nvPicPr>
                        <pic:blipFill>
                          <a:blip r:embed="rId12"/>
                          <a:stretch>
                            <a:fillRect/>
                          </a:stretch>
                        </pic:blipFill>
                        <pic:spPr bwMode="auto">
                          <a:xfrm>
                            <a:off x="0" y="0"/>
                            <a:ext cx="771525" cy="675640"/>
                          </a:xfrm>
                          <a:prstGeom prst="rect">
                            <a:avLst/>
                          </a:prstGeom>
                        </pic:spPr>
                      </pic:pic>
                    </a:graphicData>
                  </a:graphic>
                </wp:anchor>
              </w:drawing>
            </w:r>
          </w:p>
        </w:tc>
        <w:tc>
          <w:tcPr>
            <w:tcW w:w="3870" w:type="dxa"/>
            <w:tcBorders>
              <w:bottom w:val="single" w:sz="36" w:space="0" w:color="000000"/>
            </w:tcBorders>
          </w:tcPr>
          <w:p w14:paraId="1D74CFF3" w14:textId="77777777" w:rsidR="00FB357A" w:rsidRDefault="00FB35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eastAsia="en-US"/>
              </w:rPr>
            </w:pPr>
          </w:p>
          <w:p w14:paraId="1D74CFF4" w14:textId="77777777" w:rsidR="00FB357A" w:rsidRDefault="00F615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eastAsia="en-US"/>
              </w:rPr>
            </w:pPr>
            <w:r>
              <w:rPr>
                <w:rFonts w:ascii="Univers" w:hAnsi="Univers"/>
                <w:b/>
                <w:sz w:val="32"/>
                <w:lang w:eastAsia="en-US"/>
              </w:rPr>
              <w:t>Programme des</w:t>
            </w:r>
          </w:p>
          <w:p w14:paraId="1D74CFF5" w14:textId="77777777" w:rsidR="00FB357A" w:rsidRDefault="00F615F7">
            <w:pPr>
              <w:rPr>
                <w:rFonts w:ascii="Univers" w:hAnsi="Univers"/>
                <w:b/>
                <w:sz w:val="32"/>
                <w:lang w:eastAsia="en-US"/>
              </w:rPr>
            </w:pPr>
            <w:r>
              <w:rPr>
                <w:rFonts w:ascii="Univers" w:hAnsi="Univers"/>
                <w:b/>
                <w:sz w:val="32"/>
                <w:lang w:eastAsia="en-US"/>
              </w:rPr>
              <w:t>Nations Unies pour</w:t>
            </w:r>
          </w:p>
          <w:p w14:paraId="1D74CFF6" w14:textId="77777777" w:rsidR="00FB357A" w:rsidRDefault="00F615F7">
            <w:pPr>
              <w:rPr>
                <w:rFonts w:ascii="Univers" w:hAnsi="Univers"/>
                <w:b/>
                <w:sz w:val="32"/>
                <w:lang w:eastAsia="en-US"/>
              </w:rPr>
            </w:pPr>
            <w:r>
              <w:rPr>
                <w:rFonts w:ascii="Univers" w:hAnsi="Univers"/>
                <w:b/>
                <w:sz w:val="32"/>
                <w:lang w:eastAsia="en-US"/>
              </w:rPr>
              <w:t>l’environnement</w:t>
            </w:r>
          </w:p>
        </w:tc>
        <w:tc>
          <w:tcPr>
            <w:tcW w:w="4140" w:type="dxa"/>
            <w:tcBorders>
              <w:bottom w:val="single" w:sz="36" w:space="0" w:color="000000"/>
            </w:tcBorders>
          </w:tcPr>
          <w:p w14:paraId="1D74CFF7" w14:textId="77777777" w:rsidR="00FB357A" w:rsidRDefault="00FB357A">
            <w:pPr>
              <w:rPr>
                <w:lang w:val="fr-FR" w:eastAsia="en-US"/>
              </w:rPr>
            </w:pPr>
          </w:p>
          <w:p w14:paraId="1D74CFF8" w14:textId="77777777" w:rsidR="00FB357A" w:rsidRDefault="00F615F7">
            <w:pPr>
              <w:rPr>
                <w:lang w:val="fr-FR" w:eastAsia="en-US"/>
              </w:rPr>
            </w:pPr>
            <w:r>
              <w:rPr>
                <w:lang w:val="fr-FR" w:eastAsia="en-US"/>
              </w:rPr>
              <w:t>Distr.</w:t>
            </w:r>
          </w:p>
          <w:p w14:paraId="1D74CFF9" w14:textId="77777777" w:rsidR="00FB357A" w:rsidRDefault="00F615F7">
            <w:pPr>
              <w:rPr>
                <w:lang w:val="fr-FR" w:eastAsia="en-US"/>
              </w:rPr>
            </w:pPr>
            <w:r>
              <w:rPr>
                <w:lang w:val="fr-FR" w:eastAsia="en-US"/>
              </w:rPr>
              <w:t>GÉNÉRALE</w:t>
            </w:r>
          </w:p>
          <w:p w14:paraId="1D74CFFA" w14:textId="77777777" w:rsidR="00FB357A" w:rsidRDefault="00FB357A">
            <w:pPr>
              <w:rPr>
                <w:lang w:val="fr-FR" w:eastAsia="en-US"/>
              </w:rPr>
            </w:pPr>
          </w:p>
          <w:p w14:paraId="1D74CFFB" w14:textId="77777777" w:rsidR="00FB357A" w:rsidRDefault="00F615F7">
            <w:pPr>
              <w:rPr>
                <w:lang w:eastAsia="en-US"/>
              </w:rPr>
            </w:pPr>
            <w:r>
              <w:rPr>
                <w:lang w:val="en-CA" w:eastAsia="en-US"/>
              </w:rPr>
              <w:fldChar w:fldCharType="begin"/>
            </w:r>
            <w:r w:rsidRPr="009C1FAD">
              <w:rPr>
                <w:lang w:eastAsia="en-US"/>
              </w:rPr>
              <w:instrText xml:space="preserve"> DOCPROPERTY "Document number"</w:instrText>
            </w:r>
            <w:r>
              <w:rPr>
                <w:lang w:val="en-CA" w:eastAsia="en-US"/>
              </w:rPr>
              <w:fldChar w:fldCharType="separate"/>
            </w:r>
            <w:r w:rsidRPr="009C1FAD">
              <w:rPr>
                <w:lang w:eastAsia="en-US"/>
              </w:rPr>
              <w:t>UNEP/OzL.Pro/ExCom/99/77</w:t>
            </w:r>
            <w:r>
              <w:rPr>
                <w:lang w:val="en-CA" w:eastAsia="en-US"/>
              </w:rPr>
              <w:fldChar w:fldCharType="end"/>
            </w:r>
          </w:p>
          <w:p w14:paraId="1D74CFFC" w14:textId="77777777" w:rsidR="00FB357A" w:rsidRDefault="00F615F7">
            <w:pPr>
              <w:rPr>
                <w:szCs w:val="24"/>
                <w:lang w:eastAsia="en-US"/>
              </w:rPr>
            </w:pPr>
            <w:r>
              <w:rPr>
                <w:szCs w:val="24"/>
                <w:lang w:val="en-CA" w:eastAsia="en-US"/>
              </w:rPr>
              <w:fldChar w:fldCharType="begin"/>
            </w:r>
            <w:r>
              <w:rPr>
                <w:szCs w:val="24"/>
                <w:lang w:val="en-CA" w:eastAsia="en-US"/>
              </w:rPr>
              <w:instrText xml:space="preserve"> DOCPROPERTY "Revision date"</w:instrText>
            </w:r>
            <w:r>
              <w:rPr>
                <w:szCs w:val="24"/>
                <w:lang w:val="en-CA" w:eastAsia="en-US"/>
              </w:rPr>
              <w:fldChar w:fldCharType="separate"/>
            </w:r>
            <w:r>
              <w:rPr>
                <w:szCs w:val="24"/>
                <w:lang w:val="en-CA" w:eastAsia="en-US"/>
              </w:rPr>
              <w:t>28 octobre 2026</w:t>
            </w:r>
            <w:r>
              <w:rPr>
                <w:szCs w:val="24"/>
                <w:lang w:val="en-CA" w:eastAsia="en-US"/>
              </w:rPr>
              <w:fldChar w:fldCharType="end"/>
            </w:r>
          </w:p>
          <w:p w14:paraId="1D74CFFD" w14:textId="77777777" w:rsidR="00FB357A" w:rsidRDefault="00F615F7">
            <w:pPr>
              <w:rPr>
                <w:caps/>
                <w:lang w:val="fr-FR" w:eastAsia="en-US"/>
              </w:rPr>
            </w:pPr>
            <w:r>
              <w:rPr>
                <w:caps/>
                <w:lang w:eastAsia="en-US"/>
              </w:rPr>
              <w:br/>
            </w:r>
            <w:r>
              <w:rPr>
                <w:caps/>
                <w:lang w:val="fr-FR" w:eastAsia="en-US"/>
              </w:rPr>
              <w:t>FRANÇAIS</w:t>
            </w:r>
          </w:p>
          <w:p w14:paraId="1D74CFFE" w14:textId="77777777" w:rsidR="00FB357A" w:rsidRDefault="00F615F7">
            <w:pPr>
              <w:rPr>
                <w:lang w:eastAsia="en-US"/>
              </w:rPr>
            </w:pPr>
            <w:r>
              <w:rPr>
                <w:lang w:eastAsia="en-US"/>
              </w:rPr>
              <w:t>ORIGINAL : ANGLAIS</w:t>
            </w:r>
          </w:p>
        </w:tc>
      </w:tr>
    </w:tbl>
    <w:p w14:paraId="1D74D000" w14:textId="77777777" w:rsidR="00FB357A" w:rsidRDefault="00F615F7">
      <w:pPr>
        <w:jc w:val="left"/>
        <w:rPr>
          <w:lang w:eastAsia="en-US"/>
        </w:rPr>
      </w:pPr>
      <w:r>
        <w:rPr>
          <w:lang w:eastAsia="en-US"/>
        </w:rPr>
        <w:t xml:space="preserve">COMITÉ EXÉCUTIF </w:t>
      </w:r>
      <w:r>
        <w:rPr>
          <w:lang w:eastAsia="en-US"/>
        </w:rPr>
        <w:br/>
        <w:t xml:space="preserve">  DU FONDS MULTILATÉRAL AUX FINS </w:t>
      </w:r>
      <w:r>
        <w:rPr>
          <w:lang w:eastAsia="en-US"/>
        </w:rPr>
        <w:br/>
        <w:t xml:space="preserve">  D’APPLICATION DU PROTOCOLE DE MONTRÉAL</w:t>
      </w:r>
      <w:r>
        <w:rPr>
          <w:lang w:eastAsia="en-US"/>
        </w:rPr>
        <w:br/>
      </w:r>
      <w:r>
        <w:rPr>
          <w:lang w:val="fr-FR" w:eastAsia="en-US"/>
        </w:rPr>
        <w:t xml:space="preserve">Quatre-vingt-dix-neuvième </w:t>
      </w:r>
      <w:r>
        <w:rPr>
          <w:lang w:eastAsia="en-US"/>
        </w:rPr>
        <w:t>réunion</w:t>
      </w:r>
    </w:p>
    <w:p w14:paraId="1D74D001" w14:textId="77777777" w:rsidR="00FB357A" w:rsidRDefault="00F615F7">
      <w:pPr>
        <w:jc w:val="left"/>
        <w:rPr>
          <w:lang w:eastAsia="en-US"/>
        </w:rPr>
      </w:pPr>
      <w:r>
        <w:rPr>
          <w:lang w:eastAsia="en-US"/>
        </w:rPr>
        <w:t>Montréal, 7</w:t>
      </w:r>
      <w:r>
        <w:t>-11 décembre 2026</w:t>
      </w:r>
    </w:p>
    <w:p w14:paraId="1D74D002" w14:textId="77777777" w:rsidR="00FB357A" w:rsidRDefault="00F615F7">
      <w:pPr>
        <w:jc w:val="left"/>
      </w:pPr>
      <w:r>
        <w:t>Point 9 e) de l’ordre du jour provisoire</w:t>
      </w:r>
      <w:r>
        <w:rPr>
          <w:rStyle w:val="FootnoteReference"/>
        </w:rPr>
        <w:footnoteReference w:id="1"/>
      </w:r>
    </w:p>
    <w:p w14:paraId="1D74D003" w14:textId="77777777" w:rsidR="00FB357A" w:rsidRDefault="00FB357A">
      <w:pPr>
        <w:spacing w:after="240"/>
        <w:jc w:val="left"/>
      </w:pPr>
    </w:p>
    <w:p w14:paraId="1D74D004" w14:textId="77777777" w:rsidR="00FB357A" w:rsidRDefault="00F615F7">
      <w:pPr>
        <w:pStyle w:val="StyleHeader4Para4Left0Firstline0"/>
        <w:numPr>
          <w:ilvl w:val="0"/>
          <w:numId w:val="0"/>
        </w:numPr>
        <w:tabs>
          <w:tab w:val="left" w:pos="488"/>
          <w:tab w:val="center" w:pos="4680"/>
        </w:tabs>
        <w:spacing w:before="0"/>
        <w:jc w:val="center"/>
        <w:rPr>
          <w:b/>
          <w:sz w:val="22"/>
        </w:rPr>
      </w:pPr>
      <w:r>
        <w:rPr>
          <w:b/>
          <w:sz w:val="22"/>
        </w:rPr>
        <w:t>BUDGET DU PROGRAMME D’AIDE À LA CONFORMITÉ DU PNUE POUR 2027</w:t>
      </w:r>
    </w:p>
    <w:p w14:paraId="1D74D005" w14:textId="77777777" w:rsidR="00FB357A" w:rsidRDefault="00F615F7">
      <w:pPr>
        <w:pStyle w:val="StyleHeader4Para4Left0Firstline0"/>
        <w:numPr>
          <w:ilvl w:val="0"/>
          <w:numId w:val="0"/>
        </w:numPr>
        <w:tabs>
          <w:tab w:val="left" w:pos="488"/>
          <w:tab w:val="center" w:pos="4680"/>
        </w:tabs>
        <w:rPr>
          <w:b/>
          <w:sz w:val="24"/>
          <w:szCs w:val="24"/>
        </w:rPr>
      </w:pPr>
      <w:r>
        <w:rPr>
          <w:b/>
          <w:sz w:val="24"/>
          <w:szCs w:val="24"/>
        </w:rPr>
        <w:t>Introduction</w:t>
      </w:r>
    </w:p>
    <w:p w14:paraId="1D74D006" w14:textId="77777777" w:rsidR="00FB357A" w:rsidRDefault="00F615F7">
      <w:pPr>
        <w:pStyle w:val="Heading1"/>
        <w:rPr>
          <w:u w:val="single"/>
        </w:rPr>
      </w:pPr>
      <w:r>
        <w:t>Le PNUE a soumis le budget de son Programme d’aide à la conformité (PAC) pour 2027, au coût total de 11 419 783 $US, plus des coûts d’appui d’agence de 913 583 $US</w:t>
      </w:r>
      <w:r>
        <w:rPr>
          <w:rStyle w:val="FootnoteReference"/>
        </w:rPr>
        <w:footnoteReference w:id="2"/>
      </w:r>
      <w:r>
        <w:t xml:space="preserve">. La demande comprend le rapport périodique de 2026 et le programme de travail de 2027, qui sont joints au présent document. </w:t>
      </w:r>
    </w:p>
    <w:p w14:paraId="1D74D007" w14:textId="77777777" w:rsidR="00FB357A" w:rsidRDefault="00F615F7">
      <w:pPr>
        <w:pStyle w:val="Heading1"/>
        <w:rPr>
          <w:u w:val="single"/>
        </w:rPr>
      </w:pPr>
      <w:r>
        <w:t xml:space="preserve">Le plan de travail du PAC, proposé pour 2027, est soumis pour la dernière année de la stratégie triennale 2027-2029 du PAC. </w:t>
      </w:r>
    </w:p>
    <w:p w14:paraId="1D74D008" w14:textId="77777777" w:rsidR="00FB357A" w:rsidRDefault="00F615F7">
      <w:pPr>
        <w:pStyle w:val="Heading1"/>
        <w:numPr>
          <w:ilvl w:val="0"/>
          <w:numId w:val="0"/>
        </w:numPr>
        <w:tabs>
          <w:tab w:val="left" w:pos="720"/>
        </w:tabs>
        <w:rPr>
          <w:b/>
          <w:bCs/>
          <w:sz w:val="24"/>
          <w:szCs w:val="24"/>
        </w:rPr>
      </w:pPr>
      <w:r>
        <w:rPr>
          <w:b/>
          <w:bCs/>
          <w:sz w:val="24"/>
          <w:szCs w:val="24"/>
        </w:rPr>
        <w:t>Rapport périodique du PAC pour 2026</w:t>
      </w:r>
    </w:p>
    <w:p w14:paraId="1D74D009" w14:textId="77777777" w:rsidR="00FB357A" w:rsidRDefault="00F615F7">
      <w:pPr>
        <w:pStyle w:val="Heading1"/>
      </w:pPr>
      <w:r>
        <w:t>Le rapport périodique complet est inclus dans la Partie III de la demande jointe au présent document. Voici un résumé des activités que le PAC a mises en œuvre de septembre 2025 à août 2026 :</w:t>
      </w:r>
    </w:p>
    <w:p w14:paraId="1D74D00A" w14:textId="77777777" w:rsidR="00FB357A" w:rsidRDefault="00F615F7">
      <w:pPr>
        <w:pStyle w:val="Heading2"/>
      </w:pPr>
      <w:r>
        <w:t xml:space="preserve">Il a continué à faire fonctionner les réseaux régionaux des administrateurs nationaux de l’ozone (NOO) et organisé 31 réunions thématiques et de réseau sur des sujets pertinents pour la conformité au Protocole de Montréal, y compris la surveillance et les rapports, la vérification, l’application de la loi, les outils numériques, les pratiques exemplaires pour les douanes et l’application de la loi, les systèmes d’octroi de permis et de quotas pour les HFC, l’efficacité énergétique, et la gestion des frigorigènes ; </w:t>
      </w:r>
    </w:p>
    <w:p w14:paraId="1D74D00B" w14:textId="77777777" w:rsidR="00FB357A" w:rsidRDefault="00F615F7">
      <w:pPr>
        <w:pStyle w:val="Heading2"/>
      </w:pPr>
      <w:r>
        <w:t>Il a fourni des séances de formation aux nouveaux NOO et assistants dans quatre régions grâce au programme de formation des NOO pour améliorer la capacité des Unités nationales de l’ozone (UNO) à aborder des enjeux émergents et faciliter l’échange d’informations et de pratiques exemplaires ; a préparé un guide et des documents de formation sur les compétences de négociation pour une participation efficace aux réunions du Protocole de Montréal et du Fonds multilatéral, avec un projet pilote de formation qui sera organisé après la période de référence ;</w:t>
      </w:r>
    </w:p>
    <w:p w14:paraId="1D74D00C" w14:textId="77777777" w:rsidR="00FB357A" w:rsidRDefault="00F615F7">
      <w:pPr>
        <w:pStyle w:val="Heading2"/>
      </w:pPr>
      <w:r>
        <w:lastRenderedPageBreak/>
        <w:t>Il a soutenu 21 activités de coopération de pays à pays</w:t>
      </w:r>
      <w:r>
        <w:rPr>
          <w:rStyle w:val="FootnoteReference"/>
        </w:rPr>
        <w:footnoteReference w:id="3"/>
      </w:r>
      <w:r>
        <w:t xml:space="preserve"> grâce à des discussions, à des tables rondes sur les technologies, à des voyages d’études, et au partage d’expériences concernant la mise en œuvre du plan de mise en œuvre de l’Amendement de Kigali relatif aux HFC (KIP), à l’engagement sectoriel, aux solutions en matière d’efficacité énergétique, à la mise en œuvre de règlementations et de politiques relatives à l’efficacité énergétique, à la gestion du cycle de vie des frigorigènes, et aux plateformes électroniques pour le suivi des HCFC et des HFC ; </w:t>
      </w:r>
    </w:p>
    <w:p w14:paraId="1D74D00D" w14:textId="77777777" w:rsidR="00FB357A" w:rsidRDefault="00F615F7">
      <w:pPr>
        <w:pStyle w:val="Heading2"/>
      </w:pPr>
      <w:r>
        <w:t xml:space="preserve">Il a fourni de l’aide à la conformité, soutenu la collecte des données et les déclarations en ligne des données exigées en vertu de l’article 7 dans les 147 pays visés à l’article 5 ; a fait un suivi régulier de la communication des données et a fourni un soutien à l’échelle nationale au besoin ; soutenu, sur demande, aux UNO pour l’analyse des données commerciales et la correction des incohérences ; a soutenu toutes les UNO grâce à des webinaires, à des systèmes de suivi et à des séances de formation en personne et en ligne ; </w:t>
      </w:r>
    </w:p>
    <w:p w14:paraId="1D74D00E" w14:textId="77777777" w:rsidR="00FB357A" w:rsidRDefault="00F615F7" w:rsidP="00486BB1">
      <w:pPr>
        <w:pStyle w:val="Heading2"/>
        <w:widowControl w:val="0"/>
      </w:pPr>
      <w:r>
        <w:t>Il a fourni une aide à la conformité individualisée dans 82 pays ; a soutenu la mise en œuvre de projets de renforcement des institutions dans 101 pays ; fourni des orientations aux UNO intéressées de pays du Groupe 2 et a soutenu 21 pays dans la ratification de l’Amendement de Kigali par le biais de</w:t>
      </w:r>
      <w:r>
        <w:rPr>
          <w:rFonts w:asciiTheme="majorBidi" w:hAnsiTheme="majorBidi"/>
        </w:rPr>
        <w:t xml:space="preserve"> réunions bilatérales, de consultations et de l’assistance technique</w:t>
      </w:r>
      <w:r>
        <w:t xml:space="preserve"> en collaboration avec le Secrétariat de l’Ozone qui offrait des </w:t>
      </w:r>
      <w:r>
        <w:rPr>
          <w:rFonts w:asciiTheme="majorBidi" w:hAnsiTheme="majorBidi"/>
        </w:rPr>
        <w:t>conseils et de l’assistance technique pour établir les valeurs de référence des HFC,</w:t>
      </w:r>
      <w:r>
        <w:t xml:space="preserve"> mettre sur pied les systèmes d’octroi de permis et de quotas pour les HFC </w:t>
      </w:r>
      <w:r>
        <w:rPr>
          <w:rFonts w:asciiTheme="majorBidi" w:hAnsiTheme="majorBidi"/>
        </w:rPr>
        <w:t>et surveiller la conformité aux obligations de gel sur les HFC ;</w:t>
      </w:r>
    </w:p>
    <w:p w14:paraId="1D74D00F" w14:textId="77777777" w:rsidR="00FB357A" w:rsidRDefault="00F615F7" w:rsidP="00486BB1">
      <w:pPr>
        <w:pStyle w:val="Heading2"/>
        <w:widowControl w:val="0"/>
      </w:pPr>
      <w:r>
        <w:rPr>
          <w:rFonts w:asciiTheme="majorBidi" w:hAnsiTheme="majorBidi"/>
        </w:rPr>
        <w:t>Il a soutenu des pays dans le renforcement des systèmes de surveillance, de déclaration, de vérification et de mesures d’application ;</w:t>
      </w:r>
      <w:r>
        <w:t xml:space="preserve"> a soutenu, à leur demande, des pays dans la mise à jour des cadres juridiques nationaux sur le Protocole de Montréal, notamment grâce à des services consultatifs techniques et juridiques en coopération avec le Programme de Montevideo pour le droit de l’environnement du PNUE ; a aidé des pays à établir ou à améliorer les systèmes d’octroi de permis et de quotas pour les HFC et a soutenu toutes les UNO sur les avantages et les pratiques exemplaires pour les systèmes d’octroi de permis électroniques ;</w:t>
      </w:r>
    </w:p>
    <w:p w14:paraId="1D74D010" w14:textId="77777777" w:rsidR="00FB357A" w:rsidRDefault="00F615F7" w:rsidP="00486BB1">
      <w:pPr>
        <w:pStyle w:val="Heading2"/>
        <w:widowControl w:val="0"/>
      </w:pPr>
      <w:r>
        <w:t>Il a renforcé la capacité des autorités douanières et d’application de la loi en faisant la promotion d’outils conçus par le PNUE et divers partenaires (manuels, applications, documents de formation), y compris le Manuel de formation des agents des services des douanes élaboré par le PNUE et l’Organisation mondiale des douanes (OMD) ; a fait la promotion d’un usage plus efficace du mécanisme informel de consentement préalable informé ; a soutenu la coopération des douanes, le profilage des risques et l’échange transfrontalier d’informations grâce à des activités de coopération transfrontalière ; a encouragé la mise en œuvre des codes du système harmonisé de 2022 ; et a encouragé la coopération mondiale en matière d’application de la loi grâce à sa collaboration avec l’OMD et d’autres partenaires</w:t>
      </w:r>
      <w:r>
        <w:rPr>
          <w:rStyle w:val="FootnoteReference"/>
        </w:rPr>
        <w:footnoteReference w:id="4"/>
      </w:r>
      <w:r>
        <w:t xml:space="preserve"> en ciblant le commerce illégal des SAO, des HFC et des équipements connexes</w:t>
      </w:r>
      <w:r>
        <w:rPr>
          <w:rStyle w:val="FootnoteReference"/>
        </w:rPr>
        <w:footnoteReference w:id="5"/>
      </w:r>
      <w:r>
        <w:t> ;</w:t>
      </w:r>
      <w:r>
        <w:rPr>
          <w:vertAlign w:val="superscript"/>
        </w:rPr>
        <w:t xml:space="preserve"> </w:t>
      </w:r>
      <w:r>
        <w:t>a fait progresser l’élaboration d’un rapport sur les tendances dans le commerce illégal, d’une trousse d’outils sur l’application numérique de la loi et des conseils sur la lutte au commerce illégal ;</w:t>
      </w:r>
    </w:p>
    <w:p w14:paraId="1D74D011" w14:textId="77777777" w:rsidR="00FB357A" w:rsidRDefault="00F615F7" w:rsidP="00486BB1">
      <w:pPr>
        <w:pStyle w:val="Heading2"/>
        <w:widowControl w:val="0"/>
      </w:pPr>
      <w:r>
        <w:t xml:space="preserve">Il a soutenu la coordination et la coopération entre les UNO et les responsables des </w:t>
      </w:r>
      <w:r>
        <w:lastRenderedPageBreak/>
        <w:t>politiques nationales sur l’efficacité énergétique et les parties prenantes ; a fourni à toutes les UNO un programme de formation des techniciens à jour qui couvre l’efficacité énergétique des équipements, avec des renseignements sur l’élaboration de programmes nationaux de certifications pour les techniciens en réfrigération et climatisation et avec des conseils sur les politiques favorables, les systèmes d’enregistrement des produits et les procédures d’approbation qui incluent le rendement énergétique ; a s</w:t>
      </w:r>
      <w:r>
        <w:rPr>
          <w:rFonts w:asciiTheme="majorBidi" w:hAnsiTheme="majorBidi"/>
        </w:rPr>
        <w:t xml:space="preserve">outenu des pays avec l’élaboration de Normes minimales de performance énergétique (NMPE) et des projets pilotes sur l’efficacité énergétique ; </w:t>
      </w:r>
      <w:r>
        <w:t>a organisé des évènements pour appuyer les UNO afin d’aborder le secteur de la chaîne du froid ; a aidé des universités à intégrer le cours universitaire du PNUE et de l’ASHRAE</w:t>
      </w:r>
      <w:r>
        <w:rPr>
          <w:rStyle w:val="FootnoteReference"/>
        </w:rPr>
        <w:footnoteReference w:id="6"/>
      </w:r>
      <w:r>
        <w:t xml:space="preserve"> sur la gestion des frigorigènes dans le programme de génie ; </w:t>
      </w:r>
    </w:p>
    <w:p w14:paraId="1D74D012" w14:textId="77777777" w:rsidR="00FB357A" w:rsidRDefault="00F615F7" w:rsidP="00486BB1">
      <w:pPr>
        <w:pStyle w:val="Heading2"/>
      </w:pPr>
      <w:r>
        <w:t xml:space="preserve">Il a conçu des produits régionaux et mondiaux d’accroissement des capacités et de communication, y compris des fiches techniques, des applications, des manuels de formation ; a produit des renseignements sur le dixième anniversaire de l’Amendement de Kigali ; a conçu des brochures sur l’efficacité énergétique dans le secteur de la réfrigération et du refroidissement, sur l’amélioration des chaînes du froid durables, sur les émissions des centres de données et la consommation énergétique, le refroidissement durable, les technologies de remplacement et la gestion du cycle de vie des frigorigènes, et a maintenu le site Web d’OzonAction ; a diffusé 22 infolettres OzoNews toutes les deux semaines et trois éditions spéciales ; a soutenu </w:t>
      </w:r>
      <w:r>
        <w:rPr>
          <w:rFonts w:asciiTheme="majorBidi" w:hAnsiTheme="majorBidi"/>
        </w:rPr>
        <w:t xml:space="preserve">44 UNO avec des programmes de certification en réfrigération et climatisation et la certification des techniciens, des évaluations fondées sur les compétences et la coopération avec les </w:t>
      </w:r>
      <w:r>
        <w:t>établissements d’éducation et de formation techniques et professionnelles</w:t>
      </w:r>
      <w:r>
        <w:rPr>
          <w:rFonts w:asciiTheme="majorBidi" w:hAnsiTheme="majorBidi"/>
        </w:rPr>
        <w:t xml:space="preserve"> (TVET) ; </w:t>
      </w:r>
      <w:r>
        <w:t>a fait la promotion des enjeux relatifs au Protocole de Montréal, comme les célébrations de la Journée internationale pour la préservation de la couche d’ozone, les tables rondes Ozone2Climate et les tournées technologiques, ainsi que la Journée mondiale du froid ;</w:t>
      </w:r>
    </w:p>
    <w:p w14:paraId="1D74D013" w14:textId="77777777" w:rsidR="00FB357A" w:rsidRDefault="00F615F7">
      <w:pPr>
        <w:pStyle w:val="Heading2"/>
      </w:pPr>
      <w:r>
        <w:t xml:space="preserve">Il a soutenu la mise en œuvre des politiques du Fonds multilatéral dans les services et les projets du PAC pour </w:t>
      </w:r>
      <w:r>
        <w:rPr>
          <w:rFonts w:asciiTheme="majorBidi" w:hAnsiTheme="majorBidi"/>
        </w:rPr>
        <w:t>accroître la participation, la visibilité et le leadership des femmes dans le secteur de la réfrigération et de la climatisation et la gouvernance environnementale</w:t>
      </w:r>
      <w:r>
        <w:t> ; a soutenu les UNO dans l’exécution de leurs évaluations respectives avec des outils et des ressources ; a mis en œuvre une campagne pour la Journée internationale des droits des femmes en présentant des femmes dans le milieu de l’application de la législation environnementale ; a offert des occasions de réseautage et de mentorat par le biais du Réseau international des femmes dans le refroidissement (INWIC) ;</w:t>
      </w:r>
    </w:p>
    <w:p w14:paraId="1D74D014" w14:textId="77777777" w:rsidR="00FB357A" w:rsidRDefault="00F615F7">
      <w:pPr>
        <w:pStyle w:val="Heading2"/>
      </w:pPr>
      <w:r>
        <w:t>Il a soutenu la préparation, la soumission et la mise en œuvre des projets du Fonds multilatéral, y compris 102 tranches et nouvelles phases de plans de gestion de l’élimination des HCFC (PGEH), 36 rapports de vérification du PGEH, 63 KIP, 54 composantes en efficacité énergétique en vertu de la décision 89/6, six projets pilotes en vertu de la décision 91/65 ; et 71 projets d’inventaires des substances réglementées utilisées ou indésirables et les plans d’action subséquents, en accord avec la décision 91/66.</w:t>
      </w:r>
    </w:p>
    <w:p w14:paraId="508FA5EF" w14:textId="77777777" w:rsidR="001873E9" w:rsidRDefault="001873E9">
      <w:pPr>
        <w:jc w:val="left"/>
        <w:rPr>
          <w:u w:val="single"/>
        </w:rPr>
      </w:pPr>
      <w:r>
        <w:rPr>
          <w:u w:val="single"/>
        </w:rPr>
        <w:br w:type="page"/>
      </w:r>
    </w:p>
    <w:p w14:paraId="1D74D015" w14:textId="6F3EA011" w:rsidR="00FB357A" w:rsidRDefault="00F615F7">
      <w:pPr>
        <w:rPr>
          <w:u w:val="single"/>
        </w:rPr>
      </w:pPr>
      <w:r>
        <w:rPr>
          <w:u w:val="single"/>
        </w:rPr>
        <w:lastRenderedPageBreak/>
        <w:t xml:space="preserve">Rapport sur le projet d’assistance technique mondiale pour jumeler les responsables nationaux de l’ozone et des décideurs nationaux en matière d’efficacité énergétique pour soutenir les objectifs de l’Amendement de Kigali </w:t>
      </w:r>
    </w:p>
    <w:p w14:paraId="1D74D016" w14:textId="77777777" w:rsidR="00FB357A" w:rsidRDefault="00F615F7">
      <w:pPr>
        <w:pStyle w:val="Heading1"/>
        <w:spacing w:before="240"/>
      </w:pPr>
      <w:r>
        <w:t>À la 96</w:t>
      </w:r>
      <w:r>
        <w:rPr>
          <w:vertAlign w:val="superscript"/>
        </w:rPr>
        <w:t>e</w:t>
      </w:r>
      <w:r>
        <w:t> réunion, le Comité exécutif a approuvé la phase II (2025-2027) du projet mondial d’assistance technique pour jumeler des responsables nationaux de l’ozone et des décideurs nationaux en matière d’efficacité énergétique pour soutenir les objectifs de l’Amendement de Kigali</w:t>
      </w:r>
      <w:r>
        <w:rPr>
          <w:rStyle w:val="FootnoteReference"/>
        </w:rPr>
        <w:footnoteReference w:id="7"/>
      </w:r>
      <w:r>
        <w:t xml:space="preserve"> (ci-après, « projet de jumelage »). La décision 96/28 b) i) exigeait de soumettre un rapport de mi-parcours sur les progrès de la mise en œuvre du projet à la dernière réunion du Comité exécutif en 2026, dans le cadre du rapport sur les progrès du PAC du PNUE, ainsi qu’un rapport final sur les progrès réalisés présenté à la dernière réunion du Comité exécutif en 2027.</w:t>
      </w:r>
    </w:p>
    <w:p w14:paraId="1D74D017" w14:textId="77777777" w:rsidR="00FB357A" w:rsidRDefault="00F615F7">
      <w:pPr>
        <w:pStyle w:val="Heading1"/>
        <w:spacing w:before="240"/>
      </w:pPr>
      <w:r>
        <w:t>Conformément à la décision 96/28 b), le PNUE a présenté un rapport sur les progrès réalisés depuis l’approbation de la phase II, qui couvre la période du 1</w:t>
      </w:r>
      <w:r>
        <w:rPr>
          <w:vertAlign w:val="superscript"/>
        </w:rPr>
        <w:t>er</w:t>
      </w:r>
      <w:r>
        <w:t xml:space="preserve"> juin 2025 au 31 août 2026. </w:t>
      </w:r>
    </w:p>
    <w:p w14:paraId="1D74D018" w14:textId="77777777" w:rsidR="00FB357A" w:rsidRDefault="00F615F7">
      <w:pPr>
        <w:pStyle w:val="Heading1"/>
      </w:pPr>
      <w:r>
        <w:t>La phase II est structurée autour de deux composantes interdépendantes : le développement de produits de savoir, d’outils pratiques de mise en œuvre et de ressources techniques, qui étaient des besoins cernés pendant la phase I ; et la tenue d’ateliers régionaux de jumelage pour soutenir l’application pratique des ressources élaborées, de l’apprentissage entre pairs et de la coordination institutionnelle accrue à l’échelle nationale. Dans la première partie de la mise en œuvre, la priorité a été accordée pour mobiliser l’expertise technique pertinente et faire progresser le développement des principaux produits de savoir et outils de mise en œuvre. Les travaux préparatoires pour les ateliers régionaux de jumelage sont également en cours, y compris des approches et des ressources de soutien pour le cycle des ateliers régionaux de jumelage, reprogrammés en 2027.</w:t>
      </w:r>
    </w:p>
    <w:p w14:paraId="1D74D019" w14:textId="77777777" w:rsidR="00FB357A" w:rsidRDefault="00F615F7">
      <w:pPr>
        <w:pStyle w:val="Heading1"/>
      </w:pPr>
      <w:r>
        <w:t>En ce qui a trait au développement des produits du savoir, le PNUE a indiqué que les principales trousses de produits, qui portent sur six thèmes, sont en cours, y compris : un cadre intégré pour un système stratégique et de conformité qui lie les exigences en matière de transition des frigorigènes aux mesures relatives à l’efficacité énergétique ; une trousse à outils pour la conformité, l’étiquetage et l’application de la loi ; une trousse à outils sur les mécanismes nationaux de coordination ; un outil de surveillance et de suivi des politiques nationales ; un guide à jour et approfondi pour évaluer la durabilité des usines de réfrigération et de climatisation ; et une trousse à outils de communication pour appuyer le refroidissement écoénergétique et la transition des frigorigènes. Les outils sont conçus pour être adaptables à divers contextes nationaux et seront appuyés par des conseils pratiques, des modèles et d’autres supports afin de faciliter leur diffusion et leur déploiement au-delà des ateliers régionaux.</w:t>
      </w:r>
    </w:p>
    <w:p w14:paraId="1D74D01A" w14:textId="77777777" w:rsidR="00FB357A" w:rsidRDefault="00F615F7">
      <w:pPr>
        <w:pStyle w:val="Heading1"/>
      </w:pPr>
      <w:r>
        <w:t>Au sujet des préparatifs pour les ateliers de jumelage, une boîte à outils dédiée à la préparation des ateliers a été élaborée pour appuyer les réseaux régionaux du PAC dans la préparation et l’organisation des ateliers. Cette trousse comprend des conseils pour réaliser des évaluations régionales des besoins et des analyses des lacunes en matière de mise en œuvre, ce qui garantit que la planification et la réalisation des ateliers sont éclairées par des priorités fondées sur des données probantes et les besoins propres à chaque pays en matière de mise en œuvre. Les activités régionales d’évaluation et d’analyse des lacunes ont été amorcées et elles éclaireront la conception des activités des ateliers ainsi que le déploiement des produits de savoir.</w:t>
      </w:r>
    </w:p>
    <w:p w14:paraId="1D74D01B" w14:textId="77777777" w:rsidR="00FB357A" w:rsidRDefault="00F615F7">
      <w:pPr>
        <w:keepNext/>
        <w:keepLines/>
        <w:spacing w:after="240"/>
        <w:rPr>
          <w:u w:val="single"/>
        </w:rPr>
      </w:pPr>
      <w:r>
        <w:rPr>
          <w:u w:val="single"/>
        </w:rPr>
        <w:lastRenderedPageBreak/>
        <w:t>Rapport sur l’appui technique et stratégique aux pays à faible volume de consommation pour soutenir la mise en œuvre des KIP</w:t>
      </w:r>
      <w:r>
        <w:rPr>
          <w:rStyle w:val="FootnoteReference"/>
          <w:u w:val="single"/>
        </w:rPr>
        <w:footnoteReference w:id="8"/>
      </w:r>
    </w:p>
    <w:p w14:paraId="1D74D01C" w14:textId="77777777" w:rsidR="00FB357A" w:rsidRDefault="00F615F7">
      <w:pPr>
        <w:pStyle w:val="Heading1"/>
      </w:pPr>
      <w:r>
        <w:t>Par la décision 93/95 d) sur l’examen du régime des coûts administratifs du Fonds multilatéral, le Comité exécutif a approuvé la hausse du budget du PAC pour les années 2024, 2025, et 2026 afin de fournir une assistance technique et stratégique aux pays à faible volume de consommation (PFV) pour appuyer la mise en œuvre des KIP, étant entendu notamment que le PNUE rendra compte, entre autres, des activités d’assistance technique et stratégique fournies aux PFV et de leurs répercussions dans le cadre des rapports périodiques annuels sur le PAC. À la 97</w:t>
      </w:r>
      <w:r>
        <w:rPr>
          <w:vertAlign w:val="superscript"/>
        </w:rPr>
        <w:t>e</w:t>
      </w:r>
      <w:r>
        <w:t> réunion, le PNUE a rapporté que du soutien avait été fourni aux PFV dans quatre domaines prioritaires, dont un nouveau pour accroître les capacités en matière de refroidissement sûr et durable par le renforcement de la sécurité au travail dans le secteur de la réfrigération et de la climatisation. Plusieurs activités ont déjà été entreprises dans chacun des trois domaines prioritaires initiaux</w:t>
      </w:r>
      <w:r>
        <w:rPr>
          <w:rStyle w:val="FootnoteReference"/>
        </w:rPr>
        <w:footnoteReference w:id="9"/>
      </w:r>
      <w:r>
        <w:t xml:space="preserve">, et plusieurs autres seront mises en œuvre en 2026 dans le cadre du nouveau domaine.  </w:t>
      </w:r>
    </w:p>
    <w:p w14:paraId="1D74D01D" w14:textId="77777777" w:rsidR="00FB357A" w:rsidRDefault="00F615F7">
      <w:pPr>
        <w:pStyle w:val="Heading1"/>
      </w:pPr>
      <w:r>
        <w:t xml:space="preserve">Un rapport détaillé a été fourni à l’annexe 6 de la soumission pour chacun des domaines de priorité et montre comment le PNUE fait progresser une variété d’initiatives qui visent à renforcer les capacités nationales pour la mise en œuvre des KIP. Celles-ci comprennent des évaluations des systèmes d’octroi de permis et de quotas pour les HFC et le développement d’outils pour renforcer le suivi des importations de HFC, la surveillance des quotas et le rapprochement des données ; l’analyse des tendances de consommation des HFC et des facteurs qui influencent le marché ; le soutien pour le renforcement du sous-secteur de l’installation et de l’assemblage sur place dans la réfrigération commerciale, y compris le développement et les essais pilotes d’outils et de méthodes à reproduire dans les PFV ; et la mise en œuvre de l’initiative Safe Sustainable Cooling for Africa [Refroidissement sûr et durable pour l’Afrique] afin d’accroître la santé et la sécurité au travail dans le secteur de la réfrigération et de la climatisation. Les activités étaient axées sur le repérage de solutions pratiques aux défis fréquents en matière de mise en œuvre auxquels font face les PFV et visaient à générer des produits de savoir qui peuvent être appliqués dans la communauté des PFV. Les résultats comprennent des évaluations de pays, des recommandations techniques, des outils de surveillance, des initiatives de projets pilotes et des méthodes reproductibles conçues pour renforcer les cadres nationaux de mise en œuvre, soutenir la prise de décisions éclairée et rehausser l’efficacité de la mise en œuvre du KIP. Des initiatives supplémentaires ont été appuyées par l’intermédiaire de la dernière tranche de financement alloué pour le triennat. L’OzonAction du PNUE a entamé des travaux préparatoires pour une évaluation des régimes de certification des techniciens dans les PFV. Les constats appuieront l’élaboration de recommandations pratiques et de modèles de bonnes pratiques pour renforcer la compétence des techniciens, améliorer la qualité de l’entretien, rehausser les normes de sécurité, et faciliter la réduction progressive et durable des HFC dans les PFV. Un autre programme vise à promouvoir la participation et le leadership des femmes dans le secteur du refroidissement dans les PFV sélectionnés, grâce à la collaboration de l’INWIC. Une activité pour adapter davantage les services du PAC aux besoins particuliers, aux capacités et aux défis des PFV s’appuiera sur les consultations avec les UNO et les réseaux régionaux afin d’évaluer de quelle manière le soutien du PAC peut être plus ciblé, flexible et réactif face aux conditions uniques des PFV. </w:t>
      </w:r>
    </w:p>
    <w:p w14:paraId="282DBE85" w14:textId="77777777" w:rsidR="003A2050" w:rsidRDefault="003A2050">
      <w:pPr>
        <w:jc w:val="left"/>
        <w:rPr>
          <w:b/>
          <w:bCs/>
          <w:sz w:val="24"/>
          <w:szCs w:val="24"/>
        </w:rPr>
      </w:pPr>
      <w:r>
        <w:rPr>
          <w:b/>
          <w:bCs/>
          <w:sz w:val="24"/>
          <w:szCs w:val="24"/>
        </w:rPr>
        <w:br w:type="page"/>
      </w:r>
    </w:p>
    <w:p w14:paraId="1D74D01E" w14:textId="4696F47A" w:rsidR="00FB357A" w:rsidRDefault="00F615F7">
      <w:pPr>
        <w:rPr>
          <w:b/>
          <w:bCs/>
          <w:sz w:val="24"/>
          <w:szCs w:val="24"/>
        </w:rPr>
      </w:pPr>
      <w:r>
        <w:rPr>
          <w:b/>
          <w:bCs/>
          <w:sz w:val="24"/>
          <w:szCs w:val="24"/>
        </w:rPr>
        <w:lastRenderedPageBreak/>
        <w:t>La stratégie ajustable sur trois ans pour 2027-2029</w:t>
      </w:r>
    </w:p>
    <w:p w14:paraId="1D74D01F" w14:textId="77777777" w:rsidR="00FB357A" w:rsidRDefault="00FB357A">
      <w:pPr>
        <w:rPr>
          <w:u w:val="single"/>
        </w:rPr>
      </w:pPr>
    </w:p>
    <w:p w14:paraId="1D74D020" w14:textId="77777777" w:rsidR="00FB357A" w:rsidRDefault="00F615F7">
      <w:pPr>
        <w:pStyle w:val="Heading1"/>
      </w:pPr>
      <w:r>
        <w:t>La stratégie ajustable sur trois ans du PAC pour 2027-2029 expose l’approche du PNUE pour aider les pays visés à l’article 5 pendant une phase critique de la mise en œuvre du Protocole de Montréal et de son Amendement de Kigali entre 2027 et 2029. Elle a été préparée en accord avec les mandats d’aide à la conformité et de centre d’échange</w:t>
      </w:r>
      <w:r>
        <w:rPr>
          <w:rStyle w:val="FootnoteReference"/>
        </w:rPr>
        <w:footnoteReference w:id="10"/>
      </w:r>
      <w:r>
        <w:t xml:space="preserve"> et elle illustre les besoins évolutifs des pays tandis qu’ils gèrent des obligations toujours plus complexes. Elle tient compte de la rétroaction des UNO et des parties prenantes, des recommandations des évaluations et des leçons retenues de la mise en œuvre des activités associées à la précédente stratégie sur trois ans, y compris l’expérience relative à l’élimination des HCFC et à la réduction progressive des HFC, ainsi que la hiérarchisation prioritaire des PFV.  </w:t>
      </w:r>
    </w:p>
    <w:p w14:paraId="1D74D021" w14:textId="77777777" w:rsidR="00FB357A" w:rsidRDefault="00F615F7">
      <w:pPr>
        <w:pStyle w:val="Heading1"/>
      </w:pPr>
      <w:r>
        <w:t>La stratégie du PAC sur trois ans classera les résultats du soutien accordé à des projets et à des services du PAC en 11 catégories, avec comme résultat global désiré que les pays visés à l’article 5 respectent et maintiennent la conformité au Protocole de Montréal et à ses amendements. Les 11 catégories sont les suivantes :</w:t>
      </w:r>
    </w:p>
    <w:p w14:paraId="1D74D022" w14:textId="77777777" w:rsidR="00FB357A" w:rsidRDefault="00F615F7">
      <w:pPr>
        <w:pStyle w:val="Subpara1special"/>
        <w:numPr>
          <w:ilvl w:val="1"/>
          <w:numId w:val="3"/>
        </w:numPr>
        <w:ind w:left="1440" w:hanging="720"/>
      </w:pPr>
      <w:r>
        <w:t xml:space="preserve">Les UNO gèrent efficacement leurs programmes nationaux ; </w:t>
      </w:r>
    </w:p>
    <w:p w14:paraId="1D74D023" w14:textId="77777777" w:rsidR="00FB357A" w:rsidRDefault="00F615F7">
      <w:pPr>
        <w:pStyle w:val="Subpara1special"/>
        <w:numPr>
          <w:ilvl w:val="1"/>
          <w:numId w:val="3"/>
        </w:numPr>
        <w:ind w:left="1440" w:hanging="720"/>
      </w:pPr>
      <w:r>
        <w:t>Les pays visés à l’article 5 déclarent des données exactes et opportunes ;</w:t>
      </w:r>
    </w:p>
    <w:p w14:paraId="1D74D024" w14:textId="77777777" w:rsidR="00FB357A" w:rsidRDefault="00F615F7">
      <w:pPr>
        <w:pStyle w:val="Subpara1special"/>
        <w:numPr>
          <w:ilvl w:val="1"/>
          <w:numId w:val="3"/>
        </w:numPr>
        <w:ind w:left="1440" w:hanging="720"/>
      </w:pPr>
      <w:r>
        <w:t xml:space="preserve">Les cadres règlementaires nationaux sont établis et opérationnels ; </w:t>
      </w:r>
    </w:p>
    <w:p w14:paraId="1D74D025" w14:textId="77777777" w:rsidR="00FB357A" w:rsidRDefault="00F615F7">
      <w:pPr>
        <w:pStyle w:val="Subpara1special"/>
        <w:numPr>
          <w:ilvl w:val="1"/>
          <w:numId w:val="3"/>
        </w:numPr>
        <w:ind w:left="1440" w:hanging="720"/>
      </w:pPr>
      <w:r>
        <w:t xml:space="preserve">Les systèmes nationaux des douanes et d’application de la loi sont opérationnels et renforcés ; </w:t>
      </w:r>
    </w:p>
    <w:p w14:paraId="1D74D026" w14:textId="77777777" w:rsidR="00FB357A" w:rsidRDefault="00F615F7">
      <w:pPr>
        <w:pStyle w:val="Subpara1special"/>
        <w:numPr>
          <w:ilvl w:val="1"/>
          <w:numId w:val="3"/>
        </w:numPr>
        <w:ind w:left="1440" w:hanging="720"/>
      </w:pPr>
      <w:r>
        <w:t>Les effectifs et les institutions en réfrigération et climatisation des pays sont renforcés pour soutenir une gestion sûre, efficace et écologique des frigorigènes ;</w:t>
      </w:r>
    </w:p>
    <w:p w14:paraId="1D74D027" w14:textId="77777777" w:rsidR="00FB357A" w:rsidRDefault="00F615F7">
      <w:pPr>
        <w:pStyle w:val="Subpara1special"/>
        <w:numPr>
          <w:ilvl w:val="1"/>
          <w:numId w:val="3"/>
        </w:numPr>
        <w:ind w:left="1440" w:hanging="720"/>
      </w:pPr>
      <w:r>
        <w:t xml:space="preserve">La mise en œuvre efficace des projets appuyés par le Fonds multilatéral permet aux pays d’atteindre les cibles de conformité dans le cadre du Protocole et de leurs accords avec le Comité exécutif du Fonds multilatéral ; </w:t>
      </w:r>
    </w:p>
    <w:p w14:paraId="1D74D028" w14:textId="77777777" w:rsidR="00FB357A" w:rsidRDefault="00F615F7">
      <w:pPr>
        <w:pStyle w:val="Subpara1special"/>
        <w:numPr>
          <w:ilvl w:val="1"/>
          <w:numId w:val="3"/>
        </w:numPr>
        <w:ind w:left="1440" w:hanging="720"/>
      </w:pPr>
      <w:r>
        <w:t xml:space="preserve">L’efficacité énergétique est maintenue ou accrue dans le secteur de la réfrigération et de la climatisation ; </w:t>
      </w:r>
    </w:p>
    <w:p w14:paraId="1D74D029" w14:textId="77777777" w:rsidR="00FB357A" w:rsidRDefault="00F615F7">
      <w:pPr>
        <w:pStyle w:val="Subpara1special"/>
        <w:numPr>
          <w:ilvl w:val="1"/>
          <w:numId w:val="3"/>
        </w:numPr>
        <w:ind w:left="1440" w:hanging="720"/>
      </w:pPr>
      <w:r>
        <w:t>La gestion du cycle de vie des frigorigènes contribue à l’efficacité des systèmes de gestion nationaux pour le Protocole de Montréal ;</w:t>
      </w:r>
    </w:p>
    <w:p w14:paraId="1D74D02A" w14:textId="77777777" w:rsidR="00FB357A" w:rsidRDefault="00F615F7">
      <w:pPr>
        <w:pStyle w:val="Subpara1special"/>
        <w:numPr>
          <w:ilvl w:val="1"/>
          <w:numId w:val="3"/>
        </w:numPr>
        <w:ind w:left="1440" w:hanging="720"/>
      </w:pPr>
      <w:r>
        <w:t xml:space="preserve">Les mesures de communication et d’information ciblées soutiennent les objectifs nationaux de conformité ; </w:t>
      </w:r>
    </w:p>
    <w:p w14:paraId="1D74D02B" w14:textId="77777777" w:rsidR="00FB357A" w:rsidRDefault="00F615F7">
      <w:pPr>
        <w:pStyle w:val="Subpara1special"/>
        <w:numPr>
          <w:ilvl w:val="1"/>
          <w:numId w:val="3"/>
        </w:numPr>
        <w:ind w:left="1440" w:hanging="720"/>
      </w:pPr>
      <w:r>
        <w:t xml:space="preserve">Les systèmes d’information modernes et les outils numériques appuient une mise en œuvre réussie des cadres de conformité des pays ; </w:t>
      </w:r>
    </w:p>
    <w:p w14:paraId="1D74D02C" w14:textId="77777777" w:rsidR="00FB357A" w:rsidRDefault="00F615F7">
      <w:pPr>
        <w:pStyle w:val="Subpara1special"/>
        <w:numPr>
          <w:ilvl w:val="1"/>
          <w:numId w:val="3"/>
        </w:numPr>
        <w:ind w:left="1440" w:hanging="720"/>
      </w:pPr>
      <w:r>
        <w:t>L’autonomisation des femmes est prise en compte dans les programmes et les projets du Fonds multilatéral.</w:t>
      </w:r>
    </w:p>
    <w:p w14:paraId="1D74D02D" w14:textId="77777777" w:rsidR="00FB357A" w:rsidRDefault="00F615F7">
      <w:pPr>
        <w:pStyle w:val="Heading1"/>
      </w:pPr>
      <w:r>
        <w:t>Les résultats 9, 10 et 11 sont identifiés comme étant des catégories transversales. Une description détaillée de la stratégie ajustable sur trois ans du PAC pour 2027-2029 figure dans la Partie I de la soumission jointe au présent document.</w:t>
      </w:r>
    </w:p>
    <w:p w14:paraId="1D74D02E" w14:textId="77777777" w:rsidR="00FB357A" w:rsidRDefault="00F615F7">
      <w:pPr>
        <w:keepNext/>
        <w:spacing w:after="240"/>
        <w:rPr>
          <w:b/>
          <w:bCs/>
          <w:sz w:val="24"/>
          <w:szCs w:val="24"/>
        </w:rPr>
      </w:pPr>
      <w:r>
        <w:rPr>
          <w:b/>
          <w:bCs/>
          <w:sz w:val="24"/>
          <w:szCs w:val="24"/>
        </w:rPr>
        <w:lastRenderedPageBreak/>
        <w:t>Programme de travail du PAC pour 2027</w:t>
      </w:r>
    </w:p>
    <w:p w14:paraId="1D74D02F" w14:textId="77777777" w:rsidR="00FB357A" w:rsidRDefault="00F615F7">
      <w:pPr>
        <w:pStyle w:val="Heading1"/>
        <w:keepNext/>
      </w:pPr>
      <w:r>
        <w:t>Pour 2027, le PNUE mettra en œuvre les activités suivantes en appui aux 11 résultats énumérés ci-dessus (le plan de travail complet pour 2027 figure à l’annexe I de la soumission jointe) :</w:t>
      </w:r>
    </w:p>
    <w:p w14:paraId="1D74D030" w14:textId="77777777" w:rsidR="00FB357A" w:rsidRDefault="00F615F7">
      <w:pPr>
        <w:pStyle w:val="Heading2"/>
        <w:spacing w:before="240"/>
      </w:pPr>
      <w:r>
        <w:rPr>
          <w:i/>
          <w:iCs/>
        </w:rPr>
        <w:t>Les UNO gèrent efficacement leurs programmes nationaux</w:t>
      </w:r>
      <w:r>
        <w:t> : Fournir des conseils techniques et sur la mise en œuvre aux UNO pour les projets de renforcement institutionnel et, à la demande, fournir une aide ciblée pour aborder les enjeux techniques, stratégiques, opérationnels et de conformité ; organiser des réunions régionales de réseau pour faciliter l’apprentissage entre pairs, l’échange de renseignements et la coopération parmi les UNO, la formation des nouveaux NOO, ainsi que la formation avancée en gestion de projet pour les administrateurs intéressés ; fournir de la formation sur la gouvernance du Protocole de Montréal et du Fonds multilatéral pour renforcer la participation efficace aux réunions internationales et aux tables rondes sur la technologie ; diffuser de l’information sur les résultats des réunions du Comité exécutif, du groupe de travail à composition non limitée et des Réunions des Parties ; et fournir des conseils sur la planification pour le quota résiduel d’entretien pour les HCFC après 2030, y compris des approches adaptées aux PFV ;</w:t>
      </w:r>
    </w:p>
    <w:p w14:paraId="1D74D031" w14:textId="77777777" w:rsidR="00FB357A" w:rsidRDefault="00F615F7">
      <w:pPr>
        <w:pStyle w:val="Heading2"/>
        <w:spacing w:before="240"/>
      </w:pPr>
      <w:r>
        <w:rPr>
          <w:i/>
          <w:iCs/>
        </w:rPr>
        <w:t>Les pays visés à l’article 5 déclarent des données exactes et opportunes :</w:t>
      </w:r>
      <w:r>
        <w:t xml:space="preserve"> Surveiller les soumissions des données exigées en vertu de l’article 7 et relatives au programme du pays et fournir un soutien adapté aux pays qui rencontrent des difficultés ou des retards ; promouvoir les pratiques exemplaires et les méthodes de collecte de données, de vérification et de production de rapports, appuyer l’utilisation des systèmes de déclaration en ligne et destinés au rapprochement des données sur les importations et les exportations ; aider les pays à fixer des valeurs de référence pour les HFC et des points de départ des réductions globales durables de consommation des HFC, lorsque la méthodologie sera choisie par le Comité exécutif ; élaborer et diffuser des conseils et des outils pour améliorer la production de rapports ; et aider les UNO à cerner, à évaluer et à déclarer les sources non conventionnelles de consommation des HFC ;</w:t>
      </w:r>
    </w:p>
    <w:p w14:paraId="1D74D032" w14:textId="77777777" w:rsidR="00FB357A" w:rsidRDefault="00F615F7">
      <w:pPr>
        <w:pStyle w:val="Heading2"/>
        <w:spacing w:before="240"/>
      </w:pPr>
      <w:r>
        <w:rPr>
          <w:i/>
          <w:iCs/>
        </w:rPr>
        <w:t>Les cadres règlementaires nationaux sont établis et opérationnels</w:t>
      </w:r>
      <w:r>
        <w:t xml:space="preserve"> : Continuer à aider les pays visés à l’article 5 à élaborer, à mettre à jour et à renforcer la législation et les cadres règlementaires sur les HCFC et les HFC, avec une attention particulière accordée aux pays du Groupe 2, compte tenu du gel prochain sur la consommation des HFC ; fournir un soutien technique afin de rendre opérationnels et de renforcer les systèmes d’octroi de permis et de quotas pour les HFC ; continuer d’appuyer les pays dans la ratification de l’Amendement de Kigali et encourager les pays visés à l’article 5 qui ne l’ont pas encore ratifié à introduire des systèmes volontaires d’octroi de permis pour les HFC ; aider les UNO à élaborer des mesures stratégiques et règlementaires pour la gestion du quota résiduel d’entretien des HCFC après 2030, y compris les mesures règlementaires relatives à l’équipement utilisé ainsi qu’à la récupération et au recyclage des frigorigènes ; </w:t>
      </w:r>
    </w:p>
    <w:p w14:paraId="1D74D033" w14:textId="77777777" w:rsidR="00FB357A" w:rsidRDefault="00F615F7">
      <w:pPr>
        <w:pStyle w:val="Heading2"/>
        <w:spacing w:before="240"/>
      </w:pPr>
      <w:r>
        <w:rPr>
          <w:i/>
          <w:iCs/>
        </w:rPr>
        <w:t>Les systèmes nationaux des douanes et d’application de la loi sont opérationnels et renforcés</w:t>
      </w:r>
      <w:r>
        <w:t xml:space="preserve"> : Soutenir les UNO dans le renforcement, la surveillance et l’application de la législation nationale et des règlements qui régissent les substances réglementées et dans la prévention du commerce illégal, y compris grâce à la sensibilisation et à l’accroissement des capacités ; promouvoir les outils de formation conçus par le PNUE et ses partenaires pour le personnel des douanes et des autres autorités d’application de la loi, aider les académies nationales de formation des douanes à intégrer les ressources pertinentes dans le programme d’études ; promouvoir les procédures normales d’exploitation et les approches novatrices pour appliquer les systèmes d’octroi de permis et de quotas aux frontières et à l’échelle des marchés nationaux ; renforcer la coopération entre les UNO, </w:t>
      </w:r>
      <w:r>
        <w:lastRenderedPageBreak/>
        <w:t>les douanes et d’autres autorités d’application de la loi ; aider les UNO et les autorités douanières à améliorer la qualité des données commerciales et à se préparer à la mise en œuvre des codes du système harmonisé 2028 de l’OMD ; fournir une formation aux inspecteurs de l’environnement ; et aider les UNO intéressées à concevoir et à mettre à l’essai des programmes d’applications de la loi concernant la chaîne d’approvisionnement nationale au-delà des douanes, qui couvrent les grossistes, les importateurs et les entreprises d’entretien ;</w:t>
      </w:r>
    </w:p>
    <w:p w14:paraId="1D74D034" w14:textId="77777777" w:rsidR="00FB357A" w:rsidRDefault="00F615F7">
      <w:pPr>
        <w:pStyle w:val="Heading2"/>
        <w:keepNext/>
        <w:keepLines/>
        <w:spacing w:before="240"/>
      </w:pPr>
      <w:r>
        <w:rPr>
          <w:i/>
          <w:iCs/>
        </w:rPr>
        <w:t>Les effectifs et les institutions en réfrigération et climatisation des pays sont renforcés pour soutenir une gestion sûre, efficace et écologique des frigorigènes</w:t>
      </w:r>
      <w:r>
        <w:t> : Fournir de l’information technique aux UNO et aux parties prenantes du secteur de l’entretien sur les frigorigènes de remplacement, les technologies émergentes et les pratiques d’entretien exemplaires ; diffuser des lignes directrices normalisées sur l’entretien en réfrigération et climatisation, des cadres de certifications et des outils fondés sur les compétences, et élaborer des documents techniques simplifiés sur les produits de remplacement des HFC et leurs utilisations ; aider les pays à adopter ou à mettre à jour les codes de pratique nationaux sur l’entretien en réfrigération et climatisation ; renforcer les compétences des techniciens et des formateurs en réfrigération et climatisation sur l’installation, la mise en service, l’entretien, la maintenance et le démantèlement sûrs des systèmes qui utilisent des frigorigènes de remplacement ; promouvoir la coopération entre les UNO et les établissements TVET ; encourager la coopération avec les organismes de normalisation et renforcer les associations nationales et régionales en réfrigération et climatisation ; renforcer la capacité des UNO relativement au secteur de la chaîne du froid ainsi qu’aux HFC et à leurs substituts utilisés dans la climatisation mobile ;</w:t>
      </w:r>
    </w:p>
    <w:p w14:paraId="1D74D035" w14:textId="77777777" w:rsidR="00FB357A" w:rsidRDefault="00F615F7">
      <w:pPr>
        <w:pStyle w:val="Heading2"/>
        <w:spacing w:before="240"/>
      </w:pPr>
      <w:r>
        <w:rPr>
          <w:i/>
          <w:iCs/>
        </w:rPr>
        <w:t>La mise en œuvre efficace des projets appuyés par le Fonds multilatéral permet aux pays d’atteindre les cibles de conformité dans le cadre du Protocole et de leurs accords avec le Comité exécutif du Fonds multilatéral</w:t>
      </w:r>
      <w:r>
        <w:t> : Continuer à soutenir la préparation, la soumission et la surveillance des phases et des tranches de PGEH et de KIP ; appuyer les activités de vérification de la consommation des HCFC et des HFC et aider les pays dans le suivi des recommandations figurant dans les rapports de vérification ;</w:t>
      </w:r>
    </w:p>
    <w:p w14:paraId="1D74D036" w14:textId="77777777" w:rsidR="00FB357A" w:rsidRDefault="00F615F7">
      <w:pPr>
        <w:pStyle w:val="Heading2"/>
        <w:spacing w:before="240"/>
      </w:pPr>
      <w:r>
        <w:rPr>
          <w:i/>
          <w:iCs/>
        </w:rPr>
        <w:t>L’efficacité énergétique est maintenue ou accrue dans le secteur de la réfrigération et de la climatisation :</w:t>
      </w:r>
      <w:r>
        <w:t xml:space="preserve"> Soutenir les UNO à renforcer la collaboration avec les autorités nationales chargées de l’énergie et élaborer des cadres stratégiques et règlementaires pour maintenir ou renforcer l’efficacité énergétique des équipements de réfrigération et de climatisation et augmenter les capacités d’application de la loi connexes des UNO ainsi que des autorités douanières et d’application de la loi ; soutenir l’intégration des modules sur l’efficacité énergétique dans le programme de formation national des techniciens en réfrigération et climatisation et les programmes de certification ; élaborer et diffuser des conseils sur les considérations en matière d’intégration de l’efficacité énergétique dans les KIP, les PGEH et les cadres stratégiques nationaux qui reflètent les contextes des pays, la température ambiante et le statut des NMPE ; aider les pays visés à l’article 5, à leur demande, dans la préparation et la soumission des activités sur l’efficacité énergétique, en accord avec les décisions du Comité exécutif et les fenêtres de financement, ainsi que dans la mise en œuvre de ces projets ;</w:t>
      </w:r>
    </w:p>
    <w:p w14:paraId="1D74D037" w14:textId="77777777" w:rsidR="00FB357A" w:rsidRDefault="00F615F7">
      <w:pPr>
        <w:pStyle w:val="Heading2"/>
        <w:spacing w:before="240"/>
      </w:pPr>
      <w:r>
        <w:rPr>
          <w:i/>
          <w:iCs/>
        </w:rPr>
        <w:t>La gestion du cycle de vie des frigorigènes contribue à l’efficacité des systèmes de gestion nationaux pour le Protocole de Montréal :</w:t>
      </w:r>
      <w:r>
        <w:t xml:space="preserve"> Fournir aux UNO des renseignements sur les enjeux techniques et stratégiques, les pratiques exemplaires et les modèles de financement durable relatifs à la gestion du cycle de vie des frigorigènes ainsi que sur l’élimination des substances réglementées grâce aux réunions des réseaux régionaux et d’autres évènements en coopération avec les partenaires concernés ; élaborer et diffuser des conseils pratiques </w:t>
      </w:r>
      <w:r>
        <w:lastRenderedPageBreak/>
        <w:t>et des outils sur la gestion du cycle de vie des frigorigènes et leur élimination ; fournir une assistance technique aux pays visés à l’article 5 qui réfléchissent à des options d’exportation pour les substances réglementées utilisées, indésirables, recyclées ou régénérées et en évaluant la faisabilité et la durabilité des approches de gestion du cycle de vie des frigorigènes ; soutenir la coordination entre les UNO et les points focaux de la convention de Bâle ainsi que les autorités compétentes sur les mesures de contrôle du commerce et la gestion écologique des substances réglementées ; et continuer à appuyer la mise en œuvre des projets approuvés dans le cadre de la décision 91/66 du Comité exécutif concernant les inventaires des banques de substances réglementées utilisées ou indésirables et un plan pour les collecter, les transporter et les éliminer ;</w:t>
      </w:r>
    </w:p>
    <w:p w14:paraId="1D74D038" w14:textId="77777777" w:rsidR="00FB357A" w:rsidRDefault="00F615F7">
      <w:pPr>
        <w:pStyle w:val="Heading2"/>
        <w:spacing w:before="240"/>
      </w:pPr>
      <w:r>
        <w:rPr>
          <w:i/>
          <w:iCs/>
        </w:rPr>
        <w:t>Les mesures de communication et d’information ciblées soutiennent les objectifs nationaux de conformité</w:t>
      </w:r>
      <w:r>
        <w:t> : Élaborer et diffuser des outils de communication ciblés sur les enjeux prioritaires du Protocole de Montréal et de l’Amendement de Kigali par les canaux numériques, imprimés et audiovisuels, y compris des documents pour les décideurs de haut niveau afin d’appuyer les efforts nationaux en matière de conformité ; soutenir les pays qui souhaitent organiser des activités nationales de sensibilisation pour la Journée internationale de la douane, la Journée mondiale du froid et la Journée internationale pour la préservation de la couche d’ozone, ainsi que d’autres activités d’information ; traduire et diffuser les principaux produits d’information dans les langues de l’ONU autres que l’anglais ; aider les UNO intéressées à élaborer des stratégies nationales de communication, y compris pour mettre en valeur des récits nationaux de réussites, des leçons retenues et des bonnes pratiques ; promouvoir la coopération avec les établissements d’enseignement, les universités, les centres de recherche et les organisations jeunesse pour augmenter la sensibilisation et accroître les futures capacités en matière de gestion durable du refroidissement et des frigorigènes ;</w:t>
      </w:r>
    </w:p>
    <w:p w14:paraId="1D74D039" w14:textId="77777777" w:rsidR="00FB357A" w:rsidRDefault="00F615F7">
      <w:pPr>
        <w:pStyle w:val="Heading2"/>
        <w:spacing w:before="240"/>
      </w:pPr>
      <w:r>
        <w:rPr>
          <w:i/>
          <w:iCs/>
        </w:rPr>
        <w:t>Les systèmes d’information modernes et les outils numériques appuient une mise en œuvre réussie des cadres de conformité des pays</w:t>
      </w:r>
      <w:r>
        <w:t> : Promouvoir la modernisation des opérations des UNO, y compris la collecte de données, la gestion de dossiers et le stockage des fichiers ; faciliter le partage de connaissances sur les systèmes électroniques d’octroi de permis en vue de délivrer des permis, de gérer des quotas et de surveiller le commerce ; fournir des informations, des conseils stratégiques et techniques sur les technologies numériques émergentes, les solutions et les outils basés sur l’intelligence artificielle pour le secteur de la réfrigération et de la climatisation, y compris les plateformes virtuelles de formation et les systèmes à guichet unique ; et soutenir les pays qui souhaitent mener des projets pilotes et à adopter des solutions numériques et des outils de gestion appropriés ;</w:t>
      </w:r>
    </w:p>
    <w:p w14:paraId="1D74D03A" w14:textId="77777777" w:rsidR="00FB357A" w:rsidRDefault="00F615F7">
      <w:pPr>
        <w:pStyle w:val="Heading2"/>
        <w:spacing w:before="240"/>
      </w:pPr>
      <w:r>
        <w:rPr>
          <w:i/>
          <w:iCs/>
        </w:rPr>
        <w:t>L’autonomisation des femmes est prise en compte dans les programmes et les projets du Fonds multilatéral</w:t>
      </w:r>
      <w:r>
        <w:t> : S’assurer que tous les projets du Fonds multilatéral mis en œuvre par le PNUE comprennent des activités conformes aux politiques du Fonds multilatéral ; et continuer de fournir des renseignements pertinents sur les politiques du Fonds multilatéral par les réunions de réseaux régionaux ; encourager une plus grande participation des femmes dans le secteur de la réfrigération et de la climatisation par la sensibilisation et les renseignements, ainsi que les possibilités de réseautage et de mentorat, grâce à l’INWIC ; promouvoir des modèles de rôles, des récits de réussite et les réalisations des femmes qui travaillent dans le secteur de la réfrigération et de la climatisation.</w:t>
      </w:r>
    </w:p>
    <w:p w14:paraId="1D74D03B" w14:textId="77777777" w:rsidR="00FB357A" w:rsidRDefault="00F615F7">
      <w:pPr>
        <w:pStyle w:val="Heading1"/>
        <w:keepNext/>
        <w:numPr>
          <w:ilvl w:val="0"/>
          <w:numId w:val="0"/>
        </w:numPr>
        <w:tabs>
          <w:tab w:val="left" w:pos="720"/>
        </w:tabs>
        <w:rPr>
          <w:u w:val="single"/>
        </w:rPr>
      </w:pPr>
      <w:r>
        <w:rPr>
          <w:u w:val="single"/>
        </w:rPr>
        <w:t>Changements dans le budget du PAC de 2027</w:t>
      </w:r>
    </w:p>
    <w:p w14:paraId="1D74D03C" w14:textId="77777777" w:rsidR="00FB357A" w:rsidRDefault="00F615F7">
      <w:pPr>
        <w:numPr>
          <w:ilvl w:val="0"/>
          <w:numId w:val="1"/>
        </w:numPr>
        <w:spacing w:after="240"/>
        <w:outlineLvl w:val="0"/>
      </w:pPr>
      <w:r>
        <w:t xml:space="preserve">Le budget du PAC proposé pour 2027, au montant de 11 419 783 $US, plus des coûts d’appui d’agence de 913 583 $US (8 %), figure dans la partie III de la demande jointe. Le budget global est de 1,27 % plus élevé que le budget approuvé en 2026 (c.-à-d. 11 276 967 $US, plus des coûts d’appui </w:t>
      </w:r>
      <w:r>
        <w:lastRenderedPageBreak/>
        <w:t>d’agence), ce qui est en accord avec la décision 47/24 a) iii)</w:t>
      </w:r>
      <w:r>
        <w:rPr>
          <w:rStyle w:val="FootnoteReference"/>
        </w:rPr>
        <w:footnoteReference w:id="11"/>
      </w:r>
      <w:r>
        <w:t xml:space="preserve">. Le budget pour 2026 incluait l’allocation supplémentaire de 150 000 $US selon la décision 93/95 d) pour fournir du soutien technique et stratégique aux PFV ; si ce montant est exclu du budget, la hausse du budget pour 2027 est de 2,6 %, ce qui, encore une fois, correspond à la politique applicable. </w:t>
      </w:r>
    </w:p>
    <w:p w14:paraId="1D74D03D" w14:textId="77777777" w:rsidR="00FB357A" w:rsidRDefault="00F615F7">
      <w:pPr>
        <w:pStyle w:val="Heading1"/>
        <w:widowControl w:val="0"/>
        <w:numPr>
          <w:ilvl w:val="0"/>
          <w:numId w:val="0"/>
        </w:numPr>
        <w:tabs>
          <w:tab w:val="left" w:pos="720"/>
        </w:tabs>
      </w:pPr>
      <w:r>
        <w:rPr>
          <w:i/>
        </w:rPr>
        <w:t>Changements dans le budget des programmes</w:t>
      </w:r>
      <w:r>
        <w:rPr>
          <w:rStyle w:val="FootnoteReference"/>
          <w:lang w:val="en-US"/>
        </w:rPr>
        <w:footnoteReference w:id="12"/>
      </w:r>
    </w:p>
    <w:p w14:paraId="1D74D03E" w14:textId="77777777" w:rsidR="00FB357A" w:rsidRDefault="00F615F7">
      <w:pPr>
        <w:numPr>
          <w:ilvl w:val="0"/>
          <w:numId w:val="1"/>
        </w:numPr>
        <w:spacing w:after="240"/>
        <w:outlineLvl w:val="0"/>
      </w:pPr>
      <w:r>
        <w:t xml:space="preserve">Pour les principaux volets du budget, une hausse de 3 % est proposée pour les lignes du personnel afin de couvrir les coûts imputables à l’inflation, tandis qu’il y aurait une hausse de 50 000 $US (8,75 %) pour les lignes des coûts de déplacement afin de couvrir l’augmentation des coûts de déplacement. Il n’y a pas de changement pour les coûts des services mondiaux, ce qui représente le même niveau de financement qu’en 2026, après la comptabilisation du retrait de 150 000 $US pour le financement supplémentaire en vertu de la décision 93/95 d). Les autres lignes budgétaires reflètent un scénario de croissance zéro (activités régionales, soutien aux réunions, activités de bureau), ce qui entraîne la hausse susmentionnée du budget de 2,6 %.  </w:t>
      </w:r>
    </w:p>
    <w:p w14:paraId="1D74D03F" w14:textId="77777777" w:rsidR="00FB357A" w:rsidRDefault="00F615F7">
      <w:pPr>
        <w:numPr>
          <w:ilvl w:val="0"/>
          <w:numId w:val="1"/>
        </w:numPr>
        <w:spacing w:after="240"/>
        <w:outlineLvl w:val="0"/>
      </w:pPr>
      <w:r>
        <w:t xml:space="preserve">Bien que le budget global demeure le même pour les services mondiaux, les changements suivants sont proposés dans les lignes budgétaires, conformément à la décision 97/85 d) ii), ce qui permet au PNUE d’élargir la hiérarchisation des financements entre les lignes budgétaires du PAC pour tenir compte de l’évolution des priorités : </w:t>
      </w:r>
    </w:p>
    <w:p w14:paraId="1D74D040" w14:textId="77777777" w:rsidR="00FB357A" w:rsidRDefault="00F615F7">
      <w:pPr>
        <w:pStyle w:val="Heading2"/>
      </w:pPr>
      <w:r>
        <w:t xml:space="preserve">Lignes budgétaires 3213 et 3216 : </w:t>
      </w:r>
    </w:p>
    <w:p w14:paraId="1D74D041" w14:textId="77777777" w:rsidR="00FB357A" w:rsidRDefault="00F615F7">
      <w:pPr>
        <w:pStyle w:val="Heading3"/>
      </w:pPr>
      <w:r>
        <w:t>Les changements de numération reflètent le retrait du budget pour l’assistance technique temporaire sur l’efficacité énergétique</w:t>
      </w:r>
      <w:r>
        <w:rPr>
          <w:rStyle w:val="FootnoteReference"/>
        </w:rPr>
        <w:footnoteReference w:id="13"/>
      </w:r>
      <w:r>
        <w:t>, précédemment la ligne budgétaire 3213 ; et le retrait du budget pour le soutien technique et stratégique afin de soutenir les PFV, précédemment la ligne budgétaire 3216 ;</w:t>
      </w:r>
    </w:p>
    <w:p w14:paraId="1D74D042" w14:textId="77777777" w:rsidR="00FB357A" w:rsidRDefault="00F615F7">
      <w:pPr>
        <w:pStyle w:val="Heading3"/>
      </w:pPr>
      <w:r>
        <w:t xml:space="preserve">L’ajout d’un budget pour le soutien à la numérisation (outils numériques), désormais la ligne budgétaire 3216, pour mettre en œuvre les activités dans le cadre de ce nouveau résultat pour le plan stratégique 2027-2029, qui est financé à un taux de 60 000 $US, et la somme équivalente a été retirée de la ligne budgétaire 3212 pour la traduction et la vulgarisation. </w:t>
      </w:r>
    </w:p>
    <w:p w14:paraId="1D74D043" w14:textId="77777777" w:rsidR="00FB357A" w:rsidRDefault="00F615F7">
      <w:pPr>
        <w:pStyle w:val="Heading1"/>
        <w:keepNext/>
        <w:numPr>
          <w:ilvl w:val="0"/>
          <w:numId w:val="0"/>
        </w:numPr>
        <w:rPr>
          <w:i/>
        </w:rPr>
      </w:pPr>
      <w:r>
        <w:rPr>
          <w:i/>
          <w:u w:val="single"/>
        </w:rPr>
        <w:t>Changements dans le budget du personnel du PAC</w:t>
      </w:r>
      <w:r>
        <w:rPr>
          <w:rStyle w:val="FootnoteReference"/>
          <w:i/>
          <w:lang w:val="en-US"/>
        </w:rPr>
        <w:footnoteReference w:id="14"/>
      </w:r>
      <w:r>
        <w:rPr>
          <w:i/>
        </w:rPr>
        <w:t xml:space="preserve"> </w:t>
      </w:r>
    </w:p>
    <w:p w14:paraId="1D74D044" w14:textId="77777777" w:rsidR="00FB357A" w:rsidRDefault="00F615F7">
      <w:pPr>
        <w:numPr>
          <w:ilvl w:val="0"/>
          <w:numId w:val="1"/>
        </w:numPr>
        <w:spacing w:after="240"/>
        <w:outlineLvl w:val="0"/>
      </w:pPr>
      <w:r>
        <w:t>Le PNUE a proposé une hausse de 3 % du budget global pour le personnel afin de tenir compte des rajustements imputables à l’inflation. Cette hausse est fondée sur les coûts réels des postes comblés en 2026 et des coûts standards officiels de l’ONU de 2025 pour les postes vacants. Le PNUE propose les changements suivants aux lignes budgétaires du personnel</w:t>
      </w:r>
      <w:r>
        <w:rPr>
          <w:rStyle w:val="FootnoteReference"/>
        </w:rPr>
        <w:footnoteReference w:id="15"/>
      </w:r>
      <w:r>
        <w:t> :</w:t>
      </w:r>
    </w:p>
    <w:p w14:paraId="1D74D045" w14:textId="77777777" w:rsidR="00FB357A" w:rsidRDefault="00F615F7">
      <w:pPr>
        <w:pStyle w:val="Heading2"/>
      </w:pPr>
      <w:r>
        <w:lastRenderedPageBreak/>
        <w:t>Ligne budgétaire 1109 : Un déclassement de postes de niveau P5 (</w:t>
      </w:r>
      <w:r>
        <w:rPr>
          <w:rFonts w:asciiTheme="majorBidi" w:hAnsiTheme="majorBidi"/>
        </w:rPr>
        <w:t>Coordonnateur ou coordonnatrice du Protocole de Montréal, partenariats internationaux)</w:t>
      </w:r>
      <w:r>
        <w:t xml:space="preserve"> au niveau P4 (</w:t>
      </w:r>
      <w:r>
        <w:rPr>
          <w:rFonts w:asciiTheme="majorBidi" w:hAnsiTheme="majorBidi"/>
        </w:rPr>
        <w:t xml:space="preserve">Spécialiste de la gestion des programmes, secteur de l’entretien en réfrigération) pour refléter un poste situé plus </w:t>
      </w:r>
      <w:r>
        <w:t>au niveau des opérations et orienté sur les aspects techniques ;</w:t>
      </w:r>
    </w:p>
    <w:p w14:paraId="1D74D046" w14:textId="77777777" w:rsidR="00FB357A" w:rsidRDefault="00F615F7">
      <w:pPr>
        <w:pStyle w:val="Heading2"/>
      </w:pPr>
      <w:r>
        <w:t>Ligne budgétaire 1110 :  L’ajout d’une ligne budgétaire pour créer un poste P2 en utilisant les économies provenant des postes déclassés ci-dessus et de la réaffectation du budget existant. Ce</w:t>
      </w:r>
      <w:r>
        <w:rPr>
          <w:rFonts w:asciiTheme="majorBidi" w:hAnsiTheme="majorBidi"/>
        </w:rPr>
        <w:t xml:space="preserve"> nouveau poste P2 d’administrateur adjoint ou d’administratrice adjointe de programme sera situé dans le bureau de Paris et soutiendra la mise en œuvre des projets, des services et des initiatives du PAC mondial, y compris notamment dans le secteur de l’entretien en réfrigération, en matière d’efficacité énergétique et dans d’autres domaines prioritaires.</w:t>
      </w:r>
    </w:p>
    <w:p w14:paraId="1D74D047" w14:textId="77777777" w:rsidR="00FB357A" w:rsidRDefault="00F615F7">
      <w:pPr>
        <w:numPr>
          <w:ilvl w:val="0"/>
          <w:numId w:val="1"/>
        </w:numPr>
        <w:spacing w:after="240"/>
        <w:outlineLvl w:val="0"/>
      </w:pPr>
      <w:r>
        <w:t>Toutes les offres d’emploi du PNUE pour des postes d’un an ou plus, y compris ceux couverts par le budget du PAC, sont annoncées comme engagement à durée limitée et tous les engagements sont renouvelés pour un maximum d’un an et assujettis à la disponibilité du financement.</w:t>
      </w:r>
    </w:p>
    <w:p w14:paraId="1D74D048" w14:textId="77777777" w:rsidR="00FB357A" w:rsidRDefault="00F615F7">
      <w:pPr>
        <w:keepNext/>
        <w:spacing w:after="240"/>
        <w:rPr>
          <w:i/>
          <w:iCs/>
          <w:u w:val="single"/>
        </w:rPr>
      </w:pPr>
      <w:r>
        <w:rPr>
          <w:i/>
          <w:iCs/>
          <w:u w:val="single"/>
        </w:rPr>
        <w:t>Déplacements, activités et réunions régionales, et activités de bureau (locaux et équipements)</w:t>
      </w:r>
    </w:p>
    <w:p w14:paraId="1D74D049" w14:textId="77777777" w:rsidR="00FB357A" w:rsidRDefault="00F615F7">
      <w:pPr>
        <w:widowControl w:val="0"/>
        <w:numPr>
          <w:ilvl w:val="0"/>
          <w:numId w:val="1"/>
        </w:numPr>
        <w:spacing w:after="240"/>
        <w:outlineLvl w:val="0"/>
      </w:pPr>
      <w:r>
        <w:t>Le budget pour ces composantes est basé sur un scénario de croissance zéro, sauf pour les déplacements, volet pour lequel une hausse de 8,75 % est proposée.</w:t>
      </w:r>
      <w:r>
        <w:rPr>
          <w:rFonts w:ascii="Segoe UI" w:hAnsi="Segoe UI"/>
          <w:sz w:val="21"/>
          <w:szCs w:val="21"/>
        </w:rPr>
        <w:t xml:space="preserve"> </w:t>
      </w:r>
      <w:r>
        <w:t xml:space="preserve"> </w:t>
      </w:r>
    </w:p>
    <w:p w14:paraId="1D74D04A" w14:textId="77777777" w:rsidR="00FB357A" w:rsidRDefault="00F615F7">
      <w:pPr>
        <w:keepNext/>
        <w:spacing w:after="240"/>
        <w:rPr>
          <w:i/>
          <w:iCs/>
          <w:u w:val="single"/>
        </w:rPr>
      </w:pPr>
      <w:r>
        <w:rPr>
          <w:i/>
          <w:iCs/>
          <w:u w:val="single"/>
        </w:rPr>
        <w:t>Comparaison du budget pour 2025-2027</w:t>
      </w:r>
    </w:p>
    <w:p w14:paraId="1D74D04B" w14:textId="77777777" w:rsidR="00FB357A" w:rsidRDefault="00F615F7">
      <w:pPr>
        <w:widowControl w:val="0"/>
        <w:numPr>
          <w:ilvl w:val="0"/>
          <w:numId w:val="1"/>
        </w:numPr>
        <w:spacing w:after="240"/>
        <w:outlineLvl w:val="0"/>
      </w:pPr>
      <w:r>
        <w:t>En accord avec la décision 97/85 d) iv)</w:t>
      </w:r>
      <w:r>
        <w:rPr>
          <w:rStyle w:val="FootnoteReference"/>
        </w:rPr>
        <w:footnoteReference w:id="16"/>
      </w:r>
      <w:r>
        <w:t xml:space="preserve">, le PNUE a fourni une comparaison de trois ans du budget du PAC, comme indiqué au tableau 1. </w:t>
      </w:r>
    </w:p>
    <w:p w14:paraId="1D74D04C" w14:textId="77777777" w:rsidR="00FB357A" w:rsidRDefault="00F615F7">
      <w:pPr>
        <w:keepNext/>
        <w:widowControl w:val="0"/>
        <w:rPr>
          <w:b/>
        </w:rPr>
      </w:pPr>
      <w:r>
        <w:rPr>
          <w:b/>
        </w:rPr>
        <w:t>Tableau 1 : Budget du PAC pour 2025-2027 ($US)</w:t>
      </w:r>
    </w:p>
    <w:tbl>
      <w:tblPr>
        <w:tblW w:w="9418" w:type="dxa"/>
        <w:tblInd w:w="-5" w:type="dxa"/>
        <w:tblLayout w:type="fixed"/>
        <w:tblCellMar>
          <w:left w:w="43" w:type="dxa"/>
          <w:right w:w="0" w:type="dxa"/>
        </w:tblCellMar>
        <w:tblLook w:val="04A0" w:firstRow="1" w:lastRow="0" w:firstColumn="1" w:lastColumn="0" w:noHBand="0" w:noVBand="1"/>
      </w:tblPr>
      <w:tblGrid>
        <w:gridCol w:w="2028"/>
        <w:gridCol w:w="1260"/>
        <w:gridCol w:w="1260"/>
        <w:gridCol w:w="1080"/>
        <w:gridCol w:w="1260"/>
        <w:gridCol w:w="1260"/>
        <w:gridCol w:w="1270"/>
      </w:tblGrid>
      <w:tr w:rsidR="00FB357A" w14:paraId="1D74D051" w14:textId="77777777" w:rsidTr="00807029">
        <w:trPr>
          <w:trHeight w:val="230"/>
          <w:tblHeader/>
        </w:trPr>
        <w:tc>
          <w:tcPr>
            <w:tcW w:w="2028" w:type="dxa"/>
            <w:vMerge w:val="restart"/>
            <w:tcBorders>
              <w:top w:val="single" w:sz="4" w:space="0" w:color="000000"/>
              <w:left w:val="single" w:sz="4" w:space="0" w:color="000000"/>
              <w:bottom w:val="single" w:sz="4" w:space="0" w:color="000000"/>
              <w:right w:val="single" w:sz="4" w:space="0" w:color="000000"/>
            </w:tcBorders>
            <w:vAlign w:val="center"/>
          </w:tcPr>
          <w:p w14:paraId="1D74D04D" w14:textId="77777777" w:rsidR="00FB357A" w:rsidRDefault="00F615F7">
            <w:pPr>
              <w:widowControl w:val="0"/>
              <w:jc w:val="left"/>
              <w:rPr>
                <w:b/>
                <w:color w:val="000000"/>
                <w:sz w:val="20"/>
                <w:szCs w:val="20"/>
              </w:rPr>
            </w:pPr>
            <w:r>
              <w:rPr>
                <w:b/>
                <w:color w:val="000000"/>
                <w:sz w:val="20"/>
                <w:szCs w:val="20"/>
              </w:rPr>
              <w:t>Poste budgétaire</w:t>
            </w:r>
          </w:p>
        </w:tc>
        <w:tc>
          <w:tcPr>
            <w:tcW w:w="3600" w:type="dxa"/>
            <w:gridSpan w:val="3"/>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D74D04E" w14:textId="77777777" w:rsidR="00FB357A" w:rsidRDefault="00F615F7">
            <w:pPr>
              <w:widowControl w:val="0"/>
              <w:jc w:val="center"/>
              <w:rPr>
                <w:b/>
                <w:bCs/>
                <w:color w:val="000000"/>
                <w:sz w:val="20"/>
                <w:szCs w:val="20"/>
              </w:rPr>
            </w:pPr>
            <w:r>
              <w:rPr>
                <w:b/>
                <w:bCs/>
                <w:color w:val="000000"/>
                <w:sz w:val="20"/>
                <w:szCs w:val="20"/>
              </w:rPr>
              <w:t>2025</w:t>
            </w:r>
          </w:p>
        </w:tc>
        <w:tc>
          <w:tcPr>
            <w:tcW w:w="252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D74D04F" w14:textId="77777777" w:rsidR="00FB357A" w:rsidRDefault="00F615F7">
            <w:pPr>
              <w:widowControl w:val="0"/>
              <w:jc w:val="center"/>
              <w:rPr>
                <w:b/>
                <w:bCs/>
                <w:color w:val="000000"/>
                <w:sz w:val="20"/>
                <w:szCs w:val="20"/>
              </w:rPr>
            </w:pPr>
            <w:r>
              <w:rPr>
                <w:b/>
                <w:bCs/>
                <w:color w:val="000000"/>
                <w:sz w:val="20"/>
                <w:szCs w:val="20"/>
              </w:rPr>
              <w:t>2026</w:t>
            </w:r>
          </w:p>
        </w:tc>
        <w:tc>
          <w:tcPr>
            <w:tcW w:w="127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D74D050" w14:textId="77777777" w:rsidR="00FB357A" w:rsidRDefault="00F615F7">
            <w:pPr>
              <w:widowControl w:val="0"/>
              <w:jc w:val="center"/>
              <w:rPr>
                <w:b/>
                <w:bCs/>
                <w:color w:val="000000"/>
                <w:sz w:val="20"/>
                <w:szCs w:val="20"/>
              </w:rPr>
            </w:pPr>
            <w:r>
              <w:rPr>
                <w:b/>
                <w:bCs/>
                <w:color w:val="000000"/>
                <w:sz w:val="20"/>
                <w:szCs w:val="20"/>
              </w:rPr>
              <w:t>2027</w:t>
            </w:r>
          </w:p>
        </w:tc>
      </w:tr>
      <w:tr w:rsidR="00FB357A" w14:paraId="1D74D059" w14:textId="77777777" w:rsidTr="00807029">
        <w:trPr>
          <w:trHeight w:val="71"/>
          <w:tblHeader/>
        </w:trPr>
        <w:tc>
          <w:tcPr>
            <w:tcW w:w="2028" w:type="dxa"/>
            <w:vMerge/>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D74D052" w14:textId="77777777" w:rsidR="00FB357A" w:rsidRDefault="00FB357A">
            <w:pPr>
              <w:widowControl w:val="0"/>
              <w:jc w:val="left"/>
              <w:rPr>
                <w:b/>
                <w:color w:val="000000"/>
                <w:sz w:val="20"/>
                <w:szCs w:val="20"/>
                <w:lang w:val="en-GB" w:eastAsia="en-GB"/>
              </w:rPr>
            </w:pPr>
          </w:p>
        </w:tc>
        <w:tc>
          <w:tcPr>
            <w:tcW w:w="1260" w:type="dxa"/>
            <w:tcBorders>
              <w:top w:val="single" w:sz="4" w:space="0" w:color="000000"/>
              <w:left w:val="single" w:sz="4" w:space="0" w:color="000000"/>
              <w:bottom w:val="single" w:sz="4" w:space="0" w:color="000000"/>
              <w:right w:val="single" w:sz="4" w:space="0" w:color="000000"/>
            </w:tcBorders>
            <w:tcMar>
              <w:left w:w="0" w:type="dxa"/>
            </w:tcMar>
            <w:vAlign w:val="center"/>
          </w:tcPr>
          <w:p w14:paraId="1D74D053" w14:textId="77777777" w:rsidR="00FB357A" w:rsidRDefault="00F615F7">
            <w:pPr>
              <w:widowControl w:val="0"/>
              <w:jc w:val="center"/>
              <w:rPr>
                <w:b/>
                <w:color w:val="000000"/>
                <w:sz w:val="20"/>
                <w:szCs w:val="20"/>
              </w:rPr>
            </w:pPr>
            <w:r>
              <w:rPr>
                <w:b/>
                <w:color w:val="000000"/>
                <w:sz w:val="20"/>
                <w:szCs w:val="20"/>
              </w:rPr>
              <w:t>Approuvé</w:t>
            </w:r>
          </w:p>
        </w:tc>
        <w:tc>
          <w:tcPr>
            <w:tcW w:w="1260" w:type="dxa"/>
            <w:tcBorders>
              <w:top w:val="single" w:sz="4" w:space="0" w:color="000000"/>
              <w:left w:val="single" w:sz="4" w:space="0" w:color="000000"/>
              <w:bottom w:val="single" w:sz="4" w:space="0" w:color="000000"/>
              <w:right w:val="single" w:sz="4" w:space="0" w:color="000000"/>
            </w:tcBorders>
            <w:tcMar>
              <w:left w:w="0" w:type="dxa"/>
            </w:tcMar>
            <w:vAlign w:val="center"/>
          </w:tcPr>
          <w:p w14:paraId="1D74D054" w14:textId="77777777" w:rsidR="00FB357A" w:rsidRDefault="00F615F7">
            <w:pPr>
              <w:widowControl w:val="0"/>
              <w:jc w:val="center"/>
              <w:rPr>
                <w:b/>
                <w:color w:val="000000"/>
                <w:sz w:val="20"/>
                <w:szCs w:val="20"/>
              </w:rPr>
            </w:pPr>
            <w:r>
              <w:rPr>
                <w:b/>
                <w:color w:val="000000"/>
                <w:sz w:val="20"/>
                <w:szCs w:val="20"/>
              </w:rPr>
              <w:t>Dépenses</w:t>
            </w:r>
          </w:p>
        </w:tc>
        <w:tc>
          <w:tcPr>
            <w:tcW w:w="1080" w:type="dxa"/>
            <w:tcBorders>
              <w:top w:val="single" w:sz="4" w:space="0" w:color="000000"/>
              <w:left w:val="single" w:sz="4" w:space="0" w:color="000000"/>
              <w:bottom w:val="single" w:sz="4" w:space="0" w:color="000000"/>
              <w:right w:val="single" w:sz="4" w:space="0" w:color="000000"/>
            </w:tcBorders>
            <w:tcMar>
              <w:left w:w="0" w:type="dxa"/>
            </w:tcMar>
            <w:vAlign w:val="center"/>
          </w:tcPr>
          <w:p w14:paraId="1D74D055" w14:textId="77777777" w:rsidR="00FB357A" w:rsidRDefault="00F615F7">
            <w:pPr>
              <w:widowControl w:val="0"/>
              <w:jc w:val="center"/>
              <w:rPr>
                <w:b/>
                <w:color w:val="000000"/>
                <w:sz w:val="20"/>
                <w:szCs w:val="20"/>
              </w:rPr>
            </w:pPr>
            <w:r>
              <w:rPr>
                <w:b/>
                <w:color w:val="000000"/>
                <w:sz w:val="20"/>
                <w:szCs w:val="20"/>
              </w:rPr>
              <w:t>Solde</w:t>
            </w:r>
          </w:p>
        </w:tc>
        <w:tc>
          <w:tcPr>
            <w:tcW w:w="1260" w:type="dxa"/>
            <w:tcBorders>
              <w:top w:val="single" w:sz="4" w:space="0" w:color="000000"/>
              <w:left w:val="single" w:sz="4" w:space="0" w:color="000000"/>
              <w:bottom w:val="single" w:sz="4" w:space="0" w:color="000000"/>
              <w:right w:val="single" w:sz="4" w:space="0" w:color="000000"/>
            </w:tcBorders>
            <w:tcMar>
              <w:left w:w="0" w:type="dxa"/>
            </w:tcMar>
            <w:vAlign w:val="center"/>
          </w:tcPr>
          <w:p w14:paraId="1D74D056" w14:textId="77777777" w:rsidR="00FB357A" w:rsidRDefault="00F615F7">
            <w:pPr>
              <w:widowControl w:val="0"/>
              <w:jc w:val="center"/>
              <w:rPr>
                <w:b/>
                <w:color w:val="000000"/>
                <w:sz w:val="20"/>
                <w:szCs w:val="20"/>
              </w:rPr>
            </w:pPr>
            <w:r>
              <w:rPr>
                <w:b/>
                <w:color w:val="000000"/>
                <w:sz w:val="20"/>
                <w:szCs w:val="20"/>
              </w:rPr>
              <w:t>Approuvé</w:t>
            </w:r>
          </w:p>
        </w:tc>
        <w:tc>
          <w:tcPr>
            <w:tcW w:w="1260" w:type="dxa"/>
            <w:tcBorders>
              <w:top w:val="single" w:sz="4" w:space="0" w:color="000000"/>
              <w:left w:val="single" w:sz="4" w:space="0" w:color="000000"/>
              <w:bottom w:val="single" w:sz="4" w:space="0" w:color="000000"/>
              <w:right w:val="single" w:sz="4" w:space="0" w:color="000000"/>
            </w:tcBorders>
            <w:tcMar>
              <w:left w:w="0" w:type="dxa"/>
            </w:tcMar>
            <w:vAlign w:val="center"/>
          </w:tcPr>
          <w:p w14:paraId="1D74D057" w14:textId="77777777" w:rsidR="00FB357A" w:rsidRDefault="00F615F7">
            <w:pPr>
              <w:widowControl w:val="0"/>
              <w:jc w:val="center"/>
              <w:rPr>
                <w:b/>
                <w:color w:val="000000"/>
                <w:sz w:val="20"/>
                <w:szCs w:val="20"/>
              </w:rPr>
            </w:pPr>
            <w:r>
              <w:rPr>
                <w:b/>
                <w:color w:val="000000"/>
                <w:sz w:val="20"/>
                <w:szCs w:val="20"/>
              </w:rPr>
              <w:t>Dépenses</w:t>
            </w:r>
            <w:r>
              <w:rPr>
                <w:sz w:val="20"/>
                <w:szCs w:val="20"/>
                <w:vertAlign w:val="superscript"/>
              </w:rPr>
              <w:t>a</w:t>
            </w:r>
            <w:r>
              <w:rPr>
                <w:b/>
                <w:color w:val="000000"/>
                <w:sz w:val="20"/>
                <w:szCs w:val="20"/>
              </w:rPr>
              <w:t xml:space="preserve"> </w:t>
            </w:r>
          </w:p>
        </w:tc>
        <w:tc>
          <w:tcPr>
            <w:tcW w:w="1270" w:type="dxa"/>
            <w:tcBorders>
              <w:top w:val="single" w:sz="4" w:space="0" w:color="000000"/>
              <w:left w:val="single" w:sz="4" w:space="0" w:color="000000"/>
              <w:bottom w:val="single" w:sz="4" w:space="0" w:color="000000"/>
              <w:right w:val="single" w:sz="4" w:space="0" w:color="000000"/>
            </w:tcBorders>
            <w:tcMar>
              <w:left w:w="0" w:type="dxa"/>
            </w:tcMar>
            <w:vAlign w:val="center"/>
          </w:tcPr>
          <w:p w14:paraId="1D74D058" w14:textId="77777777" w:rsidR="00FB357A" w:rsidRDefault="00F615F7">
            <w:pPr>
              <w:widowControl w:val="0"/>
              <w:jc w:val="center"/>
              <w:rPr>
                <w:b/>
                <w:color w:val="000000"/>
                <w:sz w:val="20"/>
                <w:szCs w:val="20"/>
              </w:rPr>
            </w:pPr>
            <w:r>
              <w:rPr>
                <w:b/>
                <w:color w:val="000000"/>
                <w:sz w:val="20"/>
                <w:szCs w:val="20"/>
              </w:rPr>
              <w:t>Proposé</w:t>
            </w:r>
          </w:p>
        </w:tc>
      </w:tr>
      <w:tr w:rsidR="00FB357A" w14:paraId="1D74D061" w14:textId="77777777" w:rsidTr="00807029">
        <w:trPr>
          <w:trHeight w:val="461"/>
        </w:trPr>
        <w:tc>
          <w:tcPr>
            <w:tcW w:w="2028" w:type="dxa"/>
            <w:tcBorders>
              <w:top w:val="single" w:sz="4" w:space="0" w:color="000000"/>
              <w:left w:val="single" w:sz="4" w:space="0" w:color="000000"/>
              <w:bottom w:val="single" w:sz="4" w:space="0" w:color="000000"/>
              <w:right w:val="single" w:sz="4" w:space="0" w:color="000000"/>
            </w:tcBorders>
          </w:tcPr>
          <w:p w14:paraId="1D74D05A" w14:textId="77777777" w:rsidR="00FB357A" w:rsidRDefault="00F615F7">
            <w:pPr>
              <w:widowControl w:val="0"/>
              <w:jc w:val="left"/>
              <w:rPr>
                <w:color w:val="000000"/>
                <w:sz w:val="20"/>
                <w:szCs w:val="20"/>
              </w:rPr>
            </w:pPr>
            <w:r>
              <w:rPr>
                <w:color w:val="000000"/>
                <w:sz w:val="20"/>
                <w:szCs w:val="20"/>
              </w:rPr>
              <w:t>Personnel et consultants</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5B" w14:textId="77777777" w:rsidR="00FB357A" w:rsidRDefault="00F615F7">
            <w:pPr>
              <w:widowControl w:val="0"/>
              <w:jc w:val="right"/>
              <w:rPr>
                <w:color w:val="000000"/>
                <w:sz w:val="20"/>
                <w:szCs w:val="20"/>
                <w:highlight w:val="yellow"/>
              </w:rPr>
            </w:pPr>
            <w:r>
              <w:rPr>
                <w:color w:val="000000"/>
                <w:sz w:val="20"/>
                <w:szCs w:val="20"/>
              </w:rPr>
              <w:t>7 854 531</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5C" w14:textId="77777777" w:rsidR="00FB357A" w:rsidRDefault="00F615F7">
            <w:pPr>
              <w:widowControl w:val="0"/>
              <w:jc w:val="right"/>
              <w:rPr>
                <w:color w:val="000000"/>
                <w:sz w:val="20"/>
                <w:szCs w:val="20"/>
                <w:highlight w:val="yellow"/>
              </w:rPr>
            </w:pPr>
            <w:r>
              <w:rPr>
                <w:sz w:val="20"/>
                <w:szCs w:val="20"/>
              </w:rPr>
              <w:t>7 776 320</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5D" w14:textId="77777777" w:rsidR="00FB357A" w:rsidRDefault="00F615F7">
            <w:pPr>
              <w:widowControl w:val="0"/>
              <w:jc w:val="right"/>
              <w:rPr>
                <w:color w:val="000000"/>
                <w:sz w:val="20"/>
                <w:szCs w:val="20"/>
              </w:rPr>
            </w:pPr>
            <w:r>
              <w:rPr>
                <w:sz w:val="20"/>
                <w:szCs w:val="20"/>
              </w:rPr>
              <w:t>78 211</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5E" w14:textId="77777777" w:rsidR="00FB357A" w:rsidRDefault="00F615F7">
            <w:pPr>
              <w:widowControl w:val="0"/>
              <w:jc w:val="right"/>
              <w:rPr>
                <w:color w:val="000000"/>
                <w:sz w:val="20"/>
                <w:szCs w:val="20"/>
                <w:highlight w:val="yellow"/>
              </w:rPr>
            </w:pPr>
            <w:r>
              <w:rPr>
                <w:color w:val="000000"/>
                <w:sz w:val="20"/>
                <w:szCs w:val="20"/>
              </w:rPr>
              <w:t>8 090 167</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5F" w14:textId="77777777" w:rsidR="00FB357A" w:rsidRDefault="00F615F7">
            <w:pPr>
              <w:widowControl w:val="0"/>
              <w:jc w:val="right"/>
              <w:rPr>
                <w:color w:val="000000"/>
                <w:sz w:val="20"/>
                <w:szCs w:val="20"/>
                <w:highlight w:val="yellow"/>
              </w:rPr>
            </w:pPr>
            <w:r>
              <w:rPr>
                <w:color w:val="000000"/>
                <w:sz w:val="20"/>
                <w:szCs w:val="20"/>
              </w:rPr>
              <w:t>7 890 000</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0" w14:textId="77777777" w:rsidR="00FB357A" w:rsidRDefault="00F615F7">
            <w:pPr>
              <w:widowControl w:val="0"/>
              <w:jc w:val="right"/>
              <w:rPr>
                <w:color w:val="000000"/>
                <w:sz w:val="20"/>
                <w:szCs w:val="20"/>
              </w:rPr>
            </w:pPr>
            <w:r>
              <w:rPr>
                <w:color w:val="000000"/>
                <w:sz w:val="20"/>
                <w:szCs w:val="20"/>
              </w:rPr>
              <w:t>8 332 983</w:t>
            </w:r>
          </w:p>
        </w:tc>
      </w:tr>
      <w:tr w:rsidR="00FB357A" w14:paraId="1D74D069" w14:textId="77777777" w:rsidTr="00807029">
        <w:trPr>
          <w:trHeight w:val="230"/>
        </w:trPr>
        <w:tc>
          <w:tcPr>
            <w:tcW w:w="2028" w:type="dxa"/>
            <w:tcBorders>
              <w:top w:val="single" w:sz="4" w:space="0" w:color="000000"/>
              <w:left w:val="single" w:sz="4" w:space="0" w:color="000000"/>
              <w:bottom w:val="single" w:sz="4" w:space="0" w:color="000000"/>
              <w:right w:val="single" w:sz="4" w:space="0" w:color="000000"/>
            </w:tcBorders>
          </w:tcPr>
          <w:p w14:paraId="1D74D062" w14:textId="77777777" w:rsidR="00FB357A" w:rsidRDefault="00F615F7">
            <w:pPr>
              <w:widowControl w:val="0"/>
              <w:jc w:val="left"/>
              <w:rPr>
                <w:color w:val="000000"/>
                <w:sz w:val="20"/>
                <w:szCs w:val="20"/>
              </w:rPr>
            </w:pPr>
            <w:r>
              <w:rPr>
                <w:color w:val="000000"/>
                <w:sz w:val="20"/>
                <w:szCs w:val="20"/>
              </w:rPr>
              <w:t>Déplacements</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3" w14:textId="77777777" w:rsidR="00FB357A" w:rsidRDefault="00F615F7">
            <w:pPr>
              <w:widowControl w:val="0"/>
              <w:jc w:val="right"/>
              <w:rPr>
                <w:color w:val="000000"/>
                <w:sz w:val="20"/>
                <w:szCs w:val="20"/>
                <w:highlight w:val="yellow"/>
              </w:rPr>
            </w:pPr>
            <w:r>
              <w:rPr>
                <w:color w:val="000000"/>
                <w:sz w:val="20"/>
                <w:szCs w:val="20"/>
              </w:rPr>
              <w:t>575 400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4" w14:textId="77777777" w:rsidR="00FB357A" w:rsidRDefault="00F615F7">
            <w:pPr>
              <w:widowControl w:val="0"/>
              <w:jc w:val="right"/>
              <w:rPr>
                <w:color w:val="000000"/>
                <w:sz w:val="20"/>
                <w:szCs w:val="20"/>
                <w:highlight w:val="yellow"/>
              </w:rPr>
            </w:pPr>
            <w:r>
              <w:rPr>
                <w:sz w:val="20"/>
                <w:szCs w:val="20"/>
              </w:rPr>
              <w:t>511 321</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5" w14:textId="77777777" w:rsidR="00FB357A" w:rsidRDefault="00F615F7">
            <w:pPr>
              <w:widowControl w:val="0"/>
              <w:jc w:val="right"/>
              <w:rPr>
                <w:color w:val="000000"/>
                <w:sz w:val="20"/>
                <w:szCs w:val="20"/>
                <w:highlight w:val="yellow"/>
              </w:rPr>
            </w:pPr>
            <w:r>
              <w:rPr>
                <w:sz w:val="20"/>
                <w:szCs w:val="20"/>
              </w:rPr>
              <w:t>64 079</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6" w14:textId="77777777" w:rsidR="00FB357A" w:rsidRDefault="00F615F7">
            <w:pPr>
              <w:widowControl w:val="0"/>
              <w:jc w:val="right"/>
              <w:rPr>
                <w:color w:val="000000"/>
                <w:sz w:val="20"/>
                <w:szCs w:val="20"/>
                <w:highlight w:val="yellow"/>
              </w:rPr>
            </w:pPr>
            <w:r>
              <w:rPr>
                <w:color w:val="000000"/>
                <w:sz w:val="20"/>
                <w:szCs w:val="20"/>
              </w:rPr>
              <w:t>571 400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7" w14:textId="77777777" w:rsidR="00FB357A" w:rsidRDefault="00F615F7">
            <w:pPr>
              <w:widowControl w:val="0"/>
              <w:jc w:val="right"/>
              <w:rPr>
                <w:color w:val="000000"/>
                <w:sz w:val="20"/>
                <w:szCs w:val="20"/>
                <w:highlight w:val="yellow"/>
              </w:rPr>
            </w:pPr>
            <w:r>
              <w:rPr>
                <w:color w:val="000000"/>
                <w:sz w:val="20"/>
                <w:szCs w:val="20"/>
              </w:rPr>
              <w:t>571 400</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8" w14:textId="77777777" w:rsidR="00FB357A" w:rsidRDefault="00F615F7">
            <w:pPr>
              <w:widowControl w:val="0"/>
              <w:jc w:val="right"/>
              <w:rPr>
                <w:color w:val="000000"/>
                <w:sz w:val="20"/>
                <w:szCs w:val="20"/>
              </w:rPr>
            </w:pPr>
            <w:r>
              <w:rPr>
                <w:color w:val="000000"/>
                <w:sz w:val="20"/>
                <w:szCs w:val="20"/>
              </w:rPr>
              <w:t>621 400</w:t>
            </w:r>
          </w:p>
        </w:tc>
      </w:tr>
      <w:tr w:rsidR="00FB357A" w14:paraId="1D74D071" w14:textId="77777777" w:rsidTr="00807029">
        <w:trPr>
          <w:trHeight w:val="422"/>
        </w:trPr>
        <w:tc>
          <w:tcPr>
            <w:tcW w:w="2028" w:type="dxa"/>
            <w:tcBorders>
              <w:top w:val="single" w:sz="4" w:space="0" w:color="000000"/>
              <w:left w:val="single" w:sz="4" w:space="0" w:color="000000"/>
              <w:bottom w:val="single" w:sz="4" w:space="0" w:color="000000"/>
              <w:right w:val="single" w:sz="4" w:space="0" w:color="000000"/>
            </w:tcBorders>
          </w:tcPr>
          <w:p w14:paraId="1D74D06A" w14:textId="77777777" w:rsidR="00FB357A" w:rsidRDefault="00F615F7">
            <w:pPr>
              <w:widowControl w:val="0"/>
              <w:jc w:val="left"/>
              <w:rPr>
                <w:color w:val="000000"/>
                <w:sz w:val="20"/>
                <w:szCs w:val="20"/>
              </w:rPr>
            </w:pPr>
            <w:r>
              <w:rPr>
                <w:color w:val="000000"/>
                <w:sz w:val="20"/>
                <w:szCs w:val="20"/>
              </w:rPr>
              <w:t xml:space="preserve">Activités et réunions régionales </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B" w14:textId="77777777" w:rsidR="00FB357A" w:rsidRDefault="00F615F7">
            <w:pPr>
              <w:widowControl w:val="0"/>
              <w:ind w:left="112"/>
              <w:jc w:val="right"/>
              <w:rPr>
                <w:color w:val="000000"/>
                <w:sz w:val="20"/>
                <w:szCs w:val="20"/>
              </w:rPr>
            </w:pPr>
            <w:r>
              <w:rPr>
                <w:color w:val="000000"/>
                <w:sz w:val="20"/>
                <w:szCs w:val="20"/>
              </w:rPr>
              <w:t>1 316 400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C" w14:textId="77777777" w:rsidR="00FB357A" w:rsidRDefault="00F615F7">
            <w:pPr>
              <w:widowControl w:val="0"/>
              <w:jc w:val="right"/>
              <w:rPr>
                <w:color w:val="000000"/>
                <w:sz w:val="20"/>
                <w:szCs w:val="20"/>
              </w:rPr>
            </w:pPr>
            <w:r>
              <w:rPr>
                <w:sz w:val="20"/>
                <w:szCs w:val="20"/>
              </w:rPr>
              <w:t>1 076 774</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D" w14:textId="77777777" w:rsidR="00FB357A" w:rsidRDefault="00F615F7">
            <w:pPr>
              <w:widowControl w:val="0"/>
              <w:jc w:val="right"/>
              <w:rPr>
                <w:color w:val="000000"/>
                <w:sz w:val="20"/>
                <w:szCs w:val="20"/>
              </w:rPr>
            </w:pPr>
            <w:r>
              <w:rPr>
                <w:sz w:val="20"/>
                <w:szCs w:val="20"/>
              </w:rPr>
              <w:t>239 626</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E" w14:textId="77777777" w:rsidR="00FB357A" w:rsidRDefault="00F615F7">
            <w:pPr>
              <w:widowControl w:val="0"/>
              <w:jc w:val="right"/>
              <w:rPr>
                <w:color w:val="000000"/>
                <w:sz w:val="20"/>
                <w:szCs w:val="20"/>
              </w:rPr>
            </w:pPr>
            <w:r>
              <w:rPr>
                <w:color w:val="000000"/>
                <w:sz w:val="20"/>
                <w:szCs w:val="20"/>
              </w:rPr>
              <w:t>1 320 400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6F" w14:textId="77777777" w:rsidR="00FB357A" w:rsidRDefault="00F615F7">
            <w:pPr>
              <w:widowControl w:val="0"/>
              <w:jc w:val="right"/>
              <w:rPr>
                <w:color w:val="000000"/>
                <w:sz w:val="20"/>
                <w:szCs w:val="20"/>
              </w:rPr>
            </w:pPr>
            <w:r>
              <w:rPr>
                <w:color w:val="000000"/>
                <w:sz w:val="20"/>
                <w:szCs w:val="20"/>
              </w:rPr>
              <w:t>1 320 400</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0" w14:textId="77777777" w:rsidR="00FB357A" w:rsidRDefault="00F615F7">
            <w:pPr>
              <w:widowControl w:val="0"/>
              <w:jc w:val="right"/>
              <w:rPr>
                <w:color w:val="000000"/>
                <w:sz w:val="20"/>
                <w:szCs w:val="20"/>
              </w:rPr>
            </w:pPr>
            <w:r>
              <w:rPr>
                <w:color w:val="000000"/>
                <w:sz w:val="20"/>
                <w:szCs w:val="20"/>
              </w:rPr>
              <w:t>1 320 400</w:t>
            </w:r>
          </w:p>
        </w:tc>
      </w:tr>
      <w:tr w:rsidR="00FB357A" w14:paraId="1D74D079" w14:textId="77777777" w:rsidTr="00807029">
        <w:trPr>
          <w:trHeight w:val="461"/>
        </w:trPr>
        <w:tc>
          <w:tcPr>
            <w:tcW w:w="2028" w:type="dxa"/>
            <w:tcBorders>
              <w:top w:val="single" w:sz="4" w:space="0" w:color="000000"/>
              <w:left w:val="single" w:sz="4" w:space="0" w:color="000000"/>
              <w:bottom w:val="single" w:sz="4" w:space="0" w:color="000000"/>
              <w:right w:val="single" w:sz="4" w:space="0" w:color="000000"/>
            </w:tcBorders>
          </w:tcPr>
          <w:p w14:paraId="1D74D072" w14:textId="77777777" w:rsidR="00FB357A" w:rsidRDefault="00F615F7">
            <w:pPr>
              <w:widowControl w:val="0"/>
              <w:jc w:val="left"/>
              <w:rPr>
                <w:color w:val="000000"/>
                <w:sz w:val="20"/>
                <w:szCs w:val="20"/>
              </w:rPr>
            </w:pPr>
            <w:r>
              <w:rPr>
                <w:color w:val="000000"/>
                <w:sz w:val="20"/>
                <w:szCs w:val="20"/>
              </w:rPr>
              <w:t xml:space="preserve">Services mondiaux et soutien des réunions </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3" w14:textId="77777777" w:rsidR="00FB357A" w:rsidRDefault="00F615F7">
            <w:pPr>
              <w:widowControl w:val="0"/>
              <w:jc w:val="right"/>
              <w:rPr>
                <w:color w:val="000000"/>
                <w:sz w:val="20"/>
                <w:szCs w:val="20"/>
              </w:rPr>
            </w:pPr>
            <w:r>
              <w:rPr>
                <w:color w:val="000000"/>
                <w:sz w:val="20"/>
                <w:szCs w:val="20"/>
              </w:rPr>
              <w:t>855 000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4" w14:textId="77777777" w:rsidR="00FB357A" w:rsidRDefault="00F615F7">
            <w:pPr>
              <w:widowControl w:val="0"/>
              <w:jc w:val="right"/>
              <w:rPr>
                <w:color w:val="000000"/>
                <w:sz w:val="20"/>
                <w:szCs w:val="20"/>
              </w:rPr>
            </w:pPr>
            <w:r>
              <w:rPr>
                <w:sz w:val="20"/>
                <w:szCs w:val="20"/>
              </w:rPr>
              <w:t>614 857</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5" w14:textId="77777777" w:rsidR="00FB357A" w:rsidRDefault="00F615F7">
            <w:pPr>
              <w:widowControl w:val="0"/>
              <w:jc w:val="right"/>
              <w:rPr>
                <w:color w:val="000000"/>
                <w:sz w:val="20"/>
                <w:szCs w:val="20"/>
              </w:rPr>
            </w:pPr>
            <w:r>
              <w:rPr>
                <w:sz w:val="20"/>
                <w:szCs w:val="20"/>
              </w:rPr>
              <w:t>240 143</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6" w14:textId="77777777" w:rsidR="00FB357A" w:rsidRDefault="00F615F7">
            <w:pPr>
              <w:widowControl w:val="0"/>
              <w:jc w:val="right"/>
              <w:rPr>
                <w:color w:val="000000"/>
                <w:sz w:val="20"/>
                <w:szCs w:val="20"/>
              </w:rPr>
            </w:pPr>
            <w:r>
              <w:rPr>
                <w:color w:val="000000"/>
                <w:sz w:val="20"/>
                <w:szCs w:val="20"/>
              </w:rPr>
              <w:t>705 000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7" w14:textId="77777777" w:rsidR="00FB357A" w:rsidRDefault="00F615F7">
            <w:pPr>
              <w:widowControl w:val="0"/>
              <w:jc w:val="right"/>
              <w:rPr>
                <w:color w:val="000000"/>
                <w:sz w:val="20"/>
                <w:szCs w:val="20"/>
              </w:rPr>
            </w:pPr>
            <w:r>
              <w:rPr>
                <w:color w:val="000000"/>
                <w:sz w:val="20"/>
                <w:szCs w:val="20"/>
              </w:rPr>
              <w:t>650 000</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8" w14:textId="77777777" w:rsidR="00FB357A" w:rsidRDefault="00F615F7">
            <w:pPr>
              <w:widowControl w:val="0"/>
              <w:jc w:val="right"/>
              <w:rPr>
                <w:color w:val="000000"/>
                <w:sz w:val="20"/>
                <w:szCs w:val="20"/>
              </w:rPr>
            </w:pPr>
            <w:r>
              <w:rPr>
                <w:color w:val="000000"/>
                <w:sz w:val="20"/>
                <w:szCs w:val="20"/>
              </w:rPr>
              <w:t>555 000</w:t>
            </w:r>
          </w:p>
        </w:tc>
      </w:tr>
      <w:tr w:rsidR="00FB357A" w14:paraId="1D74D081" w14:textId="77777777" w:rsidTr="00807029">
        <w:trPr>
          <w:trHeight w:val="461"/>
        </w:trPr>
        <w:tc>
          <w:tcPr>
            <w:tcW w:w="2028" w:type="dxa"/>
            <w:tcBorders>
              <w:top w:val="single" w:sz="4" w:space="0" w:color="000000"/>
              <w:left w:val="single" w:sz="4" w:space="0" w:color="000000"/>
              <w:bottom w:val="single" w:sz="4" w:space="0" w:color="000000"/>
              <w:right w:val="single" w:sz="4" w:space="0" w:color="000000"/>
            </w:tcBorders>
          </w:tcPr>
          <w:p w14:paraId="1D74D07A" w14:textId="77777777" w:rsidR="00FB357A" w:rsidRDefault="00F615F7">
            <w:pPr>
              <w:widowControl w:val="0"/>
              <w:jc w:val="left"/>
              <w:rPr>
                <w:color w:val="000000"/>
                <w:sz w:val="20"/>
                <w:szCs w:val="20"/>
              </w:rPr>
            </w:pPr>
            <w:r>
              <w:rPr>
                <w:color w:val="000000"/>
                <w:sz w:val="20"/>
                <w:szCs w:val="20"/>
              </w:rPr>
              <w:t xml:space="preserve">Locaux et équipements </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B" w14:textId="77777777" w:rsidR="00FB357A" w:rsidRDefault="00F615F7">
            <w:pPr>
              <w:widowControl w:val="0"/>
              <w:jc w:val="right"/>
              <w:rPr>
                <w:color w:val="000000"/>
                <w:sz w:val="20"/>
                <w:szCs w:val="20"/>
                <w:highlight w:val="yellow"/>
              </w:rPr>
            </w:pPr>
            <w:r>
              <w:rPr>
                <w:color w:val="000000"/>
                <w:sz w:val="20"/>
                <w:szCs w:val="20"/>
              </w:rPr>
              <w:t>590 000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C" w14:textId="77777777" w:rsidR="00FB357A" w:rsidRDefault="00F615F7">
            <w:pPr>
              <w:widowControl w:val="0"/>
              <w:jc w:val="right"/>
              <w:rPr>
                <w:color w:val="000000"/>
                <w:sz w:val="20"/>
                <w:szCs w:val="20"/>
                <w:highlight w:val="yellow"/>
              </w:rPr>
            </w:pPr>
            <w:r>
              <w:rPr>
                <w:sz w:val="20"/>
                <w:szCs w:val="20"/>
              </w:rPr>
              <w:t>475 019</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D" w14:textId="77777777" w:rsidR="00FB357A" w:rsidRDefault="00F615F7">
            <w:pPr>
              <w:widowControl w:val="0"/>
              <w:jc w:val="right"/>
              <w:rPr>
                <w:color w:val="000000"/>
                <w:sz w:val="20"/>
                <w:szCs w:val="20"/>
                <w:highlight w:val="yellow"/>
              </w:rPr>
            </w:pPr>
            <w:r>
              <w:rPr>
                <w:sz w:val="20"/>
                <w:szCs w:val="20"/>
              </w:rPr>
              <w:t>114 981</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E" w14:textId="77777777" w:rsidR="00FB357A" w:rsidRDefault="00F615F7">
            <w:pPr>
              <w:widowControl w:val="0"/>
              <w:jc w:val="right"/>
              <w:rPr>
                <w:color w:val="000000"/>
                <w:sz w:val="20"/>
                <w:szCs w:val="20"/>
                <w:highlight w:val="yellow"/>
              </w:rPr>
            </w:pPr>
            <w:r>
              <w:rPr>
                <w:color w:val="000000"/>
                <w:sz w:val="20"/>
                <w:szCs w:val="20"/>
              </w:rPr>
              <w:t>590 000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7F" w14:textId="77777777" w:rsidR="00FB357A" w:rsidRDefault="00F615F7">
            <w:pPr>
              <w:widowControl w:val="0"/>
              <w:jc w:val="right"/>
              <w:rPr>
                <w:color w:val="000000"/>
                <w:sz w:val="20"/>
                <w:szCs w:val="20"/>
                <w:highlight w:val="yellow"/>
              </w:rPr>
            </w:pPr>
            <w:r>
              <w:rPr>
                <w:color w:val="000000"/>
                <w:sz w:val="20"/>
                <w:szCs w:val="20"/>
              </w:rPr>
              <w:t>550 000</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0" w14:textId="77777777" w:rsidR="00FB357A" w:rsidRDefault="00F615F7">
            <w:pPr>
              <w:widowControl w:val="0"/>
              <w:jc w:val="right"/>
              <w:rPr>
                <w:color w:val="000000"/>
                <w:sz w:val="20"/>
                <w:szCs w:val="20"/>
              </w:rPr>
            </w:pPr>
            <w:r>
              <w:rPr>
                <w:color w:val="000000"/>
                <w:sz w:val="20"/>
                <w:szCs w:val="20"/>
              </w:rPr>
              <w:t>590 000</w:t>
            </w:r>
          </w:p>
        </w:tc>
      </w:tr>
      <w:tr w:rsidR="00FB357A" w14:paraId="1D74D089" w14:textId="77777777" w:rsidTr="00807029">
        <w:trPr>
          <w:trHeight w:val="232"/>
        </w:trPr>
        <w:tc>
          <w:tcPr>
            <w:tcW w:w="2028" w:type="dxa"/>
            <w:tcBorders>
              <w:top w:val="single" w:sz="4" w:space="0" w:color="000000"/>
              <w:left w:val="single" w:sz="4" w:space="0" w:color="000000"/>
              <w:bottom w:val="single" w:sz="4" w:space="0" w:color="000000"/>
              <w:right w:val="single" w:sz="4" w:space="0" w:color="000000"/>
            </w:tcBorders>
          </w:tcPr>
          <w:p w14:paraId="1D74D082" w14:textId="77777777" w:rsidR="00FB357A" w:rsidRDefault="00F615F7">
            <w:pPr>
              <w:widowControl w:val="0"/>
              <w:jc w:val="left"/>
              <w:rPr>
                <w:b/>
                <w:color w:val="000000"/>
                <w:sz w:val="20"/>
                <w:szCs w:val="20"/>
              </w:rPr>
            </w:pPr>
            <w:r>
              <w:rPr>
                <w:b/>
                <w:color w:val="000000"/>
                <w:sz w:val="20"/>
                <w:szCs w:val="20"/>
              </w:rPr>
              <w:t xml:space="preserve">Sous-total </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3" w14:textId="77777777" w:rsidR="00FB357A" w:rsidRDefault="00F615F7">
            <w:pPr>
              <w:widowControl w:val="0"/>
              <w:jc w:val="right"/>
              <w:rPr>
                <w:b/>
                <w:bCs/>
                <w:color w:val="000000"/>
                <w:sz w:val="20"/>
                <w:szCs w:val="20"/>
                <w:highlight w:val="yellow"/>
              </w:rPr>
            </w:pPr>
            <w:r>
              <w:rPr>
                <w:b/>
                <w:bCs/>
                <w:color w:val="000000"/>
                <w:sz w:val="20"/>
                <w:szCs w:val="20"/>
              </w:rPr>
              <w:t>11 191 331</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4" w14:textId="77777777" w:rsidR="00FB357A" w:rsidRDefault="00F615F7">
            <w:pPr>
              <w:widowControl w:val="0"/>
              <w:jc w:val="right"/>
              <w:rPr>
                <w:b/>
                <w:bCs/>
                <w:color w:val="000000"/>
                <w:sz w:val="20"/>
                <w:szCs w:val="20"/>
                <w:highlight w:val="yellow"/>
              </w:rPr>
            </w:pPr>
            <w:r>
              <w:rPr>
                <w:b/>
                <w:bCs/>
                <w:color w:val="000000"/>
                <w:sz w:val="20"/>
                <w:szCs w:val="20"/>
              </w:rPr>
              <w:t>10 454 291</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5" w14:textId="77777777" w:rsidR="00FB357A" w:rsidRDefault="00F615F7">
            <w:pPr>
              <w:widowControl w:val="0"/>
              <w:jc w:val="right"/>
              <w:rPr>
                <w:b/>
                <w:bCs/>
                <w:sz w:val="20"/>
                <w:szCs w:val="20"/>
                <w:highlight w:val="yellow"/>
              </w:rPr>
            </w:pPr>
            <w:r>
              <w:rPr>
                <w:b/>
                <w:bCs/>
                <w:color w:val="000000"/>
                <w:sz w:val="20"/>
                <w:szCs w:val="20"/>
              </w:rPr>
              <w:t>737 040</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6" w14:textId="77777777" w:rsidR="00FB357A" w:rsidRDefault="00F615F7">
            <w:pPr>
              <w:widowControl w:val="0"/>
              <w:jc w:val="right"/>
              <w:rPr>
                <w:b/>
                <w:bCs/>
                <w:color w:val="000000"/>
                <w:sz w:val="20"/>
                <w:szCs w:val="20"/>
                <w:highlight w:val="yellow"/>
              </w:rPr>
            </w:pPr>
            <w:r>
              <w:rPr>
                <w:b/>
                <w:bCs/>
                <w:color w:val="000000"/>
                <w:sz w:val="20"/>
                <w:szCs w:val="20"/>
              </w:rPr>
              <w:t>11 276 967</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7" w14:textId="77777777" w:rsidR="00FB357A" w:rsidRDefault="00F615F7">
            <w:pPr>
              <w:jc w:val="right"/>
              <w:rPr>
                <w:b/>
                <w:bCs/>
                <w:color w:val="000000"/>
                <w:sz w:val="20"/>
                <w:szCs w:val="20"/>
                <w:highlight w:val="yellow"/>
              </w:rPr>
            </w:pPr>
            <w:r>
              <w:rPr>
                <w:b/>
                <w:bCs/>
                <w:color w:val="000000"/>
                <w:sz w:val="20"/>
                <w:szCs w:val="20"/>
              </w:rPr>
              <w:t>10 981 800</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8" w14:textId="77777777" w:rsidR="00FB357A" w:rsidRDefault="00F615F7">
            <w:pPr>
              <w:jc w:val="right"/>
              <w:rPr>
                <w:b/>
                <w:bCs/>
                <w:color w:val="000000"/>
                <w:sz w:val="20"/>
                <w:szCs w:val="20"/>
              </w:rPr>
            </w:pPr>
            <w:r>
              <w:rPr>
                <w:b/>
                <w:bCs/>
                <w:color w:val="000000"/>
                <w:sz w:val="20"/>
                <w:szCs w:val="20"/>
              </w:rPr>
              <w:t>11 419 783</w:t>
            </w:r>
          </w:p>
        </w:tc>
      </w:tr>
      <w:tr w:rsidR="00FB357A" w14:paraId="1D74D092" w14:textId="77777777" w:rsidTr="00807029">
        <w:trPr>
          <w:trHeight w:val="476"/>
        </w:trPr>
        <w:tc>
          <w:tcPr>
            <w:tcW w:w="2028" w:type="dxa"/>
            <w:tcBorders>
              <w:top w:val="single" w:sz="4" w:space="0" w:color="000000"/>
              <w:left w:val="single" w:sz="4" w:space="0" w:color="000000"/>
              <w:bottom w:val="single" w:sz="4" w:space="0" w:color="000000"/>
              <w:right w:val="single" w:sz="4" w:space="0" w:color="000000"/>
            </w:tcBorders>
          </w:tcPr>
          <w:p w14:paraId="1D74D08A" w14:textId="77777777" w:rsidR="00FB357A" w:rsidRDefault="00F615F7">
            <w:pPr>
              <w:widowControl w:val="0"/>
              <w:jc w:val="left"/>
              <w:rPr>
                <w:color w:val="000000"/>
                <w:sz w:val="20"/>
                <w:szCs w:val="20"/>
              </w:rPr>
            </w:pPr>
            <w:r>
              <w:rPr>
                <w:color w:val="000000"/>
                <w:sz w:val="20"/>
                <w:szCs w:val="20"/>
              </w:rPr>
              <w:t>Coûts d’appui au programme</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B" w14:textId="77777777" w:rsidR="00FB357A" w:rsidRDefault="00F615F7">
            <w:pPr>
              <w:widowControl w:val="0"/>
              <w:jc w:val="right"/>
              <w:rPr>
                <w:color w:val="000000"/>
                <w:sz w:val="20"/>
                <w:szCs w:val="20"/>
                <w:highlight w:val="yellow"/>
              </w:rPr>
            </w:pPr>
            <w:r>
              <w:rPr>
                <w:color w:val="000000"/>
                <w:sz w:val="20"/>
                <w:szCs w:val="20"/>
              </w:rPr>
              <w:t>895 306</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C" w14:textId="77777777" w:rsidR="00FB357A" w:rsidRDefault="00F615F7">
            <w:pPr>
              <w:widowControl w:val="0"/>
              <w:jc w:val="right"/>
              <w:rPr>
                <w:color w:val="000000"/>
                <w:sz w:val="20"/>
                <w:szCs w:val="20"/>
                <w:highlight w:val="yellow"/>
              </w:rPr>
            </w:pPr>
            <w:r>
              <w:rPr>
                <w:color w:val="000000"/>
                <w:sz w:val="20"/>
                <w:szCs w:val="20"/>
              </w:rPr>
              <w:t>836 343</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D" w14:textId="77777777" w:rsidR="00FB357A" w:rsidRDefault="00F615F7">
            <w:pPr>
              <w:widowControl w:val="0"/>
              <w:jc w:val="right"/>
              <w:rPr>
                <w:color w:val="000000"/>
                <w:sz w:val="20"/>
                <w:szCs w:val="20"/>
                <w:highlight w:val="yellow"/>
              </w:rPr>
            </w:pPr>
            <w:r>
              <w:rPr>
                <w:color w:val="000000"/>
                <w:sz w:val="20"/>
                <w:szCs w:val="20"/>
              </w:rPr>
              <w:t>58 963</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E" w14:textId="77777777" w:rsidR="00FB357A" w:rsidRDefault="00F615F7">
            <w:pPr>
              <w:widowControl w:val="0"/>
              <w:jc w:val="right"/>
              <w:rPr>
                <w:color w:val="000000"/>
                <w:sz w:val="20"/>
                <w:szCs w:val="20"/>
                <w:highlight w:val="yellow"/>
              </w:rPr>
            </w:pPr>
            <w:r>
              <w:rPr>
                <w:color w:val="000000"/>
                <w:sz w:val="20"/>
                <w:szCs w:val="20"/>
              </w:rPr>
              <w:t>902 157</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8F" w14:textId="77777777" w:rsidR="00FB357A" w:rsidRDefault="00F615F7">
            <w:pPr>
              <w:jc w:val="right"/>
              <w:rPr>
                <w:color w:val="000000"/>
                <w:sz w:val="20"/>
                <w:szCs w:val="20"/>
                <w:highlight w:val="yellow"/>
              </w:rPr>
            </w:pPr>
            <w:r>
              <w:rPr>
                <w:color w:val="000000"/>
                <w:sz w:val="20"/>
                <w:szCs w:val="20"/>
              </w:rPr>
              <w:t>878 544</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0" w14:textId="77777777" w:rsidR="00FB357A" w:rsidRDefault="00F615F7">
            <w:pPr>
              <w:jc w:val="right"/>
              <w:rPr>
                <w:color w:val="000000"/>
                <w:sz w:val="20"/>
                <w:szCs w:val="20"/>
              </w:rPr>
            </w:pPr>
            <w:r>
              <w:rPr>
                <w:color w:val="000000"/>
                <w:sz w:val="20"/>
                <w:szCs w:val="20"/>
              </w:rPr>
              <w:t>913 583</w:t>
            </w:r>
          </w:p>
          <w:p w14:paraId="1D74D091" w14:textId="77777777" w:rsidR="00FB357A" w:rsidRDefault="00FB357A">
            <w:pPr>
              <w:widowControl w:val="0"/>
              <w:jc w:val="right"/>
              <w:rPr>
                <w:color w:val="000000"/>
                <w:sz w:val="20"/>
                <w:szCs w:val="20"/>
                <w:highlight w:val="yellow"/>
                <w:lang w:eastAsia="en-GB"/>
              </w:rPr>
            </w:pPr>
          </w:p>
        </w:tc>
      </w:tr>
      <w:tr w:rsidR="00FB357A" w14:paraId="1D74D09A" w14:textId="77777777" w:rsidTr="00807029">
        <w:trPr>
          <w:trHeight w:val="71"/>
        </w:trPr>
        <w:tc>
          <w:tcPr>
            <w:tcW w:w="2028" w:type="dxa"/>
            <w:tcBorders>
              <w:top w:val="single" w:sz="4" w:space="0" w:color="000000"/>
              <w:left w:val="single" w:sz="4" w:space="0" w:color="000000"/>
              <w:bottom w:val="single" w:sz="4" w:space="0" w:color="000000"/>
              <w:right w:val="single" w:sz="4" w:space="0" w:color="000000"/>
            </w:tcBorders>
          </w:tcPr>
          <w:p w14:paraId="1D74D093" w14:textId="77777777" w:rsidR="00FB357A" w:rsidRDefault="00F615F7">
            <w:pPr>
              <w:widowControl w:val="0"/>
              <w:jc w:val="left"/>
              <w:rPr>
                <w:b/>
                <w:color w:val="000000"/>
                <w:sz w:val="20"/>
                <w:szCs w:val="20"/>
              </w:rPr>
            </w:pPr>
            <w:r>
              <w:rPr>
                <w:b/>
                <w:iCs/>
                <w:color w:val="000000"/>
                <w:sz w:val="20"/>
                <w:szCs w:val="20"/>
              </w:rPr>
              <w:t>Total</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4" w14:textId="77777777" w:rsidR="00FB357A" w:rsidRDefault="00F615F7">
            <w:pPr>
              <w:widowControl w:val="0"/>
              <w:jc w:val="right"/>
              <w:rPr>
                <w:b/>
                <w:bCs/>
                <w:color w:val="000000"/>
                <w:sz w:val="20"/>
                <w:szCs w:val="20"/>
                <w:highlight w:val="yellow"/>
              </w:rPr>
            </w:pPr>
            <w:r>
              <w:rPr>
                <w:b/>
                <w:bCs/>
                <w:color w:val="000000"/>
                <w:sz w:val="20"/>
                <w:szCs w:val="20"/>
              </w:rPr>
              <w:t>12 086 637</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5" w14:textId="77777777" w:rsidR="00FB357A" w:rsidRDefault="00F615F7">
            <w:pPr>
              <w:widowControl w:val="0"/>
              <w:jc w:val="right"/>
              <w:rPr>
                <w:b/>
                <w:bCs/>
                <w:color w:val="000000"/>
                <w:sz w:val="20"/>
                <w:szCs w:val="20"/>
                <w:highlight w:val="yellow"/>
              </w:rPr>
            </w:pPr>
            <w:r>
              <w:rPr>
                <w:b/>
                <w:bCs/>
                <w:color w:val="000000"/>
                <w:sz w:val="20"/>
                <w:szCs w:val="20"/>
              </w:rPr>
              <w:t>11 290 634</w:t>
            </w:r>
          </w:p>
        </w:tc>
        <w:tc>
          <w:tcPr>
            <w:tcW w:w="108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6" w14:textId="77777777" w:rsidR="00FB357A" w:rsidRDefault="00F615F7">
            <w:pPr>
              <w:widowControl w:val="0"/>
              <w:jc w:val="right"/>
              <w:rPr>
                <w:b/>
                <w:bCs/>
                <w:color w:val="000000"/>
                <w:sz w:val="20"/>
                <w:szCs w:val="20"/>
                <w:highlight w:val="yellow"/>
              </w:rPr>
            </w:pPr>
            <w:r>
              <w:rPr>
                <w:b/>
                <w:bCs/>
                <w:color w:val="000000"/>
                <w:sz w:val="20"/>
                <w:szCs w:val="20"/>
              </w:rPr>
              <w:t>796 003</w:t>
            </w:r>
            <w:r>
              <w:rPr>
                <w:sz w:val="19"/>
                <w:szCs w:val="19"/>
                <w:vertAlign w:val="superscript"/>
              </w:rPr>
              <w:t>b</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7" w14:textId="77777777" w:rsidR="00FB357A" w:rsidRDefault="00F615F7">
            <w:pPr>
              <w:widowControl w:val="0"/>
              <w:jc w:val="right"/>
              <w:rPr>
                <w:b/>
                <w:bCs/>
                <w:color w:val="000000"/>
                <w:sz w:val="20"/>
                <w:szCs w:val="20"/>
              </w:rPr>
            </w:pPr>
            <w:r>
              <w:rPr>
                <w:b/>
                <w:bCs/>
                <w:color w:val="000000"/>
                <w:sz w:val="20"/>
                <w:szCs w:val="20"/>
              </w:rPr>
              <w:t>12 179 124</w:t>
            </w:r>
          </w:p>
        </w:tc>
        <w:tc>
          <w:tcPr>
            <w:tcW w:w="126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8" w14:textId="77777777" w:rsidR="00FB357A" w:rsidRDefault="00F615F7">
            <w:pPr>
              <w:jc w:val="right"/>
              <w:rPr>
                <w:b/>
                <w:bCs/>
                <w:color w:val="000000"/>
                <w:sz w:val="20"/>
                <w:szCs w:val="20"/>
                <w:highlight w:val="yellow"/>
              </w:rPr>
            </w:pPr>
            <w:r>
              <w:rPr>
                <w:b/>
                <w:bCs/>
                <w:color w:val="000000"/>
                <w:sz w:val="20"/>
                <w:szCs w:val="20"/>
              </w:rPr>
              <w:t>11 860 344</w:t>
            </w:r>
          </w:p>
        </w:tc>
        <w:tc>
          <w:tcPr>
            <w:tcW w:w="1270" w:type="dxa"/>
            <w:tcBorders>
              <w:top w:val="single" w:sz="4" w:space="0" w:color="000000"/>
              <w:left w:val="single" w:sz="4" w:space="0" w:color="000000"/>
              <w:bottom w:val="single" w:sz="4" w:space="0" w:color="000000"/>
              <w:right w:val="single" w:sz="4" w:space="0" w:color="000000"/>
            </w:tcBorders>
            <w:tcMar>
              <w:left w:w="115" w:type="dxa"/>
              <w:right w:w="173" w:type="dxa"/>
            </w:tcMar>
          </w:tcPr>
          <w:p w14:paraId="1D74D099" w14:textId="77777777" w:rsidR="00FB357A" w:rsidRDefault="00F615F7">
            <w:pPr>
              <w:jc w:val="right"/>
              <w:rPr>
                <w:b/>
                <w:bCs/>
                <w:color w:val="000000"/>
                <w:sz w:val="20"/>
                <w:szCs w:val="20"/>
                <w:highlight w:val="yellow"/>
              </w:rPr>
            </w:pPr>
            <w:r>
              <w:rPr>
                <w:b/>
                <w:bCs/>
                <w:color w:val="000000"/>
                <w:sz w:val="20"/>
                <w:szCs w:val="20"/>
              </w:rPr>
              <w:t>12 333 366</w:t>
            </w:r>
          </w:p>
        </w:tc>
      </w:tr>
    </w:tbl>
    <w:p w14:paraId="1D74D09B" w14:textId="77777777" w:rsidR="00FB357A" w:rsidRDefault="00F615F7">
      <w:pPr>
        <w:widowControl w:val="0"/>
        <w:rPr>
          <w:sz w:val="19"/>
          <w:szCs w:val="19"/>
        </w:rPr>
      </w:pPr>
      <w:r>
        <w:rPr>
          <w:sz w:val="19"/>
          <w:szCs w:val="19"/>
          <w:vertAlign w:val="superscript"/>
        </w:rPr>
        <w:t>a</w:t>
      </w:r>
      <w:r>
        <w:rPr>
          <w:sz w:val="19"/>
          <w:szCs w:val="19"/>
        </w:rPr>
        <w:t xml:space="preserve"> Dépenses estimées en date du 31 décembre 2026.</w:t>
      </w:r>
    </w:p>
    <w:p w14:paraId="1D74D09C" w14:textId="77777777" w:rsidR="00FB357A" w:rsidRDefault="00F615F7">
      <w:pPr>
        <w:widowControl w:val="0"/>
        <w:rPr>
          <w:sz w:val="19"/>
          <w:vertAlign w:val="superscript"/>
        </w:rPr>
      </w:pPr>
      <w:r>
        <w:rPr>
          <w:sz w:val="19"/>
          <w:szCs w:val="19"/>
          <w:vertAlign w:val="superscript"/>
        </w:rPr>
        <w:t>b</w:t>
      </w:r>
      <w:r>
        <w:rPr>
          <w:sz w:val="19"/>
          <w:szCs w:val="19"/>
        </w:rPr>
        <w:t xml:space="preserve"> </w:t>
      </w:r>
      <w:r>
        <w:rPr>
          <w:sz w:val="19"/>
        </w:rPr>
        <w:t>Solde restitué à la 99</w:t>
      </w:r>
      <w:r>
        <w:rPr>
          <w:sz w:val="19"/>
          <w:vertAlign w:val="superscript"/>
        </w:rPr>
        <w:t>e</w:t>
      </w:r>
      <w:r>
        <w:rPr>
          <w:sz w:val="19"/>
        </w:rPr>
        <w:t xml:space="preserve"> réunion. </w:t>
      </w:r>
    </w:p>
    <w:p w14:paraId="1D74D09D" w14:textId="77777777" w:rsidR="00FB357A" w:rsidRDefault="00F615F7">
      <w:pPr>
        <w:pStyle w:val="Heading1"/>
        <w:widowControl w:val="0"/>
        <w:spacing w:before="240"/>
      </w:pPr>
      <w:bookmarkStart w:id="0" w:name="_Hlk182338250"/>
      <w:r>
        <w:t>Sur la somme de 11 191 331 $US, plus les coûts d’appui d’agence de 895 306 $US, approuvée pour le budget du PAC pour 2025, le PNUE a restitué à la 99</w:t>
      </w:r>
      <w:r>
        <w:rPr>
          <w:vertAlign w:val="superscript"/>
        </w:rPr>
        <w:t>e</w:t>
      </w:r>
      <w:r>
        <w:t> réunion 737 040 $US en coûts de projet, plus des coûts d’appui d’agence de 58 963 $US, conformément à la décision 35/36 d). Cette restitution est comprise dans le document Rapport sur les soldes et la disponibilité des ressources</w:t>
      </w:r>
      <w:r>
        <w:rPr>
          <w:rStyle w:val="FootnoteReference"/>
          <w:lang w:val="en-US"/>
        </w:rPr>
        <w:footnoteReference w:id="17"/>
      </w:r>
      <w:r>
        <w:t xml:space="preserve">. </w:t>
      </w:r>
      <w:bookmarkEnd w:id="0"/>
      <w:r>
        <w:t xml:space="preserve">La plupart des soldes </w:t>
      </w:r>
      <w:r>
        <w:lastRenderedPageBreak/>
        <w:t>qui sont restitués concernent des activités et réunions régionales, ainsi que les services mondiaux et le soutien des réunions.</w:t>
      </w:r>
    </w:p>
    <w:p w14:paraId="1D74D09E" w14:textId="77777777" w:rsidR="00FB357A" w:rsidRDefault="00F615F7">
      <w:pPr>
        <w:pStyle w:val="Heading1"/>
        <w:keepNext/>
        <w:numPr>
          <w:ilvl w:val="0"/>
          <w:numId w:val="0"/>
        </w:numPr>
        <w:jc w:val="center"/>
        <w:rPr>
          <w:b/>
        </w:rPr>
      </w:pPr>
      <w:r>
        <w:rPr>
          <w:b/>
        </w:rPr>
        <w:t>OBSERVATIONS ET RECOMMANDATION DU SECRÉTARIAT</w:t>
      </w:r>
    </w:p>
    <w:p w14:paraId="1D74D09F" w14:textId="77777777" w:rsidR="00FB357A" w:rsidRDefault="00F615F7">
      <w:pPr>
        <w:keepNext/>
        <w:spacing w:after="240"/>
        <w:jc w:val="left"/>
        <w:rPr>
          <w:sz w:val="24"/>
          <w:szCs w:val="24"/>
        </w:rPr>
      </w:pPr>
      <w:r>
        <w:rPr>
          <w:b/>
          <w:sz w:val="24"/>
          <w:szCs w:val="24"/>
        </w:rPr>
        <w:t>Commentaires</w:t>
      </w:r>
    </w:p>
    <w:p w14:paraId="1D74D0A0" w14:textId="77777777" w:rsidR="00FB357A" w:rsidRDefault="00F615F7">
      <w:pPr>
        <w:numPr>
          <w:ilvl w:val="0"/>
          <w:numId w:val="1"/>
        </w:numPr>
        <w:spacing w:after="240"/>
        <w:outlineLvl w:val="0"/>
      </w:pPr>
      <w:r>
        <w:t>Le Secrétariat a examiné la soumission du programme de travail et du budget du PAC, ainsi que les changements apportés au budget pour le programme et le personnel, en accord avec la décision 97/85 d)</w:t>
      </w:r>
      <w:r>
        <w:rPr>
          <w:rStyle w:val="FootnoteReference"/>
        </w:rPr>
        <w:footnoteReference w:id="18"/>
      </w:r>
      <w:r>
        <w:t>, en tenant compte de la structure globale du PAC, de ses opérations, de sa structure régionale et d’autres décisions pertinentes.</w:t>
      </w:r>
    </w:p>
    <w:p w14:paraId="1D74D0A1" w14:textId="57F085FA" w:rsidR="00FB357A" w:rsidRDefault="00F615F7">
      <w:pPr>
        <w:numPr>
          <w:ilvl w:val="0"/>
          <w:numId w:val="1"/>
        </w:numPr>
        <w:spacing w:before="240" w:after="240"/>
        <w:outlineLvl w:val="0"/>
      </w:pPr>
      <w:r>
        <w:t>Le Secrétariat a demandé quels ont été les remaniements introduits dans la stratégie du PAC pour la période 2027-2029 qui sont le résultat de vastes consultations et de l’examen approfondi entrepris concernant la mise en œuvre de la stratégie pour 2024-2026. Le PNUE a indiqué que l’examen et les consultations avaient conclu que le modèle de prestation des services essentiels demeure efficace et pertinent, particulièrement ses réseaux régionaux, son aide à la conformité, son soutien à l’accroissement de la capacité, et les activités de coopération Sud-</w:t>
      </w:r>
      <w:r w:rsidR="00807029">
        <w:t>s</w:t>
      </w:r>
      <w:r>
        <w:t>ud. Toutefois, les parties prenantes ont relevé la nécessité d’insister davantage sur la durabilité, particulièrement dans la préparation de l’élimination des HCFC de 2030 et de la mise en œuvre des KIP. Les principales recommandations comprenaient l’idée de passer d’une approche axée sur les projets vers un modèle de conformité davantage fondé sur le système, d’élargir le soutien pour les systèmes d’octroi de permis et de quotas pour les HFC, d’améliorer la gestion des données et les outils numériques, de renforcer la capacité institutionnelle au sein des UNO, d’améliorer la fonction de centre d’échange d’informations du PNUE grâce à des conseils et à des produits de savoir plus normalisés, et de fournir du soutien supplémentaire dans des domaines comme la gestion du cycle de vie des frigorigènes, le refroidissement durable, la climatisation mobile, l’efficacité énergétique et la certification des techniciens. La stratégie pour la période 2027-2029 reflète donc ces ajustements et représente une évolution, plutôt qu’une restructuration fondamentale du PAC, avec un accent plus important sur la durabilité de la conformité, sur la résilience institutionnelle, sur la numérisation et sur les priorités émergentes de l’Amendement de Kigali.</w:t>
      </w:r>
    </w:p>
    <w:p w14:paraId="1D74D0A2" w14:textId="77777777" w:rsidR="00FB357A" w:rsidRDefault="00F615F7">
      <w:pPr>
        <w:numPr>
          <w:ilvl w:val="0"/>
          <w:numId w:val="1"/>
        </w:numPr>
        <w:spacing w:before="240" w:after="240"/>
        <w:outlineLvl w:val="0"/>
      </w:pPr>
      <w:r>
        <w:t xml:space="preserve">À la question visant à savoir si le PAC utilise une méthodologie commune entre les régions pour évaluer les risques de conformité, la mise en œuvre des politiques, le commerce illégal et les difficultés techniques dans les pays visés à l’article 5, et de quelle manière les équipes régionales coordonnent et suivent les mesures de suivi, le PNUE a répondu que les équipes régionales du PAC utilisent une approche harmonisée fondée sur les exigences en matière de rapport du Protocole de Montréal, sur les décisions du Comité exécutif et sur les méthodologies du PAC. Elles évaluent la conformité en utilisant les données exigées en vertu de l’article 7 et relatives au programme du pays, les tendances de consommation, les systèmes d’octroi de permis et de quotas, l’évolution des projets et l’engagement régulier auprès des UNO. Les risques de conformité et les enjeux émergents sont surveillés grâce à des évaluations des pays, à des réunions de réseau, à des missions, à des consultations et à des analyses des développements en matière de politiques, de règlementations et de commerce illégal. Les équipes régionales échangent des renseignements et des pratiques exemplaires grâce à une planification commune, à des processus de production de rapport, à des échanges interrégionaux, à des réunions conjointes et à des webinaires, tout en adaptant le soutien aux contextes locaux. Les renseignements rassemblés sont utilisés pour repérer </w:t>
      </w:r>
      <w:r>
        <w:lastRenderedPageBreak/>
        <w:t>rapidement les risques de conformité et concevoir des interventions ciblées afin de remédier aux lacunes règlementaires, techniques et d’application de la loi.</w:t>
      </w:r>
    </w:p>
    <w:p w14:paraId="1D74D0A3" w14:textId="77777777" w:rsidR="00FB357A" w:rsidRDefault="00F615F7">
      <w:pPr>
        <w:numPr>
          <w:ilvl w:val="0"/>
          <w:numId w:val="1"/>
        </w:numPr>
        <w:spacing w:before="240" w:after="240"/>
        <w:outlineLvl w:val="0"/>
      </w:pPr>
      <w:r>
        <w:t>Le Secrétariat a également posé des questions sur la manière dont les recommandations de l’évaluation continue du PAC seront intégrées dans la stratégie du PAC pour la période 2027-2029. Le PNUE a répondu qu’OzonAction passera en revue les constats de l’évaluation lorsqu’ils seront disponibles et intègrera les recommandations pertinentes aux plans de travail du PAC pour 2028 et 2029. Cela permettra de corriger les priorités, les approches et la prestation de service au besoin, tout en maintenant le soutien aux pays visés à l’article 5 et en abordant les besoins évolutifs en matière de conformité.</w:t>
      </w:r>
    </w:p>
    <w:p w14:paraId="1D74D0A4" w14:textId="77777777" w:rsidR="00FB357A" w:rsidRDefault="00F615F7">
      <w:pPr>
        <w:numPr>
          <w:ilvl w:val="0"/>
          <w:numId w:val="1"/>
        </w:numPr>
        <w:spacing w:before="240" w:after="240"/>
        <w:outlineLvl w:val="0"/>
      </w:pPr>
      <w:r>
        <w:t xml:space="preserve">Le Secrétariat a demandé des renseignements sur l’une des activités qui soutiennent les PFV dans la mise en œuvre de l’Amendement de Kigali qui implique un projet pilote en cours de mise en œuvre à Cabo Verde. La question faisait référence à la manière dont la sécurité accrue au travail pour les frigorigènes inflammables, toxiques et sous haute pression sera reproduite au-delà du projet pilote et intégrée dans les codes de bonnes pratiques et les systèmes de certification nationaux. Le PNUE a indiqué que le projet pilote teste une approche pratique et adaptable pour gérer les risques de sécurité susmentionnés associés aux frigorigènes à faible PRP. L’initiative repère des lacunes dans la formation, la certification, les règlementations, les équipements et les pratiques de sécurité, et elle développe des outils, comme une trousse à outils de diagnostic, un registre des techniciens et des mécanismes de production de rapports pour y remédier. Les leçons retenues éclaireront le développement de modules de formation normalisés, de programmes de formation des formateurs, de reconnaissance des apprentissages antérieurs pour les techniciens du secteur informel et l’intégration des exigences en matière de sécurité au travail dans la certification des techniciens, les systèmes d’octroi de permis et les KIP. Les résultats seront regroupés en un cadre sur la sécurité dans le secteur de la réfrigération et de la climatisation pour l’Afrique, qui fournira des conseils et une feuille de route de reproduction, que d’autres PFV peuvent adapter selon leurs contextes nationaux. </w:t>
      </w:r>
    </w:p>
    <w:p w14:paraId="1D74D0A5" w14:textId="77777777" w:rsidR="00FB357A" w:rsidRDefault="00F615F7">
      <w:pPr>
        <w:numPr>
          <w:ilvl w:val="0"/>
          <w:numId w:val="1"/>
        </w:numPr>
        <w:spacing w:before="240" w:after="240"/>
        <w:outlineLvl w:val="0"/>
      </w:pPr>
      <w:r>
        <w:t>En réponse à la demande du Secrétariat sur l’absence apparente de programme de permis de conduire des véhicules transportant des frigorigènes (RDL) dans la stratégie du PAC pour la période 2027-2029, le PNUE a précisé qu’il n’avait pas été interrompu. L’initiative a établi et mis à l’essai avec succès un cadre de compétences reconnu mondialement pour les techniciens en chauffage, ventilation, climatisation et réfrigération dans six pays de différentes régions, mais l’expérience a montré qu’un régime international de certification géré de façon centrale est souvent trop complexe et exige beaucoup de ressources pour une adoption généralisée. Par conséquent, le PNUE a achevé la phase de développement du RDL et, avec l’Air Conditioning and Refrigeration European Association [Association européenne de la climatisation et de la réfrigération], a converti son cadre de travail, ses outils et ses ressources en une trousse à outils modulaire que les pays peuvent utiliser pour élaborer ou renforcer leurs propres systèmes de qualification et de certification des techniciens, et les adapter aux besoins règlementaires et institutionnels locaux.</w:t>
      </w:r>
    </w:p>
    <w:p w14:paraId="1D74D0A6" w14:textId="77777777" w:rsidR="00FB357A" w:rsidRDefault="00F615F7">
      <w:pPr>
        <w:rPr>
          <w:i/>
          <w:iCs/>
        </w:rPr>
      </w:pPr>
      <w:r>
        <w:rPr>
          <w:i/>
          <w:iCs/>
        </w:rPr>
        <w:t>Budget demandé pour le PAC de 2027</w:t>
      </w:r>
    </w:p>
    <w:p w14:paraId="1D74D0A7" w14:textId="77777777" w:rsidR="00FB357A" w:rsidRDefault="00FB357A">
      <w:pPr>
        <w:rPr>
          <w:i/>
          <w:iCs/>
        </w:rPr>
      </w:pPr>
    </w:p>
    <w:p w14:paraId="1D74D0A8" w14:textId="77777777" w:rsidR="00FB357A" w:rsidRDefault="00F615F7">
      <w:pPr>
        <w:pStyle w:val="Heading1"/>
      </w:pPr>
      <w:r>
        <w:t xml:space="preserve">En ce qui concerne le budget pour 2027, le Secrétariat a demandé des précisions sur certains des éléments compris dans la soumission. Au sujet des causes de la hausse de 8,75 % (50 000 $US) dans le budget pour les coûts de déplacement, le PNUE a expliqué que l’augmentation est prévue pour appuyer une plus grande assistance directe aux pays visés à l’article 5 pendant la période critique de 2027-2029 qui précède la date limite d’élimination des HCFC de 2030 et des jalons majeurs en matière de conformité à l’Amendement de Kigali. Des ressources supplémentaires pour les déplacements permettront au personnel du PAC de fournir un appui dans plus de pays pour la gestion du quota résiduel d’entretien pour les HCFC, les systèmes d’octroi de permis et de quotas pour les HFC, la vérification des HFC, la mise en œuvre des KIP, la gestion du cycle de vie des frigorigènes et le renforcement institutionnel. Cette hausse permet aussi au PAC de répondre aux demandes de pays qui ont besoin d’une assistance pratique, particulièrement ceux </w:t>
      </w:r>
      <w:r>
        <w:lastRenderedPageBreak/>
        <w:t>qui font face à des risques de conformité, au roulement de personnel au sein des UNO et à de nouveaux défis règlementaires et de production de rapports.</w:t>
      </w:r>
    </w:p>
    <w:p w14:paraId="1D74D0A9" w14:textId="77777777" w:rsidR="00FB357A" w:rsidRDefault="00F615F7">
      <w:pPr>
        <w:pStyle w:val="Heading1"/>
      </w:pPr>
      <w:r>
        <w:t>En ce qui concerne la baisse de la ligne budgétaire pour la traduction et la vulgarisation de 160 000 $US à 100 000 $US ainsi que de l’introduction d’une nouvelle ligne budgétaire de soutien pour la numérisation de 60 000 $US, le PNUE a précisé que la baisse ne reflète pas une diminution pour les activités de communications, de partage des connaissances ou de traduction. Elle reflète plutôt une transition du partage d’information au moyen de documents imprimés et d’évènements vers des plateformes numériques plus rentables, des outils d’apprentissage en ligne et des référentiels électroniques de connaissance, tout en maintenant le contrôle de qualité sur les produits traduits et de communication. La nouvelle ligne budgétaire de soutien à la numérisation répond à une demande croissante des pays visés à l’article 5 afin de disposer de solutions numériques et elle appuiera des activités, comme la sensibilisation aux outils numériques et aux initiatives pilotes pour élaborer ou améliorer les systèmes électroniques de gestion des permis et des quotas.</w:t>
      </w:r>
    </w:p>
    <w:p w14:paraId="1D74D0AA" w14:textId="77777777" w:rsidR="00FB357A" w:rsidRDefault="00F615F7">
      <w:pPr>
        <w:rPr>
          <w:i/>
          <w:iCs/>
        </w:rPr>
      </w:pPr>
      <w:r>
        <w:rPr>
          <w:i/>
          <w:iCs/>
        </w:rPr>
        <w:t>Projet de jumelage – Phase II</w:t>
      </w:r>
    </w:p>
    <w:p w14:paraId="1D74D0AB" w14:textId="77777777" w:rsidR="00FB357A" w:rsidRDefault="00FB357A"/>
    <w:p w14:paraId="1D74D0AC" w14:textId="77777777" w:rsidR="00FB357A" w:rsidRDefault="00F615F7">
      <w:pPr>
        <w:pStyle w:val="Heading1"/>
      </w:pPr>
      <w:r>
        <w:t>En ce qui concerne le projet de jumelage, le Secrétariat a remarqué des retards, comparativement au calendrier initial de mise en œuvre. Le PNUE a expliqué que cet écart reflète un effort délibéré de veiller à la qualité, à la pertinence et à l’exploitabilité pratique des résultats des projets :</w:t>
      </w:r>
    </w:p>
    <w:p w14:paraId="1D74D0AD" w14:textId="77777777" w:rsidR="00FB357A" w:rsidRDefault="00F615F7">
      <w:pPr>
        <w:pStyle w:val="Heading2"/>
      </w:pPr>
      <w:r>
        <w:t>À propos des activités d’évaluation des besoins régionaux, le PNUE a priorisé l’obtention d’informations complètes et représentatives plutôt que de produire des évaluations fondées sur des données incomplètes, puisque les évaluations sont destinées à guider les programmes des ateliers, à cerner les thèmes prioritaires et les études de cas, ainsi qu’à s’assurer que les produits de savoir répondent aux réels besoins nationaux et régionaux. Par conséquent, la période de consultation prolongée est nécessaire, en tant qu’importante mesure d’assurance-qualité et d’appropriation par les pays.</w:t>
      </w:r>
    </w:p>
    <w:p w14:paraId="1D74D0AE" w14:textId="77777777" w:rsidR="00FB357A" w:rsidRDefault="00F615F7">
      <w:pPr>
        <w:pStyle w:val="Heading2"/>
      </w:pPr>
      <w:r>
        <w:t xml:space="preserve">Au sujet des activités de développement des produits de savoir, le PNUE a indiqué que plusieurs outils et ressources en sont à des étapes avancées de développement ou d’examen technique, tout en soulignant que les produits ne sont pas développés en tant que publications autonomes, mais comme ensembles pratiques de mise en œuvre, accompagnés par les ensembles de ressources de déploiement, comme des guides d’utilisateur, des présentations, des notes d’animateur, des exercices et des conseils sur le déploiement à l’échelle nationale. Tous les produits sont également préparés en anglais, en français et en espagnol. Les efforts supplémentaires de développement et d’examen sont le reflet des leçons retenues de la phase I, notamment le fait que les pays ont besoin d’outils pratiques et réutilisables ainsi que de conseils structurés pour appuyer une mise en œuvre à long terme. </w:t>
      </w:r>
    </w:p>
    <w:p w14:paraId="1D74D0AF" w14:textId="77777777" w:rsidR="00FB357A" w:rsidRDefault="00F615F7">
      <w:pPr>
        <w:pStyle w:val="Heading2"/>
      </w:pPr>
      <w:r>
        <w:t>Au sujet des ateliers de jumelage, le PNUE a expliqué qu’ils sont destinés à servir d’étape de mise en œuvre et d’application de la phase II. Le fait de les programmer plus tard dans le projet garantira que tous les produits de savoir et les outils sont mis au point et qu’ils peuvent être utilisés efficacement dans la formation pratique, les échanges entre pairs, les études de cas des pays, les exercices pratiques et la planification de l’action nationale, ce qui maximisera la qualité et l’impact du processus de jumelage.</w:t>
      </w:r>
    </w:p>
    <w:p w14:paraId="1D74D0B0" w14:textId="77777777" w:rsidR="00FB357A" w:rsidRDefault="00F615F7">
      <w:pPr>
        <w:pStyle w:val="Heading1"/>
      </w:pPr>
      <w:r>
        <w:t xml:space="preserve">Quant à la manière dont le PNUE a intégré les leçons tirées des projets sur l’efficacité énergétique approuvés dans le cadre des décisions 89/6 et 91/65, le PNUE a souligné que cela demeure un élément central de la phase II, et que les leçons et expériences clés qui découlent de ces projets seront intégrées aux </w:t>
      </w:r>
      <w:r>
        <w:lastRenderedPageBreak/>
        <w:t>produits de savoir actuellement en développement</w:t>
      </w:r>
      <w:r>
        <w:rPr>
          <w:rStyle w:val="FootnoteReference"/>
          <w:lang w:val="en-GB"/>
        </w:rPr>
        <w:footnoteReference w:id="19"/>
      </w:r>
      <w:r>
        <w:t>. Cela devrait inclure des informations relatives aux NMPE et à l’étiquetage énergétique, aux mécanismes de coordination entre les institutions, à la formation et à la certification, à la surveillance du marché et à l’application de la loi, aux mécanismes de financement, ainsi qu’aux activités de sensibilisation et d’information.</w:t>
      </w:r>
    </w:p>
    <w:p w14:paraId="1D74D0B1" w14:textId="77777777" w:rsidR="00FB357A" w:rsidRDefault="00F615F7">
      <w:pPr>
        <w:pStyle w:val="Heading1"/>
      </w:pPr>
      <w:r>
        <w:t>Le Secrétariat s’est également renseigné auprès du PNUE au sujet des résultats attendus sur la littératie financière, l’accès au financement et la recommandation de la phase I sur le financement innovant. Le PNUE a indiqué que ces points demeurent des composantes importantes de la phase II et qu’ils seront intégrés dans les produits de savoir et les ateliers de jumelage de 2027. Les considérations financières seront traitées comme un enjeu transversal de mise en œuvre, visant à aider les NOO et les parties prenantes du secteur de l’efficacité énergétique à mieux comprendre les options de financement, les conditions favorables et les moyens de lier les possibilités de financement aux politiques nationales, aux KIP et à des initiatives plus larges d’efficacité énergétique et de refroidissement.</w:t>
      </w:r>
    </w:p>
    <w:p w14:paraId="1D74D0B2" w14:textId="77777777" w:rsidR="00FB357A" w:rsidRDefault="00F615F7">
      <w:pPr>
        <w:pStyle w:val="Heading1"/>
      </w:pPr>
      <w:r>
        <w:t>Étant donné que tous les ateliers régionaux de jumelage ont été reprogrammés pour 2027, le Secrétariat a demandé si cela était réalisable et de quelle manière les principaux risques qu’il y ait d’autres retards seront atténués. Le PNUE a confirmé la faisabilité tout en reconnaissant que le nouvel échéancier de mise en œuvre est serré. Le PNUE a souligné que cet enchaînement révisé demeure cohérent avec l’avancement prévu du projet, de l’évaluation et du développement de produits de savoir jusqu’à la mise en pratique grâce aux ateliers de jumelage. Bien qu’il reconnaisse le risque des pressions sur l’échéancier, le PNUE prévoit atténuer les retards par une mise en œuvre en parallèle, une surveillance continue et des mesures correctives.</w:t>
      </w:r>
    </w:p>
    <w:p w14:paraId="1D74D0B3" w14:textId="77777777" w:rsidR="00FB357A" w:rsidRDefault="00F615F7">
      <w:pPr>
        <w:numPr>
          <w:ilvl w:val="0"/>
          <w:numId w:val="1"/>
        </w:numPr>
        <w:spacing w:after="240"/>
        <w:outlineLvl w:val="0"/>
      </w:pPr>
      <w:r>
        <w:t xml:space="preserve">Le tableau 2 présente une comparaison entre le budget approuvé du PAC pour 2026 et le budget proposé pour 2027.  </w:t>
      </w:r>
    </w:p>
    <w:p w14:paraId="1D74D0B4" w14:textId="77777777" w:rsidR="00FB357A" w:rsidRDefault="00F615F7">
      <w:pPr>
        <w:pStyle w:val="Heading1"/>
        <w:keepNext/>
        <w:numPr>
          <w:ilvl w:val="0"/>
          <w:numId w:val="0"/>
        </w:numPr>
        <w:tabs>
          <w:tab w:val="left" w:pos="720"/>
        </w:tabs>
        <w:spacing w:after="0"/>
        <w:rPr>
          <w:b/>
          <w:highlight w:val="yellow"/>
        </w:rPr>
      </w:pPr>
      <w:r>
        <w:rPr>
          <w:b/>
        </w:rPr>
        <w:t>Tableau 2. Comparaison entre le budget approuvé pour 2026 et le budget proposé pour 2027 pour le PAC ($US)</w:t>
      </w:r>
    </w:p>
    <w:tbl>
      <w:tblPr>
        <w:tblW w:w="5000" w:type="pct"/>
        <w:tblLayout w:type="fixed"/>
        <w:tblLook w:val="04A0" w:firstRow="1" w:lastRow="0" w:firstColumn="1" w:lastColumn="0" w:noHBand="0" w:noVBand="1"/>
      </w:tblPr>
      <w:tblGrid>
        <w:gridCol w:w="3583"/>
        <w:gridCol w:w="1494"/>
        <w:gridCol w:w="1495"/>
        <w:gridCol w:w="1494"/>
        <w:gridCol w:w="1497"/>
      </w:tblGrid>
      <w:tr w:rsidR="00FB357A" w14:paraId="1D74D0BC" w14:textId="77777777" w:rsidTr="004B1D69">
        <w:trPr>
          <w:tblHeader/>
        </w:trPr>
        <w:tc>
          <w:tcPr>
            <w:tcW w:w="3583" w:type="dxa"/>
            <w:tcBorders>
              <w:top w:val="single" w:sz="4" w:space="0" w:color="000000"/>
              <w:left w:val="single" w:sz="4" w:space="0" w:color="000000"/>
              <w:bottom w:val="single" w:sz="4" w:space="0" w:color="000000"/>
              <w:right w:val="single" w:sz="4" w:space="0" w:color="000000"/>
            </w:tcBorders>
            <w:vAlign w:val="center"/>
          </w:tcPr>
          <w:p w14:paraId="1D74D0B5" w14:textId="77777777" w:rsidR="00FB357A" w:rsidRDefault="00F615F7">
            <w:pPr>
              <w:keepNext/>
              <w:jc w:val="left"/>
              <w:rPr>
                <w:b/>
                <w:color w:val="000000"/>
                <w:sz w:val="20"/>
                <w:szCs w:val="20"/>
              </w:rPr>
            </w:pPr>
            <w:r>
              <w:rPr>
                <w:b/>
                <w:color w:val="000000"/>
                <w:sz w:val="20"/>
                <w:szCs w:val="20"/>
              </w:rPr>
              <w:t>Ligne budgétaire</w:t>
            </w:r>
          </w:p>
        </w:tc>
        <w:tc>
          <w:tcPr>
            <w:tcW w:w="1494" w:type="dxa"/>
            <w:tcBorders>
              <w:top w:val="single" w:sz="4" w:space="0" w:color="000000"/>
              <w:bottom w:val="single" w:sz="4" w:space="0" w:color="000000"/>
              <w:right w:val="single" w:sz="4" w:space="0" w:color="000000"/>
            </w:tcBorders>
            <w:tcMar>
              <w:left w:w="0" w:type="dxa"/>
              <w:right w:w="0" w:type="dxa"/>
            </w:tcMar>
          </w:tcPr>
          <w:p w14:paraId="1D74D0B6" w14:textId="77777777" w:rsidR="00FB357A" w:rsidRDefault="00F615F7">
            <w:pPr>
              <w:keepNext/>
              <w:jc w:val="center"/>
              <w:rPr>
                <w:b/>
                <w:color w:val="000000"/>
                <w:sz w:val="20"/>
                <w:szCs w:val="20"/>
              </w:rPr>
            </w:pPr>
            <w:r>
              <w:rPr>
                <w:b/>
                <w:color w:val="000000"/>
                <w:sz w:val="20"/>
                <w:szCs w:val="20"/>
              </w:rPr>
              <w:t xml:space="preserve">Approuvé pour 2026 </w:t>
            </w:r>
          </w:p>
        </w:tc>
        <w:tc>
          <w:tcPr>
            <w:tcW w:w="1495" w:type="dxa"/>
            <w:tcBorders>
              <w:top w:val="single" w:sz="4" w:space="0" w:color="000000"/>
              <w:bottom w:val="single" w:sz="4" w:space="0" w:color="000000"/>
              <w:right w:val="single" w:sz="4" w:space="0" w:color="000000"/>
            </w:tcBorders>
            <w:tcMar>
              <w:left w:w="0" w:type="dxa"/>
              <w:right w:w="0" w:type="dxa"/>
            </w:tcMar>
          </w:tcPr>
          <w:p w14:paraId="1D74D0B7" w14:textId="77777777" w:rsidR="00FB357A" w:rsidRDefault="00F615F7">
            <w:pPr>
              <w:keepNext/>
              <w:jc w:val="center"/>
              <w:rPr>
                <w:b/>
                <w:color w:val="000000"/>
                <w:sz w:val="20"/>
                <w:szCs w:val="20"/>
              </w:rPr>
            </w:pPr>
            <w:r>
              <w:rPr>
                <w:b/>
                <w:color w:val="000000"/>
                <w:sz w:val="20"/>
                <w:szCs w:val="20"/>
              </w:rPr>
              <w:t xml:space="preserve">Proposé pour </w:t>
            </w:r>
          </w:p>
          <w:p w14:paraId="1D74D0B8" w14:textId="77777777" w:rsidR="00FB357A" w:rsidRDefault="00F615F7">
            <w:pPr>
              <w:keepNext/>
              <w:jc w:val="center"/>
              <w:rPr>
                <w:b/>
                <w:color w:val="000000"/>
                <w:sz w:val="20"/>
                <w:szCs w:val="20"/>
              </w:rPr>
            </w:pPr>
            <w:r>
              <w:rPr>
                <w:b/>
                <w:color w:val="000000"/>
                <w:sz w:val="20"/>
                <w:szCs w:val="20"/>
              </w:rPr>
              <w:t xml:space="preserve">2027 </w:t>
            </w:r>
          </w:p>
        </w:tc>
        <w:tc>
          <w:tcPr>
            <w:tcW w:w="1494" w:type="dxa"/>
            <w:tcBorders>
              <w:top w:val="single" w:sz="4" w:space="0" w:color="000000"/>
              <w:bottom w:val="single" w:sz="4" w:space="0" w:color="000000"/>
              <w:right w:val="single" w:sz="4" w:space="0" w:color="000000"/>
            </w:tcBorders>
            <w:tcMar>
              <w:left w:w="0" w:type="dxa"/>
              <w:right w:w="0" w:type="dxa"/>
            </w:tcMar>
          </w:tcPr>
          <w:p w14:paraId="1D74D0B9" w14:textId="77777777" w:rsidR="00FB357A" w:rsidRDefault="00F615F7">
            <w:pPr>
              <w:keepNext/>
              <w:jc w:val="center"/>
              <w:rPr>
                <w:b/>
                <w:color w:val="000000"/>
                <w:sz w:val="20"/>
                <w:szCs w:val="20"/>
              </w:rPr>
            </w:pPr>
            <w:r>
              <w:rPr>
                <w:b/>
                <w:color w:val="000000"/>
                <w:sz w:val="20"/>
                <w:szCs w:val="20"/>
              </w:rPr>
              <w:t xml:space="preserve">Différence </w:t>
            </w:r>
          </w:p>
        </w:tc>
        <w:tc>
          <w:tcPr>
            <w:tcW w:w="1497" w:type="dxa"/>
            <w:tcBorders>
              <w:top w:val="single" w:sz="4" w:space="0" w:color="000000"/>
              <w:bottom w:val="single" w:sz="4" w:space="0" w:color="000000"/>
              <w:right w:val="single" w:sz="4" w:space="0" w:color="000000"/>
            </w:tcBorders>
            <w:tcMar>
              <w:left w:w="0" w:type="dxa"/>
              <w:right w:w="0" w:type="dxa"/>
            </w:tcMar>
          </w:tcPr>
          <w:p w14:paraId="1D74D0BA" w14:textId="77777777" w:rsidR="00FB357A" w:rsidRDefault="00F615F7">
            <w:pPr>
              <w:keepNext/>
              <w:jc w:val="center"/>
              <w:rPr>
                <w:b/>
                <w:color w:val="000000"/>
                <w:sz w:val="20"/>
                <w:szCs w:val="20"/>
              </w:rPr>
            </w:pPr>
            <w:r>
              <w:rPr>
                <w:b/>
                <w:color w:val="000000"/>
                <w:sz w:val="20"/>
                <w:szCs w:val="20"/>
              </w:rPr>
              <w:t>Changement</w:t>
            </w:r>
          </w:p>
          <w:p w14:paraId="1D74D0BB" w14:textId="77777777" w:rsidR="00FB357A" w:rsidRDefault="00F615F7">
            <w:pPr>
              <w:keepNext/>
              <w:jc w:val="center"/>
              <w:rPr>
                <w:b/>
                <w:color w:val="000000"/>
                <w:sz w:val="20"/>
                <w:szCs w:val="20"/>
              </w:rPr>
            </w:pPr>
            <w:r>
              <w:rPr>
                <w:b/>
                <w:color w:val="000000"/>
                <w:sz w:val="20"/>
                <w:szCs w:val="20"/>
              </w:rPr>
              <w:t xml:space="preserve"> (%) </w:t>
            </w:r>
          </w:p>
        </w:tc>
      </w:tr>
      <w:tr w:rsidR="00FB357A" w14:paraId="1D74D0C2" w14:textId="77777777" w:rsidTr="004B1D69">
        <w:trPr>
          <w:trHeight w:val="70"/>
        </w:trPr>
        <w:tc>
          <w:tcPr>
            <w:tcW w:w="3583" w:type="dxa"/>
            <w:tcBorders>
              <w:left w:val="single" w:sz="4" w:space="0" w:color="000000"/>
              <w:bottom w:val="single" w:sz="4" w:space="0" w:color="000000"/>
              <w:right w:val="single" w:sz="4" w:space="0" w:color="000000"/>
            </w:tcBorders>
          </w:tcPr>
          <w:p w14:paraId="1D74D0BD" w14:textId="77777777" w:rsidR="00FB357A" w:rsidRDefault="00F615F7">
            <w:pPr>
              <w:jc w:val="left"/>
              <w:rPr>
                <w:color w:val="000000"/>
                <w:sz w:val="20"/>
                <w:szCs w:val="20"/>
              </w:rPr>
            </w:pPr>
            <w:r>
              <w:rPr>
                <w:color w:val="000000"/>
                <w:sz w:val="20"/>
                <w:szCs w:val="20"/>
              </w:rPr>
              <w:t>1100 (personnel)</w:t>
            </w:r>
          </w:p>
        </w:tc>
        <w:tc>
          <w:tcPr>
            <w:tcW w:w="1494" w:type="dxa"/>
            <w:tcBorders>
              <w:bottom w:val="single" w:sz="4" w:space="0" w:color="000000"/>
              <w:right w:val="single" w:sz="4" w:space="0" w:color="000000"/>
            </w:tcBorders>
            <w:tcMar>
              <w:left w:w="0" w:type="dxa"/>
              <w:right w:w="173" w:type="dxa"/>
            </w:tcMar>
            <w:vAlign w:val="center"/>
          </w:tcPr>
          <w:p w14:paraId="1D74D0BE" w14:textId="77777777" w:rsidR="00FB357A" w:rsidRDefault="00F615F7">
            <w:pPr>
              <w:jc w:val="right"/>
              <w:rPr>
                <w:color w:val="000000"/>
                <w:sz w:val="20"/>
                <w:szCs w:val="20"/>
              </w:rPr>
            </w:pPr>
            <w:r>
              <w:rPr>
                <w:color w:val="000000"/>
                <w:sz w:val="20"/>
                <w:szCs w:val="20"/>
              </w:rPr>
              <w:t>8 090 167</w:t>
            </w:r>
          </w:p>
        </w:tc>
        <w:tc>
          <w:tcPr>
            <w:tcW w:w="1495" w:type="dxa"/>
            <w:tcBorders>
              <w:bottom w:val="single" w:sz="4" w:space="0" w:color="000000"/>
              <w:right w:val="single" w:sz="4" w:space="0" w:color="000000"/>
            </w:tcBorders>
            <w:tcMar>
              <w:left w:w="0" w:type="dxa"/>
              <w:right w:w="173" w:type="dxa"/>
            </w:tcMar>
            <w:vAlign w:val="center"/>
          </w:tcPr>
          <w:p w14:paraId="1D74D0BF" w14:textId="77777777" w:rsidR="00FB357A" w:rsidRDefault="00F615F7">
            <w:pPr>
              <w:jc w:val="right"/>
              <w:rPr>
                <w:color w:val="000000"/>
                <w:sz w:val="20"/>
                <w:szCs w:val="20"/>
              </w:rPr>
            </w:pPr>
            <w:r>
              <w:rPr>
                <w:color w:val="000000"/>
                <w:sz w:val="20"/>
                <w:szCs w:val="20"/>
              </w:rPr>
              <w:t>8 332 983</w:t>
            </w:r>
          </w:p>
        </w:tc>
        <w:tc>
          <w:tcPr>
            <w:tcW w:w="1494" w:type="dxa"/>
            <w:tcBorders>
              <w:bottom w:val="single" w:sz="4" w:space="0" w:color="000000"/>
              <w:right w:val="single" w:sz="4" w:space="0" w:color="000000"/>
            </w:tcBorders>
            <w:tcMar>
              <w:left w:w="0" w:type="dxa"/>
              <w:right w:w="173" w:type="dxa"/>
            </w:tcMar>
            <w:vAlign w:val="center"/>
          </w:tcPr>
          <w:p w14:paraId="1D74D0C0" w14:textId="77777777" w:rsidR="00FB357A" w:rsidRDefault="00F615F7">
            <w:pPr>
              <w:jc w:val="right"/>
              <w:rPr>
                <w:color w:val="000000"/>
                <w:sz w:val="20"/>
                <w:szCs w:val="20"/>
              </w:rPr>
            </w:pPr>
            <w:r>
              <w:rPr>
                <w:color w:val="000000"/>
                <w:sz w:val="20"/>
                <w:szCs w:val="20"/>
              </w:rPr>
              <w:t>242 816</w:t>
            </w:r>
          </w:p>
        </w:tc>
        <w:tc>
          <w:tcPr>
            <w:tcW w:w="1497" w:type="dxa"/>
            <w:tcBorders>
              <w:bottom w:val="single" w:sz="4" w:space="0" w:color="000000"/>
              <w:right w:val="single" w:sz="4" w:space="0" w:color="000000"/>
            </w:tcBorders>
            <w:tcMar>
              <w:left w:w="0" w:type="dxa"/>
              <w:right w:w="173" w:type="dxa"/>
            </w:tcMar>
            <w:vAlign w:val="center"/>
          </w:tcPr>
          <w:p w14:paraId="1D74D0C1" w14:textId="77777777" w:rsidR="00FB357A" w:rsidRDefault="00F615F7">
            <w:pPr>
              <w:jc w:val="right"/>
              <w:rPr>
                <w:color w:val="000000"/>
                <w:sz w:val="20"/>
                <w:szCs w:val="20"/>
              </w:rPr>
            </w:pPr>
            <w:r>
              <w:rPr>
                <w:color w:val="000000"/>
                <w:sz w:val="20"/>
                <w:szCs w:val="20"/>
              </w:rPr>
              <w:t>3,00</w:t>
            </w:r>
          </w:p>
        </w:tc>
      </w:tr>
      <w:tr w:rsidR="00FB357A" w14:paraId="1D74D0C8" w14:textId="77777777" w:rsidTr="004B1D69">
        <w:tc>
          <w:tcPr>
            <w:tcW w:w="3583" w:type="dxa"/>
            <w:tcBorders>
              <w:left w:val="single" w:sz="4" w:space="0" w:color="000000"/>
              <w:bottom w:val="single" w:sz="4" w:space="0" w:color="000000"/>
              <w:right w:val="single" w:sz="4" w:space="0" w:color="000000"/>
            </w:tcBorders>
          </w:tcPr>
          <w:p w14:paraId="1D74D0C3" w14:textId="77777777" w:rsidR="00FB357A" w:rsidRDefault="00F615F7">
            <w:pPr>
              <w:jc w:val="left"/>
              <w:rPr>
                <w:color w:val="000000"/>
                <w:sz w:val="20"/>
                <w:szCs w:val="20"/>
              </w:rPr>
            </w:pPr>
            <w:r>
              <w:rPr>
                <w:color w:val="000000"/>
                <w:sz w:val="20"/>
                <w:szCs w:val="20"/>
              </w:rPr>
              <w:t>1600 (déplacements)</w:t>
            </w:r>
          </w:p>
        </w:tc>
        <w:tc>
          <w:tcPr>
            <w:tcW w:w="1494" w:type="dxa"/>
            <w:tcBorders>
              <w:bottom w:val="single" w:sz="4" w:space="0" w:color="000000"/>
              <w:right w:val="single" w:sz="4" w:space="0" w:color="000000"/>
            </w:tcBorders>
            <w:tcMar>
              <w:left w:w="0" w:type="dxa"/>
              <w:right w:w="173" w:type="dxa"/>
            </w:tcMar>
            <w:vAlign w:val="center"/>
          </w:tcPr>
          <w:p w14:paraId="1D74D0C4" w14:textId="77777777" w:rsidR="00FB357A" w:rsidRDefault="00F615F7">
            <w:pPr>
              <w:jc w:val="right"/>
              <w:rPr>
                <w:color w:val="000000"/>
                <w:sz w:val="20"/>
                <w:szCs w:val="20"/>
              </w:rPr>
            </w:pPr>
            <w:r>
              <w:rPr>
                <w:color w:val="000000"/>
                <w:sz w:val="20"/>
                <w:szCs w:val="20"/>
              </w:rPr>
              <w:t>571 400</w:t>
            </w:r>
          </w:p>
        </w:tc>
        <w:tc>
          <w:tcPr>
            <w:tcW w:w="1495" w:type="dxa"/>
            <w:tcBorders>
              <w:bottom w:val="single" w:sz="4" w:space="0" w:color="000000"/>
              <w:right w:val="single" w:sz="4" w:space="0" w:color="000000"/>
            </w:tcBorders>
            <w:tcMar>
              <w:left w:w="0" w:type="dxa"/>
              <w:right w:w="173" w:type="dxa"/>
            </w:tcMar>
            <w:vAlign w:val="center"/>
          </w:tcPr>
          <w:p w14:paraId="1D74D0C5" w14:textId="77777777" w:rsidR="00FB357A" w:rsidRDefault="00F615F7">
            <w:pPr>
              <w:jc w:val="right"/>
              <w:rPr>
                <w:bCs/>
                <w:sz w:val="20"/>
                <w:szCs w:val="20"/>
              </w:rPr>
            </w:pPr>
            <w:r>
              <w:rPr>
                <w:color w:val="000000"/>
                <w:sz w:val="20"/>
                <w:szCs w:val="20"/>
              </w:rPr>
              <w:t>621 400</w:t>
            </w:r>
          </w:p>
        </w:tc>
        <w:tc>
          <w:tcPr>
            <w:tcW w:w="1494" w:type="dxa"/>
            <w:tcBorders>
              <w:bottom w:val="single" w:sz="4" w:space="0" w:color="000000"/>
              <w:right w:val="single" w:sz="4" w:space="0" w:color="000000"/>
            </w:tcBorders>
            <w:tcMar>
              <w:left w:w="0" w:type="dxa"/>
              <w:right w:w="173" w:type="dxa"/>
            </w:tcMar>
            <w:vAlign w:val="center"/>
          </w:tcPr>
          <w:p w14:paraId="1D74D0C6" w14:textId="77777777" w:rsidR="00FB357A" w:rsidRDefault="00F615F7">
            <w:pPr>
              <w:jc w:val="right"/>
              <w:rPr>
                <w:color w:val="000000"/>
                <w:sz w:val="20"/>
                <w:szCs w:val="20"/>
              </w:rPr>
            </w:pPr>
            <w:r>
              <w:rPr>
                <w:color w:val="000000"/>
                <w:sz w:val="20"/>
                <w:szCs w:val="20"/>
              </w:rPr>
              <w:t>50 000</w:t>
            </w:r>
          </w:p>
        </w:tc>
        <w:tc>
          <w:tcPr>
            <w:tcW w:w="1497" w:type="dxa"/>
            <w:tcBorders>
              <w:bottom w:val="single" w:sz="4" w:space="0" w:color="000000"/>
              <w:right w:val="single" w:sz="4" w:space="0" w:color="000000"/>
            </w:tcBorders>
            <w:tcMar>
              <w:left w:w="0" w:type="dxa"/>
              <w:right w:w="173" w:type="dxa"/>
            </w:tcMar>
            <w:vAlign w:val="center"/>
          </w:tcPr>
          <w:p w14:paraId="1D74D0C7" w14:textId="77777777" w:rsidR="00FB357A" w:rsidRDefault="00F615F7">
            <w:pPr>
              <w:jc w:val="right"/>
              <w:rPr>
                <w:color w:val="000000"/>
                <w:sz w:val="20"/>
                <w:szCs w:val="20"/>
              </w:rPr>
            </w:pPr>
            <w:r>
              <w:rPr>
                <w:color w:val="000000"/>
                <w:sz w:val="20"/>
                <w:szCs w:val="20"/>
              </w:rPr>
              <w:t>8,75</w:t>
            </w:r>
          </w:p>
        </w:tc>
      </w:tr>
      <w:tr w:rsidR="00FB357A" w14:paraId="1D74D0CE" w14:textId="77777777" w:rsidTr="004B1D69">
        <w:tc>
          <w:tcPr>
            <w:tcW w:w="3583" w:type="dxa"/>
            <w:tcBorders>
              <w:left w:val="single" w:sz="4" w:space="0" w:color="000000"/>
              <w:bottom w:val="single" w:sz="4" w:space="0" w:color="000000"/>
              <w:right w:val="single" w:sz="4" w:space="0" w:color="000000"/>
            </w:tcBorders>
          </w:tcPr>
          <w:p w14:paraId="1D74D0C9" w14:textId="77777777" w:rsidR="00FB357A" w:rsidRDefault="00F615F7">
            <w:pPr>
              <w:jc w:val="left"/>
              <w:rPr>
                <w:color w:val="000000"/>
                <w:sz w:val="20"/>
                <w:szCs w:val="20"/>
              </w:rPr>
            </w:pPr>
            <w:r>
              <w:rPr>
                <w:color w:val="000000"/>
                <w:sz w:val="20"/>
                <w:szCs w:val="20"/>
              </w:rPr>
              <w:t>2030 (activités régionales)</w:t>
            </w:r>
          </w:p>
        </w:tc>
        <w:tc>
          <w:tcPr>
            <w:tcW w:w="1494" w:type="dxa"/>
            <w:tcBorders>
              <w:bottom w:val="single" w:sz="4" w:space="0" w:color="000000"/>
              <w:right w:val="single" w:sz="4" w:space="0" w:color="000000"/>
            </w:tcBorders>
            <w:tcMar>
              <w:left w:w="0" w:type="dxa"/>
              <w:right w:w="173" w:type="dxa"/>
            </w:tcMar>
            <w:vAlign w:val="center"/>
          </w:tcPr>
          <w:p w14:paraId="1D74D0CA" w14:textId="77777777" w:rsidR="00FB357A" w:rsidRDefault="00F615F7">
            <w:pPr>
              <w:jc w:val="right"/>
              <w:rPr>
                <w:color w:val="000000"/>
                <w:sz w:val="20"/>
                <w:szCs w:val="20"/>
              </w:rPr>
            </w:pPr>
            <w:r>
              <w:rPr>
                <w:color w:val="000000"/>
                <w:sz w:val="20"/>
                <w:szCs w:val="20"/>
              </w:rPr>
              <w:t>1 320 400</w:t>
            </w:r>
          </w:p>
        </w:tc>
        <w:tc>
          <w:tcPr>
            <w:tcW w:w="1495" w:type="dxa"/>
            <w:tcBorders>
              <w:bottom w:val="single" w:sz="4" w:space="0" w:color="000000"/>
              <w:right w:val="single" w:sz="4" w:space="0" w:color="000000"/>
            </w:tcBorders>
            <w:tcMar>
              <w:left w:w="0" w:type="dxa"/>
              <w:right w:w="173" w:type="dxa"/>
            </w:tcMar>
            <w:vAlign w:val="center"/>
          </w:tcPr>
          <w:p w14:paraId="1D74D0CB" w14:textId="77777777" w:rsidR="00FB357A" w:rsidRDefault="00F615F7">
            <w:pPr>
              <w:jc w:val="right"/>
              <w:rPr>
                <w:color w:val="000000"/>
                <w:sz w:val="20"/>
                <w:szCs w:val="20"/>
              </w:rPr>
            </w:pPr>
            <w:r>
              <w:rPr>
                <w:color w:val="000000"/>
                <w:sz w:val="20"/>
                <w:szCs w:val="20"/>
              </w:rPr>
              <w:t>1 320 400</w:t>
            </w:r>
          </w:p>
        </w:tc>
        <w:tc>
          <w:tcPr>
            <w:tcW w:w="1494" w:type="dxa"/>
            <w:tcBorders>
              <w:bottom w:val="single" w:sz="4" w:space="0" w:color="000000"/>
              <w:right w:val="single" w:sz="4" w:space="0" w:color="000000"/>
            </w:tcBorders>
            <w:tcMar>
              <w:left w:w="0" w:type="dxa"/>
              <w:right w:w="173" w:type="dxa"/>
            </w:tcMar>
            <w:vAlign w:val="center"/>
          </w:tcPr>
          <w:p w14:paraId="1D74D0CC" w14:textId="77777777" w:rsidR="00FB357A" w:rsidRDefault="00F615F7">
            <w:pPr>
              <w:jc w:val="right"/>
              <w:rPr>
                <w:color w:val="000000"/>
                <w:sz w:val="20"/>
                <w:szCs w:val="20"/>
              </w:rPr>
            </w:pPr>
            <w:r>
              <w:rPr>
                <w:color w:val="000000"/>
                <w:sz w:val="20"/>
                <w:szCs w:val="20"/>
              </w:rPr>
              <w:t>0</w:t>
            </w:r>
          </w:p>
        </w:tc>
        <w:tc>
          <w:tcPr>
            <w:tcW w:w="1497" w:type="dxa"/>
            <w:tcBorders>
              <w:bottom w:val="single" w:sz="4" w:space="0" w:color="000000"/>
              <w:right w:val="single" w:sz="4" w:space="0" w:color="000000"/>
            </w:tcBorders>
            <w:tcMar>
              <w:left w:w="0" w:type="dxa"/>
              <w:right w:w="173" w:type="dxa"/>
            </w:tcMar>
            <w:vAlign w:val="center"/>
          </w:tcPr>
          <w:p w14:paraId="1D74D0CD" w14:textId="77777777" w:rsidR="00FB357A" w:rsidRDefault="00F615F7">
            <w:pPr>
              <w:jc w:val="right"/>
              <w:rPr>
                <w:color w:val="000000"/>
                <w:sz w:val="20"/>
                <w:szCs w:val="20"/>
              </w:rPr>
            </w:pPr>
            <w:r>
              <w:rPr>
                <w:color w:val="000000"/>
                <w:sz w:val="20"/>
                <w:szCs w:val="20"/>
              </w:rPr>
              <w:t>0,00</w:t>
            </w:r>
          </w:p>
        </w:tc>
      </w:tr>
      <w:tr w:rsidR="00FB357A" w14:paraId="1D74D0D4" w14:textId="77777777" w:rsidTr="004B1D69">
        <w:tc>
          <w:tcPr>
            <w:tcW w:w="3583" w:type="dxa"/>
            <w:tcBorders>
              <w:left w:val="single" w:sz="4" w:space="0" w:color="000000"/>
              <w:bottom w:val="single" w:sz="4" w:space="0" w:color="000000"/>
              <w:right w:val="single" w:sz="4" w:space="0" w:color="000000"/>
            </w:tcBorders>
          </w:tcPr>
          <w:p w14:paraId="1D74D0CF" w14:textId="77777777" w:rsidR="00FB357A" w:rsidRDefault="00F615F7">
            <w:pPr>
              <w:jc w:val="left"/>
              <w:rPr>
                <w:color w:val="000000"/>
                <w:sz w:val="20"/>
                <w:szCs w:val="20"/>
              </w:rPr>
            </w:pPr>
            <w:r>
              <w:rPr>
                <w:color w:val="000000"/>
                <w:sz w:val="20"/>
                <w:szCs w:val="20"/>
              </w:rPr>
              <w:t>3200 (services mondiaux)</w:t>
            </w:r>
          </w:p>
        </w:tc>
        <w:tc>
          <w:tcPr>
            <w:tcW w:w="1494" w:type="dxa"/>
            <w:tcBorders>
              <w:bottom w:val="single" w:sz="4" w:space="0" w:color="000000"/>
              <w:right w:val="single" w:sz="4" w:space="0" w:color="000000"/>
            </w:tcBorders>
            <w:tcMar>
              <w:left w:w="0" w:type="dxa"/>
              <w:right w:w="173" w:type="dxa"/>
            </w:tcMar>
            <w:vAlign w:val="center"/>
          </w:tcPr>
          <w:p w14:paraId="1D74D0D0" w14:textId="77777777" w:rsidR="00FB357A" w:rsidRDefault="00F615F7">
            <w:pPr>
              <w:jc w:val="right"/>
              <w:rPr>
                <w:color w:val="000000"/>
                <w:sz w:val="20"/>
                <w:szCs w:val="20"/>
              </w:rPr>
            </w:pPr>
            <w:r>
              <w:rPr>
                <w:color w:val="000000"/>
                <w:sz w:val="20"/>
                <w:szCs w:val="20"/>
              </w:rPr>
              <w:t>700 000</w:t>
            </w:r>
          </w:p>
        </w:tc>
        <w:tc>
          <w:tcPr>
            <w:tcW w:w="1495" w:type="dxa"/>
            <w:tcBorders>
              <w:bottom w:val="single" w:sz="4" w:space="0" w:color="000000"/>
              <w:right w:val="single" w:sz="4" w:space="0" w:color="000000"/>
            </w:tcBorders>
            <w:tcMar>
              <w:left w:w="0" w:type="dxa"/>
              <w:right w:w="173" w:type="dxa"/>
            </w:tcMar>
            <w:vAlign w:val="center"/>
          </w:tcPr>
          <w:p w14:paraId="1D74D0D1" w14:textId="77777777" w:rsidR="00FB357A" w:rsidRDefault="00F615F7">
            <w:pPr>
              <w:jc w:val="right"/>
              <w:rPr>
                <w:color w:val="000000"/>
                <w:sz w:val="20"/>
                <w:szCs w:val="20"/>
              </w:rPr>
            </w:pPr>
            <w:r>
              <w:rPr>
                <w:color w:val="000000"/>
                <w:sz w:val="20"/>
                <w:szCs w:val="20"/>
              </w:rPr>
              <w:t>550 000</w:t>
            </w:r>
          </w:p>
        </w:tc>
        <w:tc>
          <w:tcPr>
            <w:tcW w:w="1494" w:type="dxa"/>
            <w:tcBorders>
              <w:bottom w:val="single" w:sz="4" w:space="0" w:color="000000"/>
              <w:right w:val="single" w:sz="4" w:space="0" w:color="000000"/>
            </w:tcBorders>
            <w:tcMar>
              <w:left w:w="0" w:type="dxa"/>
              <w:right w:w="173" w:type="dxa"/>
            </w:tcMar>
            <w:vAlign w:val="center"/>
          </w:tcPr>
          <w:p w14:paraId="1D74D0D2" w14:textId="77777777" w:rsidR="00FB357A" w:rsidRDefault="00F615F7">
            <w:pPr>
              <w:jc w:val="right"/>
              <w:rPr>
                <w:color w:val="000000"/>
                <w:sz w:val="20"/>
                <w:szCs w:val="20"/>
              </w:rPr>
            </w:pPr>
            <w:r>
              <w:rPr>
                <w:color w:val="000000"/>
                <w:sz w:val="20"/>
                <w:szCs w:val="20"/>
              </w:rPr>
              <w:t>(150 000)</w:t>
            </w:r>
          </w:p>
        </w:tc>
        <w:tc>
          <w:tcPr>
            <w:tcW w:w="1497" w:type="dxa"/>
            <w:tcBorders>
              <w:bottom w:val="single" w:sz="4" w:space="0" w:color="000000"/>
              <w:right w:val="single" w:sz="4" w:space="0" w:color="000000"/>
            </w:tcBorders>
            <w:tcMar>
              <w:left w:w="0" w:type="dxa"/>
              <w:right w:w="173" w:type="dxa"/>
            </w:tcMar>
            <w:vAlign w:val="center"/>
          </w:tcPr>
          <w:p w14:paraId="1D74D0D3" w14:textId="77777777" w:rsidR="00FB357A" w:rsidRDefault="00F615F7">
            <w:pPr>
              <w:jc w:val="right"/>
              <w:rPr>
                <w:color w:val="000000"/>
                <w:sz w:val="20"/>
                <w:szCs w:val="20"/>
              </w:rPr>
            </w:pPr>
            <w:r>
              <w:rPr>
                <w:color w:val="000000"/>
                <w:sz w:val="20"/>
                <w:szCs w:val="20"/>
              </w:rPr>
              <w:t>(21,43)</w:t>
            </w:r>
          </w:p>
        </w:tc>
      </w:tr>
      <w:tr w:rsidR="00FB357A" w14:paraId="1D74D0DA" w14:textId="77777777" w:rsidTr="004B1D69">
        <w:tc>
          <w:tcPr>
            <w:tcW w:w="3583" w:type="dxa"/>
            <w:tcBorders>
              <w:left w:val="single" w:sz="4" w:space="0" w:color="000000"/>
              <w:bottom w:val="single" w:sz="4" w:space="0" w:color="000000"/>
              <w:right w:val="single" w:sz="4" w:space="0" w:color="000000"/>
            </w:tcBorders>
          </w:tcPr>
          <w:p w14:paraId="1D74D0D5" w14:textId="77777777" w:rsidR="00FB357A" w:rsidRDefault="00F615F7">
            <w:pPr>
              <w:jc w:val="left"/>
              <w:rPr>
                <w:color w:val="000000"/>
                <w:sz w:val="20"/>
                <w:szCs w:val="20"/>
              </w:rPr>
            </w:pPr>
            <w:r>
              <w:rPr>
                <w:color w:val="000000"/>
                <w:sz w:val="20"/>
                <w:szCs w:val="20"/>
              </w:rPr>
              <w:t>4210 (réunions consultatives et de consultation)</w:t>
            </w:r>
          </w:p>
        </w:tc>
        <w:tc>
          <w:tcPr>
            <w:tcW w:w="1494" w:type="dxa"/>
            <w:tcBorders>
              <w:bottom w:val="single" w:sz="4" w:space="0" w:color="000000"/>
              <w:right w:val="single" w:sz="4" w:space="0" w:color="000000"/>
            </w:tcBorders>
            <w:tcMar>
              <w:left w:w="0" w:type="dxa"/>
              <w:right w:w="173" w:type="dxa"/>
            </w:tcMar>
            <w:vAlign w:val="center"/>
          </w:tcPr>
          <w:p w14:paraId="1D74D0D6" w14:textId="77777777" w:rsidR="00FB357A" w:rsidRDefault="00F615F7">
            <w:pPr>
              <w:jc w:val="right"/>
              <w:rPr>
                <w:color w:val="000000"/>
                <w:sz w:val="20"/>
                <w:szCs w:val="20"/>
              </w:rPr>
            </w:pPr>
            <w:r>
              <w:rPr>
                <w:color w:val="000000"/>
                <w:sz w:val="20"/>
                <w:szCs w:val="20"/>
              </w:rPr>
              <w:t>5 000</w:t>
            </w:r>
          </w:p>
        </w:tc>
        <w:tc>
          <w:tcPr>
            <w:tcW w:w="1495" w:type="dxa"/>
            <w:tcBorders>
              <w:bottom w:val="single" w:sz="4" w:space="0" w:color="000000"/>
              <w:right w:val="single" w:sz="4" w:space="0" w:color="000000"/>
            </w:tcBorders>
            <w:tcMar>
              <w:left w:w="0" w:type="dxa"/>
              <w:right w:w="173" w:type="dxa"/>
            </w:tcMar>
            <w:vAlign w:val="center"/>
          </w:tcPr>
          <w:p w14:paraId="1D74D0D7" w14:textId="77777777" w:rsidR="00FB357A" w:rsidRDefault="00F615F7">
            <w:pPr>
              <w:jc w:val="right"/>
              <w:rPr>
                <w:color w:val="000000"/>
                <w:sz w:val="20"/>
                <w:szCs w:val="20"/>
              </w:rPr>
            </w:pPr>
            <w:r>
              <w:rPr>
                <w:color w:val="000000"/>
                <w:sz w:val="20"/>
                <w:szCs w:val="20"/>
              </w:rPr>
              <w:t>5 000</w:t>
            </w:r>
          </w:p>
        </w:tc>
        <w:tc>
          <w:tcPr>
            <w:tcW w:w="1494" w:type="dxa"/>
            <w:tcBorders>
              <w:bottom w:val="single" w:sz="4" w:space="0" w:color="000000"/>
              <w:right w:val="single" w:sz="4" w:space="0" w:color="000000"/>
            </w:tcBorders>
            <w:tcMar>
              <w:left w:w="0" w:type="dxa"/>
              <w:right w:w="173" w:type="dxa"/>
            </w:tcMar>
            <w:vAlign w:val="center"/>
          </w:tcPr>
          <w:p w14:paraId="1D74D0D8" w14:textId="77777777" w:rsidR="00FB357A" w:rsidRDefault="00F615F7">
            <w:pPr>
              <w:jc w:val="right"/>
              <w:rPr>
                <w:color w:val="000000"/>
                <w:sz w:val="20"/>
                <w:szCs w:val="20"/>
              </w:rPr>
            </w:pPr>
            <w:r>
              <w:rPr>
                <w:color w:val="000000"/>
                <w:sz w:val="20"/>
                <w:szCs w:val="20"/>
              </w:rPr>
              <w:t>0</w:t>
            </w:r>
          </w:p>
        </w:tc>
        <w:tc>
          <w:tcPr>
            <w:tcW w:w="1497" w:type="dxa"/>
            <w:tcBorders>
              <w:bottom w:val="single" w:sz="4" w:space="0" w:color="000000"/>
              <w:right w:val="single" w:sz="4" w:space="0" w:color="000000"/>
            </w:tcBorders>
            <w:tcMar>
              <w:left w:w="0" w:type="dxa"/>
              <w:right w:w="173" w:type="dxa"/>
            </w:tcMar>
            <w:vAlign w:val="center"/>
          </w:tcPr>
          <w:p w14:paraId="1D74D0D9" w14:textId="77777777" w:rsidR="00FB357A" w:rsidRDefault="00F615F7">
            <w:pPr>
              <w:jc w:val="right"/>
              <w:rPr>
                <w:color w:val="000000"/>
                <w:sz w:val="20"/>
                <w:szCs w:val="20"/>
              </w:rPr>
            </w:pPr>
            <w:r>
              <w:rPr>
                <w:color w:val="000000"/>
                <w:sz w:val="20"/>
                <w:szCs w:val="20"/>
              </w:rPr>
              <w:t>0,00</w:t>
            </w:r>
          </w:p>
        </w:tc>
      </w:tr>
      <w:tr w:rsidR="00FB357A" w14:paraId="1D74D0E0" w14:textId="77777777" w:rsidTr="004B1D69">
        <w:tc>
          <w:tcPr>
            <w:tcW w:w="3583" w:type="dxa"/>
            <w:tcBorders>
              <w:left w:val="single" w:sz="4" w:space="0" w:color="000000"/>
              <w:bottom w:val="single" w:sz="4" w:space="0" w:color="000000"/>
              <w:right w:val="single" w:sz="4" w:space="0" w:color="000000"/>
            </w:tcBorders>
          </w:tcPr>
          <w:p w14:paraId="1D74D0DB" w14:textId="77777777" w:rsidR="00FB357A" w:rsidRDefault="00F615F7">
            <w:pPr>
              <w:jc w:val="left"/>
              <w:rPr>
                <w:color w:val="000000"/>
                <w:sz w:val="20"/>
                <w:szCs w:val="20"/>
              </w:rPr>
            </w:pPr>
            <w:r>
              <w:rPr>
                <w:color w:val="000000"/>
                <w:sz w:val="20"/>
                <w:szCs w:val="20"/>
              </w:rPr>
              <w:t>5200 (activités de bureau/ communication)</w:t>
            </w:r>
          </w:p>
        </w:tc>
        <w:tc>
          <w:tcPr>
            <w:tcW w:w="1494" w:type="dxa"/>
            <w:tcBorders>
              <w:bottom w:val="single" w:sz="4" w:space="0" w:color="000000"/>
              <w:right w:val="single" w:sz="4" w:space="0" w:color="000000"/>
            </w:tcBorders>
            <w:tcMar>
              <w:left w:w="0" w:type="dxa"/>
              <w:right w:w="173" w:type="dxa"/>
            </w:tcMar>
            <w:vAlign w:val="center"/>
          </w:tcPr>
          <w:p w14:paraId="1D74D0DC" w14:textId="77777777" w:rsidR="00FB357A" w:rsidRDefault="00F615F7">
            <w:pPr>
              <w:jc w:val="right"/>
              <w:rPr>
                <w:color w:val="000000"/>
                <w:sz w:val="20"/>
                <w:szCs w:val="20"/>
              </w:rPr>
            </w:pPr>
            <w:r>
              <w:rPr>
                <w:color w:val="000000"/>
                <w:sz w:val="20"/>
                <w:szCs w:val="20"/>
              </w:rPr>
              <w:t>590 000</w:t>
            </w:r>
          </w:p>
        </w:tc>
        <w:tc>
          <w:tcPr>
            <w:tcW w:w="1495" w:type="dxa"/>
            <w:tcBorders>
              <w:bottom w:val="single" w:sz="4" w:space="0" w:color="000000"/>
              <w:right w:val="single" w:sz="4" w:space="0" w:color="000000"/>
            </w:tcBorders>
            <w:tcMar>
              <w:left w:w="0" w:type="dxa"/>
              <w:right w:w="173" w:type="dxa"/>
            </w:tcMar>
            <w:vAlign w:val="center"/>
          </w:tcPr>
          <w:p w14:paraId="1D74D0DD" w14:textId="77777777" w:rsidR="00FB357A" w:rsidRDefault="00F615F7">
            <w:pPr>
              <w:jc w:val="right"/>
              <w:rPr>
                <w:color w:val="000000"/>
                <w:sz w:val="20"/>
                <w:szCs w:val="20"/>
              </w:rPr>
            </w:pPr>
            <w:r>
              <w:rPr>
                <w:color w:val="000000"/>
                <w:sz w:val="20"/>
                <w:szCs w:val="20"/>
              </w:rPr>
              <w:t>590 000</w:t>
            </w:r>
          </w:p>
        </w:tc>
        <w:tc>
          <w:tcPr>
            <w:tcW w:w="1494" w:type="dxa"/>
            <w:tcBorders>
              <w:bottom w:val="single" w:sz="4" w:space="0" w:color="000000"/>
              <w:right w:val="single" w:sz="4" w:space="0" w:color="000000"/>
            </w:tcBorders>
            <w:tcMar>
              <w:left w:w="0" w:type="dxa"/>
              <w:right w:w="173" w:type="dxa"/>
            </w:tcMar>
            <w:vAlign w:val="center"/>
          </w:tcPr>
          <w:p w14:paraId="1D74D0DE" w14:textId="77777777" w:rsidR="00FB357A" w:rsidRDefault="00F615F7">
            <w:pPr>
              <w:jc w:val="right"/>
              <w:rPr>
                <w:color w:val="000000"/>
                <w:sz w:val="20"/>
                <w:szCs w:val="20"/>
              </w:rPr>
            </w:pPr>
            <w:r>
              <w:rPr>
                <w:color w:val="000000"/>
                <w:sz w:val="20"/>
                <w:szCs w:val="20"/>
              </w:rPr>
              <w:t>0</w:t>
            </w:r>
          </w:p>
        </w:tc>
        <w:tc>
          <w:tcPr>
            <w:tcW w:w="1497" w:type="dxa"/>
            <w:tcBorders>
              <w:bottom w:val="single" w:sz="4" w:space="0" w:color="000000"/>
              <w:right w:val="single" w:sz="4" w:space="0" w:color="000000"/>
            </w:tcBorders>
            <w:tcMar>
              <w:left w:w="0" w:type="dxa"/>
              <w:right w:w="173" w:type="dxa"/>
            </w:tcMar>
            <w:vAlign w:val="center"/>
          </w:tcPr>
          <w:p w14:paraId="1D74D0DF" w14:textId="77777777" w:rsidR="00FB357A" w:rsidRDefault="00F615F7">
            <w:pPr>
              <w:jc w:val="right"/>
              <w:rPr>
                <w:color w:val="000000"/>
                <w:sz w:val="20"/>
                <w:szCs w:val="20"/>
              </w:rPr>
            </w:pPr>
            <w:r>
              <w:rPr>
                <w:color w:val="000000"/>
                <w:sz w:val="20"/>
                <w:szCs w:val="20"/>
              </w:rPr>
              <w:t>0,00</w:t>
            </w:r>
          </w:p>
        </w:tc>
      </w:tr>
      <w:tr w:rsidR="00FB357A" w14:paraId="1D74D0E6" w14:textId="77777777" w:rsidTr="004B1D69">
        <w:tc>
          <w:tcPr>
            <w:tcW w:w="3583" w:type="dxa"/>
            <w:tcBorders>
              <w:left w:val="single" w:sz="4" w:space="0" w:color="000000"/>
              <w:bottom w:val="single" w:sz="4" w:space="0" w:color="000000"/>
              <w:right w:val="single" w:sz="4" w:space="0" w:color="000000"/>
            </w:tcBorders>
          </w:tcPr>
          <w:p w14:paraId="1D74D0E1" w14:textId="77777777" w:rsidR="00FB357A" w:rsidRDefault="00F615F7">
            <w:pPr>
              <w:jc w:val="left"/>
              <w:rPr>
                <w:b/>
                <w:color w:val="000000"/>
                <w:sz w:val="20"/>
                <w:szCs w:val="20"/>
              </w:rPr>
            </w:pPr>
            <w:r>
              <w:rPr>
                <w:b/>
                <w:color w:val="000000"/>
                <w:sz w:val="20"/>
                <w:szCs w:val="20"/>
              </w:rPr>
              <w:t>Total</w:t>
            </w:r>
          </w:p>
        </w:tc>
        <w:tc>
          <w:tcPr>
            <w:tcW w:w="1494" w:type="dxa"/>
            <w:tcBorders>
              <w:bottom w:val="single" w:sz="4" w:space="0" w:color="000000"/>
              <w:right w:val="single" w:sz="4" w:space="0" w:color="000000"/>
            </w:tcBorders>
            <w:tcMar>
              <w:left w:w="0" w:type="dxa"/>
              <w:right w:w="173" w:type="dxa"/>
            </w:tcMar>
          </w:tcPr>
          <w:p w14:paraId="1D74D0E2" w14:textId="77777777" w:rsidR="00FB357A" w:rsidRDefault="00F615F7">
            <w:pPr>
              <w:jc w:val="right"/>
              <w:rPr>
                <w:b/>
                <w:color w:val="000000"/>
                <w:sz w:val="20"/>
                <w:szCs w:val="20"/>
              </w:rPr>
            </w:pPr>
            <w:r>
              <w:rPr>
                <w:b/>
                <w:color w:val="000000"/>
                <w:sz w:val="20"/>
                <w:szCs w:val="20"/>
              </w:rPr>
              <w:t>11 276 967</w:t>
            </w:r>
          </w:p>
        </w:tc>
        <w:tc>
          <w:tcPr>
            <w:tcW w:w="1495" w:type="dxa"/>
            <w:tcBorders>
              <w:bottom w:val="single" w:sz="4" w:space="0" w:color="000000"/>
              <w:right w:val="single" w:sz="4" w:space="0" w:color="000000"/>
            </w:tcBorders>
            <w:tcMar>
              <w:left w:w="0" w:type="dxa"/>
              <w:right w:w="173" w:type="dxa"/>
            </w:tcMar>
          </w:tcPr>
          <w:p w14:paraId="1D74D0E3" w14:textId="77777777" w:rsidR="00FB357A" w:rsidRDefault="00F615F7">
            <w:pPr>
              <w:jc w:val="right"/>
              <w:rPr>
                <w:b/>
                <w:color w:val="000000"/>
                <w:sz w:val="20"/>
                <w:szCs w:val="20"/>
              </w:rPr>
            </w:pPr>
            <w:r>
              <w:rPr>
                <w:b/>
                <w:color w:val="000000"/>
                <w:sz w:val="20"/>
                <w:szCs w:val="20"/>
              </w:rPr>
              <w:t>11 419 783</w:t>
            </w:r>
          </w:p>
        </w:tc>
        <w:tc>
          <w:tcPr>
            <w:tcW w:w="1494" w:type="dxa"/>
            <w:tcBorders>
              <w:bottom w:val="single" w:sz="4" w:space="0" w:color="000000"/>
              <w:right w:val="single" w:sz="4" w:space="0" w:color="000000"/>
            </w:tcBorders>
            <w:tcMar>
              <w:left w:w="0" w:type="dxa"/>
              <w:right w:w="173" w:type="dxa"/>
            </w:tcMar>
            <w:vAlign w:val="center"/>
          </w:tcPr>
          <w:p w14:paraId="1D74D0E4" w14:textId="77777777" w:rsidR="00FB357A" w:rsidRDefault="00F615F7">
            <w:pPr>
              <w:jc w:val="right"/>
              <w:rPr>
                <w:b/>
                <w:bCs/>
                <w:color w:val="000000"/>
                <w:sz w:val="20"/>
                <w:szCs w:val="20"/>
              </w:rPr>
            </w:pPr>
            <w:r>
              <w:rPr>
                <w:b/>
                <w:bCs/>
                <w:color w:val="000000"/>
                <w:sz w:val="20"/>
                <w:szCs w:val="20"/>
              </w:rPr>
              <w:t>142 816</w:t>
            </w:r>
          </w:p>
        </w:tc>
        <w:tc>
          <w:tcPr>
            <w:tcW w:w="1497" w:type="dxa"/>
            <w:tcBorders>
              <w:bottom w:val="single" w:sz="4" w:space="0" w:color="000000"/>
              <w:right w:val="single" w:sz="4" w:space="0" w:color="000000"/>
            </w:tcBorders>
            <w:tcMar>
              <w:left w:w="0" w:type="dxa"/>
              <w:right w:w="173" w:type="dxa"/>
            </w:tcMar>
            <w:vAlign w:val="center"/>
          </w:tcPr>
          <w:p w14:paraId="1D74D0E5" w14:textId="77777777" w:rsidR="00FB357A" w:rsidRDefault="00F615F7">
            <w:pPr>
              <w:jc w:val="right"/>
              <w:rPr>
                <w:b/>
                <w:bCs/>
                <w:color w:val="000000"/>
                <w:sz w:val="20"/>
                <w:szCs w:val="20"/>
              </w:rPr>
            </w:pPr>
            <w:r>
              <w:rPr>
                <w:b/>
                <w:bCs/>
                <w:color w:val="000000"/>
                <w:sz w:val="20"/>
                <w:szCs w:val="20"/>
              </w:rPr>
              <w:t>1,27*</w:t>
            </w:r>
          </w:p>
        </w:tc>
      </w:tr>
    </w:tbl>
    <w:p w14:paraId="1495D393" w14:textId="54887EBB" w:rsidR="004B1D69" w:rsidRPr="00E80B0B" w:rsidRDefault="004B1D69" w:rsidP="004B1D69">
      <w:r w:rsidRPr="00E80B0B">
        <w:t>* </w:t>
      </w:r>
      <w:r w:rsidRPr="00E80B0B">
        <w:rPr>
          <w:sz w:val="18"/>
          <w:szCs w:val="18"/>
        </w:rPr>
        <w:t xml:space="preserve">2,6 % </w:t>
      </w:r>
      <w:r w:rsidR="007A490C" w:rsidRPr="00E80B0B">
        <w:rPr>
          <w:sz w:val="18"/>
          <w:szCs w:val="18"/>
        </w:rPr>
        <w:t>si le</w:t>
      </w:r>
      <w:r w:rsidRPr="00E80B0B">
        <w:rPr>
          <w:sz w:val="18"/>
          <w:szCs w:val="18"/>
        </w:rPr>
        <w:t xml:space="preserve"> </w:t>
      </w:r>
      <w:r w:rsidR="006C275E" w:rsidRPr="00E80B0B">
        <w:rPr>
          <w:sz w:val="18"/>
          <w:szCs w:val="18"/>
        </w:rPr>
        <w:t>montant</w:t>
      </w:r>
      <w:r w:rsidRPr="00E80B0B">
        <w:rPr>
          <w:sz w:val="18"/>
          <w:szCs w:val="18"/>
        </w:rPr>
        <w:t xml:space="preserve"> de 150 000 $US approuvé sur la base de la décision 93/95 d) est exclu du budget approuvé pour 2026.</w:t>
      </w:r>
    </w:p>
    <w:p w14:paraId="1D74D0E8" w14:textId="77777777" w:rsidR="00FB357A" w:rsidRDefault="00FB357A">
      <w:pPr>
        <w:widowControl w:val="0"/>
        <w:jc w:val="left"/>
        <w:outlineLvl w:val="0"/>
        <w:rPr>
          <w:b/>
        </w:rPr>
      </w:pPr>
    </w:p>
    <w:p w14:paraId="1D74D0E9" w14:textId="77777777" w:rsidR="00FB357A" w:rsidRDefault="00F615F7">
      <w:pPr>
        <w:widowControl w:val="0"/>
        <w:spacing w:after="240"/>
        <w:jc w:val="left"/>
        <w:outlineLvl w:val="0"/>
        <w:rPr>
          <w:b/>
          <w:sz w:val="24"/>
          <w:szCs w:val="24"/>
        </w:rPr>
      </w:pPr>
      <w:r>
        <w:rPr>
          <w:b/>
          <w:sz w:val="24"/>
          <w:szCs w:val="24"/>
        </w:rPr>
        <w:t>Recommandation</w:t>
      </w:r>
    </w:p>
    <w:p w14:paraId="1D74D0EA" w14:textId="77777777" w:rsidR="00FB357A" w:rsidRDefault="00F615F7">
      <w:pPr>
        <w:widowControl w:val="0"/>
        <w:numPr>
          <w:ilvl w:val="0"/>
          <w:numId w:val="1"/>
        </w:numPr>
        <w:spacing w:after="240"/>
        <w:outlineLvl w:val="0"/>
      </w:pPr>
      <w:r>
        <w:t>Compte tenu des informations fournies par le PNUE et des commentaires ci-dessus, le Comité exécutif pourrait souhaiter :</w:t>
      </w:r>
    </w:p>
    <w:p w14:paraId="1D74D0EB" w14:textId="77777777" w:rsidR="00FB357A" w:rsidRDefault="00F615F7">
      <w:pPr>
        <w:widowControl w:val="0"/>
        <w:numPr>
          <w:ilvl w:val="1"/>
          <w:numId w:val="1"/>
        </w:numPr>
        <w:spacing w:after="240"/>
        <w:ind w:left="1429"/>
        <w:outlineLvl w:val="1"/>
      </w:pPr>
      <w:r>
        <w:t xml:space="preserve">Prendre note du rapport périodique de 2026, de la stratégie proposée sur trois ans pour la période 2027-2029, ainsi que du plan de travail et du budget du Programme d’aide à la conformité (PAC) du PNUE pour 2027, qui figurent dans le document UNEP/OzL.Pro/ExCom/99/77 ; </w:t>
      </w:r>
    </w:p>
    <w:p w14:paraId="1D74D0EC" w14:textId="77777777" w:rsidR="00FB357A" w:rsidRDefault="00F615F7">
      <w:pPr>
        <w:pStyle w:val="Heading2"/>
      </w:pPr>
      <w:r>
        <w:lastRenderedPageBreak/>
        <w:t>Approuver les activités et le budget du PAC pour 2027, pour une somme de 11 419 783 $US, plus des coûts d’appui d’agence de 8 %, soit 913 583 $US, en prenant note des ajustements proposés dans le budget ;</w:t>
      </w:r>
    </w:p>
    <w:p w14:paraId="1D74D0ED" w14:textId="77777777" w:rsidR="00FB357A" w:rsidRDefault="00F615F7">
      <w:pPr>
        <w:pStyle w:val="Heading2"/>
      </w:pPr>
      <w:r>
        <w:t>Demander au PNUE, dans les futures soumissions du budget du PAC, de continuer à :</w:t>
      </w:r>
    </w:p>
    <w:p w14:paraId="1D74D0EE" w14:textId="77777777" w:rsidR="00FB357A" w:rsidRDefault="00F615F7">
      <w:pPr>
        <w:pStyle w:val="Heading3"/>
      </w:pPr>
      <w:r>
        <w:t>Fournir des informations détaillées sur les activités pour lesquelles les fonds mondiaux seront utilisés ;</w:t>
      </w:r>
    </w:p>
    <w:p w14:paraId="1D74D0EF" w14:textId="77777777" w:rsidR="00FB357A" w:rsidRDefault="00F615F7">
      <w:pPr>
        <w:pStyle w:val="Heading3"/>
      </w:pPr>
      <w:r>
        <w:t>Élargir la hiérarchisation des financements entre les lignes budgétaires pour tenir compte de l’évolution des priorités, et fournir des précisions, conformément aux décisions 47/24 et 50/26 sur les réaffectations effectuées ;</w:t>
      </w:r>
    </w:p>
    <w:p w14:paraId="1D74D0F0" w14:textId="77777777" w:rsidR="00FB357A" w:rsidRDefault="00F615F7">
      <w:pPr>
        <w:pStyle w:val="Heading3"/>
      </w:pPr>
      <w:r>
        <w:t>Rendre compte du niveau actuel des postes de personnel et à informer le Comité exécutif de tout changement à ce sujet, notamment en ce qui concerne les hausses des affectations budgétaires ;</w:t>
      </w:r>
    </w:p>
    <w:p w14:paraId="1D74D0F1" w14:textId="77777777" w:rsidR="00FB357A" w:rsidRDefault="00F615F7">
      <w:pPr>
        <w:pStyle w:val="Heading3"/>
      </w:pPr>
      <w:r>
        <w:t xml:space="preserve">Présenter un budget pour l’année en question et un rapport sur les coûts encourus au cours de l’année antérieure à l’année précédente, en tenant compte des alinéas c) ii) et c) iii) ci-dessus. </w:t>
      </w:r>
    </w:p>
    <w:p w14:paraId="1D74D0F2" w14:textId="77777777" w:rsidR="00FB357A" w:rsidRDefault="00FB357A">
      <w:pPr>
        <w:spacing w:before="240" w:after="240"/>
        <w:jc w:val="left"/>
      </w:pPr>
    </w:p>
    <w:tbl>
      <w:tblPr>
        <w:tblStyle w:val="TableGrid"/>
        <w:tblW w:w="5000" w:type="pct"/>
        <w:tblLayout w:type="fixed"/>
        <w:tblLook w:val="04A0" w:firstRow="1" w:lastRow="0" w:firstColumn="1" w:lastColumn="0" w:noHBand="0" w:noVBand="1"/>
      </w:tblPr>
      <w:tblGrid>
        <w:gridCol w:w="1931"/>
        <w:gridCol w:w="1933"/>
        <w:gridCol w:w="1933"/>
        <w:gridCol w:w="1933"/>
        <w:gridCol w:w="1936"/>
      </w:tblGrid>
      <w:tr w:rsidR="00FB357A" w14:paraId="1D74D0F8" w14:textId="77777777">
        <w:tc>
          <w:tcPr>
            <w:tcW w:w="1887" w:type="dxa"/>
            <w:tcBorders>
              <w:top w:val="nil"/>
              <w:left w:val="nil"/>
              <w:bottom w:val="nil"/>
              <w:right w:val="nil"/>
            </w:tcBorders>
          </w:tcPr>
          <w:p w14:paraId="1D74D0F3" w14:textId="77777777" w:rsidR="00FB357A" w:rsidRDefault="00FB357A">
            <w:pPr>
              <w:rPr>
                <w:rFonts w:eastAsia="SimSun"/>
              </w:rPr>
            </w:pPr>
          </w:p>
        </w:tc>
        <w:tc>
          <w:tcPr>
            <w:tcW w:w="1890" w:type="dxa"/>
            <w:tcBorders>
              <w:top w:val="nil"/>
              <w:left w:val="nil"/>
              <w:bottom w:val="nil"/>
              <w:right w:val="nil"/>
            </w:tcBorders>
          </w:tcPr>
          <w:p w14:paraId="1D74D0F4" w14:textId="77777777" w:rsidR="00FB357A" w:rsidRDefault="00FB357A">
            <w:pPr>
              <w:rPr>
                <w:rFonts w:eastAsia="SimSun"/>
              </w:rPr>
            </w:pPr>
          </w:p>
        </w:tc>
        <w:tc>
          <w:tcPr>
            <w:tcW w:w="1890" w:type="dxa"/>
            <w:tcBorders>
              <w:top w:val="nil"/>
              <w:left w:val="nil"/>
              <w:right w:val="nil"/>
            </w:tcBorders>
          </w:tcPr>
          <w:p w14:paraId="1D74D0F5" w14:textId="77777777" w:rsidR="00FB357A" w:rsidRDefault="00FB357A">
            <w:pPr>
              <w:rPr>
                <w:rFonts w:eastAsia="SimSun"/>
              </w:rPr>
            </w:pPr>
          </w:p>
        </w:tc>
        <w:tc>
          <w:tcPr>
            <w:tcW w:w="1890" w:type="dxa"/>
            <w:tcBorders>
              <w:top w:val="nil"/>
              <w:left w:val="nil"/>
              <w:bottom w:val="nil"/>
              <w:right w:val="nil"/>
            </w:tcBorders>
          </w:tcPr>
          <w:p w14:paraId="1D74D0F6" w14:textId="77777777" w:rsidR="00FB357A" w:rsidRDefault="00FB357A">
            <w:pPr>
              <w:rPr>
                <w:rFonts w:eastAsia="SimSun"/>
              </w:rPr>
            </w:pPr>
          </w:p>
        </w:tc>
        <w:tc>
          <w:tcPr>
            <w:tcW w:w="1893" w:type="dxa"/>
            <w:tcBorders>
              <w:top w:val="nil"/>
              <w:left w:val="nil"/>
              <w:bottom w:val="nil"/>
              <w:right w:val="nil"/>
            </w:tcBorders>
          </w:tcPr>
          <w:p w14:paraId="1D74D0F7" w14:textId="77777777" w:rsidR="00FB357A" w:rsidRDefault="00FB357A">
            <w:pPr>
              <w:rPr>
                <w:rFonts w:eastAsia="SimSun"/>
              </w:rPr>
            </w:pPr>
          </w:p>
        </w:tc>
      </w:tr>
    </w:tbl>
    <w:p w14:paraId="1D74D0F9" w14:textId="77777777" w:rsidR="00FB357A" w:rsidRDefault="00FB357A">
      <w:pPr>
        <w:jc w:val="center"/>
      </w:pPr>
    </w:p>
    <w:sectPr w:rsidR="00FB357A">
      <w:headerReference w:type="even" r:id="rId13"/>
      <w:headerReference w:type="default" r:id="rId14"/>
      <w:footerReference w:type="even" r:id="rId15"/>
      <w:footerReference w:type="default" r:id="rId16"/>
      <w:footerReference w:type="first" r:id="rId17"/>
      <w:pgSz w:w="12240" w:h="15840"/>
      <w:pgMar w:top="777" w:right="1350" w:bottom="864" w:left="1440" w:header="720" w:footer="475"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8839A" w14:textId="77777777" w:rsidR="002415C3" w:rsidRDefault="002415C3">
      <w:r>
        <w:separator/>
      </w:r>
    </w:p>
  </w:endnote>
  <w:endnote w:type="continuationSeparator" w:id="0">
    <w:p w14:paraId="6A38E59C" w14:textId="77777777" w:rsidR="002415C3" w:rsidRDefault="00241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Roboto-Bold">
    <w:altName w:val="Roboto"/>
    <w:charset w:val="00"/>
    <w:family w:val="auto"/>
    <w:pitch w:val="default"/>
  </w:font>
  <w:font w:name="TimesNewRomanPSMT">
    <w:altName w:val="Times New Roman"/>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106" w14:textId="77777777" w:rsidR="00FB357A" w:rsidRDefault="00F615F7">
    <w:pPr>
      <w:jc w:val="center"/>
    </w:pPr>
    <w:r>
      <w:fldChar w:fldCharType="begin"/>
    </w:r>
    <w:r>
      <w:instrText xml:space="preserve"> PAGE </w:instrText>
    </w:r>
    <w:r>
      <w:fldChar w:fldCharType="separate"/>
    </w:r>
    <w: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107" w14:textId="77777777" w:rsidR="00FB357A" w:rsidRDefault="00F615F7">
    <w:pPr>
      <w:jc w:val="center"/>
    </w:pPr>
    <w:r>
      <w:fldChar w:fldCharType="begin"/>
    </w:r>
    <w:r>
      <w:instrText xml:space="preserve"> PAGE </w:instrText>
    </w:r>
    <w:r>
      <w:fldChar w:fldCharType="separate"/>
    </w:r>
    <w: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109" w14:textId="77777777" w:rsidR="00FB357A" w:rsidRDefault="00FB357A">
    <w:pPr>
      <w:pBdr>
        <w:top w:val="single" w:sz="4" w:space="1" w:color="000000"/>
        <w:left w:val="single" w:sz="4" w:space="4" w:color="000000"/>
        <w:bottom w:val="single" w:sz="4" w:space="1" w:color="000000"/>
        <w:right w:val="single" w:sz="4" w:space="4" w:color="000000"/>
      </w:pBdr>
      <w:jc w:val="center"/>
      <w:rPr>
        <w:sz w:val="8"/>
        <w:szCs w:val="8"/>
      </w:rPr>
    </w:pPr>
  </w:p>
  <w:p w14:paraId="1D74D10A" w14:textId="77777777" w:rsidR="00FB357A" w:rsidRDefault="00F615F7">
    <w:pPr>
      <w:pBdr>
        <w:top w:val="single" w:sz="4" w:space="1" w:color="000000"/>
        <w:left w:val="single" w:sz="4" w:space="4" w:color="000000"/>
        <w:bottom w:val="single" w:sz="4" w:space="1" w:color="000000"/>
        <w:right w:val="single" w:sz="4" w:space="4" w:color="000000"/>
      </w:pBdr>
      <w:jc w:val="center"/>
      <w:rPr>
        <w:sz w:val="18"/>
        <w:szCs w:val="18"/>
      </w:rPr>
    </w:pPr>
    <w:r>
      <w:rPr>
        <w:sz w:val="18"/>
        <w:szCs w:val="18"/>
      </w:rPr>
      <w:t>Les documents de présession du Comité exécutif du Fonds multilatéral aux fins d’application du Protocole de Montréal</w:t>
    </w:r>
  </w:p>
  <w:p w14:paraId="1D74D10B" w14:textId="77777777" w:rsidR="00FB357A" w:rsidRDefault="00F615F7">
    <w:pPr>
      <w:pBdr>
        <w:top w:val="single" w:sz="4" w:space="1" w:color="000000"/>
        <w:left w:val="single" w:sz="4" w:space="4" w:color="000000"/>
        <w:bottom w:val="single" w:sz="4" w:space="1" w:color="000000"/>
        <w:right w:val="single" w:sz="4" w:space="4" w:color="000000"/>
      </w:pBdr>
      <w:jc w:val="center"/>
      <w:rPr>
        <w:sz w:val="18"/>
        <w:szCs w:val="18"/>
      </w:rPr>
    </w:pPr>
    <w:r>
      <w:rPr>
        <w:sz w:val="18"/>
        <w:szCs w:val="18"/>
      </w:rPr>
      <w:t>sont présentés sous réserve des décisions pouvant être prises par le Comité exécutif après leur publication.</w:t>
    </w:r>
  </w:p>
  <w:p w14:paraId="1D74D10C" w14:textId="77777777" w:rsidR="00FB357A" w:rsidRDefault="00FB357A">
    <w:pPr>
      <w:pBdr>
        <w:top w:val="single" w:sz="4" w:space="1" w:color="000000"/>
        <w:left w:val="single" w:sz="4" w:space="4" w:color="000000"/>
        <w:bottom w:val="single" w:sz="4" w:space="1" w:color="000000"/>
        <w:right w:val="single" w:sz="4" w:space="4" w:color="000000"/>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F27CA" w14:textId="77777777" w:rsidR="002415C3" w:rsidRDefault="002415C3">
      <w:pPr>
        <w:rPr>
          <w:sz w:val="12"/>
        </w:rPr>
      </w:pPr>
      <w:r>
        <w:separator/>
      </w:r>
    </w:p>
  </w:footnote>
  <w:footnote w:type="continuationSeparator" w:id="0">
    <w:p w14:paraId="51A2C92F" w14:textId="77777777" w:rsidR="002415C3" w:rsidRDefault="002415C3">
      <w:pPr>
        <w:rPr>
          <w:sz w:val="12"/>
        </w:rPr>
      </w:pPr>
      <w:r>
        <w:continuationSeparator/>
      </w:r>
    </w:p>
  </w:footnote>
  <w:footnote w:id="1">
    <w:p w14:paraId="1D74D10D" w14:textId="77777777" w:rsidR="00FB357A" w:rsidRDefault="00F615F7">
      <w:pPr>
        <w:pStyle w:val="FootnoteText"/>
      </w:pPr>
      <w:r>
        <w:rPr>
          <w:rStyle w:val="FootnoteCharacters"/>
        </w:rPr>
        <w:footnoteRef/>
      </w:r>
      <w:r>
        <w:t xml:space="preserve"> UNEP/OzL.Pro/ExCom/99/1</w:t>
      </w:r>
    </w:p>
  </w:footnote>
  <w:footnote w:id="2">
    <w:p w14:paraId="1D74D10E" w14:textId="77777777" w:rsidR="00FB357A" w:rsidRDefault="00F615F7">
      <w:pPr>
        <w:pStyle w:val="FootnoteText"/>
      </w:pPr>
      <w:r>
        <w:rPr>
          <w:rStyle w:val="FootnoteCharacters"/>
        </w:rPr>
        <w:footnoteRef/>
      </w:r>
      <w:r>
        <w:t xml:space="preserve"> La demande est conforme à la décision 47/24, qui limitait la hausse du budget du PAC pour le PNUE à 3 % par an. </w:t>
      </w:r>
    </w:p>
  </w:footnote>
  <w:footnote w:id="3">
    <w:p w14:paraId="1D74D10F" w14:textId="4328C51E" w:rsidR="00FB357A" w:rsidRDefault="00F615F7">
      <w:pPr>
        <w:pStyle w:val="FootnoteText"/>
      </w:pPr>
      <w:r>
        <w:rPr>
          <w:rStyle w:val="FootnoteCharacters"/>
        </w:rPr>
        <w:footnoteRef/>
      </w:r>
      <w:r>
        <w:t xml:space="preserve"> </w:t>
      </w:r>
      <w:r>
        <w:rPr>
          <w:rFonts w:asciiTheme="majorBidi" w:hAnsiTheme="majorBidi"/>
        </w:rPr>
        <w:t>Sud-</w:t>
      </w:r>
      <w:r w:rsidR="0016317A">
        <w:rPr>
          <w:rFonts w:asciiTheme="majorBidi" w:hAnsiTheme="majorBidi"/>
        </w:rPr>
        <w:t>s</w:t>
      </w:r>
      <w:r>
        <w:rPr>
          <w:rFonts w:asciiTheme="majorBidi" w:hAnsiTheme="majorBidi"/>
        </w:rPr>
        <w:t>ud et Nord-</w:t>
      </w:r>
      <w:r w:rsidR="0016317A">
        <w:rPr>
          <w:rFonts w:asciiTheme="majorBidi" w:hAnsiTheme="majorBidi"/>
        </w:rPr>
        <w:t>s</w:t>
      </w:r>
      <w:r>
        <w:rPr>
          <w:rFonts w:asciiTheme="majorBidi" w:hAnsiTheme="majorBidi"/>
        </w:rPr>
        <w:t>ud.</w:t>
      </w:r>
    </w:p>
  </w:footnote>
  <w:footnote w:id="4">
    <w:p w14:paraId="1D74D110" w14:textId="77777777" w:rsidR="00FB357A" w:rsidRDefault="00F615F7">
      <w:pPr>
        <w:pStyle w:val="FootnoteText"/>
      </w:pPr>
      <w:r>
        <w:rPr>
          <w:rStyle w:val="FootnoteCharacters"/>
        </w:rPr>
        <w:footnoteRef/>
      </w:r>
      <w:r>
        <w:t xml:space="preserve"> L’OMD, l’Office des Nations Unies contre la drogue et le crime, l’Agence de l’Union européenne pour la coopération des services répressifs, l’Office européen de lutte antifraude, et d’autres partenaires internationaux.</w:t>
      </w:r>
    </w:p>
  </w:footnote>
  <w:footnote w:id="5">
    <w:p w14:paraId="1D74D111" w14:textId="77777777" w:rsidR="00FB357A" w:rsidRDefault="00F615F7">
      <w:pPr>
        <w:pStyle w:val="FootnoteText"/>
      </w:pPr>
      <w:r>
        <w:rPr>
          <w:rStyle w:val="FootnoteCharacters"/>
        </w:rPr>
        <w:footnoteRef/>
      </w:r>
      <w:r>
        <w:t xml:space="preserve"> Les 11</w:t>
      </w:r>
      <w:r>
        <w:rPr>
          <w:vertAlign w:val="superscript"/>
        </w:rPr>
        <w:t>e</w:t>
      </w:r>
      <w:r>
        <w:t xml:space="preserve"> et 12</w:t>
      </w:r>
      <w:r>
        <w:rPr>
          <w:vertAlign w:val="superscript"/>
        </w:rPr>
        <w:t>e</w:t>
      </w:r>
      <w:r>
        <w:t> itérations de l’opération DEMETER, une opération douanière mondiale de l’OMD qui vise à lutter contre le commerce transfrontalier illégal de déchets et de substances nocives pour l’environnement.</w:t>
      </w:r>
    </w:p>
  </w:footnote>
  <w:footnote w:id="6">
    <w:p w14:paraId="1D74D112" w14:textId="77777777" w:rsidR="00FB357A" w:rsidRDefault="00F615F7">
      <w:pPr>
        <w:pStyle w:val="FootnoteText"/>
      </w:pPr>
      <w:r>
        <w:rPr>
          <w:rStyle w:val="FootnoteCharacters"/>
        </w:rPr>
        <w:footnoteRef/>
      </w:r>
      <w:r>
        <w:t xml:space="preserve"> American Society of Heating, Refrigerating and Air-Conditioning Engineers [Société américaine d’ingénieurs en chauffage, réfrigération et climatisation]</w:t>
      </w:r>
    </w:p>
  </w:footnote>
  <w:footnote w:id="7">
    <w:p w14:paraId="1D74D113" w14:textId="77777777" w:rsidR="00FB357A" w:rsidRDefault="00F615F7">
      <w:pPr>
        <w:pStyle w:val="FootnoteText"/>
      </w:pPr>
      <w:r>
        <w:rPr>
          <w:rStyle w:val="FootnoteCharacters"/>
        </w:rPr>
        <w:footnoteRef/>
      </w:r>
      <w:r>
        <w:t> Décision 96/28. La phase I a été approuvée à la 91</w:t>
      </w:r>
      <w:r>
        <w:rPr>
          <w:vertAlign w:val="superscript"/>
        </w:rPr>
        <w:t>e</w:t>
      </w:r>
      <w:r>
        <w:t> réunion (décision 91/42) pour la mise en œuvre de 2023 à 2024.</w:t>
      </w:r>
    </w:p>
  </w:footnote>
  <w:footnote w:id="8">
    <w:p w14:paraId="1D74D114" w14:textId="77777777" w:rsidR="00FB357A" w:rsidRDefault="00F615F7">
      <w:pPr>
        <w:pStyle w:val="FootnoteText"/>
      </w:pPr>
      <w:r>
        <w:rPr>
          <w:rStyle w:val="FootnoteCharacters"/>
        </w:rPr>
        <w:footnoteRef/>
      </w:r>
      <w:r>
        <w:t xml:space="preserve"> Un examen du régime des coûts administratifs du Fonds multilatéral et de son budget de financement de base, figurant dans le document UNEP/OzL.Pro/ExCom/99/87 aura lieu à la présente réunion (décision 93/95 e)), au point 18 à l’ordre du jour.</w:t>
      </w:r>
    </w:p>
  </w:footnote>
  <w:footnote w:id="9">
    <w:p w14:paraId="1D74D115" w14:textId="77777777" w:rsidR="00FB357A" w:rsidRDefault="00F615F7">
      <w:pPr>
        <w:pStyle w:val="FootnoteText"/>
      </w:pPr>
      <w:r>
        <w:rPr>
          <w:rStyle w:val="FootnoteCharacters"/>
        </w:rPr>
        <w:footnoteRef/>
      </w:r>
      <w:r>
        <w:t xml:space="preserve"> 1. Accroître la capacité des PFV pour mettre en œuvre des systèmes d’octroi de permis et de quotas pour les HFC et pour recueillir des données sur les tendances de consommation des HFC ; 2. Aider les UNO à cibler la consommation dans le sous-secteur de l’installation et de l’assemblage sur place et à convertir les entreprises de ce sous-secteur vers des substituts à faible potentiel de réchauffement de la planète (PRP) grâce à des activités ne portant pas sur des investissements ; et 3. Former le personnel du PAC sur l’efficacité énergétique et les NMPE.</w:t>
      </w:r>
    </w:p>
  </w:footnote>
  <w:footnote w:id="10">
    <w:p w14:paraId="1D74D116" w14:textId="77777777" w:rsidR="00FB357A" w:rsidRDefault="00F615F7">
      <w:pPr>
        <w:pStyle w:val="FootnoteText"/>
      </w:pPr>
      <w:r>
        <w:rPr>
          <w:rStyle w:val="FootnoteCharacters"/>
        </w:rPr>
        <w:footnoteRef/>
      </w:r>
      <w:r>
        <w:t xml:space="preserve"> Comme décrit au paragraphe 3 b) de l’article 10 du Protocole de Montréal.</w:t>
      </w:r>
    </w:p>
  </w:footnote>
  <w:footnote w:id="11">
    <w:p w14:paraId="1D74D117" w14:textId="77777777" w:rsidR="00FB357A" w:rsidRDefault="00F615F7">
      <w:pPr>
        <w:pStyle w:val="FootnoteText"/>
      </w:pPr>
      <w:r>
        <w:rPr>
          <w:rStyle w:val="FootnoteCharacters"/>
        </w:rPr>
        <w:footnoteRef/>
      </w:r>
      <w:r>
        <w:t xml:space="preserve"> Les demandes d’augmentations futures du budget du Programme d’aide à la conformité seraient limitées à 3 %, à moins que le Comité exécutif ne soit saisi de preuves de mesures inflationnistes justifiant le contraire.</w:t>
      </w:r>
    </w:p>
  </w:footnote>
  <w:footnote w:id="12">
    <w:p w14:paraId="1D74D118" w14:textId="77777777" w:rsidR="00FB357A" w:rsidRDefault="00F615F7">
      <w:pPr>
        <w:pStyle w:val="FootnoteText"/>
        <w:rPr>
          <w:highlight w:val="yellow"/>
        </w:rPr>
      </w:pPr>
      <w:r>
        <w:rPr>
          <w:rStyle w:val="FootnoteCharacters"/>
        </w:rPr>
        <w:footnoteRef/>
      </w:r>
      <w:r>
        <w:t> Décision 97/85 c) ii) : Le PNUE est prié, dans les futures soumissions du budget du PAC, de continuer à élargir la hiérarchisation des financements entre les lignes budgétaires du PAC pour tenir compte de l’évolution des priorités et fournir des précisions conformément aux décisions 47/24 et 50/26, sur les réaffectations effectuées.</w:t>
      </w:r>
    </w:p>
  </w:footnote>
  <w:footnote w:id="13">
    <w:p w14:paraId="1D74D119" w14:textId="77777777" w:rsidR="00FB357A" w:rsidRDefault="00F615F7">
      <w:pPr>
        <w:pStyle w:val="FootnoteText"/>
      </w:pPr>
      <w:r>
        <w:rPr>
          <w:rStyle w:val="FootnoteCharacters"/>
        </w:rPr>
        <w:footnoteRef/>
      </w:r>
      <w:r>
        <w:t xml:space="preserve"> Intégrée dans le budget de 2025 et indiquant zéro dans le budget de 2026.</w:t>
      </w:r>
    </w:p>
  </w:footnote>
  <w:footnote w:id="14">
    <w:p w14:paraId="1D74D11A" w14:textId="77777777" w:rsidR="00FB357A" w:rsidRDefault="00F615F7">
      <w:pPr>
        <w:pStyle w:val="FootnoteText"/>
      </w:pPr>
      <w:r>
        <w:rPr>
          <w:rStyle w:val="FootnoteCharacters"/>
        </w:rPr>
        <w:footnoteRef/>
      </w:r>
      <w:r>
        <w:t>(Décision 97/85 d) iii)) : Le PNUE est prié, dans les futures soumissions du budget du PAC, de rendre compte du niveau actuel des postes de personnel et d’informer le Comité exécutif de tout changement à ce sujet, notamment en ce qui concerne les dotations budgétaires.</w:t>
      </w:r>
    </w:p>
  </w:footnote>
  <w:footnote w:id="15">
    <w:p w14:paraId="1D74D11B" w14:textId="77777777" w:rsidR="00FB357A" w:rsidRDefault="00F615F7">
      <w:pPr>
        <w:pStyle w:val="FootnoteText"/>
      </w:pPr>
      <w:r>
        <w:rPr>
          <w:rStyle w:val="FootnoteCharacters"/>
        </w:rPr>
        <w:footnoteRef/>
      </w:r>
      <w:r>
        <w:t xml:space="preserve"> Ces rajustements sont également apportés conformément à la décision 97/85 d), qui permet au PNUE d’élargir la hiérarchisation des financements entre les lignes budgétaires du PAC pour tenir compte de l’évolution des priorités.</w:t>
      </w:r>
    </w:p>
  </w:footnote>
  <w:footnote w:id="16">
    <w:p w14:paraId="1D74D11C" w14:textId="77777777" w:rsidR="00FB357A" w:rsidRDefault="00F615F7">
      <w:pPr>
        <w:pStyle w:val="FootnoteText"/>
      </w:pPr>
      <w:r>
        <w:rPr>
          <w:rStyle w:val="FootnoteCharacters"/>
        </w:rPr>
        <w:footnoteRef/>
      </w:r>
      <w:r>
        <w:t xml:space="preserve"> La décision 97/85 d) iv) prie le PNUE, dans les futures soumissions du budget du PAC, de continuer à présenter un budget pour l’année en question et un rapport sur les coûts encourus au cours de l’année précédente, en tenant compte des alinéas d) ii) et d) iii). </w:t>
      </w:r>
    </w:p>
  </w:footnote>
  <w:footnote w:id="17">
    <w:p w14:paraId="1D74D11D" w14:textId="77777777" w:rsidR="00FB357A" w:rsidRDefault="00F615F7">
      <w:pPr>
        <w:pStyle w:val="FootnoteText"/>
      </w:pPr>
      <w:r>
        <w:rPr>
          <w:rStyle w:val="FootnoteCharacters"/>
        </w:rPr>
        <w:footnoteRef/>
      </w:r>
      <w:r>
        <w:t xml:space="preserve"> UNEP/OzL.Pro/ExCom/99/4</w:t>
      </w:r>
    </w:p>
  </w:footnote>
  <w:footnote w:id="18">
    <w:p w14:paraId="1D74D11E" w14:textId="77777777" w:rsidR="00FB357A" w:rsidRDefault="00F615F7">
      <w:pPr>
        <w:pStyle w:val="FootnoteText"/>
      </w:pPr>
      <w:r>
        <w:rPr>
          <w:rStyle w:val="FootnoteCharacters"/>
        </w:rPr>
        <w:footnoteRef/>
      </w:r>
      <w:r>
        <w:t xml:space="preserve"> La décision 97/85 d) demande au PNUE, dans les futures soumissions du budget du PAC, de continuer à : i) fournir des informations détaillées sur les activités pour lesquelles les fonds mondiaux seront utilisés ; ii) élargir la hiérarchisation des financements entre les lignes budgétaires du PAC pour tenir compte de l’évolution des priorités et fournir des précisions, conformément aux </w:t>
      </w:r>
      <w:hyperlink r:id="rId1">
        <w:r>
          <w:rPr>
            <w:rStyle w:val="Hyperlink"/>
          </w:rPr>
          <w:t>décisions 47/24</w:t>
        </w:r>
      </w:hyperlink>
      <w:r>
        <w:t> </w:t>
      </w:r>
      <w:hyperlink r:id="rId2">
        <w:r>
          <w:rPr>
            <w:rStyle w:val="Hyperlink"/>
          </w:rPr>
          <w:t>et 50/26</w:t>
        </w:r>
      </w:hyperlink>
      <w:r>
        <w:t>, sur les réaffectations effectuées ; iii) rendre compte du niveau actuel des postes de personnel et informer le Comité exécutif de tout changement à ce sujet, notamment en ce qui concerne l’augmentation des dotations budgétaires ; iv) fournir un budget pour l’année en question, et un rapport sur les coûts encourus au cours de l’année précédente, en tenant compte des alinéas d) ii) et d) iii).</w:t>
      </w:r>
    </w:p>
  </w:footnote>
  <w:footnote w:id="19">
    <w:p w14:paraId="1D74D11F" w14:textId="77777777" w:rsidR="00FB357A" w:rsidRDefault="00F615F7">
      <w:pPr>
        <w:pStyle w:val="FootnoteText"/>
      </w:pPr>
      <w:r>
        <w:rPr>
          <w:rStyle w:val="FootnoteCharacters"/>
        </w:rPr>
        <w:footnoteRef/>
      </w:r>
      <w:r>
        <w:t xml:space="preserve"> Comme la trousse à outils du mécanisme de coordination national ; l’outil de surveillance et de suivi des politiques nationales ; et la trousse à outils sur la conformité, l’étiquetage et l’application de la loi.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100" w14:textId="77777777" w:rsidR="00FB357A" w:rsidRDefault="00F615F7">
    <w:r>
      <w:fldChar w:fldCharType="begin"/>
    </w:r>
    <w:r>
      <w:instrText xml:space="preserve"> DOCPROPERTY "Document number"</w:instrText>
    </w:r>
    <w:r>
      <w:fldChar w:fldCharType="separate"/>
    </w:r>
    <w:r>
      <w:t>UNEP/OzL.Pro/ExCom/99/77</w:t>
    </w:r>
    <w:r>
      <w:fldChar w:fldCharType="end"/>
    </w:r>
  </w:p>
  <w:p w14:paraId="1D74D101" w14:textId="77777777" w:rsidR="00FB357A" w:rsidRDefault="00FB357A"/>
  <w:p w14:paraId="1D74D102" w14:textId="77777777" w:rsidR="00FB357A" w:rsidRDefault="00FB35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103" w14:textId="77777777" w:rsidR="00FB357A" w:rsidRDefault="00F615F7">
    <w:pPr>
      <w:jc w:val="right"/>
    </w:pPr>
    <w:r>
      <w:fldChar w:fldCharType="begin"/>
    </w:r>
    <w:r>
      <w:instrText xml:space="preserve"> DOCPROPERTY "Document number"</w:instrText>
    </w:r>
    <w:r>
      <w:fldChar w:fldCharType="separate"/>
    </w:r>
    <w:r>
      <w:t>UNEP/OzL.Pro/ExCom/99/77</w:t>
    </w:r>
    <w:r>
      <w:fldChar w:fldCharType="end"/>
    </w:r>
  </w:p>
  <w:p w14:paraId="1D74D104" w14:textId="77777777" w:rsidR="00FB357A" w:rsidRDefault="00FB357A"/>
  <w:p w14:paraId="1D74D105" w14:textId="77777777" w:rsidR="00FB357A" w:rsidRDefault="00FB35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97B2C"/>
    <w:multiLevelType w:val="multilevel"/>
    <w:tmpl w:val="472A8F4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2160"/>
        </w:tabs>
        <w:ind w:left="2880" w:hanging="720"/>
      </w:pPr>
      <w:rPr>
        <w:b w:val="0"/>
        <w:i w:val="0"/>
      </w:r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54FD25B5"/>
    <w:multiLevelType w:val="multilevel"/>
    <w:tmpl w:val="96001C6A"/>
    <w:lvl w:ilvl="0">
      <w:start w:val="1"/>
      <w:numFmt w:val="decimal"/>
      <w:lvlText w:val="%1."/>
      <w:lvlJc w:val="left"/>
      <w:pPr>
        <w:tabs>
          <w:tab w:val="num" w:pos="0"/>
        </w:tabs>
        <w:ind w:left="0" w:firstLine="0"/>
      </w:pPr>
    </w:lvl>
    <w:lvl w:ilvl="1">
      <w:start w:val="1"/>
      <w:numFmt w:val="decimal"/>
      <w:lvlText w:val="%2)"/>
      <w:lvlJc w:val="left"/>
      <w:pPr>
        <w:tabs>
          <w:tab w:val="num" w:pos="0"/>
        </w:tabs>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2160"/>
        </w:tabs>
        <w:ind w:left="2880" w:hanging="720"/>
      </w:pPr>
      <w:rPr>
        <w:b w:val="0"/>
        <w:i w:val="0"/>
      </w:rPr>
    </w:lvl>
    <w:lvl w:ilvl="4">
      <w:start w:val="1"/>
      <w:numFmt w:val="lowerRoman"/>
      <w:lvlText w:val="%5."/>
      <w:lvlJc w:val="left"/>
      <w:pPr>
        <w:tabs>
          <w:tab w:val="num" w:pos="3600"/>
        </w:tabs>
        <w:ind w:left="3600" w:hanging="720"/>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6386536A"/>
    <w:multiLevelType w:val="multilevel"/>
    <w:tmpl w:val="99DAA71A"/>
    <w:lvl w:ilvl="0">
      <w:start w:val="1"/>
      <w:numFmt w:val="lowerLetter"/>
      <w:lvlText w:val="%1."/>
      <w:lvlJc w:val="left"/>
      <w:pPr>
        <w:tabs>
          <w:tab w:val="num" w:pos="3600"/>
        </w:tabs>
        <w:ind w:left="3600" w:hanging="360"/>
      </w:pPr>
    </w:lvl>
    <w:lvl w:ilvl="1">
      <w:start w:val="1"/>
      <w:numFmt w:val="lowerLetter"/>
      <w:lvlText w:val="%2."/>
      <w:lvlJc w:val="left"/>
      <w:pPr>
        <w:tabs>
          <w:tab w:val="num" w:pos="4320"/>
        </w:tabs>
        <w:ind w:left="4320" w:hanging="360"/>
      </w:pPr>
    </w:lvl>
    <w:lvl w:ilvl="2">
      <w:start w:val="1"/>
      <w:numFmt w:val="lowerRoman"/>
      <w:lvlText w:val="%3."/>
      <w:lvlJc w:val="right"/>
      <w:pPr>
        <w:tabs>
          <w:tab w:val="num" w:pos="5040"/>
        </w:tabs>
        <w:ind w:left="5040" w:hanging="180"/>
      </w:pPr>
    </w:lvl>
    <w:lvl w:ilvl="3">
      <w:start w:val="1"/>
      <w:numFmt w:val="decimal"/>
      <w:pStyle w:val="Header4"/>
      <w:lvlText w:val="%4."/>
      <w:lvlJc w:val="left"/>
      <w:pPr>
        <w:tabs>
          <w:tab w:val="num" w:pos="5760"/>
        </w:tabs>
        <w:ind w:left="5760" w:hanging="360"/>
      </w:pPr>
    </w:lvl>
    <w:lvl w:ilvl="4">
      <w:start w:val="1"/>
      <w:numFmt w:val="lowerLetter"/>
      <w:lvlText w:val="%5."/>
      <w:lvlJc w:val="left"/>
      <w:pPr>
        <w:tabs>
          <w:tab w:val="num" w:pos="6480"/>
        </w:tabs>
        <w:ind w:left="6480" w:hanging="360"/>
      </w:pPr>
    </w:lvl>
    <w:lvl w:ilvl="5">
      <w:start w:val="1"/>
      <w:numFmt w:val="lowerRoman"/>
      <w:lvlText w:val="%6."/>
      <w:lvlJc w:val="right"/>
      <w:pPr>
        <w:tabs>
          <w:tab w:val="num" w:pos="7200"/>
        </w:tabs>
        <w:ind w:left="7200" w:hanging="180"/>
      </w:p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num w:numId="1" w16cid:durableId="1832942595">
    <w:abstractNumId w:val="0"/>
  </w:num>
  <w:num w:numId="2" w16cid:durableId="2098820001">
    <w:abstractNumId w:val="2"/>
  </w:num>
  <w:num w:numId="3" w16cid:durableId="285935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FB357A"/>
    <w:rsid w:val="0016317A"/>
    <w:rsid w:val="001873E9"/>
    <w:rsid w:val="002415C3"/>
    <w:rsid w:val="003A2050"/>
    <w:rsid w:val="003E00B7"/>
    <w:rsid w:val="00486BB1"/>
    <w:rsid w:val="004B1D69"/>
    <w:rsid w:val="005A13C9"/>
    <w:rsid w:val="006C275E"/>
    <w:rsid w:val="00776C09"/>
    <w:rsid w:val="007A490C"/>
    <w:rsid w:val="00807029"/>
    <w:rsid w:val="00873813"/>
    <w:rsid w:val="009C1FAD"/>
    <w:rsid w:val="009C4B6E"/>
    <w:rsid w:val="00A22328"/>
    <w:rsid w:val="00B40F9D"/>
    <w:rsid w:val="00E80B0B"/>
    <w:rsid w:val="00EA6FAF"/>
    <w:rsid w:val="00F615F7"/>
    <w:rsid w:val="00FB35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CFEE"/>
  <w15:docId w15:val="{11A16D94-5356-420C-B02A-FE8F37191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rPr>
  </w:style>
  <w:style w:type="paragraph" w:styleId="Heading1">
    <w:name w:val="heading 1"/>
    <w:basedOn w:val="Normal"/>
    <w:next w:val="Normal"/>
    <w:link w:val="Heading1Char"/>
    <w:qFormat/>
    <w:rsid w:val="0033525D"/>
    <w:pPr>
      <w:numPr>
        <w:numId w:val="1"/>
      </w:numPr>
      <w:spacing w:after="240"/>
      <w:outlineLvl w:val="0"/>
    </w:pPr>
  </w:style>
  <w:style w:type="paragraph" w:styleId="Heading2">
    <w:name w:val="heading 2"/>
    <w:basedOn w:val="Normal"/>
    <w:next w:val="Normal"/>
    <w:link w:val="Heading2Char"/>
    <w:qFormat/>
    <w:rsid w:val="00E33106"/>
    <w:pPr>
      <w:numPr>
        <w:ilvl w:val="1"/>
        <w:numId w:val="1"/>
      </w:numPr>
      <w:spacing w:after="240"/>
      <w:outlineLvl w:val="1"/>
    </w:pPr>
  </w:style>
  <w:style w:type="paragraph" w:styleId="Heading3">
    <w:name w:val="heading 3"/>
    <w:basedOn w:val="Normal"/>
    <w:next w:val="Normal"/>
    <w:link w:val="Heading3Char"/>
    <w:qFormat/>
    <w:rsid w:val="00E33106"/>
    <w:pPr>
      <w:numPr>
        <w:ilvl w:val="2"/>
        <w:numId w:val="1"/>
      </w:numPr>
      <w:spacing w:after="240"/>
      <w:outlineLvl w:val="2"/>
    </w:pPr>
  </w:style>
  <w:style w:type="paragraph" w:styleId="Heading4">
    <w:name w:val="heading 4"/>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33525D"/>
    <w:rPr>
      <w:sz w:val="22"/>
      <w:szCs w:val="22"/>
      <w:lang w:val="fr-CA"/>
    </w:rPr>
  </w:style>
  <w:style w:type="character" w:styleId="CommentReference">
    <w:name w:val="annotation reference"/>
    <w:basedOn w:val="DefaultParagraphFont"/>
    <w:uiPriority w:val="99"/>
    <w:semiHidden/>
    <w:unhideWhenUsed/>
    <w:qFormat/>
    <w:rsid w:val="00B04161"/>
    <w:rPr>
      <w:sz w:val="16"/>
      <w:szCs w:val="16"/>
    </w:rPr>
  </w:style>
  <w:style w:type="character" w:styleId="PlaceholderText">
    <w:name w:val="Placeholder Text"/>
    <w:basedOn w:val="DefaultParagraphFont"/>
    <w:uiPriority w:val="99"/>
    <w:semiHidden/>
    <w:qFormat/>
    <w:rsid w:val="00FC2540"/>
    <w:rPr>
      <w:color w:val="808080"/>
    </w:rPr>
  </w:style>
  <w:style w:type="character" w:customStyle="1" w:styleId="BalloonTextChar">
    <w:name w:val="Balloon Text Char"/>
    <w:basedOn w:val="DefaultParagraphFont"/>
    <w:link w:val="BalloonText"/>
    <w:uiPriority w:val="99"/>
    <w:semiHidden/>
    <w:qFormat/>
    <w:rsid w:val="00FC2540"/>
    <w:rPr>
      <w:rFonts w:ascii="Tahoma" w:hAnsi="Tahoma" w:cs="Tahoma"/>
      <w:sz w:val="16"/>
      <w:szCs w:val="16"/>
      <w:lang w:val="fr-CA"/>
    </w:rPr>
  </w:style>
  <w:style w:type="character" w:customStyle="1" w:styleId="CommentTextChar">
    <w:name w:val="Comment Text Char"/>
    <w:basedOn w:val="DefaultParagraphFont"/>
    <w:link w:val="CommentText"/>
    <w:uiPriority w:val="99"/>
    <w:qFormat/>
    <w:rsid w:val="00B04161"/>
    <w:rPr>
      <w:lang w:val="fr-CA"/>
    </w:rPr>
  </w:style>
  <w:style w:type="character" w:customStyle="1" w:styleId="CommentSubjectChar">
    <w:name w:val="Comment Subject Char"/>
    <w:basedOn w:val="CommentTextChar"/>
    <w:link w:val="CommentSubject"/>
    <w:uiPriority w:val="99"/>
    <w:semiHidden/>
    <w:qFormat/>
    <w:rsid w:val="00B04161"/>
    <w:rPr>
      <w:b/>
      <w:bCs/>
      <w:lang w:val="fr-CA"/>
    </w:rPr>
  </w:style>
  <w:style w:type="character" w:customStyle="1" w:styleId="FootnoteTextChar">
    <w:name w:val="Footnote Text Char"/>
    <w:basedOn w:val="DefaultParagraphFont"/>
    <w:link w:val="FootnoteText"/>
    <w:uiPriority w:val="99"/>
    <w:qFormat/>
    <w:rsid w:val="006F6061"/>
    <w:rPr>
      <w:lang w:val="fr-CA"/>
    </w:rPr>
  </w:style>
  <w:style w:type="character" w:customStyle="1" w:styleId="FootnoteCharacters">
    <w:name w:val="Footnote Characters"/>
    <w:basedOn w:val="DefaultParagraphFont"/>
    <w:link w:val="CharCharCharCharCarChar"/>
    <w:uiPriority w:val="99"/>
    <w:unhideWhenUsed/>
    <w:qFormat/>
    <w:rsid w:val="006F6061"/>
    <w:rPr>
      <w:vertAlign w:val="superscript"/>
    </w:rPr>
  </w:style>
  <w:style w:type="character" w:styleId="FootnoteReference">
    <w:name w:val="footnote reference"/>
    <w:rPr>
      <w:vertAlign w:val="superscript"/>
    </w:rPr>
  </w:style>
  <w:style w:type="character" w:customStyle="1" w:styleId="Heading2Char">
    <w:name w:val="Heading 2 Char"/>
    <w:basedOn w:val="DefaultParagraphFont"/>
    <w:link w:val="Heading2"/>
    <w:qFormat/>
    <w:rsid w:val="00E33106"/>
    <w:rPr>
      <w:sz w:val="22"/>
      <w:szCs w:val="22"/>
      <w:lang w:val="fr-CA"/>
    </w:rPr>
  </w:style>
  <w:style w:type="character" w:customStyle="1" w:styleId="Heading3Char">
    <w:name w:val="Heading 3 Char"/>
    <w:basedOn w:val="DefaultParagraphFont"/>
    <w:link w:val="Heading3"/>
    <w:uiPriority w:val="9"/>
    <w:qFormat/>
    <w:rsid w:val="00E33106"/>
    <w:rPr>
      <w:sz w:val="22"/>
      <w:szCs w:val="22"/>
      <w:lang w:val="fr-CA"/>
    </w:rPr>
  </w:style>
  <w:style w:type="character" w:customStyle="1" w:styleId="Heading4Char">
    <w:name w:val="Heading 4 Char"/>
    <w:basedOn w:val="DefaultParagraphFont"/>
    <w:link w:val="Heading4"/>
    <w:qFormat/>
    <w:rsid w:val="00E446C6"/>
    <w:rPr>
      <w:sz w:val="22"/>
      <w:szCs w:val="22"/>
      <w:lang w:val="fr-CA"/>
    </w:rPr>
  </w:style>
  <w:style w:type="character" w:customStyle="1" w:styleId="Heading5Char">
    <w:name w:val="Heading 5 Char"/>
    <w:basedOn w:val="DefaultParagraphFont"/>
    <w:link w:val="Heading5"/>
    <w:qFormat/>
    <w:rsid w:val="00821DFA"/>
    <w:rPr>
      <w:sz w:val="22"/>
      <w:szCs w:val="22"/>
      <w:lang w:val="fr-CA"/>
    </w:rPr>
  </w:style>
  <w:style w:type="character" w:customStyle="1" w:styleId="Heading6Char">
    <w:name w:val="Heading 6 Char"/>
    <w:basedOn w:val="DefaultParagraphFont"/>
    <w:link w:val="Heading6"/>
    <w:qFormat/>
    <w:rsid w:val="00720EE7"/>
    <w:rPr>
      <w:rFonts w:ascii="Arial" w:hAnsi="Arial"/>
      <w:i/>
      <w:sz w:val="22"/>
      <w:szCs w:val="22"/>
      <w:lang w:val="fr-CA"/>
    </w:rPr>
  </w:style>
  <w:style w:type="character" w:customStyle="1" w:styleId="Heading7Char">
    <w:name w:val="Heading 7 Char"/>
    <w:basedOn w:val="DefaultParagraphFont"/>
    <w:link w:val="Heading7"/>
    <w:qFormat/>
    <w:rsid w:val="00720EE7"/>
    <w:rPr>
      <w:rFonts w:ascii="Arial" w:hAnsi="Arial"/>
      <w:sz w:val="22"/>
      <w:szCs w:val="22"/>
      <w:lang w:val="fr-CA"/>
    </w:rPr>
  </w:style>
  <w:style w:type="character" w:customStyle="1" w:styleId="Heading8Char">
    <w:name w:val="Heading 8 Char"/>
    <w:basedOn w:val="DefaultParagraphFont"/>
    <w:link w:val="Heading8"/>
    <w:qFormat/>
    <w:rsid w:val="00720EE7"/>
    <w:rPr>
      <w:b/>
      <w:sz w:val="22"/>
      <w:szCs w:val="22"/>
      <w:lang w:val="fr-CA"/>
    </w:rPr>
  </w:style>
  <w:style w:type="character" w:customStyle="1" w:styleId="Heading9Char">
    <w:name w:val="Heading 9 Char"/>
    <w:basedOn w:val="DefaultParagraphFont"/>
    <w:link w:val="Heading9"/>
    <w:qFormat/>
    <w:rsid w:val="00720EE7"/>
    <w:rPr>
      <w:rFonts w:ascii="Arial" w:hAnsi="Arial"/>
      <w:i/>
      <w:sz w:val="18"/>
      <w:szCs w:val="22"/>
      <w:lang w:val="fr-CA"/>
    </w:rPr>
  </w:style>
  <w:style w:type="character" w:customStyle="1" w:styleId="HeaderChar">
    <w:name w:val="Header Char"/>
    <w:basedOn w:val="DefaultParagraphFont"/>
    <w:link w:val="Header"/>
    <w:qFormat/>
    <w:rsid w:val="00720EE7"/>
    <w:rPr>
      <w:sz w:val="22"/>
      <w:szCs w:val="22"/>
      <w:lang w:val="fr-CA"/>
    </w:rPr>
  </w:style>
  <w:style w:type="character" w:customStyle="1" w:styleId="FooterChar">
    <w:name w:val="Footer Char"/>
    <w:basedOn w:val="DefaultParagraphFont"/>
    <w:link w:val="Footer"/>
    <w:semiHidden/>
    <w:qFormat/>
    <w:rsid w:val="00720EE7"/>
    <w:rPr>
      <w:sz w:val="22"/>
      <w:szCs w:val="22"/>
      <w:lang w:val="fr-CA"/>
    </w:rPr>
  </w:style>
  <w:style w:type="character" w:customStyle="1" w:styleId="BodyText3Char">
    <w:name w:val="Body Text 3 Char"/>
    <w:basedOn w:val="DefaultParagraphFont"/>
    <w:link w:val="BodyText3"/>
    <w:semiHidden/>
    <w:qFormat/>
    <w:rsid w:val="00720EE7"/>
    <w:rPr>
      <w:sz w:val="16"/>
      <w:szCs w:val="16"/>
      <w:lang w:val="fr-CA"/>
    </w:rPr>
  </w:style>
  <w:style w:type="character" w:customStyle="1" w:styleId="BodyTextIndent3Char">
    <w:name w:val="Body Text Indent 3 Char"/>
    <w:basedOn w:val="DefaultParagraphFont"/>
    <w:link w:val="BodyTextIndent3"/>
    <w:semiHidden/>
    <w:qFormat/>
    <w:rsid w:val="00720EE7"/>
    <w:rPr>
      <w:sz w:val="16"/>
      <w:szCs w:val="16"/>
      <w:lang w:val="fr-CA"/>
    </w:rPr>
  </w:style>
  <w:style w:type="character" w:customStyle="1" w:styleId="PlainTextChar">
    <w:name w:val="Plain Text Char"/>
    <w:basedOn w:val="DefaultParagraphFont"/>
    <w:link w:val="PlainText"/>
    <w:semiHidden/>
    <w:qFormat/>
    <w:rsid w:val="00720EE7"/>
    <w:rPr>
      <w:rFonts w:ascii="Courier New" w:hAnsi="Courier New" w:cs="Courier New"/>
      <w:szCs w:val="22"/>
      <w:lang w:val="fr-CA"/>
    </w:rPr>
  </w:style>
  <w:style w:type="character" w:customStyle="1" w:styleId="SubtitleChar">
    <w:name w:val="Subtitle Char"/>
    <w:basedOn w:val="DefaultParagraphFont"/>
    <w:link w:val="Subtitle"/>
    <w:qFormat/>
    <w:rsid w:val="00720EE7"/>
    <w:rPr>
      <w:rFonts w:ascii="Arial" w:hAnsi="Arial" w:cs="Arial"/>
      <w:sz w:val="22"/>
      <w:szCs w:val="22"/>
      <w:lang w:val="fr-CA"/>
    </w:rPr>
  </w:style>
  <w:style w:type="character" w:customStyle="1" w:styleId="TitleChar">
    <w:name w:val="Title Char"/>
    <w:basedOn w:val="DefaultParagraphFont"/>
    <w:link w:val="Title"/>
    <w:qFormat/>
    <w:rsid w:val="00720EE7"/>
    <w:rPr>
      <w:rFonts w:ascii="Arial" w:hAnsi="Arial" w:cs="Arial"/>
      <w:b/>
      <w:bCs/>
      <w:kern w:val="2"/>
      <w:sz w:val="22"/>
      <w:szCs w:val="22"/>
      <w:lang w:val="fr-CA"/>
    </w:rPr>
  </w:style>
  <w:style w:type="character" w:customStyle="1" w:styleId="DateChar">
    <w:name w:val="Date Char"/>
    <w:basedOn w:val="DefaultParagraphFont"/>
    <w:link w:val="Date"/>
    <w:qFormat/>
    <w:rsid w:val="00720EE7"/>
    <w:rPr>
      <w:sz w:val="22"/>
      <w:szCs w:val="22"/>
      <w:lang w:val="fr-CA"/>
    </w:rPr>
  </w:style>
  <w:style w:type="character" w:customStyle="1" w:styleId="markedcontent">
    <w:name w:val="markedcontent"/>
    <w:basedOn w:val="DefaultParagraphFont"/>
    <w:qFormat/>
    <w:rsid w:val="00720EE7"/>
  </w:style>
  <w:style w:type="character" w:customStyle="1" w:styleId="highlight">
    <w:name w:val="highlight"/>
    <w:basedOn w:val="DefaultParagraphFont"/>
    <w:qFormat/>
    <w:rsid w:val="00720EE7"/>
  </w:style>
  <w:style w:type="character" w:customStyle="1" w:styleId="QuoteChar">
    <w:name w:val="Quote Char"/>
    <w:basedOn w:val="DefaultParagraphFont"/>
    <w:link w:val="Quote"/>
    <w:uiPriority w:val="29"/>
    <w:qFormat/>
    <w:rsid w:val="00E33106"/>
    <w:rPr>
      <w:i/>
      <w:iCs/>
      <w:color w:val="404040" w:themeColor="text1" w:themeTint="BF"/>
      <w:sz w:val="22"/>
      <w:szCs w:val="22"/>
      <w:lang w:val="fr-CA"/>
    </w:rPr>
  </w:style>
  <w:style w:type="character" w:customStyle="1" w:styleId="fontstyle01">
    <w:name w:val="fontstyle01"/>
    <w:basedOn w:val="DefaultParagraphFont"/>
    <w:qFormat/>
    <w:rsid w:val="00A83C1B"/>
    <w:rPr>
      <w:rFonts w:ascii="Roboto-Bold" w:hAnsi="Roboto-Bold"/>
      <w:b/>
      <w:bCs/>
      <w:i w:val="0"/>
      <w:iCs w:val="0"/>
      <w:color w:val="1E1E1E"/>
      <w:sz w:val="30"/>
      <w:szCs w:val="30"/>
    </w:rPr>
  </w:style>
  <w:style w:type="character" w:customStyle="1" w:styleId="ui-provider">
    <w:name w:val="ui-provider"/>
    <w:basedOn w:val="DefaultParagraphFont"/>
    <w:qFormat/>
    <w:rsid w:val="00A83C1B"/>
  </w:style>
  <w:style w:type="character" w:customStyle="1" w:styleId="fontstyle21">
    <w:name w:val="fontstyle21"/>
    <w:basedOn w:val="DefaultParagraphFont"/>
    <w:qFormat/>
    <w:rsid w:val="002F1A70"/>
    <w:rPr>
      <w:rFonts w:ascii="TimesNewRomanPSMT" w:hAnsi="TimesNewRomanPSMT"/>
      <w:b w:val="0"/>
      <w:bCs w:val="0"/>
      <w:i w:val="0"/>
      <w:iCs w:val="0"/>
      <w:color w:val="000000"/>
      <w:sz w:val="18"/>
      <w:szCs w:val="18"/>
    </w:rPr>
  </w:style>
  <w:style w:type="character" w:customStyle="1" w:styleId="ListParagraphChar">
    <w:name w:val="List Paragraph Char"/>
    <w:basedOn w:val="DefaultParagraphFont"/>
    <w:link w:val="ListParagraph"/>
    <w:uiPriority w:val="34"/>
    <w:qFormat/>
    <w:locked/>
    <w:rsid w:val="00EC12ED"/>
    <w:rPr>
      <w:rFonts w:eastAsia="Times New Roman"/>
      <w:sz w:val="22"/>
      <w:szCs w:val="22"/>
      <w:lang w:val="fr-CA" w:eastAsia="en-US"/>
    </w:rPr>
  </w:style>
  <w:style w:type="character" w:customStyle="1" w:styleId="Subpara1specialChar">
    <w:name w:val="Subpara 1) special Char"/>
    <w:basedOn w:val="Heading2Char"/>
    <w:link w:val="Subpara1special"/>
    <w:qFormat/>
    <w:rsid w:val="0031174D"/>
    <w:rPr>
      <w:sz w:val="22"/>
      <w:szCs w:val="22"/>
      <w:lang w:val="fr-CA"/>
    </w:rPr>
  </w:style>
  <w:style w:type="character" w:styleId="Hyperlink">
    <w:name w:val="Hyperlink"/>
    <w:basedOn w:val="DefaultParagraphFont"/>
    <w:uiPriority w:val="99"/>
    <w:unhideWhenUsed/>
    <w:rsid w:val="00E03C7E"/>
    <w:rPr>
      <w:color w:val="0000FF" w:themeColor="hyperlink"/>
      <w:u w:val="single"/>
    </w:rPr>
  </w:style>
  <w:style w:type="character" w:styleId="UnresolvedMention">
    <w:name w:val="Unresolved Mention"/>
    <w:basedOn w:val="DefaultParagraphFont"/>
    <w:uiPriority w:val="99"/>
    <w:semiHidden/>
    <w:unhideWhenUsed/>
    <w:qFormat/>
    <w:rsid w:val="00E03C7E"/>
    <w:rPr>
      <w:color w:val="605E5C"/>
      <w:shd w:val="clear" w:color="auto" w:fill="E1DFDD"/>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rsid w:val="00A5151A"/>
    <w:pPr>
      <w:tabs>
        <w:tab w:val="center" w:pos="4320"/>
        <w:tab w:val="right" w:pos="8640"/>
      </w:tabs>
    </w:pPr>
  </w:style>
  <w:style w:type="paragraph" w:customStyle="1" w:styleId="sub-title">
    <w:name w:val="sub-title"/>
    <w:qFormat/>
    <w:rsid w:val="0033525D"/>
    <w:pPr>
      <w:jc w:val="both"/>
      <w:outlineLvl w:val="0"/>
    </w:pPr>
    <w:rPr>
      <w:b/>
      <w:sz w:val="22"/>
      <w:szCs w:val="22"/>
    </w:rPr>
  </w:style>
  <w:style w:type="paragraph" w:customStyle="1" w:styleId="Title1">
    <w:name w:val="Title1"/>
    <w:qFormat/>
    <w:rsid w:val="0033525D"/>
    <w:pPr>
      <w:jc w:val="center"/>
      <w:outlineLvl w:val="0"/>
    </w:pPr>
    <w:rPr>
      <w:b/>
      <w:caps/>
      <w:sz w:val="22"/>
      <w:szCs w:val="22"/>
    </w:rPr>
  </w:style>
  <w:style w:type="paragraph" w:customStyle="1" w:styleId="Decision">
    <w:name w:val="Decision"/>
    <w:basedOn w:val="Normal"/>
    <w:qFormat/>
    <w:rsid w:val="0033525D"/>
    <w:pPr>
      <w:keepLines/>
      <w:jc w:val="right"/>
    </w:pPr>
    <w:rPr>
      <w:b/>
    </w:rPr>
  </w:style>
  <w:style w:type="paragraph" w:customStyle="1" w:styleId="0Heading0">
    <w:name w:val="0 Heading 0"/>
    <w:qFormat/>
    <w:rsid w:val="0033525D"/>
    <w:pPr>
      <w:jc w:val="both"/>
    </w:pPr>
    <w:rPr>
      <w:sz w:val="22"/>
      <w:szCs w:val="22"/>
    </w:rPr>
  </w:style>
  <w:style w:type="paragraph" w:styleId="Footer">
    <w:name w:val="footer"/>
    <w:basedOn w:val="Normal"/>
    <w:link w:val="FooterChar"/>
    <w:semiHidden/>
    <w:rsid w:val="00A5151A"/>
    <w:pPr>
      <w:tabs>
        <w:tab w:val="center" w:pos="4320"/>
        <w:tab w:val="right" w:pos="8640"/>
      </w:tabs>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paragraph" w:customStyle="1" w:styleId="Header4">
    <w:name w:val="Header4"/>
    <w:basedOn w:val="Heading4"/>
    <w:next w:val="Normal"/>
    <w:qFormat/>
    <w:rsid w:val="00DC6A10"/>
    <w:pPr>
      <w:widowControl w:val="0"/>
      <w:numPr>
        <w:numId w:val="2"/>
      </w:numPr>
      <w:tabs>
        <w:tab w:val="left" w:pos="2880"/>
        <w:tab w:val="left" w:pos="5760"/>
      </w:tabs>
      <w:spacing w:after="240"/>
      <w:ind w:left="2880" w:hanging="720"/>
    </w:p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
    </w:rPr>
  </w:style>
  <w:style w:type="paragraph" w:styleId="Date">
    <w:name w:val="Date"/>
    <w:basedOn w:val="Normal"/>
    <w:next w:val="Normal"/>
    <w:link w:val="DateChar"/>
    <w:qFormat/>
    <w:rsid w:val="0033525D"/>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paragraph" w:styleId="CommentSubject">
    <w:name w:val="annotation subject"/>
    <w:basedOn w:val="CommentText"/>
    <w:next w:val="CommentText"/>
    <w:link w:val="CommentSubjectChar"/>
    <w:uiPriority w:val="99"/>
    <w:semiHidden/>
    <w:unhideWhenUsed/>
    <w:qFormat/>
    <w:rsid w:val="00B04161"/>
    <w:rPr>
      <w:b/>
      <w:bCs/>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basedOn w:val="Normal"/>
    <w:link w:val="FootnoteTextChar"/>
    <w:uiPriority w:val="99"/>
    <w:unhideWhenUsed/>
    <w:qFormat/>
    <w:rsid w:val="006F6061"/>
    <w:rPr>
      <w:sz w:val="20"/>
      <w:szCs w:val="20"/>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paragraph" w:styleId="ListParagraph">
    <w:name w:val="List Paragraph"/>
    <w:basedOn w:val="Normal"/>
    <w:link w:val="ListParagraphChar"/>
    <w:uiPriority w:val="34"/>
    <w:qFormat/>
    <w:rsid w:val="00720EE7"/>
    <w:pPr>
      <w:ind w:left="720"/>
      <w:contextualSpacing/>
    </w:pPr>
    <w:rPr>
      <w:rFonts w:eastAsia="Times New Roman"/>
      <w:lang w:eastAsia="en-US"/>
    </w:rPr>
  </w:style>
  <w:style w:type="paragraph" w:styleId="Revision">
    <w:name w:val="Revision"/>
    <w:uiPriority w:val="99"/>
    <w:semiHidden/>
    <w:qFormat/>
    <w:rsid w:val="00720EE7"/>
    <w:pPr>
      <w:jc w:val="both"/>
    </w:pPr>
    <w:rPr>
      <w:rFonts w:eastAsia="Times New Roman"/>
      <w:sz w:val="22"/>
      <w:szCs w:val="22"/>
      <w:lang w:eastAsia="en-US"/>
    </w:rPr>
  </w:style>
  <w:style w:type="paragraph" w:styleId="NormalWeb">
    <w:name w:val="Normal (Web)"/>
    <w:basedOn w:val="Normal"/>
    <w:uiPriority w:val="99"/>
    <w:unhideWhenUsed/>
    <w:qFormat/>
    <w:rsid w:val="00720EE7"/>
    <w:pPr>
      <w:spacing w:beforeAutospacing="1" w:afterAutospacing="1"/>
      <w:jc w:val="left"/>
    </w:pPr>
    <w:rPr>
      <w:rFonts w:eastAsia="Times New Roman"/>
      <w:sz w:val="24"/>
      <w:szCs w:val="24"/>
      <w:lang w:eastAsia="en-CA"/>
    </w:rPr>
  </w:style>
  <w:style w:type="paragraph" w:customStyle="1" w:styleId="CharCharCharCharCarChar">
    <w:name w:val="Char Char Char Char Car Char"/>
    <w:basedOn w:val="Normal"/>
    <w:next w:val="Normal"/>
    <w:link w:val="FootnoteCharacters"/>
    <w:uiPriority w:val="99"/>
    <w:qFormat/>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paragraph" w:customStyle="1" w:styleId="TableParagraph">
    <w:name w:val="Table Paragraph"/>
    <w:basedOn w:val="Normal"/>
    <w:uiPriority w:val="1"/>
    <w:qFormat/>
    <w:rsid w:val="008A1EE4"/>
    <w:pPr>
      <w:widowControl w:val="0"/>
      <w:jc w:val="left"/>
    </w:pPr>
    <w:rPr>
      <w:rFonts w:eastAsia="Times New Roman"/>
      <w:lang w:eastAsia="en-US"/>
    </w:rPr>
  </w:style>
  <w:style w:type="paragraph" w:customStyle="1" w:styleId="Subpara1special">
    <w:name w:val="Subpara 1) special"/>
    <w:basedOn w:val="Heading2"/>
    <w:link w:val="Subpara1specialChar"/>
    <w:qFormat/>
    <w:rsid w:val="0031174D"/>
    <w:pPr>
      <w:spacing w:before="240"/>
    </w:pPr>
  </w:style>
  <w:style w:type="numbering" w:styleId="111111">
    <w:name w:val="Outline List 2"/>
    <w:semiHidden/>
    <w:qFormat/>
    <w:rsid w:val="00493D40"/>
  </w:style>
  <w:style w:type="numbering" w:styleId="1ai">
    <w:name w:val="Outline List 1"/>
    <w:semiHidden/>
    <w:qFormat/>
    <w:rsid w:val="00493D40"/>
  </w:style>
  <w:style w:type="numbering" w:styleId="ArticleSection">
    <w:name w:val="Outline List 3"/>
    <w:semiHidden/>
    <w:qFormat/>
    <w:rsid w:val="00493D40"/>
  </w:style>
  <w:style w:type="numbering" w:customStyle="1" w:styleId="1111111">
    <w:name w:val="1 / 1.1 / 1.1.11"/>
    <w:semiHidden/>
    <w:qFormat/>
    <w:rsid w:val="00720EE7"/>
  </w:style>
  <w:style w:type="numbering" w:customStyle="1" w:styleId="1ai1">
    <w:name w:val="1 / a / i1"/>
    <w:semiHidden/>
    <w:qFormat/>
    <w:rsid w:val="00720EE7"/>
  </w:style>
  <w:style w:type="numbering" w:customStyle="1" w:styleId="ArticleSection1">
    <w:name w:val="Article / Section1"/>
    <w:semiHidden/>
    <w:qFormat/>
    <w:rsid w:val="00720EE7"/>
  </w:style>
  <w:style w:type="table" w:styleId="Table3Deffects1">
    <w:name w:val="Table 3D effects 1"/>
    <w:basedOn w:val="TableNormal"/>
    <w:semiHidden/>
    <w:rsid w:val="00493D40"/>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TableGrid">
    <w:name w:val="Table Grid"/>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274D4911-D857-49AF-9980-4F03FAA62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56</TotalTime>
  <Pages>16</Pages>
  <Words>8024</Words>
  <Characters>45743</Characters>
  <Application>Microsoft Office Word</Application>
  <DocSecurity>0</DocSecurity>
  <Lines>381</Lines>
  <Paragraphs>107</Paragraphs>
  <ScaleCrop>false</ScaleCrop>
  <Company>UNMFS</Company>
  <LinksUpToDate>false</LinksUpToDate>
  <CharactersWithSpaces>53660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2027</dc:title>
  <dc:subject/>
  <dc:creator>RSR KM</dc:creator>
  <dc:description>UNEP’s compliance assistance programme budget for 2027</dc:description>
  <cp:lastModifiedBy>Angela Xue He Yan</cp:lastModifiedBy>
  <cp:revision>72</cp:revision>
  <cp:lastPrinted>2001-05-26T16:40:00Z</cp:lastPrinted>
  <dcterms:created xsi:type="dcterms:W3CDTF">2026-10-28T19:25:00Z</dcterms:created>
  <dcterms:modified xsi:type="dcterms:W3CDTF">2026-11-01T19:29:00Z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0x010100C5F60F8E60516143877F7AC30EFBB2F3</vt:lpwstr>
  </property>
  <property fmtid="{D5CDD505-2E9C-101B-9397-08002B2CF9AE}" pid="4" name="Document number">
    <vt:lpwstr>UNEP/OzL.Pro/ExCom/99/77</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ActionId">
    <vt:lpwstr>20a45666-e728-42cf-bff8-dae27d207d15</vt:lpwstr>
  </property>
  <property fmtid="{D5CDD505-2E9C-101B-9397-08002B2CF9AE}" pid="7" name="MSIP_Label_606bed3f-efae-4d70-a15b-866bb27c918d_ContentBits">
    <vt:lpwstr>0</vt:lpwstr>
  </property>
  <property fmtid="{D5CDD505-2E9C-101B-9397-08002B2CF9AE}" pid="8" name="MSIP_Label_606bed3f-efae-4d70-a15b-866bb27c918d_Enabled">
    <vt:lpwstr>true</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etDate">
    <vt:lpwstr>2025-12-10T15:40:10Z</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Tag">
    <vt:lpwstr>10, 0, 1, 1</vt:lpwstr>
  </property>
  <property fmtid="{D5CDD505-2E9C-101B-9397-08002B2CF9AE}" pid="14" name="MediaServiceImageTags">
    <vt:lpwstr/>
  </property>
  <property fmtid="{D5CDD505-2E9C-101B-9397-08002B2CF9AE}" pid="15" name="Order">
    <vt:r8>4523800</vt:r8>
  </property>
  <property fmtid="{D5CDD505-2E9C-101B-9397-08002B2CF9AE}" pid="16" name="Revision date">
    <vt:lpwstr>10/28/2026</vt:lpwstr>
  </property>
  <property fmtid="{D5CDD505-2E9C-101B-9397-08002B2CF9AE}" pid="17" name="TemplateUrl">
    <vt:lpwstr/>
  </property>
  <property fmtid="{D5CDD505-2E9C-101B-9397-08002B2CF9AE}" pid="18" name="TriggerFlowInfo">
    <vt:lpwstr/>
  </property>
  <property fmtid="{D5CDD505-2E9C-101B-9397-08002B2CF9AE}" pid="19" name="_ExtendedDescription">
    <vt:lpwstr/>
  </property>
  <property fmtid="{D5CDD505-2E9C-101B-9397-08002B2CF9AE}" pid="20" name="xd_ProgID">
    <vt:lpwstr/>
  </property>
  <property fmtid="{D5CDD505-2E9C-101B-9397-08002B2CF9AE}" pid="21" name="xd_Signature">
    <vt:bool>false</vt:bool>
  </property>
</Properties>
</file>