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Ind w:w="-432" w:type="dxa"/>
        <w:tblLayout w:type="fixed"/>
        <w:tblLook w:val="0000" w:firstRow="0" w:lastRow="0" w:firstColumn="0" w:lastColumn="0" w:noHBand="0" w:noVBand="0"/>
      </w:tblPr>
      <w:tblGrid>
        <w:gridCol w:w="1902"/>
        <w:gridCol w:w="4588"/>
        <w:gridCol w:w="3257"/>
      </w:tblGrid>
      <w:tr w:rsidR="00441083" w14:paraId="5A800B76" w14:textId="77777777" w:rsidTr="00AF2B2A">
        <w:trPr>
          <w:trHeight w:val="699"/>
        </w:trPr>
        <w:tc>
          <w:tcPr>
            <w:tcW w:w="6490" w:type="dxa"/>
            <w:gridSpan w:val="2"/>
            <w:tcBorders>
              <w:bottom w:val="single" w:sz="18" w:space="0" w:color="auto"/>
            </w:tcBorders>
          </w:tcPr>
          <w:p w14:paraId="14B6663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47BB23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57" w:type="dxa"/>
            <w:tcBorders>
              <w:bottom w:val="single" w:sz="18" w:space="0" w:color="auto"/>
            </w:tcBorders>
          </w:tcPr>
          <w:p w14:paraId="08706284"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520EE0" w14:paraId="6C8229EE" w14:textId="77777777" w:rsidTr="00AF2B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02" w:type="dxa"/>
            <w:tcBorders>
              <w:top w:val="nil"/>
              <w:left w:val="nil"/>
              <w:bottom w:val="single" w:sz="36" w:space="0" w:color="auto"/>
              <w:right w:val="nil"/>
            </w:tcBorders>
          </w:tcPr>
          <w:p w14:paraId="7D449FD4"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3107C1D" wp14:editId="3A7638A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4694460" wp14:editId="3570F68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88" w:type="dxa"/>
            <w:tcBorders>
              <w:top w:val="nil"/>
              <w:left w:val="nil"/>
              <w:bottom w:val="single" w:sz="36" w:space="0" w:color="auto"/>
              <w:right w:val="nil"/>
            </w:tcBorders>
          </w:tcPr>
          <w:p w14:paraId="4AB27567" w14:textId="77777777" w:rsidR="00B06559" w:rsidRDefault="00B065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6FEBC8" w14:textId="0B40A97A"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EB52B6D" w14:textId="77777777" w:rsidR="00441083" w:rsidRDefault="00E60D9C">
            <w:pPr>
              <w:rPr>
                <w:rFonts w:ascii="Univers" w:hAnsi="Univers"/>
                <w:b/>
                <w:sz w:val="32"/>
                <w:lang w:val="fr-CA"/>
              </w:rPr>
            </w:pPr>
            <w:r>
              <w:rPr>
                <w:rFonts w:ascii="Univers" w:hAnsi="Univers"/>
                <w:b/>
                <w:sz w:val="32"/>
                <w:lang w:val="fr-CA"/>
              </w:rPr>
              <w:t>Nations Unies pour</w:t>
            </w:r>
          </w:p>
          <w:p w14:paraId="174FD149"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C1CAB71" w14:textId="77777777" w:rsidR="00441083" w:rsidRDefault="00E60D9C">
            <w:pPr>
              <w:spacing w:before="720"/>
              <w:ind w:left="158"/>
              <w:rPr>
                <w:lang w:val="fr-FR"/>
              </w:rPr>
            </w:pPr>
            <w:r>
              <w:rPr>
                <w:lang w:val="fr-FR"/>
              </w:rPr>
              <w:t xml:space="preserve"> </w:t>
            </w:r>
          </w:p>
        </w:tc>
        <w:tc>
          <w:tcPr>
            <w:tcW w:w="3257" w:type="dxa"/>
            <w:tcBorders>
              <w:top w:val="nil"/>
              <w:left w:val="nil"/>
              <w:bottom w:val="single" w:sz="36" w:space="0" w:color="auto"/>
              <w:right w:val="nil"/>
            </w:tcBorders>
          </w:tcPr>
          <w:p w14:paraId="5730E8FA" w14:textId="77777777" w:rsidR="00B06559" w:rsidRDefault="00B06559">
            <w:pPr>
              <w:rPr>
                <w:lang w:val="fr-FR"/>
              </w:rPr>
            </w:pPr>
          </w:p>
          <w:p w14:paraId="07A7AB92" w14:textId="3B4EC038" w:rsidR="00441083" w:rsidRPr="00DD3433" w:rsidRDefault="00E60D9C">
            <w:pPr>
              <w:rPr>
                <w:lang w:val="fr-FR"/>
              </w:rPr>
            </w:pPr>
            <w:proofErr w:type="spellStart"/>
            <w:r w:rsidRPr="00DD3433">
              <w:rPr>
                <w:lang w:val="fr-FR"/>
              </w:rPr>
              <w:t>Distr</w:t>
            </w:r>
            <w:proofErr w:type="spellEnd"/>
            <w:r w:rsidRPr="00DD3433">
              <w:rPr>
                <w:lang w:val="fr-FR"/>
              </w:rPr>
              <w:t>.</w:t>
            </w:r>
          </w:p>
          <w:p w14:paraId="466DC007"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B6CAB06" w14:textId="77777777" w:rsidR="00441083" w:rsidRPr="00DD3433" w:rsidRDefault="00441083">
            <w:pPr>
              <w:rPr>
                <w:lang w:val="fr-FR"/>
              </w:rPr>
            </w:pPr>
          </w:p>
          <w:p w14:paraId="12EA0742" w14:textId="60029550" w:rsidR="00441083" w:rsidRPr="00AF2B2A" w:rsidRDefault="00E60D9C">
            <w:pPr>
              <w:rPr>
                <w:lang w:val="fr-FR"/>
              </w:rPr>
            </w:pPr>
            <w:r>
              <w:fldChar w:fldCharType="begin"/>
            </w:r>
            <w:r w:rsidRPr="00AF2B2A">
              <w:rPr>
                <w:lang w:val="fr-FR"/>
              </w:rPr>
              <w:instrText xml:space="preserve"> DOCPROPERTY "Document number"  \* MERGEFORMAT </w:instrText>
            </w:r>
            <w:r>
              <w:fldChar w:fldCharType="separate"/>
            </w:r>
            <w:r w:rsidR="00520EE0" w:rsidRPr="00AF2B2A">
              <w:rPr>
                <w:lang w:val="fr-FR"/>
              </w:rPr>
              <w:t>UNEP/</w:t>
            </w:r>
            <w:proofErr w:type="spellStart"/>
            <w:r w:rsidR="00520EE0" w:rsidRPr="00AF2B2A">
              <w:rPr>
                <w:lang w:val="fr-FR"/>
              </w:rPr>
              <w:t>OzL.Pro</w:t>
            </w:r>
            <w:proofErr w:type="spellEnd"/>
            <w:r w:rsidR="00520EE0" w:rsidRPr="00AF2B2A">
              <w:rPr>
                <w:lang w:val="fr-FR"/>
              </w:rPr>
              <w:t>/</w:t>
            </w:r>
            <w:proofErr w:type="spellStart"/>
            <w:r w:rsidR="00520EE0" w:rsidRPr="00AF2B2A">
              <w:rPr>
                <w:lang w:val="fr-FR"/>
              </w:rPr>
              <w:t>ExCom</w:t>
            </w:r>
            <w:proofErr w:type="spellEnd"/>
            <w:r w:rsidR="00520EE0" w:rsidRPr="00AF2B2A">
              <w:rPr>
                <w:lang w:val="fr-FR"/>
              </w:rPr>
              <w:t>/92/20</w:t>
            </w:r>
            <w:r>
              <w:fldChar w:fldCharType="end"/>
            </w:r>
          </w:p>
          <w:p w14:paraId="37252F0B" w14:textId="15006ED7" w:rsidR="002F0B57" w:rsidRPr="00AF2B2A" w:rsidRDefault="002F0B57" w:rsidP="00C9547D">
            <w:pPr>
              <w:rPr>
                <w:lang w:val="fr-FR"/>
              </w:rPr>
            </w:pPr>
            <w:r>
              <w:fldChar w:fldCharType="begin"/>
            </w:r>
            <w:r w:rsidRPr="00AF2B2A">
              <w:rPr>
                <w:lang w:val="fr-FR"/>
              </w:rPr>
              <w:instrText xml:space="preserve"> DOCPROPERTY "Revision date" \@ "d MMMM YYYY"  \* MERGEFORMAT </w:instrText>
            </w:r>
            <w:r>
              <w:fldChar w:fldCharType="separate"/>
            </w:r>
            <w:r w:rsidR="00520EE0" w:rsidRPr="00AF2B2A">
              <w:rPr>
                <w:lang w:val="fr-FR"/>
              </w:rPr>
              <w:t>27</w:t>
            </w:r>
            <w:r w:rsidR="00430E1F" w:rsidRPr="00AF2B2A">
              <w:rPr>
                <w:lang w:val="fr-FR"/>
              </w:rPr>
              <w:t xml:space="preserve"> </w:t>
            </w:r>
            <w:r w:rsidR="00520EE0" w:rsidRPr="00AF2B2A">
              <w:rPr>
                <w:lang w:val="fr-FR"/>
              </w:rPr>
              <w:t>avril</w:t>
            </w:r>
            <w:r w:rsidR="00430E1F" w:rsidRPr="00AF2B2A">
              <w:rPr>
                <w:lang w:val="fr-FR"/>
              </w:rPr>
              <w:t xml:space="preserve"> 2023</w:t>
            </w:r>
            <w:r>
              <w:fldChar w:fldCharType="end"/>
            </w:r>
          </w:p>
          <w:p w14:paraId="288A7816" w14:textId="77777777" w:rsidR="00441083" w:rsidRDefault="00FC5578">
            <w:pPr>
              <w:rPr>
                <w:caps/>
                <w:lang w:val="fr-FR"/>
              </w:rPr>
            </w:pPr>
            <w:r w:rsidRPr="00AF2B2A">
              <w:rPr>
                <w:caps/>
                <w:lang w:val="fr-FR"/>
              </w:rPr>
              <w:br/>
            </w:r>
            <w:r w:rsidR="00E60D9C">
              <w:rPr>
                <w:caps/>
                <w:lang w:val="fr-FR"/>
              </w:rPr>
              <w:t>FRANÇAIS</w:t>
            </w:r>
          </w:p>
          <w:p w14:paraId="632DBB95" w14:textId="77777777" w:rsidR="00441083" w:rsidRPr="00520EE0" w:rsidRDefault="00E60D9C">
            <w:pPr>
              <w:rPr>
                <w:lang w:val="fr-FR"/>
              </w:rPr>
            </w:pPr>
            <w:proofErr w:type="gramStart"/>
            <w:r w:rsidRPr="00520EE0">
              <w:rPr>
                <w:lang w:val="fr-FR"/>
              </w:rPr>
              <w:t>ORIGINAL:</w:t>
            </w:r>
            <w:proofErr w:type="gramEnd"/>
            <w:r w:rsidRPr="00520EE0">
              <w:rPr>
                <w:lang w:val="fr-FR"/>
              </w:rPr>
              <w:t xml:space="preserve"> </w:t>
            </w:r>
            <w:r w:rsidR="0091161A" w:rsidRPr="00520EE0">
              <w:rPr>
                <w:lang w:val="fr-FR"/>
              </w:rPr>
              <w:t>ANGLAIS</w:t>
            </w:r>
          </w:p>
        </w:tc>
      </w:tr>
    </w:tbl>
    <w:p w14:paraId="11FDF2C1"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56569F64"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542DB1E4" w14:textId="30EFCCD2" w:rsidR="005A7F28" w:rsidRPr="00B07F02" w:rsidRDefault="00520EE0" w:rsidP="00A97E14">
      <w:pPr>
        <w:jc w:val="left"/>
        <w:rPr>
          <w:lang w:val="fr-FR"/>
        </w:rPr>
      </w:pPr>
      <w:r>
        <w:rPr>
          <w:lang w:val="fr"/>
        </w:rPr>
        <w:t>Point 9(c) de l’ordre du jour provisoire</w:t>
      </w:r>
      <w:r>
        <w:rPr>
          <w:vertAlign w:val="superscript"/>
          <w:lang w:val="fr"/>
        </w:rPr>
        <w:footnoteReference w:id="1"/>
      </w:r>
    </w:p>
    <w:p w14:paraId="780E6D9D" w14:textId="77777777" w:rsidR="00441083" w:rsidRPr="00843511" w:rsidRDefault="00441083">
      <w:pPr>
        <w:pStyle w:val="Heading3"/>
        <w:numPr>
          <w:ilvl w:val="0"/>
          <w:numId w:val="0"/>
        </w:numPr>
        <w:spacing w:after="0"/>
        <w:rPr>
          <w:lang w:val="fr-CA"/>
        </w:rPr>
      </w:pPr>
    </w:p>
    <w:p w14:paraId="5C900E8E" w14:textId="77777777" w:rsidR="00441083" w:rsidRDefault="00441083">
      <w:pPr>
        <w:pStyle w:val="Title1"/>
        <w:rPr>
          <w:lang w:val="fr-FR"/>
        </w:rPr>
      </w:pPr>
    </w:p>
    <w:p w14:paraId="1D8B346E" w14:textId="77777777" w:rsidR="00843511" w:rsidRDefault="00843511">
      <w:pPr>
        <w:pStyle w:val="Title1"/>
        <w:rPr>
          <w:lang w:val="fr-FR"/>
        </w:rPr>
      </w:pPr>
    </w:p>
    <w:p w14:paraId="42370751" w14:textId="77777777" w:rsidR="00B06559" w:rsidRDefault="00B06559">
      <w:pPr>
        <w:pStyle w:val="Title1"/>
        <w:rPr>
          <w:lang w:val="fr-FR"/>
        </w:rPr>
      </w:pPr>
    </w:p>
    <w:p w14:paraId="7C6C4927" w14:textId="77777777" w:rsidR="00B06559" w:rsidRDefault="00B06559">
      <w:pPr>
        <w:pStyle w:val="Title1"/>
        <w:rPr>
          <w:lang w:val="fr-FR"/>
        </w:rPr>
      </w:pPr>
    </w:p>
    <w:p w14:paraId="00672772" w14:textId="77777777" w:rsidR="00441083" w:rsidRDefault="00441083">
      <w:pPr>
        <w:pStyle w:val="Title1"/>
        <w:rPr>
          <w:lang w:val="fr-FR"/>
        </w:rPr>
      </w:pPr>
    </w:p>
    <w:p w14:paraId="545E74BE" w14:textId="77777777" w:rsidR="00B06559" w:rsidRDefault="00AF2B2A" w:rsidP="00A01526">
      <w:pPr>
        <w:pStyle w:val="StyleHeader4Para4Left0Firstline0"/>
        <w:numPr>
          <w:ilvl w:val="0"/>
          <w:numId w:val="0"/>
        </w:numPr>
        <w:jc w:val="center"/>
        <w:rPr>
          <w:b/>
          <w:bCs/>
          <w:sz w:val="22"/>
          <w:lang w:val="fr"/>
        </w:rPr>
      </w:pPr>
      <w:r>
        <w:rPr>
          <w:b/>
          <w:bCs/>
          <w:sz w:val="22"/>
          <w:lang w:val="fr"/>
        </w:rPr>
        <w:t xml:space="preserve">PROGRAMME DE TRAVAIL DE LA BANQUE MONDIALE </w:t>
      </w:r>
    </w:p>
    <w:p w14:paraId="1E396A2C" w14:textId="613F4C49" w:rsidR="00A01526" w:rsidRPr="00A01526" w:rsidRDefault="00AF2B2A" w:rsidP="00A01526">
      <w:pPr>
        <w:pStyle w:val="StyleHeader4Para4Left0Firstline0"/>
        <w:numPr>
          <w:ilvl w:val="0"/>
          <w:numId w:val="0"/>
        </w:numPr>
        <w:jc w:val="center"/>
        <w:rPr>
          <w:b/>
          <w:sz w:val="22"/>
          <w:lang w:val="fr-FR"/>
        </w:rPr>
      </w:pPr>
      <w:r>
        <w:rPr>
          <w:b/>
          <w:bCs/>
          <w:sz w:val="22"/>
          <w:lang w:val="fr"/>
        </w:rPr>
        <w:t>DE L’ANNÉE 2023</w:t>
      </w:r>
    </w:p>
    <w:p w14:paraId="1BAAC9CB" w14:textId="77777777" w:rsidR="00A01526" w:rsidRPr="00A01526" w:rsidRDefault="00A01526" w:rsidP="00A01526">
      <w:pPr>
        <w:pStyle w:val="StyleHeader4Para4Left0Firstline0"/>
        <w:numPr>
          <w:ilvl w:val="0"/>
          <w:numId w:val="0"/>
        </w:numPr>
        <w:jc w:val="left"/>
        <w:rPr>
          <w:sz w:val="22"/>
          <w:lang w:val="fr-FR"/>
        </w:rPr>
      </w:pPr>
    </w:p>
    <w:p w14:paraId="020C1FE1" w14:textId="77777777" w:rsidR="00A01526" w:rsidRPr="00A01526" w:rsidRDefault="00A01526" w:rsidP="00A01526">
      <w:pPr>
        <w:pStyle w:val="StyleHeader4Para4Left0Firstline0"/>
        <w:numPr>
          <w:ilvl w:val="0"/>
          <w:numId w:val="0"/>
        </w:numPr>
        <w:jc w:val="left"/>
        <w:rPr>
          <w:sz w:val="22"/>
          <w:lang w:val="fr-FR"/>
        </w:rPr>
      </w:pPr>
    </w:p>
    <w:p w14:paraId="262FB7E2" w14:textId="77777777" w:rsidR="00A01526" w:rsidRPr="00A01526" w:rsidRDefault="00A01526" w:rsidP="00A01526">
      <w:pPr>
        <w:rPr>
          <w:lang w:val="fr-FR"/>
        </w:rPr>
      </w:pPr>
    </w:p>
    <w:p w14:paraId="0FAE14FA" w14:textId="77777777" w:rsidR="00A01526" w:rsidRPr="00A01526" w:rsidRDefault="00A01526" w:rsidP="00A01526">
      <w:pPr>
        <w:pStyle w:val="StyleHeader4Para4Left0Firstline0"/>
        <w:numPr>
          <w:ilvl w:val="0"/>
          <w:numId w:val="0"/>
        </w:numPr>
        <w:tabs>
          <w:tab w:val="clear" w:pos="2880"/>
          <w:tab w:val="clear" w:pos="5760"/>
        </w:tabs>
        <w:jc w:val="center"/>
        <w:rPr>
          <w:b/>
          <w:sz w:val="22"/>
          <w:lang w:val="fr-FR"/>
        </w:rPr>
      </w:pPr>
      <w:r>
        <w:rPr>
          <w:b/>
          <w:bCs/>
          <w:sz w:val="22"/>
          <w:lang w:val="fr"/>
        </w:rPr>
        <w:br w:type="page"/>
      </w:r>
    </w:p>
    <w:p w14:paraId="246763F5" w14:textId="77777777" w:rsidR="00A01526" w:rsidRPr="00A01526" w:rsidRDefault="00A01526" w:rsidP="00A01526">
      <w:pPr>
        <w:keepNext/>
        <w:spacing w:after="240"/>
        <w:jc w:val="center"/>
        <w:rPr>
          <w:b/>
          <w:color w:val="000000" w:themeColor="text1"/>
          <w:lang w:val="fr-FR"/>
        </w:rPr>
      </w:pPr>
      <w:r>
        <w:rPr>
          <w:b/>
          <w:bCs/>
          <w:color w:val="000000" w:themeColor="text1"/>
          <w:lang w:val="fr"/>
        </w:rPr>
        <w:lastRenderedPageBreak/>
        <w:t>OBSERVATIONS ET RECOMMANDATION DU SECRÉTARIAT DU FONDS</w:t>
      </w:r>
    </w:p>
    <w:p w14:paraId="2D727D21" w14:textId="17D70741" w:rsidR="00A01526" w:rsidRPr="00520EE0" w:rsidRDefault="00A01526" w:rsidP="00A01526">
      <w:pPr>
        <w:pStyle w:val="Heading1"/>
        <w:numPr>
          <w:ilvl w:val="0"/>
          <w:numId w:val="23"/>
        </w:numPr>
        <w:rPr>
          <w:lang w:val="fr-FR"/>
        </w:rPr>
      </w:pPr>
      <w:r>
        <w:rPr>
          <w:lang w:val="fr"/>
        </w:rPr>
        <w:t>La Banque mondiale demande au Comité exécutif d’approuver le montant de 390 000 $</w:t>
      </w:r>
      <w:r w:rsidR="00520EE0">
        <w:rPr>
          <w:lang w:val="fr"/>
        </w:rPr>
        <w:t> </w:t>
      </w:r>
      <w:r>
        <w:rPr>
          <w:lang w:val="fr"/>
        </w:rPr>
        <w:t>US, plus les coûts d’appui d’agence de 27 300 $</w:t>
      </w:r>
      <w:r w:rsidR="00520EE0">
        <w:rPr>
          <w:lang w:val="fr"/>
        </w:rPr>
        <w:t> </w:t>
      </w:r>
      <w:r>
        <w:rPr>
          <w:lang w:val="fr"/>
        </w:rPr>
        <w:t>US, pour son programme de travail pour</w:t>
      </w:r>
      <w:r w:rsidR="00520EE0">
        <w:rPr>
          <w:lang w:val="fr"/>
        </w:rPr>
        <w:t xml:space="preserve"> </w:t>
      </w:r>
      <w:r>
        <w:rPr>
          <w:lang w:val="fr"/>
        </w:rPr>
        <w:t>2023 qui figure au tableau 1. La proposition est jointe au présent document.</w:t>
      </w:r>
    </w:p>
    <w:p w14:paraId="1C372DA3" w14:textId="78644B5E" w:rsidR="00A01526" w:rsidRPr="00A01526" w:rsidRDefault="00A01526" w:rsidP="00A01526">
      <w:pPr>
        <w:pStyle w:val="Heading1"/>
        <w:numPr>
          <w:ilvl w:val="0"/>
          <w:numId w:val="0"/>
        </w:numPr>
        <w:tabs>
          <w:tab w:val="left" w:pos="720"/>
        </w:tabs>
        <w:spacing w:after="0"/>
        <w:rPr>
          <w:b/>
          <w:lang w:val="fr-FR"/>
        </w:rPr>
      </w:pPr>
      <w:r>
        <w:rPr>
          <w:b/>
          <w:bCs/>
          <w:lang w:val="fr"/>
        </w:rPr>
        <w:t xml:space="preserve">Tableau 1 : </w:t>
      </w:r>
      <w:r w:rsidR="00520EE0">
        <w:rPr>
          <w:b/>
          <w:bCs/>
          <w:lang w:val="fr"/>
        </w:rPr>
        <w:t>p</w:t>
      </w:r>
      <w:r>
        <w:rPr>
          <w:b/>
          <w:bCs/>
          <w:lang w:val="fr"/>
        </w:rPr>
        <w:t>rogramme de travail de la Banque mondiale de l’année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A01526" w:rsidRPr="00C36B59" w14:paraId="1D027641" w14:textId="77777777" w:rsidTr="00421B12">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BDE871B" w14:textId="77777777" w:rsidR="00A01526" w:rsidRPr="00C36B59" w:rsidRDefault="00A01526" w:rsidP="00421B12">
            <w:pPr>
              <w:jc w:val="left"/>
              <w:rPr>
                <w:b/>
                <w:color w:val="000000" w:themeColor="text1"/>
                <w:sz w:val="20"/>
                <w:szCs w:val="20"/>
              </w:rPr>
            </w:pPr>
            <w:r>
              <w:rPr>
                <w:b/>
                <w:bCs/>
                <w:color w:val="000000" w:themeColor="text1"/>
                <w:sz w:val="20"/>
                <w:szCs w:val="20"/>
                <w:lang w:val="fr"/>
              </w:rPr>
              <w:t>Pays</w:t>
            </w:r>
          </w:p>
        </w:tc>
        <w:tc>
          <w:tcPr>
            <w:tcW w:w="2737" w:type="pct"/>
            <w:tcBorders>
              <w:top w:val="single" w:sz="4" w:space="0" w:color="auto"/>
              <w:left w:val="single" w:sz="4" w:space="0" w:color="auto"/>
              <w:bottom w:val="single" w:sz="4" w:space="0" w:color="auto"/>
              <w:right w:val="single" w:sz="4" w:space="0" w:color="auto"/>
            </w:tcBorders>
            <w:vAlign w:val="center"/>
            <w:hideMark/>
          </w:tcPr>
          <w:p w14:paraId="72F1D5D2" w14:textId="77777777" w:rsidR="00A01526" w:rsidRPr="00C36B59" w:rsidRDefault="00A01526" w:rsidP="00421B12">
            <w:pPr>
              <w:jc w:val="center"/>
              <w:rPr>
                <w:b/>
                <w:color w:val="000000" w:themeColor="text1"/>
                <w:sz w:val="20"/>
                <w:szCs w:val="20"/>
              </w:rPr>
            </w:pPr>
            <w:r>
              <w:rPr>
                <w:b/>
                <w:bCs/>
                <w:color w:val="000000" w:themeColor="text1"/>
                <w:sz w:val="20"/>
                <w:szCs w:val="20"/>
                <w:lang w:val="fr"/>
              </w:rPr>
              <w:t>Activité/Projet</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A4D046" w14:textId="0105676E" w:rsidR="00A01526" w:rsidRPr="00C36B59" w:rsidRDefault="00A01526" w:rsidP="00421B12">
            <w:pPr>
              <w:jc w:val="center"/>
              <w:rPr>
                <w:b/>
                <w:color w:val="000000" w:themeColor="text1"/>
                <w:sz w:val="20"/>
                <w:szCs w:val="20"/>
              </w:rPr>
            </w:pPr>
            <w:r>
              <w:rPr>
                <w:b/>
                <w:bCs/>
                <w:color w:val="000000" w:themeColor="text1"/>
                <w:sz w:val="20"/>
                <w:szCs w:val="20"/>
                <w:lang w:val="fr"/>
              </w:rPr>
              <w:t>Montant demandé ($</w:t>
            </w:r>
            <w:r w:rsidR="00520EE0">
              <w:rPr>
                <w:b/>
                <w:bCs/>
                <w:color w:val="000000" w:themeColor="text1"/>
                <w:sz w:val="20"/>
                <w:szCs w:val="20"/>
                <w:lang w:val="fr"/>
              </w:rPr>
              <w:t> </w:t>
            </w:r>
            <w:r>
              <w:rPr>
                <w:b/>
                <w:bCs/>
                <w:color w:val="000000" w:themeColor="text1"/>
                <w:sz w:val="20"/>
                <w:szCs w:val="20"/>
                <w:lang w:val="fr"/>
              </w:rPr>
              <w:t>US)</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7D6F85A" w14:textId="6A290CD2" w:rsidR="00A01526" w:rsidRPr="00C36B59" w:rsidRDefault="00A01526" w:rsidP="00421B12">
            <w:pPr>
              <w:jc w:val="center"/>
              <w:rPr>
                <w:b/>
                <w:color w:val="000000" w:themeColor="text1"/>
                <w:sz w:val="20"/>
                <w:szCs w:val="20"/>
              </w:rPr>
            </w:pPr>
            <w:r>
              <w:rPr>
                <w:b/>
                <w:bCs/>
                <w:color w:val="000000" w:themeColor="text1"/>
                <w:sz w:val="20"/>
                <w:szCs w:val="20"/>
                <w:lang w:val="fr"/>
              </w:rPr>
              <w:t>Montant recommandé ($</w:t>
            </w:r>
            <w:r w:rsidR="00520EE0">
              <w:rPr>
                <w:b/>
                <w:bCs/>
                <w:color w:val="000000" w:themeColor="text1"/>
                <w:sz w:val="20"/>
                <w:szCs w:val="20"/>
                <w:lang w:val="fr"/>
              </w:rPr>
              <w:t> </w:t>
            </w:r>
            <w:r>
              <w:rPr>
                <w:b/>
                <w:bCs/>
                <w:color w:val="000000" w:themeColor="text1"/>
                <w:sz w:val="20"/>
                <w:szCs w:val="20"/>
                <w:lang w:val="fr"/>
              </w:rPr>
              <w:t>US)</w:t>
            </w:r>
          </w:p>
        </w:tc>
      </w:tr>
      <w:tr w:rsidR="00A01526" w:rsidRPr="00B06559" w14:paraId="6BE4162D" w14:textId="77777777" w:rsidTr="00421B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27F6220" w14:textId="77777777" w:rsidR="00A01526" w:rsidRPr="00A01526" w:rsidRDefault="00A01526" w:rsidP="00421B12">
            <w:pPr>
              <w:widowControl w:val="0"/>
              <w:rPr>
                <w:color w:val="000000" w:themeColor="text1"/>
                <w:sz w:val="20"/>
                <w:szCs w:val="20"/>
                <w:lang w:val="fr-FR"/>
              </w:rPr>
            </w:pPr>
            <w:r>
              <w:rPr>
                <w:b/>
                <w:bCs/>
                <w:color w:val="000000" w:themeColor="text1"/>
                <w:sz w:val="20"/>
                <w:szCs w:val="20"/>
                <w:lang w:val="fr"/>
              </w:rPr>
              <w:t>SECTION A : ACTIVITÉS RECOMMANDÉES AUX FINS D’APPROBATION GLOBALE</w:t>
            </w:r>
          </w:p>
        </w:tc>
      </w:tr>
      <w:tr w:rsidR="00A01526" w:rsidRPr="00B06559" w14:paraId="6220698E" w14:textId="77777777" w:rsidTr="00421B1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833B12A" w14:textId="2BDDE91C" w:rsidR="00A01526" w:rsidRPr="00A01526" w:rsidRDefault="00A01526" w:rsidP="00421B12">
            <w:pPr>
              <w:rPr>
                <w:b/>
                <w:bCs/>
                <w:color w:val="000000" w:themeColor="text1"/>
                <w:sz w:val="20"/>
                <w:szCs w:val="20"/>
                <w:lang w:val="fr-FR"/>
              </w:rPr>
            </w:pPr>
            <w:r>
              <w:rPr>
                <w:b/>
                <w:bCs/>
                <w:color w:val="000000" w:themeColor="text1"/>
                <w:sz w:val="20"/>
                <w:szCs w:val="20"/>
                <w:lang w:val="fr"/>
              </w:rPr>
              <w:t xml:space="preserve">A1 : </w:t>
            </w:r>
            <w:r w:rsidR="00520EE0">
              <w:rPr>
                <w:b/>
                <w:bCs/>
                <w:color w:val="000000" w:themeColor="text1"/>
                <w:sz w:val="20"/>
                <w:szCs w:val="20"/>
                <w:lang w:val="fr"/>
              </w:rPr>
              <w:t>p</w:t>
            </w:r>
            <w:r>
              <w:rPr>
                <w:b/>
                <w:bCs/>
                <w:sz w:val="20"/>
                <w:szCs w:val="20"/>
                <w:lang w:val="fr"/>
              </w:rPr>
              <w:t>réparation de projet pour les plans de mise en œuvre sur les HFC au titre de l’Amendement de Kigali (KIP)</w:t>
            </w:r>
          </w:p>
        </w:tc>
      </w:tr>
      <w:tr w:rsidR="00A01526" w:rsidRPr="00C36B59" w14:paraId="31A426D1" w14:textId="77777777" w:rsidTr="00421B12">
        <w:trPr>
          <w:trHeight w:val="98"/>
        </w:trPr>
        <w:tc>
          <w:tcPr>
            <w:tcW w:w="814" w:type="pct"/>
            <w:tcBorders>
              <w:top w:val="single" w:sz="4" w:space="0" w:color="auto"/>
              <w:left w:val="single" w:sz="4" w:space="0" w:color="auto"/>
              <w:right w:val="single" w:sz="4" w:space="0" w:color="auto"/>
            </w:tcBorders>
            <w:tcMar>
              <w:top w:w="0" w:type="dxa"/>
              <w:left w:w="29" w:type="dxa"/>
              <w:bottom w:w="0" w:type="dxa"/>
              <w:right w:w="0" w:type="dxa"/>
            </w:tcMar>
            <w:vAlign w:val="center"/>
          </w:tcPr>
          <w:p w14:paraId="107E4980" w14:textId="77777777" w:rsidR="00A01526" w:rsidRDefault="00A01526" w:rsidP="00421B12">
            <w:pPr>
              <w:jc w:val="left"/>
              <w:rPr>
                <w:color w:val="000000"/>
                <w:sz w:val="20"/>
                <w:szCs w:val="20"/>
              </w:rPr>
            </w:pPr>
            <w:r>
              <w:rPr>
                <w:color w:val="000000"/>
                <w:sz w:val="20"/>
                <w:szCs w:val="20"/>
                <w:lang w:val="fr"/>
              </w:rPr>
              <w:t>Indonésie</w:t>
            </w:r>
          </w:p>
        </w:tc>
        <w:tc>
          <w:tcPr>
            <w:tcW w:w="2737" w:type="pct"/>
            <w:tcBorders>
              <w:top w:val="single" w:sz="4" w:space="0" w:color="auto"/>
              <w:left w:val="single" w:sz="4" w:space="0" w:color="auto"/>
              <w:bottom w:val="single" w:sz="4" w:space="0" w:color="auto"/>
              <w:right w:val="single" w:sz="4" w:space="0" w:color="auto"/>
            </w:tcBorders>
            <w:vAlign w:val="center"/>
          </w:tcPr>
          <w:p w14:paraId="57D66FF7" w14:textId="71B6E4A5" w:rsidR="00A01526" w:rsidRPr="00A01526" w:rsidRDefault="00A01526" w:rsidP="00421B12">
            <w:pPr>
              <w:jc w:val="left"/>
              <w:rPr>
                <w:color w:val="000000" w:themeColor="text1"/>
                <w:sz w:val="20"/>
                <w:szCs w:val="20"/>
                <w:lang w:val="fr-FR"/>
              </w:rPr>
            </w:pPr>
            <w:r>
              <w:rPr>
                <w:color w:val="000000"/>
                <w:sz w:val="20"/>
                <w:szCs w:val="20"/>
                <w:lang w:val="fr"/>
              </w:rPr>
              <w:t>Préparation d’un KIP (phase I)</w:t>
            </w:r>
          </w:p>
        </w:tc>
        <w:tc>
          <w:tcPr>
            <w:tcW w:w="725" w:type="pct"/>
            <w:tcBorders>
              <w:top w:val="single" w:sz="4" w:space="0" w:color="auto"/>
              <w:left w:val="single" w:sz="4" w:space="0" w:color="auto"/>
              <w:bottom w:val="single" w:sz="4" w:space="0" w:color="auto"/>
              <w:right w:val="single" w:sz="4" w:space="0" w:color="auto"/>
            </w:tcBorders>
          </w:tcPr>
          <w:p w14:paraId="589246F9" w14:textId="77777777" w:rsidR="00A01526" w:rsidRDefault="00A01526" w:rsidP="00421B12">
            <w:pPr>
              <w:jc w:val="right"/>
              <w:rPr>
                <w:color w:val="000000"/>
                <w:sz w:val="20"/>
                <w:szCs w:val="20"/>
              </w:rPr>
            </w:pPr>
            <w:r>
              <w:rPr>
                <w:color w:val="000000"/>
                <w:sz w:val="20"/>
                <w:szCs w:val="20"/>
                <w:lang w:val="fr"/>
              </w:rPr>
              <w:t>220 000</w:t>
            </w:r>
          </w:p>
        </w:tc>
        <w:tc>
          <w:tcPr>
            <w:tcW w:w="724" w:type="pct"/>
            <w:tcBorders>
              <w:top w:val="single" w:sz="4" w:space="0" w:color="auto"/>
              <w:left w:val="single" w:sz="4" w:space="0" w:color="auto"/>
              <w:bottom w:val="single" w:sz="4" w:space="0" w:color="auto"/>
              <w:right w:val="single" w:sz="4" w:space="0" w:color="auto"/>
            </w:tcBorders>
          </w:tcPr>
          <w:p w14:paraId="7EB99C0A" w14:textId="77777777" w:rsidR="00A01526" w:rsidRDefault="00A01526" w:rsidP="00421B12">
            <w:pPr>
              <w:jc w:val="right"/>
              <w:rPr>
                <w:color w:val="000000"/>
                <w:sz w:val="20"/>
                <w:szCs w:val="20"/>
              </w:rPr>
            </w:pPr>
            <w:r>
              <w:rPr>
                <w:color w:val="000000"/>
                <w:sz w:val="20"/>
                <w:szCs w:val="20"/>
                <w:lang w:val="fr"/>
              </w:rPr>
              <w:t>220 000</w:t>
            </w:r>
          </w:p>
        </w:tc>
      </w:tr>
      <w:tr w:rsidR="00A01526" w:rsidRPr="00C36B59" w14:paraId="12F36B81" w14:textId="77777777" w:rsidTr="00421B12">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0171EB15" w14:textId="3778ED64" w:rsidR="00A01526" w:rsidRPr="00C36B59" w:rsidRDefault="00A01526" w:rsidP="00421B12">
            <w:pPr>
              <w:jc w:val="left"/>
              <w:rPr>
                <w:color w:val="000000"/>
                <w:sz w:val="20"/>
                <w:szCs w:val="20"/>
              </w:rPr>
            </w:pPr>
            <w:r>
              <w:rPr>
                <w:color w:val="000000"/>
                <w:sz w:val="20"/>
                <w:szCs w:val="20"/>
                <w:lang w:val="fr"/>
              </w:rPr>
              <w:t>Viet Nam</w:t>
            </w:r>
          </w:p>
        </w:tc>
        <w:tc>
          <w:tcPr>
            <w:tcW w:w="2737" w:type="pct"/>
            <w:tcBorders>
              <w:top w:val="single" w:sz="4" w:space="0" w:color="auto"/>
              <w:left w:val="single" w:sz="4" w:space="0" w:color="auto"/>
              <w:bottom w:val="single" w:sz="4" w:space="0" w:color="auto"/>
              <w:right w:val="single" w:sz="4" w:space="0" w:color="auto"/>
            </w:tcBorders>
            <w:vAlign w:val="center"/>
            <w:hideMark/>
          </w:tcPr>
          <w:p w14:paraId="0A543F3A" w14:textId="0E558448" w:rsidR="00A01526" w:rsidRPr="00A01526" w:rsidRDefault="00A01526" w:rsidP="00421B12">
            <w:pPr>
              <w:jc w:val="left"/>
              <w:rPr>
                <w:color w:val="000000" w:themeColor="text1"/>
                <w:sz w:val="20"/>
                <w:szCs w:val="20"/>
                <w:lang w:val="fr-FR"/>
              </w:rPr>
            </w:pPr>
            <w:r>
              <w:rPr>
                <w:color w:val="000000" w:themeColor="text1"/>
                <w:sz w:val="20"/>
                <w:szCs w:val="20"/>
                <w:lang w:val="fr"/>
              </w:rPr>
              <w:t xml:space="preserve">Préparation d’un projet d’investissement </w:t>
            </w:r>
            <w:r w:rsidR="00520EE0">
              <w:rPr>
                <w:color w:val="000000" w:themeColor="text1"/>
                <w:sz w:val="20"/>
                <w:szCs w:val="20"/>
                <w:lang w:val="fr"/>
              </w:rPr>
              <w:t xml:space="preserve">de </w:t>
            </w:r>
            <w:r>
              <w:rPr>
                <w:color w:val="000000" w:themeColor="text1"/>
                <w:sz w:val="20"/>
                <w:szCs w:val="20"/>
                <w:lang w:val="fr"/>
              </w:rPr>
              <w:t xml:space="preserve">KIP dans le secteur de la réfrigération domestique pour Aqua </w:t>
            </w:r>
            <w:proofErr w:type="spellStart"/>
            <w:r>
              <w:rPr>
                <w:color w:val="000000" w:themeColor="text1"/>
                <w:sz w:val="20"/>
                <w:szCs w:val="20"/>
                <w:lang w:val="fr"/>
              </w:rPr>
              <w:t>Electrical</w:t>
            </w:r>
            <w:proofErr w:type="spellEnd"/>
            <w:r>
              <w:rPr>
                <w:color w:val="000000" w:themeColor="text1"/>
                <w:sz w:val="20"/>
                <w:szCs w:val="20"/>
                <w:lang w:val="fr"/>
              </w:rPr>
              <w:t xml:space="preserve"> </w:t>
            </w:r>
            <w:proofErr w:type="spellStart"/>
            <w:r>
              <w:rPr>
                <w:color w:val="000000" w:themeColor="text1"/>
                <w:sz w:val="20"/>
                <w:szCs w:val="20"/>
                <w:lang w:val="fr"/>
              </w:rPr>
              <w:t>Appliances</w:t>
            </w:r>
            <w:proofErr w:type="spellEnd"/>
            <w:r>
              <w:rPr>
                <w:color w:val="000000" w:themeColor="text1"/>
                <w:sz w:val="20"/>
                <w:szCs w:val="20"/>
                <w:lang w:val="fr"/>
              </w:rPr>
              <w:t xml:space="preserve">, Darling Electronics et </w:t>
            </w:r>
            <w:proofErr w:type="spellStart"/>
            <w:r>
              <w:rPr>
                <w:color w:val="000000" w:themeColor="text1"/>
                <w:sz w:val="20"/>
                <w:szCs w:val="20"/>
                <w:lang w:val="fr"/>
              </w:rPr>
              <w:t>Hoa</w:t>
            </w:r>
            <w:proofErr w:type="spellEnd"/>
            <w:r>
              <w:rPr>
                <w:color w:val="000000" w:themeColor="text1"/>
                <w:sz w:val="20"/>
                <w:szCs w:val="20"/>
                <w:lang w:val="fr"/>
              </w:rPr>
              <w:t xml:space="preserve"> </w:t>
            </w:r>
            <w:proofErr w:type="spellStart"/>
            <w:r>
              <w:rPr>
                <w:color w:val="000000" w:themeColor="text1"/>
                <w:sz w:val="20"/>
                <w:szCs w:val="20"/>
                <w:lang w:val="fr"/>
              </w:rPr>
              <w:t>Phat</w:t>
            </w:r>
            <w:proofErr w:type="spellEnd"/>
            <w:r>
              <w:rPr>
                <w:color w:val="000000" w:themeColor="text1"/>
                <w:sz w:val="20"/>
                <w:szCs w:val="20"/>
                <w:lang w:val="fr"/>
              </w:rPr>
              <w:t xml:space="preserve"> </w:t>
            </w:r>
            <w:proofErr w:type="spellStart"/>
            <w:r>
              <w:rPr>
                <w:color w:val="000000" w:themeColor="text1"/>
                <w:sz w:val="20"/>
                <w:szCs w:val="20"/>
                <w:lang w:val="fr"/>
              </w:rPr>
              <w:t>Refrigeration</w:t>
            </w:r>
            <w:proofErr w:type="spellEnd"/>
            <w:r>
              <w:rPr>
                <w:color w:val="000000" w:themeColor="text1"/>
                <w:sz w:val="20"/>
                <w:szCs w:val="20"/>
                <w:lang w:val="fr"/>
              </w:rPr>
              <w:t xml:space="preserve"> Engineering</w:t>
            </w:r>
          </w:p>
        </w:tc>
        <w:tc>
          <w:tcPr>
            <w:tcW w:w="725" w:type="pct"/>
            <w:tcBorders>
              <w:top w:val="single" w:sz="4" w:space="0" w:color="auto"/>
              <w:left w:val="single" w:sz="4" w:space="0" w:color="auto"/>
              <w:bottom w:val="single" w:sz="4" w:space="0" w:color="auto"/>
              <w:right w:val="single" w:sz="4" w:space="0" w:color="auto"/>
            </w:tcBorders>
          </w:tcPr>
          <w:p w14:paraId="5D0A4932" w14:textId="77777777" w:rsidR="00A01526" w:rsidRPr="00C36B59" w:rsidRDefault="00A01526" w:rsidP="00421B12">
            <w:pPr>
              <w:jc w:val="right"/>
              <w:rPr>
                <w:color w:val="000000"/>
                <w:sz w:val="20"/>
                <w:szCs w:val="20"/>
              </w:rPr>
            </w:pPr>
            <w:r>
              <w:rPr>
                <w:color w:val="000000"/>
                <w:sz w:val="20"/>
                <w:szCs w:val="20"/>
                <w:lang w:val="fr"/>
              </w:rPr>
              <w:t>80 000</w:t>
            </w:r>
          </w:p>
        </w:tc>
        <w:tc>
          <w:tcPr>
            <w:tcW w:w="724" w:type="pct"/>
            <w:tcBorders>
              <w:top w:val="single" w:sz="4" w:space="0" w:color="auto"/>
              <w:left w:val="single" w:sz="4" w:space="0" w:color="auto"/>
              <w:bottom w:val="single" w:sz="4" w:space="0" w:color="auto"/>
              <w:right w:val="single" w:sz="4" w:space="0" w:color="auto"/>
            </w:tcBorders>
          </w:tcPr>
          <w:p w14:paraId="6EA6E02F" w14:textId="77777777" w:rsidR="00A01526" w:rsidRPr="00C36B59" w:rsidRDefault="00A01526" w:rsidP="00421B12">
            <w:pPr>
              <w:jc w:val="right"/>
              <w:rPr>
                <w:color w:val="000000"/>
                <w:sz w:val="20"/>
                <w:szCs w:val="20"/>
              </w:rPr>
            </w:pPr>
            <w:r>
              <w:rPr>
                <w:color w:val="000000"/>
                <w:sz w:val="20"/>
                <w:szCs w:val="20"/>
                <w:lang w:val="fr"/>
              </w:rPr>
              <w:t>80 000</w:t>
            </w:r>
          </w:p>
        </w:tc>
      </w:tr>
      <w:tr w:rsidR="00A01526" w:rsidRPr="00C36B59" w14:paraId="0334E132" w14:textId="77777777" w:rsidTr="00421B12">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1F6FF43B" w14:textId="77777777" w:rsidR="00A01526" w:rsidRDefault="00A01526" w:rsidP="00421B12">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24F93009" w14:textId="0E000FE5" w:rsidR="00A01526" w:rsidRPr="00A01526" w:rsidRDefault="00A01526" w:rsidP="00421B12">
            <w:pPr>
              <w:jc w:val="left"/>
              <w:rPr>
                <w:color w:val="000000"/>
                <w:sz w:val="20"/>
                <w:szCs w:val="20"/>
                <w:lang w:val="fr-FR"/>
              </w:rPr>
            </w:pPr>
            <w:r>
              <w:rPr>
                <w:color w:val="000000" w:themeColor="text1"/>
                <w:sz w:val="20"/>
                <w:szCs w:val="20"/>
                <w:lang w:val="fr"/>
              </w:rPr>
              <w:t>Préparation d’un projet d’investissement</w:t>
            </w:r>
            <w:r w:rsidR="00520EE0">
              <w:rPr>
                <w:color w:val="000000" w:themeColor="text1"/>
                <w:sz w:val="20"/>
                <w:szCs w:val="20"/>
                <w:lang w:val="fr"/>
              </w:rPr>
              <w:t xml:space="preserve"> de</w:t>
            </w:r>
            <w:r>
              <w:rPr>
                <w:color w:val="000000" w:themeColor="text1"/>
                <w:sz w:val="20"/>
                <w:szCs w:val="20"/>
                <w:lang w:val="fr"/>
              </w:rPr>
              <w:t xml:space="preserve"> KIP dans le secteur de la réfrigération commerciale pour </w:t>
            </w:r>
            <w:proofErr w:type="spellStart"/>
            <w:r>
              <w:rPr>
                <w:color w:val="000000" w:themeColor="text1"/>
                <w:sz w:val="20"/>
                <w:szCs w:val="20"/>
                <w:lang w:val="fr"/>
              </w:rPr>
              <w:t>Sanaky</w:t>
            </w:r>
            <w:proofErr w:type="spellEnd"/>
          </w:p>
        </w:tc>
        <w:tc>
          <w:tcPr>
            <w:tcW w:w="725" w:type="pct"/>
            <w:tcBorders>
              <w:top w:val="single" w:sz="4" w:space="0" w:color="auto"/>
              <w:left w:val="single" w:sz="4" w:space="0" w:color="auto"/>
              <w:bottom w:val="single" w:sz="4" w:space="0" w:color="auto"/>
              <w:right w:val="single" w:sz="4" w:space="0" w:color="auto"/>
            </w:tcBorders>
          </w:tcPr>
          <w:p w14:paraId="06B49061" w14:textId="77777777" w:rsidR="00A01526" w:rsidRPr="00C36B59" w:rsidRDefault="00A01526" w:rsidP="00421B12">
            <w:pPr>
              <w:jc w:val="right"/>
              <w:rPr>
                <w:color w:val="000000"/>
                <w:sz w:val="20"/>
                <w:szCs w:val="20"/>
              </w:rPr>
            </w:pPr>
            <w:r>
              <w:rPr>
                <w:color w:val="000000"/>
                <w:sz w:val="20"/>
                <w:szCs w:val="20"/>
                <w:lang w:val="fr"/>
              </w:rPr>
              <w:t>30 000</w:t>
            </w:r>
          </w:p>
        </w:tc>
        <w:tc>
          <w:tcPr>
            <w:tcW w:w="724" w:type="pct"/>
            <w:tcBorders>
              <w:top w:val="single" w:sz="4" w:space="0" w:color="auto"/>
              <w:left w:val="single" w:sz="4" w:space="0" w:color="auto"/>
              <w:bottom w:val="single" w:sz="4" w:space="0" w:color="auto"/>
              <w:right w:val="single" w:sz="4" w:space="0" w:color="auto"/>
            </w:tcBorders>
          </w:tcPr>
          <w:p w14:paraId="58139B2D" w14:textId="77777777" w:rsidR="00A01526" w:rsidRPr="00C36B59" w:rsidRDefault="00A01526" w:rsidP="00421B12">
            <w:pPr>
              <w:jc w:val="right"/>
              <w:rPr>
                <w:color w:val="000000"/>
                <w:sz w:val="20"/>
                <w:szCs w:val="20"/>
              </w:rPr>
            </w:pPr>
            <w:r>
              <w:rPr>
                <w:color w:val="000000"/>
                <w:sz w:val="20"/>
                <w:szCs w:val="20"/>
                <w:lang w:val="fr"/>
              </w:rPr>
              <w:t>30 000</w:t>
            </w:r>
          </w:p>
        </w:tc>
      </w:tr>
      <w:tr w:rsidR="00A01526" w:rsidRPr="00C36B59" w14:paraId="20395083" w14:textId="77777777" w:rsidTr="00421B12">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1EAFF875" w14:textId="77777777" w:rsidR="00A01526" w:rsidRDefault="00A01526" w:rsidP="00421B12">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5FDB6A4F" w14:textId="320E147B" w:rsidR="00A01526" w:rsidRPr="00A01526" w:rsidRDefault="00A01526" w:rsidP="00421B12">
            <w:pPr>
              <w:jc w:val="left"/>
              <w:rPr>
                <w:color w:val="000000"/>
                <w:sz w:val="20"/>
                <w:szCs w:val="20"/>
                <w:lang w:val="fr-FR"/>
              </w:rPr>
            </w:pPr>
            <w:r>
              <w:rPr>
                <w:color w:val="000000" w:themeColor="text1"/>
                <w:sz w:val="20"/>
                <w:szCs w:val="20"/>
                <w:lang w:val="fr"/>
              </w:rPr>
              <w:t xml:space="preserve">Préparation d’un projet d’investissement </w:t>
            </w:r>
            <w:proofErr w:type="spellStart"/>
            <w:r w:rsidR="00520EE0">
              <w:rPr>
                <w:color w:val="000000" w:themeColor="text1"/>
                <w:sz w:val="20"/>
                <w:szCs w:val="20"/>
                <w:lang w:val="fr"/>
              </w:rPr>
              <w:t>de</w:t>
            </w:r>
            <w:r>
              <w:rPr>
                <w:color w:val="000000" w:themeColor="text1"/>
                <w:sz w:val="20"/>
                <w:szCs w:val="20"/>
                <w:lang w:val="fr"/>
              </w:rPr>
              <w:t>KIP</w:t>
            </w:r>
            <w:proofErr w:type="spellEnd"/>
            <w:r>
              <w:rPr>
                <w:color w:val="000000" w:themeColor="text1"/>
                <w:sz w:val="20"/>
                <w:szCs w:val="20"/>
                <w:lang w:val="fr"/>
              </w:rPr>
              <w:t xml:space="preserve"> dans le secteur de la réfrigération industrielle pour Quang </w:t>
            </w:r>
            <w:proofErr w:type="spellStart"/>
            <w:r>
              <w:rPr>
                <w:color w:val="000000" w:themeColor="text1"/>
                <w:sz w:val="20"/>
                <w:szCs w:val="20"/>
                <w:lang w:val="fr"/>
              </w:rPr>
              <w:t>Thang</w:t>
            </w:r>
            <w:proofErr w:type="spellEnd"/>
            <w:r>
              <w:rPr>
                <w:color w:val="000000" w:themeColor="text1"/>
                <w:sz w:val="20"/>
                <w:szCs w:val="20"/>
                <w:lang w:val="fr"/>
              </w:rPr>
              <w:t xml:space="preserve"> </w:t>
            </w:r>
            <w:proofErr w:type="spellStart"/>
            <w:r>
              <w:rPr>
                <w:color w:val="000000" w:themeColor="text1"/>
                <w:sz w:val="20"/>
                <w:szCs w:val="20"/>
                <w:lang w:val="fr"/>
              </w:rPr>
              <w:t>Refrigeration</w:t>
            </w:r>
            <w:proofErr w:type="spellEnd"/>
          </w:p>
        </w:tc>
        <w:tc>
          <w:tcPr>
            <w:tcW w:w="725" w:type="pct"/>
            <w:tcBorders>
              <w:top w:val="single" w:sz="4" w:space="0" w:color="auto"/>
              <w:left w:val="single" w:sz="4" w:space="0" w:color="auto"/>
              <w:bottom w:val="single" w:sz="4" w:space="0" w:color="auto"/>
              <w:right w:val="single" w:sz="4" w:space="0" w:color="auto"/>
            </w:tcBorders>
          </w:tcPr>
          <w:p w14:paraId="7F8A4651" w14:textId="77777777" w:rsidR="00A01526" w:rsidRPr="00C36B59" w:rsidRDefault="00A01526" w:rsidP="00421B12">
            <w:pPr>
              <w:jc w:val="right"/>
              <w:rPr>
                <w:color w:val="000000"/>
                <w:sz w:val="20"/>
                <w:szCs w:val="20"/>
              </w:rPr>
            </w:pPr>
            <w:r>
              <w:rPr>
                <w:color w:val="000000"/>
                <w:sz w:val="20"/>
                <w:szCs w:val="20"/>
                <w:lang w:val="fr"/>
              </w:rPr>
              <w:t>30 000</w:t>
            </w:r>
          </w:p>
        </w:tc>
        <w:tc>
          <w:tcPr>
            <w:tcW w:w="724" w:type="pct"/>
            <w:tcBorders>
              <w:top w:val="single" w:sz="4" w:space="0" w:color="auto"/>
              <w:left w:val="single" w:sz="4" w:space="0" w:color="auto"/>
              <w:bottom w:val="single" w:sz="4" w:space="0" w:color="auto"/>
              <w:right w:val="single" w:sz="4" w:space="0" w:color="auto"/>
            </w:tcBorders>
          </w:tcPr>
          <w:p w14:paraId="76B887A9" w14:textId="77777777" w:rsidR="00A01526" w:rsidRPr="00C36B59" w:rsidRDefault="00A01526" w:rsidP="00421B12">
            <w:pPr>
              <w:jc w:val="right"/>
              <w:rPr>
                <w:color w:val="000000"/>
                <w:sz w:val="20"/>
                <w:szCs w:val="20"/>
              </w:rPr>
            </w:pPr>
            <w:r>
              <w:rPr>
                <w:color w:val="000000"/>
                <w:sz w:val="20"/>
                <w:szCs w:val="20"/>
                <w:lang w:val="fr"/>
              </w:rPr>
              <w:t>30 000</w:t>
            </w:r>
          </w:p>
        </w:tc>
      </w:tr>
      <w:tr w:rsidR="00A01526" w:rsidRPr="00C36B59" w14:paraId="5476999B" w14:textId="77777777" w:rsidTr="00421B12">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51D27DA4" w14:textId="77777777" w:rsidR="00A01526" w:rsidRDefault="00A01526" w:rsidP="00421B12">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132AE46F" w14:textId="40A7F7AD" w:rsidR="00A01526" w:rsidRPr="00A01526" w:rsidRDefault="00A01526" w:rsidP="00421B12">
            <w:pPr>
              <w:jc w:val="left"/>
              <w:rPr>
                <w:color w:val="000000" w:themeColor="text1"/>
                <w:sz w:val="20"/>
                <w:szCs w:val="20"/>
                <w:lang w:val="fr-FR"/>
              </w:rPr>
            </w:pPr>
            <w:r>
              <w:rPr>
                <w:color w:val="000000" w:themeColor="text1"/>
                <w:sz w:val="20"/>
                <w:szCs w:val="20"/>
                <w:lang w:val="fr"/>
              </w:rPr>
              <w:t xml:space="preserve">Préparation d’un projet d’investissement </w:t>
            </w:r>
            <w:r w:rsidR="00520EE0">
              <w:rPr>
                <w:color w:val="000000" w:themeColor="text1"/>
                <w:sz w:val="20"/>
                <w:szCs w:val="20"/>
                <w:lang w:val="fr"/>
              </w:rPr>
              <w:t xml:space="preserve">de </w:t>
            </w:r>
            <w:r>
              <w:rPr>
                <w:color w:val="000000" w:themeColor="text1"/>
                <w:sz w:val="20"/>
                <w:szCs w:val="20"/>
                <w:lang w:val="fr"/>
              </w:rPr>
              <w:t xml:space="preserve">KIP dans le </w:t>
            </w:r>
            <w:r>
              <w:rPr>
                <w:sz w:val="20"/>
                <w:szCs w:val="20"/>
                <w:lang w:val="fr"/>
              </w:rPr>
              <w:t>secteur des systèmes de climatisation embarqués</w:t>
            </w:r>
            <w:r>
              <w:rPr>
                <w:color w:val="000000" w:themeColor="text1"/>
                <w:sz w:val="20"/>
                <w:szCs w:val="20"/>
                <w:lang w:val="fr"/>
              </w:rPr>
              <w:t xml:space="preserve"> pour </w:t>
            </w:r>
            <w:proofErr w:type="spellStart"/>
            <w:r>
              <w:rPr>
                <w:color w:val="000000" w:themeColor="text1"/>
                <w:sz w:val="20"/>
                <w:szCs w:val="20"/>
                <w:lang w:val="fr"/>
              </w:rPr>
              <w:t>Thaco</w:t>
            </w:r>
            <w:proofErr w:type="spellEnd"/>
            <w:r>
              <w:rPr>
                <w:color w:val="000000" w:themeColor="text1"/>
                <w:sz w:val="20"/>
                <w:szCs w:val="20"/>
                <w:lang w:val="fr"/>
              </w:rPr>
              <w:t xml:space="preserve"> Auto</w:t>
            </w:r>
          </w:p>
        </w:tc>
        <w:tc>
          <w:tcPr>
            <w:tcW w:w="725" w:type="pct"/>
            <w:tcBorders>
              <w:top w:val="single" w:sz="4" w:space="0" w:color="auto"/>
              <w:left w:val="single" w:sz="4" w:space="0" w:color="auto"/>
              <w:bottom w:val="single" w:sz="4" w:space="0" w:color="auto"/>
              <w:right w:val="single" w:sz="4" w:space="0" w:color="auto"/>
            </w:tcBorders>
          </w:tcPr>
          <w:p w14:paraId="6F8A205B" w14:textId="77777777" w:rsidR="00A01526" w:rsidRPr="00C36B59" w:rsidRDefault="00A01526" w:rsidP="00421B12">
            <w:pPr>
              <w:jc w:val="right"/>
              <w:rPr>
                <w:color w:val="000000"/>
                <w:sz w:val="20"/>
                <w:szCs w:val="20"/>
              </w:rPr>
            </w:pPr>
            <w:r>
              <w:rPr>
                <w:color w:val="000000"/>
                <w:sz w:val="20"/>
                <w:szCs w:val="20"/>
                <w:lang w:val="fr"/>
              </w:rPr>
              <w:t>30 000</w:t>
            </w:r>
          </w:p>
        </w:tc>
        <w:tc>
          <w:tcPr>
            <w:tcW w:w="724" w:type="pct"/>
            <w:tcBorders>
              <w:top w:val="single" w:sz="4" w:space="0" w:color="auto"/>
              <w:left w:val="single" w:sz="4" w:space="0" w:color="auto"/>
              <w:bottom w:val="single" w:sz="4" w:space="0" w:color="auto"/>
              <w:right w:val="single" w:sz="4" w:space="0" w:color="auto"/>
            </w:tcBorders>
          </w:tcPr>
          <w:p w14:paraId="21083F71" w14:textId="77777777" w:rsidR="00A01526" w:rsidRPr="00C36B59" w:rsidRDefault="00A01526" w:rsidP="00421B12">
            <w:pPr>
              <w:jc w:val="right"/>
              <w:rPr>
                <w:color w:val="000000"/>
                <w:sz w:val="20"/>
                <w:szCs w:val="20"/>
              </w:rPr>
            </w:pPr>
            <w:r>
              <w:rPr>
                <w:color w:val="000000"/>
                <w:sz w:val="20"/>
                <w:szCs w:val="20"/>
                <w:lang w:val="fr"/>
              </w:rPr>
              <w:t>30 000</w:t>
            </w:r>
          </w:p>
        </w:tc>
      </w:tr>
      <w:tr w:rsidR="00A01526" w:rsidRPr="00C36B59" w14:paraId="519219CE" w14:textId="77777777" w:rsidTr="00421B12">
        <w:tc>
          <w:tcPr>
            <w:tcW w:w="3551" w:type="pct"/>
            <w:gridSpan w:val="2"/>
            <w:tcBorders>
              <w:top w:val="single" w:sz="4" w:space="0" w:color="auto"/>
              <w:left w:val="single" w:sz="4" w:space="0" w:color="auto"/>
              <w:bottom w:val="single" w:sz="4" w:space="0" w:color="auto"/>
              <w:right w:val="single" w:sz="4" w:space="0" w:color="auto"/>
            </w:tcBorders>
            <w:hideMark/>
          </w:tcPr>
          <w:p w14:paraId="64EFBB0E" w14:textId="77777777" w:rsidR="00A01526" w:rsidRPr="00C36B59" w:rsidRDefault="00A01526" w:rsidP="00421B12">
            <w:pPr>
              <w:jc w:val="right"/>
              <w:rPr>
                <w:color w:val="000000" w:themeColor="text1"/>
                <w:sz w:val="20"/>
                <w:szCs w:val="20"/>
              </w:rPr>
            </w:pPr>
            <w:r>
              <w:rPr>
                <w:color w:val="000000" w:themeColor="text1"/>
                <w:sz w:val="20"/>
                <w:szCs w:val="20"/>
                <w:lang w:val="fr"/>
              </w:rPr>
              <w:t xml:space="preserve">Total partiel </w:t>
            </w:r>
          </w:p>
        </w:tc>
        <w:tc>
          <w:tcPr>
            <w:tcW w:w="725" w:type="pct"/>
            <w:tcBorders>
              <w:top w:val="single" w:sz="4" w:space="0" w:color="auto"/>
              <w:left w:val="single" w:sz="4" w:space="0" w:color="auto"/>
              <w:bottom w:val="single" w:sz="4" w:space="0" w:color="auto"/>
              <w:right w:val="single" w:sz="4" w:space="0" w:color="auto"/>
            </w:tcBorders>
          </w:tcPr>
          <w:p w14:paraId="5BE7E991" w14:textId="77777777" w:rsidR="00A01526" w:rsidRPr="00C36B59" w:rsidRDefault="00A01526" w:rsidP="00421B12">
            <w:pPr>
              <w:jc w:val="right"/>
              <w:rPr>
                <w:color w:val="000000"/>
                <w:sz w:val="20"/>
                <w:szCs w:val="20"/>
              </w:rPr>
            </w:pPr>
            <w:r>
              <w:rPr>
                <w:color w:val="000000"/>
                <w:sz w:val="20"/>
                <w:szCs w:val="20"/>
                <w:lang w:val="fr"/>
              </w:rPr>
              <w:t>390 000</w:t>
            </w:r>
          </w:p>
        </w:tc>
        <w:tc>
          <w:tcPr>
            <w:tcW w:w="724" w:type="pct"/>
            <w:tcBorders>
              <w:top w:val="single" w:sz="4" w:space="0" w:color="auto"/>
              <w:left w:val="single" w:sz="4" w:space="0" w:color="auto"/>
              <w:bottom w:val="single" w:sz="4" w:space="0" w:color="auto"/>
              <w:right w:val="single" w:sz="4" w:space="0" w:color="auto"/>
            </w:tcBorders>
          </w:tcPr>
          <w:p w14:paraId="6AF84593" w14:textId="77777777" w:rsidR="00A01526" w:rsidRPr="00C36B59" w:rsidRDefault="00A01526" w:rsidP="00421B12">
            <w:pPr>
              <w:jc w:val="right"/>
              <w:rPr>
                <w:color w:val="000000"/>
                <w:sz w:val="20"/>
                <w:szCs w:val="20"/>
              </w:rPr>
            </w:pPr>
            <w:r>
              <w:rPr>
                <w:color w:val="000000"/>
                <w:sz w:val="20"/>
                <w:szCs w:val="20"/>
                <w:lang w:val="fr"/>
              </w:rPr>
              <w:t>390 000</w:t>
            </w:r>
          </w:p>
        </w:tc>
      </w:tr>
      <w:tr w:rsidR="00A01526" w:rsidRPr="00C36B59" w14:paraId="56C04816" w14:textId="77777777" w:rsidTr="00421B12">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6CF4C1FC" w14:textId="45EBC4FC" w:rsidR="00A01526" w:rsidRPr="00C36B59" w:rsidRDefault="00A01526" w:rsidP="00421B12">
            <w:pPr>
              <w:jc w:val="right"/>
              <w:rPr>
                <w:color w:val="000000" w:themeColor="text1"/>
                <w:sz w:val="20"/>
                <w:szCs w:val="20"/>
              </w:rPr>
            </w:pPr>
            <w:r>
              <w:rPr>
                <w:color w:val="000000" w:themeColor="text1"/>
                <w:sz w:val="20"/>
                <w:szCs w:val="20"/>
                <w:lang w:val="fr"/>
              </w:rPr>
              <w:t>Coûts d’appui à l’agence</w:t>
            </w:r>
          </w:p>
        </w:tc>
        <w:tc>
          <w:tcPr>
            <w:tcW w:w="725" w:type="pct"/>
            <w:tcBorders>
              <w:top w:val="single" w:sz="4" w:space="0" w:color="auto"/>
              <w:left w:val="single" w:sz="4" w:space="0" w:color="auto"/>
              <w:bottom w:val="single" w:sz="4" w:space="0" w:color="auto"/>
              <w:right w:val="single" w:sz="4" w:space="0" w:color="auto"/>
            </w:tcBorders>
          </w:tcPr>
          <w:p w14:paraId="04C2CBB3" w14:textId="77777777" w:rsidR="00A01526" w:rsidRPr="00C36B59" w:rsidRDefault="00A01526" w:rsidP="00421B12">
            <w:pPr>
              <w:jc w:val="right"/>
              <w:rPr>
                <w:color w:val="000000"/>
                <w:sz w:val="20"/>
                <w:szCs w:val="20"/>
              </w:rPr>
            </w:pPr>
            <w:r>
              <w:rPr>
                <w:color w:val="000000"/>
                <w:sz w:val="20"/>
                <w:szCs w:val="20"/>
                <w:lang w:val="fr"/>
              </w:rPr>
              <w:t>27 300</w:t>
            </w:r>
          </w:p>
        </w:tc>
        <w:tc>
          <w:tcPr>
            <w:tcW w:w="724" w:type="pct"/>
            <w:tcBorders>
              <w:top w:val="single" w:sz="4" w:space="0" w:color="auto"/>
              <w:left w:val="single" w:sz="4" w:space="0" w:color="auto"/>
              <w:bottom w:val="single" w:sz="4" w:space="0" w:color="auto"/>
              <w:right w:val="single" w:sz="4" w:space="0" w:color="auto"/>
            </w:tcBorders>
          </w:tcPr>
          <w:p w14:paraId="400D3BEA" w14:textId="77777777" w:rsidR="00A01526" w:rsidRPr="00C36B59" w:rsidRDefault="00A01526" w:rsidP="00421B12">
            <w:pPr>
              <w:jc w:val="right"/>
              <w:rPr>
                <w:color w:val="000000"/>
                <w:sz w:val="20"/>
                <w:szCs w:val="20"/>
              </w:rPr>
            </w:pPr>
            <w:r>
              <w:rPr>
                <w:color w:val="000000"/>
                <w:sz w:val="20"/>
                <w:szCs w:val="20"/>
                <w:lang w:val="fr"/>
              </w:rPr>
              <w:t>27 300</w:t>
            </w:r>
          </w:p>
        </w:tc>
      </w:tr>
      <w:tr w:rsidR="00A01526" w:rsidRPr="00C36B59" w14:paraId="343C9568" w14:textId="77777777" w:rsidTr="00421B12">
        <w:tc>
          <w:tcPr>
            <w:tcW w:w="3551" w:type="pct"/>
            <w:gridSpan w:val="2"/>
            <w:tcBorders>
              <w:top w:val="single" w:sz="4" w:space="0" w:color="auto"/>
              <w:left w:val="single" w:sz="4" w:space="0" w:color="auto"/>
              <w:bottom w:val="single" w:sz="4" w:space="0" w:color="auto"/>
              <w:right w:val="single" w:sz="4" w:space="0" w:color="auto"/>
            </w:tcBorders>
            <w:hideMark/>
          </w:tcPr>
          <w:p w14:paraId="299A6A28" w14:textId="77777777" w:rsidR="00A01526" w:rsidRPr="00C36B59" w:rsidRDefault="00A01526" w:rsidP="00421B12">
            <w:pPr>
              <w:jc w:val="right"/>
              <w:rPr>
                <w:color w:val="000000" w:themeColor="text1"/>
                <w:sz w:val="20"/>
                <w:szCs w:val="20"/>
              </w:rPr>
            </w:pPr>
            <w:r>
              <w:rPr>
                <w:color w:val="000000" w:themeColor="text1"/>
                <w:sz w:val="20"/>
                <w:szCs w:val="20"/>
                <w:lang w:val="fr"/>
              </w:rPr>
              <w:t xml:space="preserve"> Total global </w:t>
            </w:r>
          </w:p>
        </w:tc>
        <w:tc>
          <w:tcPr>
            <w:tcW w:w="725" w:type="pct"/>
            <w:tcBorders>
              <w:top w:val="single" w:sz="4" w:space="0" w:color="auto"/>
              <w:left w:val="single" w:sz="4" w:space="0" w:color="auto"/>
              <w:bottom w:val="single" w:sz="4" w:space="0" w:color="auto"/>
              <w:right w:val="single" w:sz="4" w:space="0" w:color="auto"/>
            </w:tcBorders>
          </w:tcPr>
          <w:p w14:paraId="23E7452B" w14:textId="77777777" w:rsidR="00A01526" w:rsidRPr="00C36B59" w:rsidRDefault="00A01526" w:rsidP="00421B12">
            <w:pPr>
              <w:jc w:val="right"/>
              <w:rPr>
                <w:color w:val="000000"/>
                <w:sz w:val="20"/>
                <w:szCs w:val="20"/>
              </w:rPr>
            </w:pPr>
            <w:r>
              <w:rPr>
                <w:color w:val="000000"/>
                <w:sz w:val="20"/>
                <w:szCs w:val="20"/>
                <w:lang w:val="fr"/>
              </w:rPr>
              <w:t>417 300</w:t>
            </w:r>
          </w:p>
        </w:tc>
        <w:tc>
          <w:tcPr>
            <w:tcW w:w="724" w:type="pct"/>
            <w:tcBorders>
              <w:top w:val="single" w:sz="4" w:space="0" w:color="auto"/>
              <w:left w:val="single" w:sz="4" w:space="0" w:color="auto"/>
              <w:bottom w:val="single" w:sz="4" w:space="0" w:color="auto"/>
              <w:right w:val="single" w:sz="4" w:space="0" w:color="auto"/>
            </w:tcBorders>
          </w:tcPr>
          <w:p w14:paraId="7A5544C8" w14:textId="77777777" w:rsidR="00A01526" w:rsidRPr="00C36B59" w:rsidRDefault="00A01526" w:rsidP="00421B12">
            <w:pPr>
              <w:jc w:val="right"/>
              <w:rPr>
                <w:color w:val="000000"/>
                <w:sz w:val="20"/>
                <w:szCs w:val="20"/>
              </w:rPr>
            </w:pPr>
            <w:r>
              <w:rPr>
                <w:color w:val="000000"/>
                <w:sz w:val="20"/>
                <w:szCs w:val="20"/>
                <w:lang w:val="fr"/>
              </w:rPr>
              <w:t>417 300</w:t>
            </w:r>
          </w:p>
        </w:tc>
      </w:tr>
    </w:tbl>
    <w:p w14:paraId="133C8E3A" w14:textId="77777777" w:rsidR="00A01526" w:rsidRDefault="00A01526" w:rsidP="00A01526"/>
    <w:p w14:paraId="1528F993" w14:textId="77777777" w:rsidR="00A01526" w:rsidRPr="00A01526" w:rsidRDefault="00A01526" w:rsidP="00A01526">
      <w:pPr>
        <w:keepNext/>
        <w:spacing w:after="240"/>
        <w:rPr>
          <w:b/>
          <w:color w:val="000000" w:themeColor="text1"/>
          <w:lang w:val="fr-FR"/>
        </w:rPr>
      </w:pPr>
      <w:r>
        <w:rPr>
          <w:b/>
          <w:bCs/>
          <w:color w:val="000000" w:themeColor="text1"/>
          <w:lang w:val="fr"/>
        </w:rPr>
        <w:t>SECTION A : ACTIVITÉS RECOMMANDÉES AUX FINS D’APPROBATION GLOBALE</w:t>
      </w:r>
    </w:p>
    <w:p w14:paraId="5FFB4036" w14:textId="77777777" w:rsidR="00A01526" w:rsidRPr="00A01526" w:rsidRDefault="00A01526" w:rsidP="00A01526">
      <w:pPr>
        <w:keepNext/>
        <w:keepLines/>
        <w:spacing w:after="240"/>
        <w:rPr>
          <w:lang w:val="fr-FR"/>
        </w:rPr>
      </w:pPr>
      <w:r>
        <w:rPr>
          <w:b/>
          <w:bCs/>
          <w:color w:val="000000" w:themeColor="text1"/>
          <w:lang w:val="fr"/>
        </w:rPr>
        <w:t>A1 : Préparation de projet</w:t>
      </w:r>
      <w:r>
        <w:rPr>
          <w:b/>
          <w:bCs/>
          <w:lang w:val="fr"/>
        </w:rPr>
        <w:t xml:space="preserve"> pour les plans de mise en œuvre sur les HFC au titre de l’Amendement de Kigali (KIP)</w:t>
      </w:r>
    </w:p>
    <w:p w14:paraId="44DB4038" w14:textId="77777777" w:rsidR="00A01526" w:rsidRDefault="00A01526" w:rsidP="00A01526">
      <w:pPr>
        <w:keepNext/>
        <w:keepLines/>
        <w:widowControl w:val="0"/>
        <w:spacing w:after="240"/>
        <w:rPr>
          <w:b/>
        </w:rPr>
      </w:pPr>
      <w:r>
        <w:rPr>
          <w:b/>
          <w:bCs/>
          <w:lang w:val="fr"/>
        </w:rPr>
        <w:t>Description du projet</w:t>
      </w:r>
    </w:p>
    <w:p w14:paraId="2A3B6DB3" w14:textId="03846B3A" w:rsidR="00A01526" w:rsidRPr="00A01526" w:rsidRDefault="00A01526" w:rsidP="00A01526">
      <w:pPr>
        <w:pStyle w:val="Heading1"/>
        <w:numPr>
          <w:ilvl w:val="0"/>
          <w:numId w:val="23"/>
        </w:numPr>
        <w:rPr>
          <w:snapToGrid w:val="0"/>
          <w:lang w:val="fr-FR"/>
        </w:rPr>
      </w:pPr>
      <w:r>
        <w:rPr>
          <w:snapToGrid w:val="0"/>
          <w:lang w:val="fr"/>
        </w:rPr>
        <w:t xml:space="preserve">La Banque mondiale a soumis une demande pour la préparation de la phase I du KIP pour l’Indonésie en tant qu’agence d’exécution </w:t>
      </w:r>
      <w:r w:rsidR="00520EE0">
        <w:rPr>
          <w:snapToGrid w:val="0"/>
          <w:lang w:val="fr"/>
        </w:rPr>
        <w:t xml:space="preserve">désignée </w:t>
      </w:r>
      <w:r>
        <w:rPr>
          <w:snapToGrid w:val="0"/>
          <w:lang w:val="fr"/>
        </w:rPr>
        <w:t>et quatre autres demandes pour la</w:t>
      </w:r>
      <w:r>
        <w:rPr>
          <w:lang w:val="fr"/>
        </w:rPr>
        <w:t xml:space="preserve"> préparation de la phase I d</w:t>
      </w:r>
      <w:r w:rsidR="00520EE0">
        <w:rPr>
          <w:lang w:val="fr"/>
        </w:rPr>
        <w:t>e</w:t>
      </w:r>
      <w:r>
        <w:rPr>
          <w:lang w:val="fr"/>
        </w:rPr>
        <w:t xml:space="preserve"> projet</w:t>
      </w:r>
      <w:r w:rsidR="00520EE0">
        <w:rPr>
          <w:lang w:val="fr"/>
        </w:rPr>
        <w:t>s</w:t>
      </w:r>
      <w:r>
        <w:rPr>
          <w:lang w:val="fr"/>
        </w:rPr>
        <w:t xml:space="preserve"> d’investissement </w:t>
      </w:r>
      <w:r w:rsidR="00520EE0">
        <w:rPr>
          <w:lang w:val="fr"/>
        </w:rPr>
        <w:t xml:space="preserve">de </w:t>
      </w:r>
      <w:r>
        <w:rPr>
          <w:lang w:val="fr"/>
        </w:rPr>
        <w:t>KIP</w:t>
      </w:r>
      <w:r>
        <w:rPr>
          <w:snapToGrid w:val="0"/>
          <w:lang w:val="fr"/>
        </w:rPr>
        <w:t xml:space="preserve"> </w:t>
      </w:r>
      <w:r>
        <w:rPr>
          <w:lang w:val="fr"/>
        </w:rPr>
        <w:t>au Viet Nam dans le secteur de la réfrigération domestique, dans le secteur de la réfrigération commerciale, dans le secteur de la réfrigération industrielle, et dans le secteur des systèmes de climatisation embarqués</w:t>
      </w:r>
      <w:r>
        <w:rPr>
          <w:snapToGrid w:val="0"/>
          <w:lang w:val="fr"/>
        </w:rPr>
        <w:t>, comme indiqué dans la section A1 du tableau 1. Le Viet Nam a reçu le financement pour la préparation de la phase I du KIP global lors de la 88</w:t>
      </w:r>
      <w:r w:rsidRPr="00520EE0">
        <w:rPr>
          <w:snapToGrid w:val="0"/>
          <w:vertAlign w:val="superscript"/>
          <w:lang w:val="fr"/>
        </w:rPr>
        <w:t>e</w:t>
      </w:r>
      <w:r>
        <w:rPr>
          <w:snapToGrid w:val="0"/>
          <w:lang w:val="fr"/>
        </w:rPr>
        <w:t> réunion.</w:t>
      </w:r>
      <w:r>
        <w:rPr>
          <w:rStyle w:val="FootnoteReference"/>
          <w:snapToGrid w:val="0"/>
          <w:lang w:val="fr"/>
        </w:rPr>
        <w:footnoteReference w:id="2"/>
      </w:r>
    </w:p>
    <w:p w14:paraId="44EC3F33" w14:textId="77777777" w:rsidR="00A01526" w:rsidRDefault="00A01526" w:rsidP="00A01526">
      <w:pPr>
        <w:widowControl w:val="0"/>
        <w:spacing w:after="240"/>
        <w:rPr>
          <w:b/>
          <w:color w:val="000000" w:themeColor="text1"/>
        </w:rPr>
      </w:pPr>
      <w:r>
        <w:rPr>
          <w:b/>
          <w:bCs/>
          <w:color w:val="000000" w:themeColor="text1"/>
          <w:lang w:val="fr"/>
        </w:rPr>
        <w:t>Observations du Secrétariat</w:t>
      </w:r>
    </w:p>
    <w:p w14:paraId="364152D5" w14:textId="36177773" w:rsidR="00A01526" w:rsidRPr="00A01526" w:rsidRDefault="00A01526" w:rsidP="00A01526">
      <w:pPr>
        <w:pStyle w:val="Heading1"/>
        <w:numPr>
          <w:ilvl w:val="0"/>
          <w:numId w:val="23"/>
        </w:numPr>
        <w:rPr>
          <w:lang w:val="fr-FR"/>
        </w:rPr>
      </w:pPr>
      <w:r>
        <w:rPr>
          <w:lang w:val="fr"/>
        </w:rPr>
        <w:t xml:space="preserve">Dans son examen de ces demandes, le Secrétariat a pris en compte les directives relatives à la préparation des KIP conformément à la décision 87/50 ; les activités proposées pour la préparation de projet et leur relation avec les activités de facilitation et </w:t>
      </w:r>
      <w:r w:rsidR="00520EE0">
        <w:rPr>
          <w:lang w:val="fr"/>
        </w:rPr>
        <w:t xml:space="preserve">les </w:t>
      </w:r>
      <w:r>
        <w:rPr>
          <w:lang w:val="fr"/>
        </w:rPr>
        <w:t>autres projets relatifs aux HFC dans le pays.</w:t>
      </w:r>
    </w:p>
    <w:p w14:paraId="03137DEA" w14:textId="31BF547D" w:rsidR="00A01526" w:rsidRPr="00A01526" w:rsidRDefault="00A01526" w:rsidP="00A01526">
      <w:pPr>
        <w:pStyle w:val="Heading1"/>
        <w:numPr>
          <w:ilvl w:val="0"/>
          <w:numId w:val="23"/>
        </w:numPr>
        <w:rPr>
          <w:lang w:val="fr-FR"/>
        </w:rPr>
      </w:pPr>
      <w:r>
        <w:rPr>
          <w:lang w:val="fr"/>
        </w:rPr>
        <w:t xml:space="preserve">Le Secrétariat a noté que </w:t>
      </w:r>
      <w:r>
        <w:rPr>
          <w:snapToGrid w:val="0"/>
          <w:lang w:val="fr"/>
        </w:rPr>
        <w:t>pour la préparation de la phase I du KIP</w:t>
      </w:r>
      <w:r w:rsidR="00520EE0">
        <w:rPr>
          <w:snapToGrid w:val="0"/>
          <w:lang w:val="fr"/>
        </w:rPr>
        <w:t>,</w:t>
      </w:r>
      <w:r>
        <w:rPr>
          <w:snapToGrid w:val="0"/>
          <w:lang w:val="fr"/>
        </w:rPr>
        <w:t xml:space="preserve"> </w:t>
      </w:r>
      <w:r>
        <w:rPr>
          <w:lang w:val="fr"/>
        </w:rPr>
        <w:t xml:space="preserve">la Banque mondiale </w:t>
      </w:r>
      <w:r>
        <w:rPr>
          <w:snapToGrid w:val="0"/>
          <w:lang w:val="fr"/>
        </w:rPr>
        <w:t>a fourni des descriptions des activités requises pour la préparation de la stratégie globale pour la phase</w:t>
      </w:r>
      <w:r w:rsidR="00520EE0">
        <w:rPr>
          <w:snapToGrid w:val="0"/>
          <w:lang w:val="fr"/>
        </w:rPr>
        <w:t> </w:t>
      </w:r>
      <w:r>
        <w:rPr>
          <w:snapToGrid w:val="0"/>
          <w:lang w:val="fr"/>
        </w:rPr>
        <w:t xml:space="preserve">I du KIP pour </w:t>
      </w:r>
      <w:r>
        <w:rPr>
          <w:snapToGrid w:val="0"/>
          <w:lang w:val="fr"/>
        </w:rPr>
        <w:lastRenderedPageBreak/>
        <w:t>l’Indonésie.</w:t>
      </w:r>
      <w:r>
        <w:rPr>
          <w:snapToGrid w:val="0"/>
          <w:color w:val="000000" w:themeColor="text1"/>
          <w:lang w:val="fr"/>
        </w:rPr>
        <w:t xml:space="preserve"> </w:t>
      </w:r>
      <w:r>
        <w:rPr>
          <w:lang w:val="fr"/>
        </w:rPr>
        <w:t xml:space="preserve">La soumission inclut des données de consommation de HFC et de mélanges de HFC </w:t>
      </w:r>
      <w:r w:rsidR="00520EE0">
        <w:rPr>
          <w:lang w:val="fr"/>
        </w:rPr>
        <w:t>pour</w:t>
      </w:r>
      <w:r>
        <w:rPr>
          <w:lang w:val="fr"/>
        </w:rPr>
        <w:t xml:space="preserve"> 2019 à 2021. Les activités de préparation du projet inclu</w:t>
      </w:r>
      <w:r w:rsidR="00520EE0">
        <w:rPr>
          <w:lang w:val="fr"/>
        </w:rPr>
        <w:t>en</w:t>
      </w:r>
      <w:r>
        <w:rPr>
          <w:lang w:val="fr"/>
        </w:rPr>
        <w:t xml:space="preserve">t l’examen du système d’octroi de licences et de quotas pour le contrôle et la supervision des HFC ; le renforcement de la capacité des officiers des douanes et des importateurs ; une étude nationale et une collecte des données sur la consommation de HFC ; l’analyse de l’utilisation des HFC et de ses produits de remplacement ; un examen </w:t>
      </w:r>
      <w:r w:rsidR="00520EE0">
        <w:rPr>
          <w:lang w:val="fr"/>
        </w:rPr>
        <w:t xml:space="preserve">des </w:t>
      </w:r>
      <w:r>
        <w:rPr>
          <w:lang w:val="fr"/>
        </w:rPr>
        <w:t>politique</w:t>
      </w:r>
      <w:r w:rsidR="00520EE0">
        <w:rPr>
          <w:lang w:val="fr"/>
        </w:rPr>
        <w:t>s</w:t>
      </w:r>
      <w:r>
        <w:rPr>
          <w:lang w:val="fr"/>
        </w:rPr>
        <w:t xml:space="preserve"> et </w:t>
      </w:r>
      <w:r w:rsidR="00520EE0">
        <w:rPr>
          <w:lang w:val="fr"/>
        </w:rPr>
        <w:t>des législations</w:t>
      </w:r>
      <w:r>
        <w:rPr>
          <w:lang w:val="fr"/>
        </w:rPr>
        <w:t xml:space="preserve"> lié</w:t>
      </w:r>
      <w:r w:rsidR="00520EE0">
        <w:rPr>
          <w:lang w:val="fr"/>
        </w:rPr>
        <w:t>es</w:t>
      </w:r>
      <w:r>
        <w:rPr>
          <w:lang w:val="fr"/>
        </w:rPr>
        <w:t xml:space="preserve"> à l’élimination des HFC ; un examen de l’approche nationale de la gestion et de l’élimination des SAO et des HFC ; le développement d’une stratégie d’élimination globale des HFC ; et la validation et les consultations des parties prenantes ; et le développement d’un</w:t>
      </w:r>
      <w:r w:rsidR="00774040">
        <w:rPr>
          <w:lang w:val="fr"/>
        </w:rPr>
        <w:t xml:space="preserve"> plan de</w:t>
      </w:r>
      <w:r>
        <w:rPr>
          <w:lang w:val="fr"/>
        </w:rPr>
        <w:t xml:space="preserve"> communication et de sensibilisation.</w:t>
      </w:r>
    </w:p>
    <w:p w14:paraId="1DD226E4" w14:textId="0BB84955" w:rsidR="00A01526" w:rsidRPr="00A01526" w:rsidRDefault="00A01526" w:rsidP="00A01526">
      <w:pPr>
        <w:pStyle w:val="Heading1"/>
        <w:numPr>
          <w:ilvl w:val="0"/>
          <w:numId w:val="23"/>
        </w:numPr>
        <w:rPr>
          <w:lang w:val="fr-FR"/>
        </w:rPr>
      </w:pPr>
      <w:r>
        <w:rPr>
          <w:lang w:val="fr"/>
        </w:rPr>
        <w:t xml:space="preserve">Le Secrétariat a noté que la préparation de la phase I du KIP couvrira aussi bien les </w:t>
      </w:r>
      <w:r w:rsidR="00EA6841">
        <w:rPr>
          <w:lang w:val="fr"/>
        </w:rPr>
        <w:t>secteurs</w:t>
      </w:r>
      <w:r>
        <w:rPr>
          <w:lang w:val="fr"/>
        </w:rPr>
        <w:t xml:space="preserve"> de </w:t>
      </w:r>
      <w:r w:rsidR="00EA6841">
        <w:rPr>
          <w:lang w:val="fr"/>
        </w:rPr>
        <w:t xml:space="preserve">la </w:t>
      </w:r>
      <w:r>
        <w:rPr>
          <w:lang w:val="fr"/>
        </w:rPr>
        <w:t>fabrication que d</w:t>
      </w:r>
      <w:r w:rsidR="00EA6841">
        <w:rPr>
          <w:lang w:val="fr"/>
        </w:rPr>
        <w:t>e l</w:t>
      </w:r>
      <w:r>
        <w:rPr>
          <w:lang w:val="fr"/>
        </w:rPr>
        <w:t xml:space="preserve">’entretien et a demandé </w:t>
      </w:r>
      <w:r w:rsidR="00EA6841">
        <w:rPr>
          <w:lang w:val="fr"/>
        </w:rPr>
        <w:t>quand il était prévu de soumettre</w:t>
      </w:r>
      <w:r>
        <w:rPr>
          <w:lang w:val="fr"/>
        </w:rPr>
        <w:t xml:space="preserve"> </w:t>
      </w:r>
      <w:r w:rsidR="00EA6841">
        <w:rPr>
          <w:lang w:val="fr"/>
        </w:rPr>
        <w:t>l</w:t>
      </w:r>
      <w:r>
        <w:rPr>
          <w:lang w:val="fr"/>
        </w:rPr>
        <w:t xml:space="preserve">es projets d’investissement ; a clarifié la </w:t>
      </w:r>
      <w:r w:rsidR="00EA6841">
        <w:rPr>
          <w:lang w:val="fr"/>
        </w:rPr>
        <w:t>durée</w:t>
      </w:r>
      <w:r>
        <w:rPr>
          <w:lang w:val="fr"/>
        </w:rPr>
        <w:t xml:space="preserve"> de la préparation du projet et a noté la prise en compte de considérations de genre dans le développement de la stratégie globale. La Banque mondiale a confirmé que les demandes de </w:t>
      </w:r>
      <w:r w:rsidR="00EA6841">
        <w:rPr>
          <w:lang w:val="fr"/>
        </w:rPr>
        <w:t xml:space="preserve">préparation de </w:t>
      </w:r>
      <w:r>
        <w:rPr>
          <w:lang w:val="fr"/>
        </w:rPr>
        <w:t xml:space="preserve">projet d’investissement seront préparées après la collecte des données préliminaires et l’identification des secteurs prioritaires et qu’elle prévoit de soumettre celles-ci lors de la deuxième réunion de 2023 et qu’elle prévoit que la préparation du projet pour la phase I du KIP </w:t>
      </w:r>
      <w:r w:rsidR="00EA6841">
        <w:rPr>
          <w:lang w:val="fr"/>
        </w:rPr>
        <w:t>soit terminée après</w:t>
      </w:r>
      <w:r>
        <w:rPr>
          <w:lang w:val="fr"/>
        </w:rPr>
        <w:t xml:space="preserve"> une durée de 12 à 18 mois.</w:t>
      </w:r>
    </w:p>
    <w:p w14:paraId="222ACB1B" w14:textId="2EDF5336" w:rsidR="00A01526" w:rsidRPr="00A01526" w:rsidRDefault="00A01526" w:rsidP="00A01526">
      <w:pPr>
        <w:pStyle w:val="Heading1"/>
        <w:numPr>
          <w:ilvl w:val="0"/>
          <w:numId w:val="23"/>
        </w:numPr>
        <w:rPr>
          <w:lang w:val="fr-FR"/>
        </w:rPr>
      </w:pPr>
      <w:r>
        <w:rPr>
          <w:lang w:val="fr"/>
        </w:rPr>
        <w:t xml:space="preserve">Concernant les </w:t>
      </w:r>
      <w:r>
        <w:rPr>
          <w:snapToGrid w:val="0"/>
          <w:lang w:val="fr"/>
        </w:rPr>
        <w:t>quatre demandes pour la</w:t>
      </w:r>
      <w:r>
        <w:rPr>
          <w:lang w:val="fr"/>
        </w:rPr>
        <w:t xml:space="preserve"> préparation des projets d’investissement d</w:t>
      </w:r>
      <w:r w:rsidR="00EA6841">
        <w:rPr>
          <w:lang w:val="fr"/>
        </w:rPr>
        <w:t>e</w:t>
      </w:r>
      <w:r>
        <w:rPr>
          <w:lang w:val="fr"/>
        </w:rPr>
        <w:t xml:space="preserve"> KIP, le Secrétariat a noté que la Banque mondiale </w:t>
      </w:r>
      <w:r>
        <w:rPr>
          <w:snapToGrid w:val="0"/>
          <w:lang w:val="fr"/>
        </w:rPr>
        <w:t xml:space="preserve">a fourni des descriptions des activités et que dans chaque secteur celles-ci incluent </w:t>
      </w:r>
      <w:r>
        <w:rPr>
          <w:lang w:val="fr"/>
        </w:rPr>
        <w:t xml:space="preserve">entre autres le développement de plans de conversion pour les installations de production, les équipements et les lignes de production comprenant des plans de gestion environnementale pour manipuler en sécurité des matériaux inflammables et/ou toxiques ; la collecte de documentation </w:t>
      </w:r>
      <w:r w:rsidR="00EA6841">
        <w:rPr>
          <w:lang w:val="fr"/>
        </w:rPr>
        <w:t>justificatifs</w:t>
      </w:r>
      <w:r>
        <w:rPr>
          <w:lang w:val="fr"/>
        </w:rPr>
        <w:t xml:space="preserve"> pour confirmer la consommation de HFC par les entreprises ; la consultation </w:t>
      </w:r>
      <w:r w:rsidR="00EA6841">
        <w:rPr>
          <w:lang w:val="fr"/>
        </w:rPr>
        <w:t>d</w:t>
      </w:r>
      <w:r>
        <w:rPr>
          <w:lang w:val="fr"/>
        </w:rPr>
        <w:t xml:space="preserve">es agences gouvernementales pertinentes sur l’utilisation de frigorigènes inflammables et/ou toxiques et </w:t>
      </w:r>
      <w:r w:rsidR="00EA6841">
        <w:rPr>
          <w:lang w:val="fr"/>
        </w:rPr>
        <w:t xml:space="preserve">sur </w:t>
      </w:r>
      <w:r>
        <w:rPr>
          <w:lang w:val="fr"/>
        </w:rPr>
        <w:t>les normes produit ; ainsi qu’une analyse basée sur le genre des politiques d’embauche dans chaque entreprise dans le contexte de la politique en matière d’égalité des sexes du Fonds multilatéral.</w:t>
      </w:r>
    </w:p>
    <w:p w14:paraId="5EBE7FDB" w14:textId="77777777" w:rsidR="00A01526" w:rsidRPr="00A01526" w:rsidRDefault="00A01526" w:rsidP="00A01526">
      <w:pPr>
        <w:pStyle w:val="Heading1"/>
        <w:numPr>
          <w:ilvl w:val="0"/>
          <w:numId w:val="23"/>
        </w:numPr>
        <w:rPr>
          <w:snapToGrid w:val="0"/>
          <w:lang w:val="fr-FR"/>
        </w:rPr>
      </w:pPr>
      <w:r>
        <w:rPr>
          <w:snapToGrid w:val="0"/>
          <w:lang w:val="fr"/>
        </w:rPr>
        <w:t>Le Secrétariat a observé que :</w:t>
      </w:r>
    </w:p>
    <w:p w14:paraId="4D3BE57A" w14:textId="6FD1396C" w:rsidR="00A01526" w:rsidRPr="00A01526" w:rsidRDefault="00A01526" w:rsidP="00A01526">
      <w:pPr>
        <w:pStyle w:val="Heading2"/>
        <w:numPr>
          <w:ilvl w:val="1"/>
          <w:numId w:val="1"/>
        </w:numPr>
        <w:rPr>
          <w:snapToGrid w:val="0"/>
          <w:lang w:val="fr-FR"/>
        </w:rPr>
      </w:pPr>
      <w:r>
        <w:rPr>
          <w:snapToGrid w:val="0"/>
          <w:lang w:val="fr"/>
        </w:rPr>
        <w:t xml:space="preserve">La préparation du projet d’investissement </w:t>
      </w:r>
      <w:r w:rsidR="00EA6841">
        <w:rPr>
          <w:snapToGrid w:val="0"/>
          <w:lang w:val="fr"/>
        </w:rPr>
        <w:t xml:space="preserve">de </w:t>
      </w:r>
      <w:r>
        <w:rPr>
          <w:snapToGrid w:val="0"/>
          <w:lang w:val="fr"/>
        </w:rPr>
        <w:t>KIP dans le</w:t>
      </w:r>
      <w:r>
        <w:rPr>
          <w:lang w:val="fr"/>
        </w:rPr>
        <w:t xml:space="preserve"> secteur de la réfrigération domestique</w:t>
      </w:r>
      <w:r>
        <w:rPr>
          <w:snapToGrid w:val="0"/>
          <w:lang w:val="fr"/>
        </w:rPr>
        <w:t xml:space="preserve"> inclurait trois entreprises (</w:t>
      </w:r>
      <w:r>
        <w:rPr>
          <w:lang w:val="fr"/>
        </w:rPr>
        <w:t xml:space="preserve">Aqua </w:t>
      </w:r>
      <w:proofErr w:type="spellStart"/>
      <w:r>
        <w:rPr>
          <w:lang w:val="fr"/>
        </w:rPr>
        <w:t>Electrical</w:t>
      </w:r>
      <w:proofErr w:type="spellEnd"/>
      <w:r>
        <w:rPr>
          <w:lang w:val="fr"/>
        </w:rPr>
        <w:t xml:space="preserve"> </w:t>
      </w:r>
      <w:proofErr w:type="spellStart"/>
      <w:r>
        <w:rPr>
          <w:lang w:val="fr"/>
        </w:rPr>
        <w:t>Appliances</w:t>
      </w:r>
      <w:proofErr w:type="spellEnd"/>
      <w:r>
        <w:rPr>
          <w:lang w:val="fr"/>
        </w:rPr>
        <w:t xml:space="preserve">, Darling Electronics et </w:t>
      </w:r>
      <w:proofErr w:type="spellStart"/>
      <w:r>
        <w:rPr>
          <w:lang w:val="fr"/>
        </w:rPr>
        <w:t>Hoa</w:t>
      </w:r>
      <w:proofErr w:type="spellEnd"/>
      <w:r>
        <w:rPr>
          <w:lang w:val="fr"/>
        </w:rPr>
        <w:t xml:space="preserve"> </w:t>
      </w:r>
      <w:proofErr w:type="spellStart"/>
      <w:r>
        <w:rPr>
          <w:lang w:val="fr"/>
        </w:rPr>
        <w:t>Phat</w:t>
      </w:r>
      <w:proofErr w:type="spellEnd"/>
      <w:r>
        <w:rPr>
          <w:lang w:val="fr"/>
        </w:rPr>
        <w:t xml:space="preserve"> </w:t>
      </w:r>
      <w:proofErr w:type="spellStart"/>
      <w:r>
        <w:rPr>
          <w:lang w:val="fr"/>
        </w:rPr>
        <w:t>Refrigeration</w:t>
      </w:r>
      <w:proofErr w:type="spellEnd"/>
      <w:r>
        <w:rPr>
          <w:lang w:val="fr"/>
        </w:rPr>
        <w:t xml:space="preserve"> Engineering)</w:t>
      </w:r>
      <w:r>
        <w:rPr>
          <w:snapToGrid w:val="0"/>
          <w:lang w:val="fr"/>
        </w:rPr>
        <w:t xml:space="preserve"> fabriquant des équipements de réfrigération autonomes et que les données de consommation de HFC pour 2019 à 2021 étaient fournies pour chaque entreprise. Le projet d’investissement concernerait la conversion de frigorigène HFC-134a aux hydrocarbures. </w:t>
      </w:r>
    </w:p>
    <w:p w14:paraId="0DDF48E6" w14:textId="11D40DAE" w:rsidR="00A01526" w:rsidRPr="00A01526" w:rsidRDefault="00A01526" w:rsidP="00A01526">
      <w:pPr>
        <w:pStyle w:val="Heading2"/>
        <w:numPr>
          <w:ilvl w:val="1"/>
          <w:numId w:val="23"/>
        </w:numPr>
        <w:rPr>
          <w:snapToGrid w:val="0"/>
          <w:lang w:val="fr-FR"/>
        </w:rPr>
      </w:pPr>
      <w:r>
        <w:rPr>
          <w:snapToGrid w:val="0"/>
          <w:lang w:val="fr"/>
        </w:rPr>
        <w:t xml:space="preserve">Pour le secteur de la fabrication de réfrigération commerciale, la préparation de projet d’investissement </w:t>
      </w:r>
      <w:r w:rsidR="00EA6841">
        <w:rPr>
          <w:snapToGrid w:val="0"/>
          <w:lang w:val="fr"/>
        </w:rPr>
        <w:t xml:space="preserve">de </w:t>
      </w:r>
      <w:r>
        <w:rPr>
          <w:snapToGrid w:val="0"/>
          <w:lang w:val="fr"/>
        </w:rPr>
        <w:t>KIP concernerait une entreprise (</w:t>
      </w:r>
      <w:proofErr w:type="spellStart"/>
      <w:r>
        <w:rPr>
          <w:snapToGrid w:val="0"/>
          <w:lang w:val="fr"/>
        </w:rPr>
        <w:t>Sanaky</w:t>
      </w:r>
      <w:proofErr w:type="spellEnd"/>
      <w:r>
        <w:rPr>
          <w:snapToGrid w:val="0"/>
          <w:lang w:val="fr"/>
        </w:rPr>
        <w:t>) produisant des équipements de réfrigération commerciale autonomes pour l</w:t>
      </w:r>
      <w:r w:rsidR="00EA6841">
        <w:rPr>
          <w:snapToGrid w:val="0"/>
          <w:lang w:val="fr"/>
        </w:rPr>
        <w:t>aquelle</w:t>
      </w:r>
      <w:r>
        <w:rPr>
          <w:snapToGrid w:val="0"/>
          <w:lang w:val="fr"/>
        </w:rPr>
        <w:t xml:space="preserve"> les données de consommation de HFC pour 2019 à 2021 ont été fournies. Le projet d’investissement concernerait la conversion de frigorigène HFC-134a aux hydrocarbures.</w:t>
      </w:r>
    </w:p>
    <w:p w14:paraId="49FC4F49" w14:textId="78AD00A2" w:rsidR="00A01526" w:rsidRPr="00A01526" w:rsidRDefault="00A01526" w:rsidP="00A01526">
      <w:pPr>
        <w:pStyle w:val="Heading2"/>
        <w:numPr>
          <w:ilvl w:val="1"/>
          <w:numId w:val="23"/>
        </w:numPr>
        <w:rPr>
          <w:snapToGrid w:val="0"/>
          <w:lang w:val="fr-FR"/>
        </w:rPr>
      </w:pPr>
      <w:r>
        <w:rPr>
          <w:snapToGrid w:val="0"/>
          <w:lang w:val="fr"/>
        </w:rPr>
        <w:t xml:space="preserve">Le projet dans le </w:t>
      </w:r>
      <w:r>
        <w:rPr>
          <w:lang w:val="fr"/>
        </w:rPr>
        <w:t xml:space="preserve">secteur de la réfrigération industrielle inclurait une entreprise (Quang </w:t>
      </w:r>
      <w:proofErr w:type="spellStart"/>
      <w:r>
        <w:rPr>
          <w:lang w:val="fr"/>
        </w:rPr>
        <w:t>Thang</w:t>
      </w:r>
      <w:proofErr w:type="spellEnd"/>
      <w:r>
        <w:rPr>
          <w:lang w:val="fr"/>
        </w:rPr>
        <w:t xml:space="preserve"> </w:t>
      </w:r>
      <w:proofErr w:type="spellStart"/>
      <w:r>
        <w:rPr>
          <w:lang w:val="fr"/>
        </w:rPr>
        <w:t>Refrig</w:t>
      </w:r>
      <w:r w:rsidR="00EA6841">
        <w:rPr>
          <w:lang w:val="fr"/>
        </w:rPr>
        <w:t>e</w:t>
      </w:r>
      <w:r>
        <w:rPr>
          <w:lang w:val="fr"/>
        </w:rPr>
        <w:t>ration</w:t>
      </w:r>
      <w:proofErr w:type="spellEnd"/>
      <w:r>
        <w:rPr>
          <w:lang w:val="fr"/>
        </w:rPr>
        <w:t>) qui fait partie du sous-secteur de l’assemblage et de l’installation locale fabriquant des composants de réfrigération industrielle (comme des évaporateurs et des condenseurs) et installant des systèmes de réfrigération industrielle. Le</w:t>
      </w:r>
      <w:r>
        <w:rPr>
          <w:snapToGrid w:val="0"/>
          <w:lang w:val="fr"/>
        </w:rPr>
        <w:t xml:space="preserve"> projet d’investissement aurait pour objectif de fournir une assistance technique à l’entreprise afin qu’elle fabrique des échangeurs de chaleur à base d’ammoniac pour remplacer les HFC et inclurait une composante de sensibilisation pour encourager les utilisateurs finals à sélectionner des systèmes de réfrigération industrielle à base d’ammoniac.</w:t>
      </w:r>
    </w:p>
    <w:p w14:paraId="6F7A720B" w14:textId="3487113E" w:rsidR="00A01526" w:rsidRPr="00A01526" w:rsidRDefault="00A01526" w:rsidP="00F21213">
      <w:pPr>
        <w:pStyle w:val="Heading2"/>
        <w:keepNext/>
        <w:keepLines/>
        <w:numPr>
          <w:ilvl w:val="1"/>
          <w:numId w:val="23"/>
        </w:numPr>
        <w:rPr>
          <w:snapToGrid w:val="0"/>
          <w:lang w:val="fr-FR"/>
        </w:rPr>
      </w:pPr>
      <w:r>
        <w:rPr>
          <w:snapToGrid w:val="0"/>
          <w:lang w:val="fr"/>
        </w:rPr>
        <w:lastRenderedPageBreak/>
        <w:t xml:space="preserve">La préparation du projet d’investissement </w:t>
      </w:r>
      <w:r w:rsidR="00EA6841">
        <w:rPr>
          <w:snapToGrid w:val="0"/>
          <w:lang w:val="fr"/>
        </w:rPr>
        <w:t xml:space="preserve">de </w:t>
      </w:r>
      <w:r>
        <w:rPr>
          <w:snapToGrid w:val="0"/>
          <w:lang w:val="fr"/>
        </w:rPr>
        <w:t>KIP dans le secteur des systèmes de climatisation embarqués s’adresserait à une entreprise de fabrication de véhicules (</w:t>
      </w:r>
      <w:proofErr w:type="spellStart"/>
      <w:r>
        <w:rPr>
          <w:snapToGrid w:val="0"/>
          <w:lang w:val="fr"/>
        </w:rPr>
        <w:t>Thaco</w:t>
      </w:r>
      <w:proofErr w:type="spellEnd"/>
      <w:r>
        <w:rPr>
          <w:snapToGrid w:val="0"/>
          <w:lang w:val="fr"/>
        </w:rPr>
        <w:t xml:space="preserve"> Auto), pour laquelle les données de consommation pour 2019 à 2021 ont été fournies. Les activités de préparation de projet incluent le support technique et la recherche et le développement pour développer des systèmes de climatisation embarqués plus efficaces basés sur </w:t>
      </w:r>
      <w:r w:rsidR="00EA6841">
        <w:rPr>
          <w:snapToGrid w:val="0"/>
          <w:lang w:val="fr"/>
        </w:rPr>
        <w:t>un</w:t>
      </w:r>
      <w:r>
        <w:rPr>
          <w:snapToGrid w:val="0"/>
          <w:lang w:val="fr"/>
        </w:rPr>
        <w:t xml:space="preserve"> frigorigène de substitution en coopération avec les fournisseurs et partenaires de l’entreprise. Le projet d’investissement servirait à </w:t>
      </w:r>
      <w:r w:rsidR="0006122C">
        <w:rPr>
          <w:snapToGrid w:val="0"/>
          <w:lang w:val="fr"/>
        </w:rPr>
        <w:t>financer</w:t>
      </w:r>
      <w:r>
        <w:rPr>
          <w:snapToGrid w:val="0"/>
          <w:lang w:val="fr"/>
        </w:rPr>
        <w:t xml:space="preserve"> un projet de démonstration qui renforcerait une de ses usines pour y produire un modèle de véhicule équipé d’un système de climatisation embarqué au R-1234yf. </w:t>
      </w:r>
    </w:p>
    <w:p w14:paraId="4775F79F" w14:textId="57071B26" w:rsidR="00A01526" w:rsidRPr="00A01526" w:rsidRDefault="006A2F5C" w:rsidP="00A01526">
      <w:pPr>
        <w:pStyle w:val="Heading1"/>
        <w:numPr>
          <w:ilvl w:val="0"/>
          <w:numId w:val="23"/>
        </w:numPr>
        <w:rPr>
          <w:snapToGrid w:val="0"/>
          <w:lang w:val="fr-FR"/>
        </w:rPr>
      </w:pPr>
      <w:r>
        <w:rPr>
          <w:snapToGrid w:val="0"/>
          <w:lang w:val="fr"/>
        </w:rPr>
        <w:t>À la suite de</w:t>
      </w:r>
      <w:r w:rsidR="00A01526">
        <w:rPr>
          <w:snapToGrid w:val="0"/>
          <w:lang w:val="fr"/>
        </w:rPr>
        <w:t xml:space="preserve"> cet examen, le Secrétariat a noté que les deux pays ont ratifié l’Amendement de Kigali ;</w:t>
      </w:r>
      <w:r w:rsidR="00A01526">
        <w:rPr>
          <w:snapToGrid w:val="0"/>
          <w:vertAlign w:val="superscript"/>
          <w:lang w:val="fr"/>
        </w:rPr>
        <w:footnoteReference w:id="3"/>
      </w:r>
      <w:r w:rsidR="00A01526">
        <w:rPr>
          <w:snapToGrid w:val="0"/>
          <w:lang w:val="fr"/>
        </w:rPr>
        <w:t xml:space="preserve"> que les pays ont fourni une lettre d’approbation signifiant leur intention de prendre des mesures relatives à élimination des HFC ; et que la demande de financement est conforme à la décision 87/50(f)(v) concernant la préparation des projets d’investissement/plans sectoriels des KIP. Le Secrétariat a en outre noté que le Viet Nam n’a pas encore soumis son rapport de mise en œuvre du programme du pays (PP) pour 2022. La Banque mondiale a indiqué que les projets d’investissement seraient communiqués dans le cadre du KIP global et pas avant, et que toute la consommation réduite </w:t>
      </w:r>
      <w:r>
        <w:rPr>
          <w:snapToGrid w:val="0"/>
          <w:lang w:val="fr"/>
        </w:rPr>
        <w:t>par</w:t>
      </w:r>
      <w:r w:rsidR="00A01526">
        <w:rPr>
          <w:snapToGrid w:val="0"/>
          <w:lang w:val="fr"/>
        </w:rPr>
        <w:t xml:space="preserve"> ces entreprises en découlant serait déduite </w:t>
      </w:r>
      <w:r>
        <w:rPr>
          <w:snapToGrid w:val="0"/>
          <w:lang w:val="fr"/>
        </w:rPr>
        <w:t>du</w:t>
      </w:r>
      <w:r w:rsidR="00A01526">
        <w:rPr>
          <w:snapToGrid w:val="0"/>
          <w:lang w:val="fr"/>
        </w:rPr>
        <w:t xml:space="preserve"> point de départ, une fois l’accord du Comité exécutif obtenu ; et que le Viet Nam communiquerait son rapport de PP d’ici le 1er mai 2023.</w:t>
      </w:r>
    </w:p>
    <w:p w14:paraId="13A970B2" w14:textId="77777777" w:rsidR="00A01526" w:rsidRPr="008841AC" w:rsidRDefault="00A01526" w:rsidP="00A01526">
      <w:pPr>
        <w:pStyle w:val="Heading1"/>
        <w:keepNext/>
        <w:numPr>
          <w:ilvl w:val="0"/>
          <w:numId w:val="0"/>
        </w:numPr>
        <w:spacing w:after="120"/>
        <w:rPr>
          <w:b/>
        </w:rPr>
      </w:pPr>
      <w:r>
        <w:rPr>
          <w:b/>
          <w:bCs/>
          <w:lang w:val="fr"/>
        </w:rPr>
        <w:t>Recommandation du Secrétariat</w:t>
      </w:r>
    </w:p>
    <w:p w14:paraId="66551FA6" w14:textId="0B353DC3" w:rsidR="00A01526" w:rsidRPr="00A01526" w:rsidRDefault="00A01526" w:rsidP="00A01526">
      <w:pPr>
        <w:pStyle w:val="Heading1"/>
        <w:numPr>
          <w:ilvl w:val="0"/>
          <w:numId w:val="23"/>
        </w:numPr>
        <w:rPr>
          <w:lang w:val="fr-FR"/>
        </w:rPr>
      </w:pPr>
      <w:r>
        <w:rPr>
          <w:lang w:val="fr"/>
        </w:rPr>
        <w:t xml:space="preserve">Le Secrétariat recommande l’approbation globale du projet de préparation du plan de mise en œuvre sur les HFC au titre de l’Amendement de Kigali (KIP) pour l’Indonésie et pour la préparation des projets d’investissement </w:t>
      </w:r>
      <w:r w:rsidR="006A2F5C">
        <w:rPr>
          <w:lang w:val="fr"/>
        </w:rPr>
        <w:t xml:space="preserve">de </w:t>
      </w:r>
      <w:r>
        <w:rPr>
          <w:lang w:val="fr"/>
        </w:rPr>
        <w:t>KIP dans le secteur de la réfrigération domestique, dans le secteur de la réfrigération commerciale, dans le secteur de la réfrigération industrielle, et dans le secteur des systèmes de climatisation embarqués, pour le Viet Nam au niveau de financement indiqué dans la section A1 du tableau 1.</w:t>
      </w:r>
    </w:p>
    <w:sectPr w:rsidR="00A01526" w:rsidRPr="00A01526">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E335B" w14:textId="77777777" w:rsidR="00A85B46" w:rsidRDefault="00A85B46">
      <w:r>
        <w:separator/>
      </w:r>
    </w:p>
  </w:endnote>
  <w:endnote w:type="continuationSeparator" w:id="0">
    <w:p w14:paraId="0F8C9107" w14:textId="77777777" w:rsidR="00A85B46" w:rsidRDefault="00A8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187763"/>
      <w:docPartObj>
        <w:docPartGallery w:val="Page Numbers (Bottom of Page)"/>
        <w:docPartUnique/>
      </w:docPartObj>
    </w:sdtPr>
    <w:sdtEndPr>
      <w:rPr>
        <w:noProof/>
      </w:rPr>
    </w:sdtEndPr>
    <w:sdtContent>
      <w:p w14:paraId="11C00E55" w14:textId="139D138F" w:rsidR="00AF2B2A" w:rsidRDefault="00AF2B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E14C11" w14:textId="77777777" w:rsidR="00AF2B2A" w:rsidRDefault="00AF2B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797376"/>
      <w:docPartObj>
        <w:docPartGallery w:val="Page Numbers (Bottom of Page)"/>
        <w:docPartUnique/>
      </w:docPartObj>
    </w:sdtPr>
    <w:sdtEndPr>
      <w:rPr>
        <w:noProof/>
      </w:rPr>
    </w:sdtEndPr>
    <w:sdtContent>
      <w:p w14:paraId="42C0ACB7" w14:textId="06A7AE48" w:rsidR="00AF2B2A" w:rsidRDefault="00AF2B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23159C" w14:textId="77777777" w:rsidR="00AF2B2A" w:rsidRDefault="00AF2B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0B8AB96C" w14:textId="77777777" w:rsidR="00AF2B2A" w:rsidRDefault="00AF2B2A" w:rsidP="00AF2B2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8450A16" w14:textId="69966292" w:rsidR="00441083" w:rsidRPr="00AF2B2A" w:rsidRDefault="00AF2B2A" w:rsidP="00AF2B2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1BA0CE6D" w14:textId="77777777" w:rsidR="00441083" w:rsidRPr="00B06559"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C7C5F" w14:textId="77777777" w:rsidR="00A85B46" w:rsidRDefault="00A85B46">
      <w:r>
        <w:separator/>
      </w:r>
    </w:p>
  </w:footnote>
  <w:footnote w:type="continuationSeparator" w:id="0">
    <w:p w14:paraId="34DE6C4E" w14:textId="77777777" w:rsidR="00A85B46" w:rsidRDefault="00A85B46">
      <w:r>
        <w:continuationSeparator/>
      </w:r>
    </w:p>
  </w:footnote>
  <w:footnote w:id="1">
    <w:p w14:paraId="7A916775" w14:textId="77777777" w:rsidR="00520EE0" w:rsidRDefault="00520EE0" w:rsidP="00520EE0">
      <w:pPr>
        <w:pStyle w:val="FootnoteText"/>
        <w:spacing w:after="60"/>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/92/1</w:t>
      </w:r>
    </w:p>
    <w:p w14:paraId="7C2EAFDB" w14:textId="77777777" w:rsidR="00B06559" w:rsidRPr="00C12F38" w:rsidRDefault="00B06559" w:rsidP="00520EE0">
      <w:pPr>
        <w:pStyle w:val="FootnoteText"/>
        <w:spacing w:after="60"/>
        <w:rPr>
          <w:lang w:val="fr-FR"/>
        </w:rPr>
      </w:pPr>
    </w:p>
  </w:footnote>
  <w:footnote w:id="2">
    <w:p w14:paraId="1985975E" w14:textId="77777777" w:rsidR="00A01526" w:rsidRPr="00A01526" w:rsidRDefault="00A01526" w:rsidP="00A01526">
      <w:pPr>
        <w:pStyle w:val="FootnoteText"/>
        <w:rPr>
          <w:lang w:val="fr-FR"/>
        </w:rPr>
      </w:pPr>
      <w:r>
        <w:rPr>
          <w:rStyle w:val="FootnoteReference"/>
          <w:lang w:val="fr"/>
        </w:rPr>
        <w:footnoteRef/>
      </w:r>
      <w:r>
        <w:rPr>
          <w:lang w:val="fr"/>
        </w:rPr>
        <w:t xml:space="preserve"> Décision 88/40 Annexe XIV du document UNEP/</w:t>
      </w:r>
      <w:proofErr w:type="spellStart"/>
      <w:r>
        <w:rPr>
          <w:lang w:val="fr"/>
        </w:rPr>
        <w:t>OzL.Pro</w:t>
      </w:r>
      <w:proofErr w:type="spellEnd"/>
      <w:r>
        <w:rPr>
          <w:lang w:val="fr"/>
        </w:rPr>
        <w:t>/</w:t>
      </w:r>
      <w:proofErr w:type="spellStart"/>
      <w:r>
        <w:rPr>
          <w:lang w:val="fr"/>
        </w:rPr>
        <w:t>ExCom</w:t>
      </w:r>
      <w:proofErr w:type="spellEnd"/>
      <w:r>
        <w:rPr>
          <w:lang w:val="fr"/>
        </w:rPr>
        <w:t>/88/79</w:t>
      </w:r>
    </w:p>
  </w:footnote>
  <w:footnote w:id="3">
    <w:p w14:paraId="350CA885" w14:textId="77777777" w:rsidR="00A01526" w:rsidRPr="00A01526" w:rsidRDefault="00A01526" w:rsidP="00A01526">
      <w:pPr>
        <w:pStyle w:val="FootnoteText"/>
        <w:rPr>
          <w:lang w:val="fr-FR"/>
        </w:rPr>
      </w:pPr>
      <w:r>
        <w:rPr>
          <w:rStyle w:val="FootnoteReference"/>
          <w:lang w:val="fr"/>
        </w:rPr>
        <w:footnoteRef/>
      </w:r>
      <w:r>
        <w:rPr>
          <w:lang w:val="fr"/>
        </w:rPr>
        <w:t xml:space="preserve">Date de ratification (ou d’acceptation) de l’Amendement de Kigali : </w:t>
      </w:r>
      <w:r>
        <w:rPr>
          <w:snapToGrid w:val="0"/>
          <w:lang w:val="fr"/>
        </w:rPr>
        <w:t>Indonésie (14 décembre 2022) et Viet Nam (27 septembre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FE03" w14:textId="04154801" w:rsidR="00AF2B2A" w:rsidRDefault="00AF2B2A" w:rsidP="00AF2B2A">
    <w:pPr>
      <w:jc w:val="left"/>
    </w:pPr>
    <w:r>
      <w:fldChar w:fldCharType="begin"/>
    </w:r>
    <w:r>
      <w:instrText xml:space="preserve"> DOCPROPERTY "Document number"  \* MERGEFORMAT </w:instrText>
    </w:r>
    <w:r>
      <w:fldChar w:fldCharType="separate"/>
    </w:r>
    <w:r>
      <w:t>UNEP/</w:t>
    </w:r>
    <w:proofErr w:type="spellStart"/>
    <w:r>
      <w:t>OzL.Pro</w:t>
    </w:r>
    <w:proofErr w:type="spellEnd"/>
    <w:r>
      <w:t>/ExCom/92/20</w:t>
    </w:r>
    <w:r>
      <w:fldChar w:fldCharType="end"/>
    </w:r>
  </w:p>
  <w:p w14:paraId="435BB6DC" w14:textId="77777777" w:rsidR="00AF2B2A" w:rsidRDefault="00AF2B2A">
    <w:pPr>
      <w:pStyle w:val="Header"/>
    </w:pPr>
  </w:p>
  <w:p w14:paraId="38B34E8B" w14:textId="77777777" w:rsidR="00F21213" w:rsidRDefault="00F21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0BBB" w14:textId="2EA1E6FE" w:rsidR="00AF2B2A" w:rsidRDefault="00AF2B2A" w:rsidP="00AF2B2A">
    <w:pPr>
      <w:jc w:val="right"/>
    </w:pPr>
    <w:r>
      <w:fldChar w:fldCharType="begin"/>
    </w:r>
    <w:r>
      <w:instrText xml:space="preserve"> DOCPROPERTY "Document number"  \* MERGEFORMAT </w:instrText>
    </w:r>
    <w:r>
      <w:fldChar w:fldCharType="separate"/>
    </w:r>
    <w:r>
      <w:t>UNEP/</w:t>
    </w:r>
    <w:proofErr w:type="spellStart"/>
    <w:r>
      <w:t>OzL.Pro</w:t>
    </w:r>
    <w:proofErr w:type="spellEnd"/>
    <w:r>
      <w:t>/ExCom/92/20</w:t>
    </w:r>
    <w:r>
      <w:fldChar w:fldCharType="end"/>
    </w:r>
  </w:p>
  <w:p w14:paraId="2732802C" w14:textId="77777777" w:rsidR="00AF2B2A" w:rsidRDefault="00AF2B2A">
    <w:pPr>
      <w:pStyle w:val="Header"/>
    </w:pPr>
  </w:p>
  <w:p w14:paraId="0F23366C" w14:textId="77777777" w:rsidR="00F21213" w:rsidRDefault="00F21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43DC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E40EC25-2EF1-498F-8F53-9982FD596369}"/>
    <w:docVar w:name="dgnword-eventsink" w:val="2520614868640"/>
  </w:docVars>
  <w:rsids>
    <w:rsidRoot w:val="00430E1F"/>
    <w:rsid w:val="0005110A"/>
    <w:rsid w:val="0006122C"/>
    <w:rsid w:val="000B5ABD"/>
    <w:rsid w:val="000F6C8E"/>
    <w:rsid w:val="00177D11"/>
    <w:rsid w:val="001C3D0C"/>
    <w:rsid w:val="001D4CE7"/>
    <w:rsid w:val="001E6819"/>
    <w:rsid w:val="00265AF0"/>
    <w:rsid w:val="002C06D4"/>
    <w:rsid w:val="002F0B57"/>
    <w:rsid w:val="003029F8"/>
    <w:rsid w:val="003A0CA4"/>
    <w:rsid w:val="00403EDF"/>
    <w:rsid w:val="00430E1F"/>
    <w:rsid w:val="00441083"/>
    <w:rsid w:val="00444619"/>
    <w:rsid w:val="004B1B59"/>
    <w:rsid w:val="004C2C87"/>
    <w:rsid w:val="004E3A36"/>
    <w:rsid w:val="00520EE0"/>
    <w:rsid w:val="005A7F28"/>
    <w:rsid w:val="005B3CAD"/>
    <w:rsid w:val="005C278F"/>
    <w:rsid w:val="00605093"/>
    <w:rsid w:val="006A2F5C"/>
    <w:rsid w:val="007034FA"/>
    <w:rsid w:val="0075750B"/>
    <w:rsid w:val="00766FFC"/>
    <w:rsid w:val="00774040"/>
    <w:rsid w:val="00775FBB"/>
    <w:rsid w:val="00843511"/>
    <w:rsid w:val="00847BDB"/>
    <w:rsid w:val="0091161A"/>
    <w:rsid w:val="00972E99"/>
    <w:rsid w:val="009A5180"/>
    <w:rsid w:val="009F6617"/>
    <w:rsid w:val="009F709E"/>
    <w:rsid w:val="00A01526"/>
    <w:rsid w:val="00A85B46"/>
    <w:rsid w:val="00A97E14"/>
    <w:rsid w:val="00AC013C"/>
    <w:rsid w:val="00AE63D8"/>
    <w:rsid w:val="00AF2B2A"/>
    <w:rsid w:val="00B06559"/>
    <w:rsid w:val="00B55AA4"/>
    <w:rsid w:val="00B811F2"/>
    <w:rsid w:val="00BC3C7D"/>
    <w:rsid w:val="00C16E3F"/>
    <w:rsid w:val="00C34C3E"/>
    <w:rsid w:val="00C6443E"/>
    <w:rsid w:val="00C9547D"/>
    <w:rsid w:val="00CC2B33"/>
    <w:rsid w:val="00D7654A"/>
    <w:rsid w:val="00DB4E64"/>
    <w:rsid w:val="00DD3433"/>
    <w:rsid w:val="00E348C6"/>
    <w:rsid w:val="00E54871"/>
    <w:rsid w:val="00E60D9C"/>
    <w:rsid w:val="00EA6841"/>
    <w:rsid w:val="00EB2067"/>
    <w:rsid w:val="00EB4362"/>
    <w:rsid w:val="00F21213"/>
    <w:rsid w:val="00F218B0"/>
    <w:rsid w:val="00F37A42"/>
    <w:rsid w:val="00F50FB1"/>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84612"/>
  <w15:docId w15:val="{D8CBD14A-C58A-4CF6-B9D8-A6E1F942C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0152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0152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ECCB7F04-69B1-4DD8-8770-65F4B1F6AC22}"/>
</file>

<file path=docProps/app.xml><?xml version="1.0" encoding="utf-8"?>
<Properties xmlns="http://schemas.openxmlformats.org/officeDocument/2006/extended-properties" xmlns:vt="http://schemas.openxmlformats.org/officeDocument/2006/docPropsVTypes">
  <Template>Normal</Template>
  <TotalTime>2</TotalTime>
  <Pages>4</Pages>
  <Words>1427</Words>
  <Characters>8134</Characters>
  <Application>Microsoft Office Word</Application>
  <DocSecurity>0</DocSecurity>
  <Lines>67</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de la Banque Mondiale de l’année 2023</vt:lpstr>
      <vt:lpstr/>
    </vt:vector>
  </TitlesOfParts>
  <Company>UNMFS</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la banque mondiale de l’année 2023 (part I)</dc:title>
  <dc:creator>Maïlys Lejosne</dc:creator>
  <cp:lastModifiedBy>Kata Koppel</cp:lastModifiedBy>
  <cp:revision>5</cp:revision>
  <cp:lastPrinted>2001-05-26T16:40:00Z</cp:lastPrinted>
  <dcterms:created xsi:type="dcterms:W3CDTF">2023-05-06T02:46:00Z</dcterms:created>
  <dcterms:modified xsi:type="dcterms:W3CDTF">2023-05-11T20:23:00Z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UNEP/OzL.Pro/ExCom/92/20</vt:lpwstr>
  </property>
  <property fmtid="{D5CDD505-2E9C-101B-9397-08002B2CF9AE}" pid="3" name="Revision date">
    <vt:lpwstr>04/27/2023</vt:lpwstr>
  </property>
  <property fmtid="{D5CDD505-2E9C-101B-9397-08002B2CF9AE}" pid="4" name="ContentTypeId">
    <vt:lpwstr>0x010100A2E8742A83DA7E44866438886F8FE531</vt:lpwstr>
  </property>
  <property fmtid="{D5CDD505-2E9C-101B-9397-08002B2CF9AE}" pid="5" name="Order">
    <vt:r8>147800</vt:r8>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MediaServiceImageTags">
    <vt:lpwstr/>
  </property>
  <property fmtid="{D5CDD505-2E9C-101B-9397-08002B2CF9AE}" pid="14" name="lcf76f155ced4ddcb4097134ff3c332f">
    <vt:lpwstr/>
  </property>
</Properties>
</file>