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80B7B11" w14:textId="77777777">
        <w:trPr>
          <w:trHeight w:val="720"/>
        </w:trPr>
        <w:tc>
          <w:tcPr>
            <w:tcW w:w="4410" w:type="dxa"/>
            <w:gridSpan w:val="2"/>
            <w:tcBorders>
              <w:bottom w:val="single" w:sz="18" w:space="0" w:color="auto"/>
            </w:tcBorders>
          </w:tcPr>
          <w:p w14:paraId="1521AAD6" w14:textId="77777777" w:rsidR="007E5D09" w:rsidRDefault="00E1360E">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130" w:type="dxa"/>
            <w:gridSpan w:val="2"/>
            <w:tcBorders>
              <w:bottom w:val="single" w:sz="18" w:space="0" w:color="auto"/>
            </w:tcBorders>
          </w:tcPr>
          <w:p w14:paraId="47A38AAA" w14:textId="77777777" w:rsidR="007E5D09" w:rsidRDefault="00E1360E">
            <w:pPr>
              <w:pStyle w:val="Heading3"/>
              <w:numPr>
                <w:ilvl w:val="0"/>
                <w:numId w:val="0"/>
              </w:numPr>
              <w:bidi/>
              <w:ind w:left="270" w:right="1384"/>
              <w:rPr>
                <w:b/>
                <w:bCs/>
                <w:sz w:val="48"/>
                <w:szCs w:val="48"/>
                <w:lang w:bidi="ar-LB"/>
              </w:rPr>
            </w:pPr>
            <w:r>
              <w:rPr>
                <w:b/>
                <w:bCs/>
                <w:sz w:val="48"/>
                <w:szCs w:val="48"/>
                <w:rtl/>
                <w:lang w:bidi="ar-LB"/>
              </w:rPr>
              <w:t>الأمم المتحدة</w:t>
            </w:r>
          </w:p>
        </w:tc>
      </w:tr>
      <w:tr w:rsidR="007E5D09" w14:paraId="1C167877" w14:textId="77777777" w:rsidTr="00616F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7"/>
        </w:trPr>
        <w:tc>
          <w:tcPr>
            <w:tcW w:w="4059" w:type="dxa"/>
            <w:tcBorders>
              <w:top w:val="nil"/>
              <w:left w:val="nil"/>
              <w:bottom w:val="single" w:sz="36" w:space="0" w:color="auto"/>
              <w:right w:val="nil"/>
            </w:tcBorders>
          </w:tcPr>
          <w:p w14:paraId="1B7D16D1" w14:textId="59CA86C4" w:rsidR="007E5D09" w:rsidRDefault="00E1360E" w:rsidP="003D5883">
            <w:pPr>
              <w:jc w:val="left"/>
              <w:rPr>
                <w:lang w:val="en-US" w:bidi="ar-LB"/>
              </w:rPr>
            </w:pPr>
            <w:r>
              <w:rPr>
                <w:lang w:val="en-US" w:bidi="ar-LB"/>
              </w:rPr>
              <w:t>Distr.</w:t>
            </w:r>
          </w:p>
          <w:p w14:paraId="28E10906" w14:textId="77777777" w:rsidR="007E5D09" w:rsidRDefault="00E1360E" w:rsidP="003D5883">
            <w:pPr>
              <w:jc w:val="left"/>
              <w:rPr>
                <w:lang w:val="en-US" w:bidi="ar-LB"/>
              </w:rPr>
            </w:pPr>
            <w:r>
              <w:rPr>
                <w:lang w:val="en-US" w:bidi="ar-LB"/>
              </w:rPr>
              <w:t>GENERAL</w:t>
            </w:r>
          </w:p>
          <w:p w14:paraId="5C23EE64" w14:textId="77777777" w:rsidR="007E5D09" w:rsidRDefault="007E5D09" w:rsidP="003D5883">
            <w:pPr>
              <w:jc w:val="left"/>
              <w:rPr>
                <w:lang w:val="en-US" w:bidi="ar-LB"/>
              </w:rPr>
            </w:pPr>
          </w:p>
          <w:p w14:paraId="697D498B" w14:textId="2811F86B" w:rsidR="007E5D09" w:rsidRDefault="00193D09" w:rsidP="003D5883">
            <w:pPr>
              <w:rPr>
                <w:rtl/>
                <w:lang w:bidi="ar-LB"/>
              </w:rPr>
            </w:pPr>
            <w:r>
              <w:rPr>
                <w:lang w:bidi="ar-LB"/>
              </w:rPr>
              <w:fldChar w:fldCharType="begin"/>
            </w:r>
            <w:r>
              <w:rPr>
                <w:lang w:bidi="ar-LB"/>
              </w:rPr>
              <w:instrText xml:space="preserve"> DOCPROPERTY "Document number"  \* MERGEFORMAT </w:instrText>
            </w:r>
            <w:r>
              <w:rPr>
                <w:lang w:bidi="ar-LB"/>
              </w:rPr>
              <w:fldChar w:fldCharType="separate"/>
            </w:r>
            <w:r w:rsidR="0032152A">
              <w:rPr>
                <w:lang w:bidi="ar-LB"/>
              </w:rPr>
              <w:t>UNEP/</w:t>
            </w:r>
            <w:proofErr w:type="spellStart"/>
            <w:r w:rsidR="0032152A">
              <w:rPr>
                <w:lang w:bidi="ar-LB"/>
              </w:rPr>
              <w:t>OzL.Pro</w:t>
            </w:r>
            <w:proofErr w:type="spellEnd"/>
            <w:r w:rsidR="0032152A">
              <w:rPr>
                <w:lang w:bidi="ar-LB"/>
              </w:rPr>
              <w:t>/ExCom/94/59</w:t>
            </w:r>
            <w:r>
              <w:rPr>
                <w:lang w:bidi="ar-LB"/>
              </w:rPr>
              <w:fldChar w:fldCharType="end"/>
            </w:r>
            <w:r w:rsidR="00227EDE">
              <w:rPr>
                <w:lang w:bidi="ar-LB"/>
              </w:rPr>
              <w:t>*</w:t>
            </w:r>
          </w:p>
          <w:p w14:paraId="067B43D3" w14:textId="01128517" w:rsidR="00A907AD" w:rsidRPr="009B0D30" w:rsidRDefault="007A5910" w:rsidP="003D5883">
            <w:pPr>
              <w:rPr>
                <w:lang w:bidi="ar-LB"/>
              </w:rPr>
            </w:pPr>
            <w:r>
              <w:rPr>
                <w:lang w:bidi="ar-LB"/>
              </w:rPr>
              <w:t>30 April 2024</w:t>
            </w:r>
          </w:p>
          <w:p w14:paraId="41E59F76" w14:textId="77777777" w:rsidR="00662A73" w:rsidRDefault="00662A73" w:rsidP="003D5883">
            <w:pPr>
              <w:jc w:val="left"/>
              <w:rPr>
                <w:rtl/>
                <w:lang w:val="en-US" w:bidi="ar-LB"/>
              </w:rPr>
            </w:pPr>
          </w:p>
          <w:p w14:paraId="21235958" w14:textId="77777777" w:rsidR="007E5D09" w:rsidRDefault="00E1360E" w:rsidP="003D5883">
            <w:pPr>
              <w:jc w:val="left"/>
              <w:rPr>
                <w:lang w:val="en-US" w:bidi="ar-LB"/>
              </w:rPr>
            </w:pPr>
            <w:r>
              <w:rPr>
                <w:lang w:val="en-US" w:bidi="ar-LB"/>
              </w:rPr>
              <w:t>ARABIC</w:t>
            </w:r>
          </w:p>
          <w:p w14:paraId="642758E3" w14:textId="77777777" w:rsidR="007E5D09" w:rsidRDefault="00E1360E" w:rsidP="003D5883">
            <w:pPr>
              <w:jc w:val="left"/>
              <w:rPr>
                <w:lang w:val="en-US" w:bidi="ar-LB"/>
              </w:rPr>
            </w:pPr>
            <w:r>
              <w:rPr>
                <w:lang w:val="en-US" w:bidi="ar-LB"/>
              </w:rPr>
              <w:t>ORIGINAL: ENGLISH</w:t>
            </w:r>
          </w:p>
        </w:tc>
        <w:tc>
          <w:tcPr>
            <w:tcW w:w="3402" w:type="dxa"/>
            <w:gridSpan w:val="2"/>
            <w:tcBorders>
              <w:top w:val="nil"/>
              <w:left w:val="nil"/>
              <w:bottom w:val="single" w:sz="36" w:space="0" w:color="auto"/>
              <w:right w:val="nil"/>
            </w:tcBorders>
          </w:tcPr>
          <w:p w14:paraId="5489E716"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4973230A"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61140D9F" w14:textId="77777777" w:rsidR="007E5D09" w:rsidRDefault="00E1360E">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595B888B" w14:textId="77777777" w:rsidR="007E5D09" w:rsidRDefault="00E1360E">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2079" w:type="dxa"/>
            <w:tcBorders>
              <w:top w:val="nil"/>
              <w:left w:val="nil"/>
              <w:bottom w:val="single" w:sz="36" w:space="0" w:color="auto"/>
              <w:right w:val="nil"/>
            </w:tcBorders>
          </w:tcPr>
          <w:p w14:paraId="27921909" w14:textId="49A0EBFD" w:rsidR="007E5D09" w:rsidRDefault="003D5883">
            <w:pPr>
              <w:rPr>
                <w:caps/>
                <w:lang w:val="en-US" w:bidi="ar-LB"/>
              </w:rPr>
            </w:pPr>
            <w:r>
              <w:rPr>
                <w:noProof/>
                <w:lang w:eastAsia="en-CA" w:bidi="ar-LB"/>
              </w:rPr>
              <w:drawing>
                <wp:anchor distT="0" distB="0" distL="114300" distR="114300" simplePos="0" relativeHeight="251657216" behindDoc="1" locked="0" layoutInCell="0" allowOverlap="1" wp14:anchorId="6380CF8F" wp14:editId="63977AD4">
                  <wp:simplePos x="0" y="0"/>
                  <wp:positionH relativeFrom="column">
                    <wp:posOffset>158115</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D72E43" w14:textId="77777777" w:rsidR="007E5D09" w:rsidRDefault="00BB1C42">
            <w:pPr>
              <w:rPr>
                <w:lang w:val="en-US" w:bidi="ar-LB"/>
              </w:rPr>
            </w:pPr>
            <w:r>
              <w:rPr>
                <w:noProof/>
                <w:lang w:eastAsia="en-CA" w:bidi="ar-LB"/>
              </w:rPr>
              <w:drawing>
                <wp:anchor distT="0" distB="0" distL="114300" distR="114300" simplePos="0" relativeHeight="251659264" behindDoc="0" locked="0" layoutInCell="0" allowOverlap="1" wp14:anchorId="394EEFD6" wp14:editId="76E9FD50">
                  <wp:simplePos x="0" y="0"/>
                  <wp:positionH relativeFrom="column">
                    <wp:posOffset>166370</wp:posOffset>
                  </wp:positionH>
                  <wp:positionV relativeFrom="paragraph">
                    <wp:posOffset>508635</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5182295" w14:textId="77777777" w:rsidR="007E5D09" w:rsidRDefault="007E5D09">
      <w:pPr>
        <w:pStyle w:val="Caption"/>
        <w:spacing w:line="200" w:lineRule="exact"/>
        <w:ind w:left="187" w:right="187" w:hanging="187"/>
        <w:jc w:val="both"/>
        <w:rPr>
          <w:rFonts w:cs="Akhbar MT"/>
          <w:b/>
          <w:bCs/>
          <w:sz w:val="28"/>
          <w:szCs w:val="28"/>
          <w:rtl/>
          <w:lang w:bidi="ar-LB"/>
        </w:rPr>
      </w:pPr>
    </w:p>
    <w:p w14:paraId="29F36E32" w14:textId="77777777" w:rsidR="00702662" w:rsidRDefault="00702662" w:rsidP="00702662">
      <w:pPr>
        <w:pStyle w:val="Caption"/>
        <w:ind w:left="0" w:right="180"/>
        <w:jc w:val="both"/>
        <w:rPr>
          <w:rFonts w:cs="Arabic Transparent"/>
          <w:b/>
          <w:bCs/>
          <w:sz w:val="28"/>
          <w:szCs w:val="28"/>
          <w:rtl/>
          <w:lang w:bidi="ar-LB"/>
        </w:rPr>
      </w:pPr>
      <w:r>
        <w:rPr>
          <w:rFonts w:cs="Arabic Transparent"/>
          <w:b/>
          <w:bCs/>
          <w:sz w:val="28"/>
          <w:szCs w:val="28"/>
          <w:rtl/>
          <w:lang w:bidi="ar-LB"/>
        </w:rPr>
        <w:t>اللجنــة التنفيـذيــــة للصنــدوق المــتعــدد الأطـــراف</w:t>
      </w:r>
    </w:p>
    <w:p w14:paraId="7AD73340" w14:textId="77777777" w:rsidR="00702662" w:rsidRDefault="00702662" w:rsidP="00702662">
      <w:pPr>
        <w:bidi/>
        <w:ind w:left="180" w:hanging="180"/>
        <w:jc w:val="lowKashida"/>
        <w:rPr>
          <w:rFonts w:cs="Arabic Transparent"/>
          <w:b/>
          <w:bCs/>
          <w:sz w:val="28"/>
          <w:szCs w:val="28"/>
          <w:rtl/>
          <w:lang w:val="en-US" w:eastAsia="en-CA" w:bidi="ar-LB"/>
        </w:rPr>
      </w:pPr>
      <w:r>
        <w:rPr>
          <w:rFonts w:cs="Arabic Transparent"/>
          <w:b/>
          <w:bCs/>
          <w:sz w:val="28"/>
          <w:szCs w:val="28"/>
          <w:rtl/>
          <w:lang w:val="en-US" w:eastAsia="en-CA" w:bidi="ar-LB"/>
        </w:rPr>
        <w:t xml:space="preserve">لتنفيـــذ بروتوكـول مونتريــال </w:t>
      </w:r>
    </w:p>
    <w:p w14:paraId="2CD61C35" w14:textId="77777777" w:rsidR="00170997" w:rsidRPr="0032579D" w:rsidRDefault="00170997" w:rsidP="00170997">
      <w:pPr>
        <w:bidi/>
        <w:jc w:val="left"/>
        <w:rPr>
          <w:sz w:val="28"/>
          <w:szCs w:val="28"/>
          <w:rtl/>
          <w:lang w:val="en-US" w:eastAsia="en-CA" w:bidi="ar-LB"/>
        </w:rPr>
      </w:pPr>
      <w:r>
        <w:rPr>
          <w:sz w:val="28"/>
          <w:szCs w:val="28"/>
          <w:rtl/>
          <w:lang w:val="en-US" w:eastAsia="en-CA" w:bidi="ar-LB"/>
        </w:rPr>
        <w:t>الاجتماع</w:t>
      </w:r>
      <w:r w:rsidRPr="0032579D">
        <w:rPr>
          <w:sz w:val="28"/>
          <w:szCs w:val="28"/>
          <w:rtl/>
          <w:lang w:val="en-US" w:eastAsia="en-CA" w:bidi="ar-LB"/>
        </w:rPr>
        <w:t xml:space="preserve"> الرابع والتسعون</w:t>
      </w:r>
    </w:p>
    <w:p w14:paraId="619ACB11" w14:textId="77777777" w:rsidR="00DC0F88" w:rsidRDefault="00170997" w:rsidP="00DC0F88">
      <w:pPr>
        <w:pStyle w:val="Heading2"/>
        <w:bidi/>
        <w:spacing w:after="0"/>
        <w:ind w:left="6"/>
        <w:jc w:val="left"/>
        <w:rPr>
          <w:sz w:val="28"/>
          <w:szCs w:val="28"/>
          <w:rtl/>
          <w:lang w:val="en-US" w:eastAsia="en-CA" w:bidi="ar-LB"/>
        </w:rPr>
      </w:pPr>
      <w:r w:rsidRPr="0003197D">
        <w:rPr>
          <w:sz w:val="28"/>
          <w:szCs w:val="28"/>
          <w:rtl/>
          <w:lang w:val="en-US" w:eastAsia="en-CA" w:bidi="ar-LB"/>
        </w:rPr>
        <w:t>مونتريال، 27 - 31 مايو</w:t>
      </w:r>
      <w:r>
        <w:rPr>
          <w:sz w:val="28"/>
          <w:szCs w:val="28"/>
          <w:rtl/>
          <w:lang w:val="en-US" w:eastAsia="en-CA" w:bidi="ar-LB"/>
        </w:rPr>
        <w:t xml:space="preserve">/أيار </w:t>
      </w:r>
      <w:r w:rsidRPr="0003197D">
        <w:rPr>
          <w:sz w:val="28"/>
          <w:szCs w:val="28"/>
          <w:rtl/>
          <w:lang w:val="en-US" w:eastAsia="en-CA" w:bidi="ar-LB"/>
        </w:rPr>
        <w:t>2024</w:t>
      </w:r>
    </w:p>
    <w:p w14:paraId="4158518F" w14:textId="743DC160" w:rsidR="00F62D23" w:rsidRPr="00F62D23" w:rsidRDefault="00DC0F88" w:rsidP="00F62D23">
      <w:pPr>
        <w:pStyle w:val="Heading2"/>
        <w:bidi/>
        <w:ind w:left="4"/>
        <w:jc w:val="left"/>
        <w:rPr>
          <w:sz w:val="28"/>
          <w:szCs w:val="28"/>
          <w:lang w:val="en-US" w:eastAsia="en-CA" w:bidi="ar-LB"/>
        </w:rPr>
      </w:pPr>
      <w:r w:rsidRPr="00DC0F88">
        <w:rPr>
          <w:sz w:val="28"/>
          <w:szCs w:val="28"/>
          <w:rtl/>
          <w:lang w:val="en-US" w:eastAsia="en-CA" w:bidi="ar-LB"/>
        </w:rPr>
        <w:t>البند 11 من جدول الأعمال المؤقت</w:t>
      </w:r>
      <w:r w:rsidRPr="00C51D5C">
        <w:rPr>
          <w:rStyle w:val="FootnoteReference"/>
          <w:sz w:val="26"/>
          <w:szCs w:val="26"/>
          <w:rtl/>
          <w:lang w:eastAsia="ar" w:bidi="ar-LB"/>
        </w:rPr>
        <w:footnoteReference w:id="1"/>
      </w:r>
    </w:p>
    <w:p w14:paraId="461465D6" w14:textId="77777777" w:rsidR="00DC0F88" w:rsidRPr="009B0D30" w:rsidRDefault="00DC0F88" w:rsidP="00DC0F88">
      <w:pPr>
        <w:bidi/>
        <w:jc w:val="left"/>
        <w:rPr>
          <w:lang w:bidi="ar-LB"/>
        </w:rPr>
      </w:pPr>
    </w:p>
    <w:p w14:paraId="1793A367" w14:textId="77777777" w:rsidR="00DC0F88" w:rsidRPr="00DC0F88" w:rsidRDefault="00DC0F88" w:rsidP="00DC0F88">
      <w:pPr>
        <w:pStyle w:val="Title1"/>
        <w:bidi/>
        <w:rPr>
          <w:b w:val="0"/>
          <w:bCs/>
          <w:sz w:val="32"/>
          <w:szCs w:val="32"/>
          <w:lang w:bidi="ar-LB"/>
        </w:rPr>
      </w:pPr>
      <w:r w:rsidRPr="00DC0F88">
        <w:rPr>
          <w:b w:val="0"/>
          <w:bCs/>
          <w:sz w:val="32"/>
          <w:szCs w:val="32"/>
          <w:rtl/>
          <w:lang w:eastAsia="ar" w:bidi="ar-LB"/>
        </w:rPr>
        <w:t>تحليل آثار المقرر 62/17 على تنفيذ خطة إدارة إزالة المواد الهيدروكلوروفلوروكربونية</w:t>
      </w:r>
    </w:p>
    <w:p w14:paraId="15F06609" w14:textId="77777777" w:rsidR="00DC0F88" w:rsidRPr="00DC0F88" w:rsidRDefault="00DC0F88" w:rsidP="00DC0F88">
      <w:pPr>
        <w:pStyle w:val="Title1"/>
        <w:bidi/>
        <w:spacing w:after="240"/>
        <w:rPr>
          <w:b w:val="0"/>
          <w:bCs/>
          <w:sz w:val="32"/>
          <w:szCs w:val="32"/>
          <w:lang w:bidi="ar-LB"/>
        </w:rPr>
      </w:pPr>
      <w:r w:rsidRPr="00DC0F88">
        <w:rPr>
          <w:b w:val="0"/>
          <w:bCs/>
          <w:sz w:val="32"/>
          <w:szCs w:val="32"/>
          <w:rtl/>
          <w:lang w:eastAsia="ar" w:bidi="ar-LB"/>
        </w:rPr>
        <w:t>(المقرر</w:t>
      </w:r>
      <w:r w:rsidRPr="00DC0F88">
        <w:rPr>
          <w:b w:val="0"/>
          <w:bCs/>
          <w:caps w:val="0"/>
          <w:sz w:val="32"/>
          <w:szCs w:val="32"/>
          <w:rtl/>
          <w:lang w:eastAsia="ar" w:bidi="ar-LB"/>
        </w:rPr>
        <w:t xml:space="preserve"> </w:t>
      </w:r>
      <w:r w:rsidRPr="00DC0F88">
        <w:rPr>
          <w:b w:val="0"/>
          <w:bCs/>
          <w:sz w:val="32"/>
          <w:szCs w:val="32"/>
          <w:rtl/>
          <w:lang w:eastAsia="ar" w:bidi="ar-LB"/>
        </w:rPr>
        <w:t>93/105(أ))</w:t>
      </w:r>
    </w:p>
    <w:p w14:paraId="555334F6" w14:textId="77777777" w:rsidR="00DC0F88" w:rsidRPr="00DC0F88" w:rsidRDefault="00DC0F88" w:rsidP="00DC0F88">
      <w:pPr>
        <w:widowControl w:val="0"/>
        <w:tabs>
          <w:tab w:val="left" w:pos="2880"/>
          <w:tab w:val="left" w:pos="5760"/>
        </w:tabs>
        <w:bidi/>
        <w:spacing w:after="240"/>
        <w:rPr>
          <w:b/>
          <w:sz w:val="26"/>
          <w:szCs w:val="26"/>
          <w:lang w:bidi="ar-LB"/>
        </w:rPr>
      </w:pPr>
      <w:r w:rsidRPr="00DC0F88">
        <w:rPr>
          <w:b/>
          <w:bCs/>
          <w:sz w:val="26"/>
          <w:szCs w:val="26"/>
          <w:rtl/>
          <w:lang w:eastAsia="ar" w:bidi="ar-LB"/>
        </w:rPr>
        <w:t>المقدمة</w:t>
      </w:r>
    </w:p>
    <w:p w14:paraId="7423A5EB" w14:textId="50562F76" w:rsidR="00DC0F88" w:rsidRPr="00780C33" w:rsidRDefault="00DC0F88" w:rsidP="00780C33">
      <w:pPr>
        <w:pStyle w:val="Heading1"/>
        <w:numPr>
          <w:ilvl w:val="0"/>
          <w:numId w:val="28"/>
        </w:numPr>
        <w:bidi/>
        <w:rPr>
          <w:sz w:val="26"/>
          <w:szCs w:val="26"/>
          <w:lang w:bidi="ar-LB"/>
        </w:rPr>
      </w:pPr>
      <w:r w:rsidRPr="00780C33">
        <w:rPr>
          <w:sz w:val="26"/>
          <w:szCs w:val="26"/>
          <w:rtl/>
          <w:lang w:eastAsia="ar" w:bidi="ar-LB"/>
        </w:rPr>
        <w:t>في الاجتماع</w:t>
      </w:r>
      <w:r w:rsidR="00016DD6" w:rsidRPr="00780C33">
        <w:rPr>
          <w:sz w:val="26"/>
          <w:szCs w:val="26"/>
          <w:rtl/>
          <w:lang w:eastAsia="ar" w:bidi="ar-LB"/>
        </w:rPr>
        <w:t xml:space="preserve"> </w:t>
      </w:r>
      <w:r w:rsidRPr="00780C33">
        <w:rPr>
          <w:sz w:val="26"/>
          <w:szCs w:val="26"/>
          <w:rtl/>
          <w:lang w:eastAsia="ar" w:bidi="ar-LB"/>
        </w:rPr>
        <w:t>الثالث والتسعين، نظرت اللجنة التنفيذية في طرائق توزيع شرائح التمويل لخطط تنفيذ تعديل كيغالي فيما يخص الهيدروفلوروكربون. وأثناء المناقشة، أعربت إحدى الأعضاء عن عدم ارتياحها بشأن تطبيق الأمانة للمقرر 62/17، الذي و</w:t>
      </w:r>
      <w:r w:rsidR="00C100AF" w:rsidRPr="00780C33">
        <w:rPr>
          <w:sz w:val="26"/>
          <w:szCs w:val="26"/>
          <w:rtl/>
          <w:lang w:eastAsia="ar" w:bidi="ar-LB"/>
        </w:rPr>
        <w:t>ُ</w:t>
      </w:r>
      <w:r w:rsidRPr="00780C33">
        <w:rPr>
          <w:sz w:val="26"/>
          <w:szCs w:val="26"/>
          <w:rtl/>
          <w:lang w:eastAsia="ar" w:bidi="ar-LB"/>
        </w:rPr>
        <w:t>ضع لخطط إدارة إزالة المواد الهيدروكلوروفلوروكربونية، على خطط تنفيذ تعديل كيغالي فيما يخص الهيدروفلوروكربون، الأمر الذي يمكن أن يسبب مشقة غير مقصودة، وحثت على السماح للبلدان العاملة بالمادة 5</w:t>
      </w:r>
      <w:r w:rsidR="00786556" w:rsidRPr="00780C33">
        <w:rPr>
          <w:sz w:val="26"/>
          <w:szCs w:val="26"/>
          <w:rtl/>
          <w:lang w:eastAsia="ar" w:bidi="ar-LB"/>
        </w:rPr>
        <w:t xml:space="preserve"> </w:t>
      </w:r>
      <w:r w:rsidRPr="00780C33">
        <w:rPr>
          <w:sz w:val="26"/>
          <w:szCs w:val="26"/>
          <w:rtl/>
          <w:lang w:eastAsia="ar" w:bidi="ar-LB"/>
        </w:rPr>
        <w:t>بوضع جداول خاصة بهم لتوزيع الشرائح التي تلبي احتياجاتهم الخاصة، إلى أن تتخذ اللجنة التنفيذية مقررا</w:t>
      </w:r>
      <w:r w:rsidR="00C100AF" w:rsidRPr="00780C33">
        <w:rPr>
          <w:sz w:val="26"/>
          <w:szCs w:val="26"/>
          <w:rtl/>
          <w:lang w:eastAsia="ar" w:bidi="ar-LB"/>
        </w:rPr>
        <w:t>ً</w:t>
      </w:r>
      <w:r w:rsidRPr="00780C33">
        <w:rPr>
          <w:sz w:val="26"/>
          <w:szCs w:val="26"/>
          <w:rtl/>
          <w:lang w:eastAsia="ar" w:bidi="ar-LB"/>
        </w:rPr>
        <w:t xml:space="preserve"> محددا</w:t>
      </w:r>
      <w:r w:rsidR="00C100AF" w:rsidRPr="00780C33">
        <w:rPr>
          <w:sz w:val="26"/>
          <w:szCs w:val="26"/>
          <w:rtl/>
          <w:lang w:eastAsia="ar" w:bidi="ar-LB"/>
        </w:rPr>
        <w:t>ً</w:t>
      </w:r>
      <w:r w:rsidRPr="00780C33">
        <w:rPr>
          <w:sz w:val="26"/>
          <w:szCs w:val="26"/>
          <w:rtl/>
          <w:lang w:eastAsia="ar" w:bidi="ar-LB"/>
        </w:rPr>
        <w:t xml:space="preserve"> في هذا الشأن. ووافق أعضاء آخرون على أنه على الرغم من وجود صعوبات في تطبيق المقرر 62/17، خاصة بالنسبة للبلدان ذات الاستهلاك المنخفض، ففي حالة خطط تنفيذ تعديل كيغالي فيما يخص الهيدروفلوروكربون ط</w:t>
      </w:r>
      <w:r w:rsidR="00C100AF" w:rsidRPr="00780C33">
        <w:rPr>
          <w:sz w:val="26"/>
          <w:szCs w:val="26"/>
          <w:rtl/>
          <w:lang w:eastAsia="ar" w:bidi="ar-LB"/>
        </w:rPr>
        <w:t>ُ</w:t>
      </w:r>
      <w:r w:rsidRPr="00780C33">
        <w:rPr>
          <w:sz w:val="26"/>
          <w:szCs w:val="26"/>
          <w:rtl/>
          <w:lang w:eastAsia="ar" w:bidi="ar-LB"/>
        </w:rPr>
        <w:t>بق المقرر بمرونة. وقال عضو آخر إنه إذا كان المقصود من المقرر 62/17 أن يكون وسيلة لضمان توافر الأموال لتطبيق العقوبات، فإن إحدى الطرق للمضي قدما</w:t>
      </w:r>
      <w:r w:rsidR="00C100AF" w:rsidRPr="00780C33">
        <w:rPr>
          <w:sz w:val="26"/>
          <w:szCs w:val="26"/>
          <w:rtl/>
          <w:lang w:eastAsia="ar" w:bidi="ar-LB"/>
        </w:rPr>
        <w:t>ً</w:t>
      </w:r>
      <w:r w:rsidRPr="00780C33">
        <w:rPr>
          <w:sz w:val="26"/>
          <w:szCs w:val="26"/>
          <w:rtl/>
          <w:lang w:eastAsia="ar" w:bidi="ar-LB"/>
        </w:rPr>
        <w:t xml:space="preserve"> هي خصم أي عقوبات من المراحل المستقبلية لخطة تنفيذ تعديل كيغالي فيما يخص الهيدروفلوروكربون. واتفق العديد من الأعضاء على أن يُطلب من الأمانة إعداد تقرير موجز وعرض النتائج التي توصلت إليها بشأن الخبرة المكتسبة في تطبيق المقرر 62/17 على خطط إدارة إزالة المواد الهيدروكلوروفلوروكربونية، علاوة على أي تحديات نشأت في تطبيقه على خطط إدارة إزالة المواد الهيدروكلوروفلوروكربونية.</w:t>
      </w:r>
      <w:r w:rsidRPr="00DC0F88">
        <w:rPr>
          <w:rStyle w:val="FootnoteReference"/>
          <w:sz w:val="26"/>
          <w:szCs w:val="26"/>
          <w:rtl/>
          <w:lang w:eastAsia="ar" w:bidi="ar-LB"/>
        </w:rPr>
        <w:footnoteReference w:id="2"/>
      </w:r>
    </w:p>
    <w:p w14:paraId="16A11F6F" w14:textId="1567A05B" w:rsidR="00DC0F88" w:rsidRDefault="0081620E" w:rsidP="00DC0F88">
      <w:pPr>
        <w:pStyle w:val="Heading1"/>
        <w:bidi/>
        <w:rPr>
          <w:sz w:val="26"/>
          <w:szCs w:val="26"/>
          <w:lang w:eastAsia="ar" w:bidi="ar-LB"/>
        </w:rPr>
      </w:pPr>
      <w:r>
        <w:rPr>
          <w:sz w:val="26"/>
          <w:szCs w:val="26"/>
          <w:rtl/>
          <w:lang w:eastAsia="ar" w:bidi="ar-LB"/>
        </w:rPr>
        <w:t>و</w:t>
      </w:r>
      <w:r w:rsidR="00DC0F88" w:rsidRPr="00DC0F88">
        <w:rPr>
          <w:sz w:val="26"/>
          <w:szCs w:val="26"/>
          <w:rtl/>
          <w:lang w:eastAsia="ar" w:bidi="ar-LB"/>
        </w:rPr>
        <w:t>بعد النظر في مشروع مقرر مقدم من أحد الأعضاء، طلبت اللجنة التنفيذية من الأمانة أن تعد، للنظر فيه في الاجتماع الرابع</w:t>
      </w:r>
      <w:r w:rsidR="0078158B">
        <w:rPr>
          <w:sz w:val="26"/>
          <w:szCs w:val="26"/>
          <w:rtl/>
          <w:lang w:eastAsia="ar" w:bidi="ar-LB"/>
        </w:rPr>
        <w:t xml:space="preserve"> </w:t>
      </w:r>
      <w:r w:rsidR="00DC0F88" w:rsidRPr="0078158B">
        <w:rPr>
          <w:sz w:val="26"/>
          <w:szCs w:val="26"/>
          <w:rtl/>
          <w:lang w:eastAsia="ar" w:bidi="ar-LB"/>
        </w:rPr>
        <w:t>والتسعين</w:t>
      </w:r>
      <w:r w:rsidR="00DC0F88" w:rsidRPr="00DC0F88">
        <w:rPr>
          <w:sz w:val="26"/>
          <w:szCs w:val="26"/>
          <w:rtl/>
          <w:lang w:eastAsia="ar" w:bidi="ar-LB"/>
        </w:rPr>
        <w:t>، تحليلا</w:t>
      </w:r>
      <w:r>
        <w:rPr>
          <w:sz w:val="26"/>
          <w:szCs w:val="26"/>
          <w:rtl/>
          <w:lang w:eastAsia="ar" w:bidi="ar-LB"/>
        </w:rPr>
        <w:t>ً</w:t>
      </w:r>
      <w:r w:rsidR="00DC0F88" w:rsidRPr="00DC0F88">
        <w:rPr>
          <w:sz w:val="26"/>
          <w:szCs w:val="26"/>
          <w:rtl/>
          <w:lang w:eastAsia="ar" w:bidi="ar-LB"/>
        </w:rPr>
        <w:t xml:space="preserve"> لآثار المقرر 62/17 على تنفيذ خطط إدارة إزالة المواد الهيدروكلوروفلوروكربونية، بهدف تمكين اللجنة التنفيذية من مناقشة ما إذا كان سيتم مراجعة نهجها تجاه توقيت وقيمة الشريحة النهائية من اتفاق متعدد السنوات وكيفية ذلك. وقررت اللجنة أيضا</w:t>
      </w:r>
      <w:r>
        <w:rPr>
          <w:sz w:val="26"/>
          <w:szCs w:val="26"/>
          <w:rtl/>
          <w:lang w:eastAsia="ar" w:bidi="ar-LB"/>
        </w:rPr>
        <w:t>ً</w:t>
      </w:r>
      <w:r w:rsidR="00DC0F88" w:rsidRPr="00DC0F88">
        <w:rPr>
          <w:sz w:val="26"/>
          <w:szCs w:val="26"/>
          <w:rtl/>
          <w:lang w:eastAsia="ar" w:bidi="ar-LB"/>
        </w:rPr>
        <w:t xml:space="preserve"> أن تجري</w:t>
      </w:r>
      <w:r w:rsidR="00786556">
        <w:rPr>
          <w:sz w:val="26"/>
          <w:szCs w:val="26"/>
          <w:rtl/>
          <w:lang w:eastAsia="ar" w:bidi="ar-LB"/>
        </w:rPr>
        <w:t xml:space="preserve"> </w:t>
      </w:r>
      <w:r w:rsidR="00DC0F88" w:rsidRPr="00DC0F88">
        <w:rPr>
          <w:sz w:val="26"/>
          <w:szCs w:val="26"/>
          <w:rtl/>
          <w:lang w:eastAsia="ar" w:bidi="ar-LB"/>
        </w:rPr>
        <w:t xml:space="preserve">الأمانة، بالتشاور مع الوكالات الثنائية والوكالات المنفذة، وانتظار لاتخاذ اللجنة التنفيذية مقررا </w:t>
      </w:r>
      <w:r>
        <w:rPr>
          <w:sz w:val="26"/>
          <w:szCs w:val="26"/>
          <w:rtl/>
          <w:lang w:eastAsia="ar" w:bidi="ar-LB"/>
        </w:rPr>
        <w:t>ً</w:t>
      </w:r>
      <w:r w:rsidR="00DC0F88" w:rsidRPr="00DC0F88">
        <w:rPr>
          <w:sz w:val="26"/>
          <w:szCs w:val="26"/>
          <w:rtl/>
          <w:lang w:eastAsia="ar" w:bidi="ar-LB"/>
        </w:rPr>
        <w:t xml:space="preserve"> آخر بشأن هذه المسألة، بوضع الصيغة النهائية لتوزيع الشريحة الأولى من خطط تنفيذ تعديل كيغالي فيما يخص الهيدروفلوروكربون</w:t>
      </w:r>
      <w:r w:rsidR="00DC0F88" w:rsidRPr="00DC0F88">
        <w:rPr>
          <w:sz w:val="26"/>
          <w:szCs w:val="26"/>
          <w:rtl/>
          <w:lang w:eastAsia="ar" w:bidi="ar-LB"/>
        </w:rPr>
        <w:noBreakHyphen/>
        <w:t>على أساس كل حالة على حدة (المقرر 93/105).</w:t>
      </w:r>
    </w:p>
    <w:p w14:paraId="1A9ED14C" w14:textId="3A5D667B" w:rsidR="000F496C" w:rsidRPr="00D76FE8" w:rsidRDefault="000F496C" w:rsidP="000F496C">
      <w:pPr>
        <w:bidi/>
        <w:rPr>
          <w:sz w:val="26"/>
          <w:szCs w:val="26"/>
          <w:lang w:eastAsia="ar" w:bidi="ar-LB"/>
        </w:rPr>
      </w:pPr>
      <w:r w:rsidRPr="00D76FE8">
        <w:rPr>
          <w:sz w:val="26"/>
          <w:szCs w:val="26"/>
          <w:rtl/>
          <w:lang w:eastAsia="ar" w:bidi="ar-LB"/>
        </w:rPr>
        <w:lastRenderedPageBreak/>
        <w:t xml:space="preserve">* أعيد إصداره لأسباب </w:t>
      </w:r>
      <w:r w:rsidRPr="00D76FE8">
        <w:rPr>
          <w:rFonts w:hint="cs"/>
          <w:sz w:val="26"/>
          <w:szCs w:val="26"/>
          <w:rtl/>
          <w:lang w:eastAsia="ar" w:bidi="ar-LB"/>
        </w:rPr>
        <w:t>تقنية</w:t>
      </w:r>
      <w:r w:rsidRPr="00D76FE8">
        <w:rPr>
          <w:sz w:val="26"/>
          <w:szCs w:val="26"/>
          <w:rtl/>
          <w:lang w:eastAsia="ar" w:bidi="ar-LB"/>
        </w:rPr>
        <w:t xml:space="preserve"> في 6 مايو</w:t>
      </w:r>
      <w:r w:rsidRPr="00D76FE8">
        <w:rPr>
          <w:rFonts w:hint="cs"/>
          <w:sz w:val="26"/>
          <w:szCs w:val="26"/>
          <w:rtl/>
          <w:lang w:eastAsia="ar" w:bidi="ar-LB"/>
        </w:rPr>
        <w:t>/أيار</w:t>
      </w:r>
      <w:r w:rsidRPr="00D76FE8">
        <w:rPr>
          <w:sz w:val="26"/>
          <w:szCs w:val="26"/>
          <w:rtl/>
          <w:lang w:eastAsia="ar" w:bidi="ar-LB"/>
        </w:rPr>
        <w:t xml:space="preserve"> 2024.</w:t>
      </w:r>
    </w:p>
    <w:p w14:paraId="54391685" w14:textId="77777777" w:rsidR="000F496C" w:rsidRPr="000F496C" w:rsidRDefault="000F496C" w:rsidP="000F496C">
      <w:pPr>
        <w:bidi/>
        <w:rPr>
          <w:lang w:eastAsia="ar" w:bidi="ar-LB"/>
        </w:rPr>
      </w:pPr>
    </w:p>
    <w:p w14:paraId="3E3FB0ED" w14:textId="5CA4BF5A" w:rsidR="00DC0F88" w:rsidRPr="00DC0F88" w:rsidRDefault="00DC0F88" w:rsidP="00DC0F88">
      <w:pPr>
        <w:numPr>
          <w:ilvl w:val="0"/>
          <w:numId w:val="1"/>
        </w:numPr>
        <w:bidi/>
        <w:spacing w:after="240"/>
        <w:outlineLvl w:val="0"/>
        <w:rPr>
          <w:sz w:val="26"/>
          <w:szCs w:val="26"/>
          <w:lang w:bidi="ar-LB"/>
        </w:rPr>
      </w:pPr>
      <w:r w:rsidRPr="00DC0F88">
        <w:rPr>
          <w:sz w:val="26"/>
          <w:szCs w:val="26"/>
          <w:rtl/>
          <w:lang w:eastAsia="ar" w:bidi="ar-LB"/>
        </w:rPr>
        <w:t>أُعدت هذه الوثيقة وفقا</w:t>
      </w:r>
      <w:r w:rsidR="0081620E">
        <w:rPr>
          <w:sz w:val="26"/>
          <w:szCs w:val="26"/>
          <w:rtl/>
          <w:lang w:eastAsia="ar" w:bidi="ar-LB"/>
        </w:rPr>
        <w:t>ً</w:t>
      </w:r>
      <w:r w:rsidRPr="00DC0F88">
        <w:rPr>
          <w:sz w:val="26"/>
          <w:szCs w:val="26"/>
          <w:rtl/>
          <w:lang w:eastAsia="ar" w:bidi="ar-LB"/>
        </w:rPr>
        <w:t xml:space="preserve"> للمقرر 93/105(أ). وتشرح كيفية تطبيق المقرر 62/17 على خطط إدارة إزالة المواد الهيدروكلوروفلوروكربونية وآثار المقرر على تنفيذ الخطة. وتحتوي أيضا</w:t>
      </w:r>
      <w:r w:rsidR="0081620E">
        <w:rPr>
          <w:sz w:val="26"/>
          <w:szCs w:val="26"/>
          <w:rtl/>
          <w:lang w:eastAsia="ar" w:bidi="ar-LB"/>
        </w:rPr>
        <w:t>ً</w:t>
      </w:r>
      <w:r w:rsidRPr="00DC0F88">
        <w:rPr>
          <w:sz w:val="26"/>
          <w:szCs w:val="26"/>
          <w:rtl/>
          <w:lang w:eastAsia="ar" w:bidi="ar-LB"/>
        </w:rPr>
        <w:t xml:space="preserve"> على ملاحظات الأمانة وتوصيتها.</w:t>
      </w:r>
    </w:p>
    <w:p w14:paraId="2C735881" w14:textId="77777777" w:rsidR="00DC0F88" w:rsidRPr="00DC0F88" w:rsidRDefault="00DC0F88" w:rsidP="00DC0F88">
      <w:pPr>
        <w:bidi/>
        <w:rPr>
          <w:b/>
          <w:bCs/>
          <w:sz w:val="26"/>
          <w:szCs w:val="26"/>
          <w:lang w:bidi="ar-LB"/>
        </w:rPr>
      </w:pPr>
      <w:r w:rsidRPr="00DC0F88">
        <w:rPr>
          <w:b/>
          <w:bCs/>
          <w:sz w:val="26"/>
          <w:szCs w:val="26"/>
          <w:rtl/>
          <w:lang w:eastAsia="ar" w:bidi="ar-LB"/>
        </w:rPr>
        <w:t>تطبيق المقرر 62/17</w:t>
      </w:r>
    </w:p>
    <w:p w14:paraId="60170F9F" w14:textId="77777777" w:rsidR="00DC0F88" w:rsidRPr="00DC0F88" w:rsidRDefault="00DC0F88" w:rsidP="00DC0F88">
      <w:pPr>
        <w:bidi/>
        <w:rPr>
          <w:sz w:val="26"/>
          <w:szCs w:val="26"/>
          <w:lang w:bidi="ar-LB"/>
        </w:rPr>
      </w:pPr>
    </w:p>
    <w:p w14:paraId="6FBF40E4" w14:textId="0C3B1436" w:rsidR="00DC0F88" w:rsidRPr="00DC0F88" w:rsidRDefault="00DC0F88" w:rsidP="00DC0F88">
      <w:pPr>
        <w:pStyle w:val="Heading1"/>
        <w:bidi/>
        <w:rPr>
          <w:sz w:val="26"/>
          <w:szCs w:val="26"/>
          <w:lang w:bidi="ar-LB"/>
        </w:rPr>
      </w:pPr>
      <w:r w:rsidRPr="00DC0F88">
        <w:rPr>
          <w:sz w:val="26"/>
          <w:szCs w:val="26"/>
          <w:rtl/>
          <w:lang w:eastAsia="ar" w:bidi="ar-LB"/>
        </w:rPr>
        <w:t>في الاجتماع الثاني</w:t>
      </w:r>
      <w:r w:rsidR="00016DD6">
        <w:rPr>
          <w:sz w:val="26"/>
          <w:szCs w:val="26"/>
          <w:rtl/>
          <w:lang w:eastAsia="ar" w:bidi="ar-LB"/>
        </w:rPr>
        <w:t xml:space="preserve"> </w:t>
      </w:r>
      <w:r w:rsidRPr="00016DD6">
        <w:rPr>
          <w:sz w:val="26"/>
          <w:szCs w:val="26"/>
          <w:rtl/>
          <w:lang w:eastAsia="ar" w:bidi="ar-LB"/>
        </w:rPr>
        <w:t>والستين</w:t>
      </w:r>
      <w:r w:rsidRPr="00DC0F88">
        <w:rPr>
          <w:sz w:val="26"/>
          <w:szCs w:val="26"/>
          <w:rtl/>
          <w:lang w:eastAsia="ar" w:bidi="ar-LB"/>
        </w:rPr>
        <w:t>، ناقشت اللجنة التنفيذية مسألة شريحة التمويل النهائية لخطط إدارة إزالة المواد الهيدروكلوروفلوروكربونية المتعددة السنوات، لا سيما لضمان ترك 10 في المائة من إجمالي الأموال المرتبطة بخطة إدارة إزالة المواد الهيدروكلوروفلوروكربونية حتى الشريحة النهائية من خطة إدارة إزالة المواد الهيدروكلوروفلوروكربونية، بوصفه حافزا</w:t>
      </w:r>
      <w:r w:rsidR="00086747">
        <w:rPr>
          <w:sz w:val="26"/>
          <w:szCs w:val="26"/>
          <w:rtl/>
          <w:lang w:eastAsia="ar" w:bidi="ar-LB"/>
        </w:rPr>
        <w:t>ً</w:t>
      </w:r>
      <w:r w:rsidRPr="00DC0F88">
        <w:rPr>
          <w:sz w:val="26"/>
          <w:szCs w:val="26"/>
          <w:rtl/>
          <w:lang w:eastAsia="ar" w:bidi="ar-LB"/>
        </w:rPr>
        <w:t xml:space="preserve"> لتحقيق أهداف التخفيض في الأداء</w:t>
      </w:r>
      <w:r w:rsidRPr="00DC0F88">
        <w:rPr>
          <w:sz w:val="26"/>
          <w:szCs w:val="26"/>
          <w:rtl/>
          <w:lang w:eastAsia="ar" w:bidi="ar-LB"/>
        </w:rPr>
        <w:noBreakHyphen/>
        <w:t>على أساس الاتفاق. وأشير</w:t>
      </w:r>
      <w:r w:rsidR="00786556">
        <w:rPr>
          <w:sz w:val="26"/>
          <w:szCs w:val="26"/>
          <w:rtl/>
          <w:lang w:eastAsia="ar" w:bidi="ar-LB"/>
        </w:rPr>
        <w:t xml:space="preserve"> </w:t>
      </w:r>
      <w:r w:rsidRPr="00DC0F88">
        <w:rPr>
          <w:sz w:val="26"/>
          <w:szCs w:val="26"/>
          <w:rtl/>
          <w:lang w:eastAsia="ar" w:bidi="ar-LB"/>
        </w:rPr>
        <w:t xml:space="preserve">إلى أنه يلزم صرف تمويل كبير لمكونات الاستثمار في خطة إدارة إزالة المواد الهيدروكلوروفلوروكربونية في وقت مبكر من عملية التنفيذ لضمان الامتثال. وبعد المناقشة، طلبت اللجنة التنفيذية من الوكالات الثنائية والوكالات المنفذة، عند إعداد خطط إدارة إزالة المواد الهيدروكلوروفلوروكربونية المتعددة السنوات، التأكد من أن الشريحة النهائية تشمل </w:t>
      </w:r>
      <w:bookmarkStart w:id="0" w:name="_Hlk163652438"/>
      <w:r w:rsidRPr="00DC0F88">
        <w:rPr>
          <w:sz w:val="26"/>
          <w:szCs w:val="26"/>
          <w:rtl/>
          <w:lang w:eastAsia="ar" w:bidi="ar-LB"/>
        </w:rPr>
        <w:t xml:space="preserve">10 في المائة من إجمالي التمويل لقطاع خدمة التبريد </w:t>
      </w:r>
      <w:bookmarkEnd w:id="0"/>
      <w:r w:rsidRPr="00DC0F88">
        <w:rPr>
          <w:sz w:val="26"/>
          <w:szCs w:val="26"/>
          <w:rtl/>
          <w:lang w:eastAsia="ar" w:bidi="ar-LB"/>
        </w:rPr>
        <w:t>في الاتفاق</w:t>
      </w:r>
      <w:r w:rsidR="00086747">
        <w:rPr>
          <w:sz w:val="26"/>
          <w:szCs w:val="26"/>
          <w:rtl/>
          <w:lang w:eastAsia="ar" w:bidi="ar-LB"/>
        </w:rPr>
        <w:t>،</w:t>
      </w:r>
      <w:r w:rsidRPr="00DC0F88">
        <w:rPr>
          <w:sz w:val="26"/>
          <w:szCs w:val="26"/>
          <w:rtl/>
          <w:lang w:eastAsia="ar" w:bidi="ar-LB"/>
        </w:rPr>
        <w:t xml:space="preserve"> وكان من المقرر تنفيذه في السنة الأخيرة من الخطة (المقرر 62/17).</w:t>
      </w:r>
    </w:p>
    <w:p w14:paraId="17296DE1" w14:textId="2DA46959" w:rsidR="00DC0F88" w:rsidRPr="00DC0F88" w:rsidRDefault="00DC0F88" w:rsidP="00DC0F88">
      <w:pPr>
        <w:pStyle w:val="Heading1"/>
        <w:bidi/>
        <w:rPr>
          <w:sz w:val="26"/>
          <w:szCs w:val="26"/>
          <w:lang w:bidi="ar-LB"/>
        </w:rPr>
      </w:pPr>
      <w:r w:rsidRPr="00DC0F88">
        <w:rPr>
          <w:sz w:val="26"/>
          <w:szCs w:val="26"/>
          <w:rtl/>
          <w:lang w:eastAsia="ar" w:bidi="ar-LB"/>
        </w:rPr>
        <w:t>وطبق المقرر 62/17 تطبيقا</w:t>
      </w:r>
      <w:r w:rsidR="00086747">
        <w:rPr>
          <w:sz w:val="26"/>
          <w:szCs w:val="26"/>
          <w:rtl/>
          <w:lang w:eastAsia="ar" w:bidi="ar-LB"/>
        </w:rPr>
        <w:t>ً</w:t>
      </w:r>
      <w:r w:rsidRPr="00DC0F88">
        <w:rPr>
          <w:sz w:val="26"/>
          <w:szCs w:val="26"/>
          <w:rtl/>
          <w:lang w:eastAsia="ar" w:bidi="ar-LB"/>
        </w:rPr>
        <w:t xml:space="preserve"> متسقا</w:t>
      </w:r>
      <w:r w:rsidR="00086747">
        <w:rPr>
          <w:sz w:val="26"/>
          <w:szCs w:val="26"/>
          <w:rtl/>
          <w:lang w:eastAsia="ar" w:bidi="ar-LB"/>
        </w:rPr>
        <w:t>ً</w:t>
      </w:r>
      <w:r w:rsidRPr="00DC0F88">
        <w:rPr>
          <w:sz w:val="26"/>
          <w:szCs w:val="26"/>
          <w:rtl/>
          <w:lang w:eastAsia="ar" w:bidi="ar-LB"/>
        </w:rPr>
        <w:t xml:space="preserve"> على جميع مراحل خطط إدارة إزالة المواد الهيدروكلوروفلوروكربونية منذ اعتماده في عام 2010؛ ووفرت المرونة على أساس كل حالة على حدة في ظل ظروف معينة. فعلى سبيل المثال، عند تقديم مرحلة جديدة من خطة إدارة إزالة المواد الهيدروكلوروفلوروكربونية حيث يخطط بلد ما ليكون لديه التزام ممتد بالإزالة أو جدول إزالة أسرع</w:t>
      </w:r>
      <w:r w:rsidR="00086747">
        <w:rPr>
          <w:sz w:val="26"/>
          <w:szCs w:val="26"/>
          <w:rtl/>
          <w:lang w:eastAsia="ar" w:bidi="ar-LB"/>
        </w:rPr>
        <w:t>،</w:t>
      </w:r>
      <w:r w:rsidR="00086747" w:rsidRPr="00DC0F88">
        <w:rPr>
          <w:sz w:val="26"/>
          <w:szCs w:val="26"/>
          <w:rtl/>
          <w:lang w:eastAsia="ar" w:bidi="ar-LB"/>
        </w:rPr>
        <w:t xml:space="preserve"> </w:t>
      </w:r>
      <w:r w:rsidRPr="00DC0F88">
        <w:rPr>
          <w:sz w:val="26"/>
          <w:szCs w:val="26"/>
          <w:rtl/>
          <w:lang w:eastAsia="ar" w:bidi="ar-LB"/>
        </w:rPr>
        <w:t>مما هو محدد في بروتوكول مونتريال، فإنه يطلب أن يدرج في مشروع اتفاقه بشأن خطة إدارة إزالة المواد الهيدروكلوروفلوروكربونية مع اللجنة التنفيذية شريحة تمويل نهائية قبل العام الأخير من الخطة، وعندما تكون الحاجة إليها مبررة، يمكن الاتفاق على تقديم شريحة التمويل النهائية في وقت سابق. وثمة مثال آخر هو عندما يحتاج بلد ما إلى تنفيذ اتفاقيين قائمين على الأداء بالتوازي. ويمكن الاتفاق على توفير المرونة في توقيت شريحة التمويل النهائية لأحد الاتفاقات بحيث تتزامن مع تلك الخاصة بالاتفاق الآخر، وذلك للتمكين من تحسين التنسيق بين الأنشطة المنفذة بموجب الاتفاقين وتخفيف العبء الإداري وعبء إعداد التقارير الملقى على عاتق البلد. وتجدر الإشارة إلى أن هذه المرونة لم تطبق إلا على توقيت الشريحة النهائية؛ وقد أ</w:t>
      </w:r>
      <w:r w:rsidR="00786556">
        <w:rPr>
          <w:sz w:val="26"/>
          <w:szCs w:val="26"/>
          <w:rtl/>
          <w:lang w:eastAsia="ar" w:bidi="ar-LB"/>
        </w:rPr>
        <w:t>ُ</w:t>
      </w:r>
      <w:r w:rsidRPr="00DC0F88">
        <w:rPr>
          <w:sz w:val="26"/>
          <w:szCs w:val="26"/>
          <w:rtl/>
          <w:lang w:eastAsia="ar" w:bidi="ar-LB"/>
        </w:rPr>
        <w:t>بقي على شرط الـ</w:t>
      </w:r>
      <w:r w:rsidR="00786556">
        <w:rPr>
          <w:sz w:val="26"/>
          <w:szCs w:val="26"/>
          <w:rtl/>
          <w:lang w:eastAsia="ar" w:bidi="ar-LB"/>
        </w:rPr>
        <w:t xml:space="preserve"> </w:t>
      </w:r>
      <w:r w:rsidRPr="00DC0F88">
        <w:rPr>
          <w:sz w:val="26"/>
          <w:szCs w:val="26"/>
          <w:rtl/>
          <w:lang w:eastAsia="ar" w:bidi="ar-LB"/>
        </w:rPr>
        <w:t>10 في المائة من إجمالي التمويل لقطاع خدمة التبريد في الشريحة النهائية في اتفاقات خطة إدارة إزالة المواد الهيدروكلوروفلوروكربونية لهذه البلدان.</w:t>
      </w:r>
    </w:p>
    <w:p w14:paraId="2B691EBD" w14:textId="77777777" w:rsidR="00DC0F88" w:rsidRPr="00DC0F88" w:rsidRDefault="00DC0F88" w:rsidP="00DC0F88">
      <w:pPr>
        <w:pStyle w:val="Heading1"/>
        <w:bidi/>
        <w:rPr>
          <w:sz w:val="26"/>
          <w:szCs w:val="26"/>
          <w:lang w:bidi="ar-LB"/>
        </w:rPr>
      </w:pPr>
      <w:r w:rsidRPr="00DC0F88">
        <w:rPr>
          <w:sz w:val="26"/>
          <w:szCs w:val="26"/>
          <w:rtl/>
          <w:lang w:eastAsia="ar" w:bidi="ar-LB"/>
        </w:rPr>
        <w:t>ولضمان استمرار التقدم بعد شريحة التمويل النهائية حتى اكتمال المشروع في هذه البلدان، وضعت تدابير رقابة إضافية، مثل طلبات الحصول على تقرير مرحلي نهائي عن تنفيذ الشريحة النهائية للبلدان ذات حجم الاستهلاك المنخفض أو تقرير مرحلي عن التقدم السنوي المحقق في تنفيذ الشريحة النهائية، إلى جانب تقرير التحقق، بالنسبة للبلدان غير ذات حجم الاستهلاك المنخفض.</w:t>
      </w:r>
      <w:r w:rsidRPr="00DC0F88">
        <w:rPr>
          <w:rStyle w:val="FootnoteReference"/>
          <w:sz w:val="26"/>
          <w:szCs w:val="26"/>
          <w:rtl/>
          <w:lang w:eastAsia="ar" w:bidi="ar-LB"/>
        </w:rPr>
        <w:footnoteReference w:id="3"/>
      </w:r>
    </w:p>
    <w:p w14:paraId="7ACD15DE" w14:textId="176A3BC6" w:rsidR="00DC0F88" w:rsidRPr="00DC0F88" w:rsidRDefault="00DC0F88" w:rsidP="00DC0F88">
      <w:pPr>
        <w:pStyle w:val="Heading1"/>
        <w:bidi/>
        <w:rPr>
          <w:sz w:val="26"/>
          <w:szCs w:val="26"/>
          <w:lang w:bidi="ar-LB"/>
        </w:rPr>
      </w:pPr>
      <w:r w:rsidRPr="00DC0F88">
        <w:rPr>
          <w:sz w:val="26"/>
          <w:szCs w:val="26"/>
          <w:rtl/>
          <w:lang w:eastAsia="ar" w:bidi="ar-LB"/>
        </w:rPr>
        <w:t>وفي الاجتماع</w:t>
      </w:r>
      <w:r w:rsidR="008E58FC">
        <w:rPr>
          <w:sz w:val="26"/>
          <w:szCs w:val="26"/>
          <w:rtl/>
          <w:lang w:eastAsia="ar" w:bidi="ar-LB"/>
        </w:rPr>
        <w:t xml:space="preserve"> </w:t>
      </w:r>
      <w:r w:rsidRPr="008E58FC">
        <w:rPr>
          <w:sz w:val="26"/>
          <w:szCs w:val="26"/>
          <w:rtl/>
          <w:lang w:eastAsia="ar" w:bidi="ar-LB"/>
        </w:rPr>
        <w:t>الثالث</w:t>
      </w:r>
      <w:r w:rsidRPr="00DC0F88">
        <w:rPr>
          <w:sz w:val="26"/>
          <w:szCs w:val="26"/>
          <w:rtl/>
          <w:lang w:eastAsia="ar" w:bidi="ar-LB"/>
        </w:rPr>
        <w:t xml:space="preserve"> والتسعين، وُسع أيضا</w:t>
      </w:r>
      <w:r w:rsidR="00786556">
        <w:rPr>
          <w:sz w:val="26"/>
          <w:szCs w:val="26"/>
          <w:rtl/>
          <w:lang w:eastAsia="ar" w:bidi="ar-LB"/>
        </w:rPr>
        <w:t xml:space="preserve"> </w:t>
      </w:r>
      <w:r w:rsidRPr="00DC0F88">
        <w:rPr>
          <w:sz w:val="26"/>
          <w:szCs w:val="26"/>
          <w:rtl/>
          <w:lang w:eastAsia="ar" w:bidi="ar-LB"/>
        </w:rPr>
        <w:t>نطاق المرونة على أساس كل حالة على حدة ليشمل المرحلة الأولى من خطط تنفيذ تعديل كيغالي فيما يخص الهيدروفلوروكربون.</w:t>
      </w:r>
      <w:r w:rsidRPr="00DC0F88">
        <w:rPr>
          <w:rStyle w:val="FootnoteReference"/>
          <w:sz w:val="26"/>
          <w:szCs w:val="26"/>
          <w:rtl/>
          <w:lang w:eastAsia="ar" w:bidi="ar-LB"/>
        </w:rPr>
        <w:footnoteReference w:id="4"/>
      </w:r>
      <w:r w:rsidRPr="00DC0F88">
        <w:rPr>
          <w:rStyle w:val="FootnoteReference"/>
          <w:sz w:val="26"/>
          <w:szCs w:val="26"/>
          <w:rtl/>
          <w:lang w:eastAsia="ar" w:bidi="ar-LB"/>
        </w:rPr>
        <w:t xml:space="preserve"> </w:t>
      </w:r>
    </w:p>
    <w:p w14:paraId="57613087" w14:textId="77777777" w:rsidR="00DC0F88" w:rsidRPr="00DC0F88" w:rsidRDefault="00DC0F88" w:rsidP="00DC0F88">
      <w:pPr>
        <w:pStyle w:val="Heading1"/>
        <w:numPr>
          <w:ilvl w:val="0"/>
          <w:numId w:val="0"/>
        </w:numPr>
        <w:bidi/>
        <w:rPr>
          <w:b/>
          <w:bCs/>
          <w:sz w:val="26"/>
          <w:szCs w:val="26"/>
          <w:lang w:val="en-GB" w:bidi="ar-LB"/>
        </w:rPr>
      </w:pPr>
      <w:r w:rsidRPr="00DC0F88">
        <w:rPr>
          <w:b/>
          <w:bCs/>
          <w:sz w:val="26"/>
          <w:szCs w:val="26"/>
          <w:rtl/>
          <w:lang w:eastAsia="ar" w:bidi="ar-LB"/>
        </w:rPr>
        <w:t>آثار المقرر 62/17 على تنفيذ خطة إدارة إزالة المواد الهيدروكلوروفلوروكربونية</w:t>
      </w:r>
    </w:p>
    <w:p w14:paraId="468F9118" w14:textId="30D94C4B" w:rsidR="00DC0F88" w:rsidRPr="00DC0F88" w:rsidRDefault="00DC0F88" w:rsidP="00DC0F88">
      <w:pPr>
        <w:pStyle w:val="Heading1"/>
        <w:bidi/>
        <w:rPr>
          <w:caps/>
          <w:sz w:val="26"/>
          <w:szCs w:val="26"/>
          <w:lang w:bidi="ar-LB"/>
        </w:rPr>
      </w:pPr>
      <w:r w:rsidRPr="00DC0F88">
        <w:rPr>
          <w:sz w:val="26"/>
          <w:szCs w:val="26"/>
          <w:rtl/>
          <w:lang w:eastAsia="ar" w:bidi="ar-LB"/>
        </w:rPr>
        <w:lastRenderedPageBreak/>
        <w:t>في الاجتماع التنسيقي الأخير بين الوكالات</w:t>
      </w:r>
      <w:r w:rsidR="00C51D5C">
        <w:rPr>
          <w:sz w:val="26"/>
          <w:szCs w:val="26"/>
          <w:rtl/>
          <w:lang w:eastAsia="ar" w:bidi="ar-LB"/>
        </w:rPr>
        <w:t>،</w:t>
      </w:r>
      <w:r w:rsidRPr="00DC0F88">
        <w:rPr>
          <w:rStyle w:val="FootnoteReference"/>
          <w:sz w:val="26"/>
          <w:szCs w:val="26"/>
          <w:rtl/>
          <w:lang w:eastAsia="ar" w:bidi="ar-LB"/>
        </w:rPr>
        <w:footnoteReference w:id="5"/>
      </w:r>
      <w:r w:rsidRPr="008E58FC">
        <w:rPr>
          <w:sz w:val="26"/>
          <w:szCs w:val="26"/>
          <w:rtl/>
          <w:lang w:eastAsia="ar" w:bidi="ar-LB"/>
        </w:rPr>
        <w:t xml:space="preserve"> ناقشت الأمانة مع الوكالات الثنائية والوكالات المنفذة آثار المقرر 62/17 على تنفيذ خطط إدارة إزالة المواد الهيدروكلوروفلوروكربونية. وأثارت الوكالات عددا</w:t>
      </w:r>
      <w:r w:rsidR="00786556">
        <w:rPr>
          <w:sz w:val="26"/>
          <w:szCs w:val="26"/>
          <w:rtl/>
          <w:lang w:eastAsia="ar" w:bidi="ar-LB"/>
        </w:rPr>
        <w:t>ً</w:t>
      </w:r>
      <w:r w:rsidRPr="008E58FC">
        <w:rPr>
          <w:sz w:val="26"/>
          <w:szCs w:val="26"/>
          <w:rtl/>
          <w:lang w:eastAsia="ar" w:bidi="ar-LB"/>
        </w:rPr>
        <w:t xml:space="preserve"> من المخاوف. وبالنسبة للبلدان ذات حجم الاستهلاك المنخفض، أدت الكميات الصغيرة من التمويل المتاح، وخاصة المقسمة على عدة شرائح تمويل، إلى زيادة العبء الإداري على الوكالات والبلدان. وعلاوة على ذلك، تطلبت شريحة التمويل النهائية ذات المبلغ الصغير للغاية نفس الإجراء الإداري مثلها مثل الشرائح الأخرى؛ وكان من الممكن أن تمر نصف فترة التنفيذ البالغة سنة واحدة عند تلقي التمويل وإعداد العقود ذات الصلة والتوقيع عليها. وأدى ذلك إلى تأخير إنجاز المشروع. وأعرب أيضا</w:t>
      </w:r>
      <w:r w:rsidR="00786556">
        <w:rPr>
          <w:sz w:val="26"/>
          <w:szCs w:val="26"/>
          <w:rtl/>
          <w:lang w:eastAsia="ar" w:bidi="ar-LB"/>
        </w:rPr>
        <w:t>ً</w:t>
      </w:r>
      <w:r w:rsidRPr="008E58FC">
        <w:rPr>
          <w:sz w:val="26"/>
          <w:szCs w:val="26"/>
          <w:rtl/>
          <w:lang w:eastAsia="ar" w:bidi="ar-LB"/>
        </w:rPr>
        <w:t xml:space="preserve"> عن شعور مفاده أن حجب التمويل عن الشريحة النهائية كان المقصود منه أن يكون وسيلة لضمان توافر الأموال لتطبيق العقوبات في حالة عدم الامتثال للاتفاقات؛ وبالتالي، لم يكن ينبغي تطبيق المقرر 62/17 على المرحلة الأولى من خطط إدارة إزالة المواد الهيدروكلوروفلوروكربونية عندما كانت لا تزال هناك مراحل لاحقة يمكن خصم التمويل منها. وفيما يتعلق باستخدام المقرر 62/17 كحافز لتحقيق أهداف التخفيض</w:t>
      </w:r>
      <w:r w:rsidRPr="00DC0F88">
        <w:rPr>
          <w:sz w:val="26"/>
          <w:szCs w:val="26"/>
          <w:rtl/>
          <w:lang w:eastAsia="ar" w:bidi="ar-LB"/>
        </w:rPr>
        <w:noBreakHyphen/>
        <w:t xml:space="preserve"> المنصوص عليها في الاتفاق المحدد للأداء، لوحظ أن التمويل في الشريحة النهائية كان جزءا</w:t>
      </w:r>
      <w:r w:rsidR="00786556">
        <w:rPr>
          <w:sz w:val="26"/>
          <w:szCs w:val="26"/>
          <w:rtl/>
          <w:lang w:eastAsia="ar" w:bidi="ar-LB"/>
        </w:rPr>
        <w:t>ً</w:t>
      </w:r>
      <w:r w:rsidRPr="00DC0F88">
        <w:rPr>
          <w:sz w:val="26"/>
          <w:szCs w:val="26"/>
          <w:rtl/>
          <w:lang w:eastAsia="ar" w:bidi="ar-LB"/>
        </w:rPr>
        <w:t xml:space="preserve"> من التمويل المتفق عليه، ولا يمكن برمجة هذا العمل دون تلقي الأموال، وهو ما يتعارض مع الغرض من الحوافز. ودارت مناقشات أيضا</w:t>
      </w:r>
      <w:r w:rsidR="00786556">
        <w:rPr>
          <w:sz w:val="26"/>
          <w:szCs w:val="26"/>
          <w:rtl/>
          <w:lang w:eastAsia="ar" w:bidi="ar-LB"/>
        </w:rPr>
        <w:t>ً</w:t>
      </w:r>
      <w:r w:rsidRPr="00DC0F88">
        <w:rPr>
          <w:sz w:val="26"/>
          <w:szCs w:val="26"/>
          <w:rtl/>
          <w:lang w:eastAsia="ar" w:bidi="ar-LB"/>
        </w:rPr>
        <w:t xml:space="preserve"> بشأن إمكانية تقليل الشرائح وإعادة تحديد توقيتها، ولا سيما توقيت شريحة التمويل النهائية وإعداد التقارير اللاحقة حتى إنجاز المشروع، لزيادة الكفاءة وتقليل العبء الإداري.</w:t>
      </w:r>
      <w:r w:rsidRPr="00DC0F88">
        <w:rPr>
          <w:rStyle w:val="FootnoteReference"/>
          <w:sz w:val="26"/>
          <w:szCs w:val="26"/>
          <w:rtl/>
          <w:lang w:eastAsia="ar" w:bidi="ar-LB"/>
        </w:rPr>
        <w:footnoteReference w:id="6"/>
      </w:r>
    </w:p>
    <w:p w14:paraId="0CBE2EB2" w14:textId="77777777" w:rsidR="00DC0F88" w:rsidRPr="00DC0F88" w:rsidRDefault="00DC0F88" w:rsidP="00DC0F88">
      <w:pPr>
        <w:pStyle w:val="Heading1"/>
        <w:numPr>
          <w:ilvl w:val="0"/>
          <w:numId w:val="0"/>
        </w:numPr>
        <w:bidi/>
        <w:rPr>
          <w:b/>
          <w:bCs/>
          <w:sz w:val="26"/>
          <w:szCs w:val="26"/>
          <w:lang w:val="en-GB" w:bidi="ar-LB"/>
        </w:rPr>
      </w:pPr>
      <w:r w:rsidRPr="00DC0F88">
        <w:rPr>
          <w:b/>
          <w:bCs/>
          <w:sz w:val="26"/>
          <w:szCs w:val="26"/>
          <w:rtl/>
          <w:lang w:eastAsia="ar" w:bidi="ar-LB"/>
        </w:rPr>
        <w:t>ملاحظات الأمانة</w:t>
      </w:r>
    </w:p>
    <w:p w14:paraId="7712287F" w14:textId="19C8AF7D" w:rsidR="00DC0F88" w:rsidRPr="00DC0F88" w:rsidRDefault="00DC0F88" w:rsidP="00DC0F88">
      <w:pPr>
        <w:pStyle w:val="Heading1"/>
        <w:bidi/>
        <w:rPr>
          <w:sz w:val="26"/>
          <w:szCs w:val="26"/>
          <w:lang w:val="en-GB" w:eastAsia="ar" w:bidi="ar-LB"/>
        </w:rPr>
      </w:pPr>
      <w:r w:rsidRPr="00DC0F88">
        <w:rPr>
          <w:sz w:val="26"/>
          <w:szCs w:val="26"/>
          <w:rtl/>
          <w:lang w:eastAsia="ar" w:bidi="ar-LB"/>
        </w:rPr>
        <w:t>كما ذكر في مراجعة مشاريع التعزيز المؤسسي بما في ذلك مستويات التمويل</w:t>
      </w:r>
      <w:r w:rsidR="00786556">
        <w:rPr>
          <w:sz w:val="26"/>
          <w:szCs w:val="26"/>
          <w:rtl/>
          <w:lang w:eastAsia="ar" w:bidi="ar-LB"/>
        </w:rPr>
        <w:t>،</w:t>
      </w:r>
      <w:r w:rsidRPr="00C51D5C">
        <w:rPr>
          <w:rStyle w:val="FootnoteReference"/>
          <w:sz w:val="26"/>
          <w:szCs w:val="26"/>
          <w:rtl/>
          <w:lang w:eastAsia="ar" w:bidi="ar-LB"/>
        </w:rPr>
        <w:footnoteReference w:id="7"/>
      </w:r>
      <w:r w:rsidRPr="008E58FC">
        <w:rPr>
          <w:rtl/>
          <w:lang w:bidi="ar-LB"/>
        </w:rPr>
        <w:t xml:space="preserve"> </w:t>
      </w:r>
      <w:r w:rsidRPr="008E58FC">
        <w:rPr>
          <w:sz w:val="26"/>
          <w:szCs w:val="26"/>
          <w:rtl/>
          <w:lang w:eastAsia="ar" w:bidi="ar-LB"/>
        </w:rPr>
        <w:t>والتحليل المتعلق بقدرة مؤسسات الصندوق المتعدد الأطراف على معالجة التخفيض التدريجي لمركبات الكربون الهيدروفلورية</w:t>
      </w:r>
      <w:r w:rsidR="00C51D5C">
        <w:rPr>
          <w:sz w:val="26"/>
          <w:szCs w:val="26"/>
          <w:rtl/>
          <w:lang w:eastAsia="ar" w:bidi="ar-LB"/>
        </w:rPr>
        <w:t>،</w:t>
      </w:r>
      <w:r w:rsidRPr="00C51D5C">
        <w:rPr>
          <w:rStyle w:val="FootnoteReference"/>
          <w:sz w:val="26"/>
          <w:szCs w:val="26"/>
          <w:rtl/>
          <w:lang w:eastAsia="ar" w:bidi="ar-LB"/>
        </w:rPr>
        <w:footnoteReference w:id="8"/>
      </w:r>
      <w:r w:rsidRPr="008E58FC">
        <w:rPr>
          <w:sz w:val="26"/>
          <w:szCs w:val="26"/>
          <w:rtl/>
          <w:lang w:eastAsia="ar" w:bidi="ar-LB"/>
        </w:rPr>
        <w:t xml:space="preserve"> فإن عبء عمل البلدان العاملة بموجب المادة 5 والوكالات</w:t>
      </w:r>
      <w:r w:rsidR="00786556">
        <w:rPr>
          <w:sz w:val="26"/>
          <w:szCs w:val="26"/>
          <w:rtl/>
          <w:lang w:eastAsia="ar" w:bidi="ar-LB"/>
        </w:rPr>
        <w:t xml:space="preserve"> </w:t>
      </w:r>
      <w:r w:rsidRPr="008E58FC">
        <w:rPr>
          <w:sz w:val="26"/>
          <w:szCs w:val="26"/>
          <w:rtl/>
          <w:lang w:eastAsia="ar" w:bidi="ar-LB"/>
        </w:rPr>
        <w:t>في الفترة من 2023 إلى 2030 سيزداد بشكل كبير لأسباب منها تنفيذ كل من إزالة</w:t>
      </w:r>
      <w:r w:rsidR="00786556">
        <w:rPr>
          <w:sz w:val="26"/>
          <w:szCs w:val="26"/>
          <w:rtl/>
          <w:lang w:eastAsia="ar" w:bidi="ar-LB"/>
        </w:rPr>
        <w:t xml:space="preserve"> </w:t>
      </w:r>
      <w:r w:rsidRPr="008E58FC">
        <w:rPr>
          <w:sz w:val="26"/>
          <w:szCs w:val="26"/>
          <w:rtl/>
          <w:lang w:eastAsia="ar" w:bidi="ar-LB"/>
        </w:rPr>
        <w:t>الهيدروكلوروفلوروكربون والتخفيض التدريجي للهيدروفلوروكربون بالإضافة إلى مشاريع أخرى في مجالات جديدة مثل تلك المتعلقة بالكفاءة في استخدام الطاقة وإعداد قوائم حصر لمصارف نفايات المواد الخاضعة للرقابة المستخدمة أو غير المرغوب فيها وخطط العمل. وستنطبق هذه الزيادة في عبء العمل أيضا</w:t>
      </w:r>
      <w:r w:rsidR="00786556">
        <w:rPr>
          <w:sz w:val="26"/>
          <w:szCs w:val="26"/>
          <w:rtl/>
          <w:lang w:eastAsia="ar" w:bidi="ar-LB"/>
        </w:rPr>
        <w:t>ً</w:t>
      </w:r>
      <w:r w:rsidRPr="008E58FC">
        <w:rPr>
          <w:sz w:val="26"/>
          <w:szCs w:val="26"/>
          <w:rtl/>
          <w:lang w:eastAsia="ar" w:bidi="ar-LB"/>
        </w:rPr>
        <w:t xml:space="preserve"> على الأمانة من بسبب مراجعة هذه المشاريع، وعلى اللجنة التنفيذية بسبب النظر في هذه المشاريع والموافقة عليها. ومن شأن مواءمة توقيت شرائح عمليات خطط تنفيذ تعديل كيغالي فيما يخص الهيدروفلوروكربون مع توقيت خطط إدارة إزالة المواد الهيدروكلوروفلوروكربونية متى أمكن ذلك</w:t>
      </w:r>
      <w:r w:rsidR="008F372B">
        <w:rPr>
          <w:sz w:val="26"/>
          <w:szCs w:val="26"/>
          <w:rtl/>
          <w:lang w:eastAsia="ar" w:bidi="ar-LB"/>
        </w:rPr>
        <w:t>،</w:t>
      </w:r>
      <w:r w:rsidRPr="008E58FC">
        <w:rPr>
          <w:sz w:val="26"/>
          <w:szCs w:val="26"/>
          <w:rtl/>
          <w:lang w:eastAsia="ar" w:bidi="ar-LB"/>
        </w:rPr>
        <w:t xml:space="preserve"> وتقليل عدد شرائح المرحلة الأولى الجديدة من خطط تنفيذ تعديل كيغالي فيما يخص الهيدروفلوروكربون متى كان ذلك مجديا</w:t>
      </w:r>
      <w:r w:rsidR="008F372B">
        <w:rPr>
          <w:sz w:val="26"/>
          <w:szCs w:val="26"/>
          <w:rtl/>
          <w:lang w:eastAsia="ar" w:bidi="ar-LB"/>
        </w:rPr>
        <w:t>ً</w:t>
      </w:r>
      <w:r w:rsidRPr="008E58FC">
        <w:rPr>
          <w:sz w:val="26"/>
          <w:szCs w:val="26"/>
          <w:rtl/>
          <w:lang w:eastAsia="ar" w:bidi="ar-LB"/>
        </w:rPr>
        <w:t xml:space="preserve">، أن يساعد في تخفيف عبء العمل. </w:t>
      </w:r>
    </w:p>
    <w:p w14:paraId="0EA87512" w14:textId="20114D68" w:rsidR="00DC0F88" w:rsidRPr="00DC0F88" w:rsidRDefault="00DC0F88" w:rsidP="00DC0F88">
      <w:pPr>
        <w:pStyle w:val="Heading1"/>
        <w:bidi/>
        <w:rPr>
          <w:sz w:val="26"/>
          <w:szCs w:val="26"/>
          <w:lang w:val="en-GB" w:bidi="ar-LB"/>
        </w:rPr>
      </w:pPr>
      <w:r w:rsidRPr="00DC0F88">
        <w:rPr>
          <w:sz w:val="26"/>
          <w:szCs w:val="26"/>
          <w:rtl/>
          <w:lang w:eastAsia="ar" w:bidi="ar-LB"/>
        </w:rPr>
        <w:t>مع الأخذ في الاعتبار آثار المقرر 62/17 على البلدان العاملة بالمادة 5، ولا سيما البلدان ذات حجم الاستهلاك المنخفض والوكالات، المتعلقة بتنفيذ خطط إدارة إزالة المواد الهيدروكلوروفلوروكربونية؛ وزيادة عبء العمل على مؤسسات الصندوق المتعدد الأطراف من الآن وحتى عام 2030، مع الإحاطة علما</w:t>
      </w:r>
      <w:r w:rsidR="008F372B">
        <w:rPr>
          <w:sz w:val="26"/>
          <w:szCs w:val="26"/>
          <w:rtl/>
          <w:lang w:eastAsia="ar" w:bidi="ar-LB"/>
        </w:rPr>
        <w:t>ً</w:t>
      </w:r>
      <w:r w:rsidRPr="00DC0F88">
        <w:rPr>
          <w:sz w:val="26"/>
          <w:szCs w:val="26"/>
          <w:rtl/>
          <w:lang w:eastAsia="ar" w:bidi="ar-LB"/>
        </w:rPr>
        <w:t xml:space="preserve"> بأن تنفيذ الشريحة يستغرق في المتوسط </w:t>
      </w:r>
      <w:r w:rsidRPr="00DC0F88">
        <w:rPr>
          <w:sz w:val="26"/>
          <w:szCs w:val="26"/>
          <w:lang w:val="en-GB" w:eastAsia="ar" w:bidi="ar-LB"/>
        </w:rPr>
        <w:t>​​</w:t>
      </w:r>
      <w:r w:rsidRPr="00DC0F88">
        <w:rPr>
          <w:sz w:val="26"/>
          <w:szCs w:val="26"/>
          <w:rtl/>
          <w:lang w:eastAsia="ar" w:bidi="ar-LB"/>
        </w:rPr>
        <w:t>36 شهرا</w:t>
      </w:r>
      <w:r w:rsidR="008F372B">
        <w:rPr>
          <w:sz w:val="26"/>
          <w:szCs w:val="26"/>
          <w:rtl/>
          <w:lang w:eastAsia="ar" w:bidi="ar-LB"/>
        </w:rPr>
        <w:t>ً</w:t>
      </w:r>
      <w:r w:rsidRPr="00DC0F88">
        <w:rPr>
          <w:sz w:val="26"/>
          <w:szCs w:val="26"/>
          <w:rtl/>
          <w:lang w:eastAsia="ar" w:bidi="ar-LB"/>
        </w:rPr>
        <w:t>؛</w:t>
      </w:r>
      <w:r w:rsidRPr="00DC0F88">
        <w:rPr>
          <w:rStyle w:val="FootnoteReference"/>
          <w:sz w:val="26"/>
          <w:szCs w:val="26"/>
          <w:rtl/>
          <w:lang w:eastAsia="ar" w:bidi="ar-LB"/>
        </w:rPr>
        <w:footnoteReference w:id="9"/>
      </w:r>
      <w:r w:rsidRPr="00DC0F88">
        <w:rPr>
          <w:rStyle w:val="FootnoteReference"/>
          <w:sz w:val="26"/>
          <w:szCs w:val="26"/>
          <w:rtl/>
          <w:lang w:eastAsia="ar" w:bidi="ar-LB"/>
        </w:rPr>
        <w:t xml:space="preserve"> </w:t>
      </w:r>
      <w:r w:rsidRPr="00C51D5C">
        <w:rPr>
          <w:sz w:val="26"/>
          <w:szCs w:val="26"/>
          <w:rtl/>
          <w:lang w:eastAsia="ar" w:bidi="ar-LB"/>
        </w:rPr>
        <w:t>وأن اللجنة التنفيذية قد أرست ممارسة لتلك البلدان العاملة بالمادة 5 مفادها طلب شريحة التمويل النهائية قبل سنة أو أكثر من العام الأخير من الاتفاق</w:t>
      </w:r>
      <w:r w:rsidR="002E3D44">
        <w:rPr>
          <w:sz w:val="26"/>
          <w:szCs w:val="26"/>
          <w:rtl/>
          <w:lang w:eastAsia="ar" w:bidi="ar-LB"/>
        </w:rPr>
        <w:t>،</w:t>
      </w:r>
      <w:r w:rsidRPr="00C51D5C">
        <w:rPr>
          <w:sz w:val="26"/>
          <w:szCs w:val="26"/>
          <w:rtl/>
          <w:lang w:eastAsia="ar" w:bidi="ar-LB"/>
        </w:rPr>
        <w:t xml:space="preserve"> لضمان استمرار الرصد والإبلاغ عن تنفيذ المشروع وامتثال البلدان، يمكن مراعاة العناصر التالية للمرحلة الأولى من خطط تنفيذ تعديل كيغالي فيما يخص الهيدروفلوروكربون:</w:t>
      </w:r>
    </w:p>
    <w:p w14:paraId="6F9FDA6D" w14:textId="77777777" w:rsidR="00DC0F88" w:rsidRPr="00DC0F88" w:rsidRDefault="00DC0F88" w:rsidP="00DC0F88">
      <w:pPr>
        <w:pStyle w:val="Heading2"/>
        <w:numPr>
          <w:ilvl w:val="1"/>
          <w:numId w:val="1"/>
        </w:numPr>
        <w:tabs>
          <w:tab w:val="clear" w:pos="0"/>
        </w:tabs>
        <w:bidi/>
        <w:rPr>
          <w:sz w:val="26"/>
          <w:szCs w:val="26"/>
          <w:u w:val="single"/>
          <w:lang w:val="en-GB" w:bidi="ar-LB"/>
        </w:rPr>
      </w:pPr>
      <w:bookmarkStart w:id="1" w:name="_Hlk163654194"/>
      <w:r w:rsidRPr="00DC0F88">
        <w:rPr>
          <w:sz w:val="26"/>
          <w:szCs w:val="26"/>
          <w:rtl/>
          <w:lang w:eastAsia="ar" w:bidi="ar-LB"/>
        </w:rPr>
        <w:t>ويمكن تشجيع البلدان العاملة بالمادة 5 على مواءمة توقيت شرائح خطط تنفيذ تعديل كيغالي فيما يخص الهيدروفلوروكربون مع توقيت خطط إدارة إزالة المواد الهيدروكلوروفلوروكربونية؛</w:t>
      </w:r>
    </w:p>
    <w:p w14:paraId="628B6BDA" w14:textId="430110B9" w:rsidR="00DC0F88" w:rsidRPr="00DC0F88" w:rsidRDefault="00DC0F88" w:rsidP="00DC0F88">
      <w:pPr>
        <w:pStyle w:val="Heading2"/>
        <w:numPr>
          <w:ilvl w:val="1"/>
          <w:numId w:val="1"/>
        </w:numPr>
        <w:tabs>
          <w:tab w:val="clear" w:pos="0"/>
        </w:tabs>
        <w:bidi/>
        <w:rPr>
          <w:sz w:val="26"/>
          <w:szCs w:val="26"/>
          <w:u w:val="single"/>
          <w:lang w:val="en-GB" w:bidi="ar-LB"/>
        </w:rPr>
      </w:pPr>
      <w:r w:rsidRPr="00DC0F88">
        <w:rPr>
          <w:sz w:val="26"/>
          <w:szCs w:val="26"/>
          <w:rtl/>
          <w:lang w:eastAsia="ar" w:bidi="ar-LB"/>
        </w:rPr>
        <w:t>بالنسبة للبلدان ذات حجم الاستهلاك المنخفض، والبلدان غير ذات حجم الاستهلاك المنخفض (أي مجموعات البلدان المشار إليها في المقرر 92/37(ب)(2) و(ج)، على الترتيب)، وكذلك البلدان غير ذات حجم الاستهلاك المنخفض</w:t>
      </w:r>
      <w:r w:rsidRPr="00DC0F88">
        <w:rPr>
          <w:sz w:val="26"/>
          <w:szCs w:val="26"/>
          <w:rtl/>
          <w:lang w:eastAsia="ar" w:bidi="ar-LB"/>
        </w:rPr>
        <w:noBreakHyphen/>
        <w:t xml:space="preserve"> التي تحتوي مرحلتها الأولى من مشاريع خطط تنفيذ تعديل كيغالي </w:t>
      </w:r>
      <w:r w:rsidRPr="00DC0F88">
        <w:rPr>
          <w:sz w:val="26"/>
          <w:szCs w:val="26"/>
          <w:rtl/>
          <w:lang w:eastAsia="ar" w:bidi="ar-LB"/>
        </w:rPr>
        <w:lastRenderedPageBreak/>
        <w:t>فيما يخص الهيدروفلوروكربون على قطاع خدمة فقط وتبلغ قيمتها أقل من 500000 دولار أمريكي، فإن المرحلة الأولى من مشاريع خطط تنفيذ تعديل كيغالي فيما يخص الهيدروفلوروكربون للوفاء بهدف الهيدروفلوروكربون بنسبة 10 في المائة بموجب بروتوكول مونتريال ينبغي أن تحتوي على شريحتين تمويل على الأقل، ويمكن تقديم الشريحة</w:t>
      </w:r>
      <w:r w:rsidR="00786556">
        <w:rPr>
          <w:sz w:val="26"/>
          <w:szCs w:val="26"/>
          <w:rtl/>
          <w:lang w:eastAsia="ar" w:bidi="ar-LB"/>
        </w:rPr>
        <w:t xml:space="preserve"> </w:t>
      </w:r>
      <w:r w:rsidRPr="00DC0F88">
        <w:rPr>
          <w:sz w:val="26"/>
          <w:szCs w:val="26"/>
          <w:rtl/>
          <w:lang w:eastAsia="ar" w:bidi="ar-LB"/>
        </w:rPr>
        <w:t>الثانية والأخيرة، على أقرب تقدير، قبل عامين من العام الأخير الذي تحدد هدف الاستهلاك له، بمستوى تمويل لا يقل عن 40 في المائة من إجمالي تمويل الخطة؛</w:t>
      </w:r>
    </w:p>
    <w:p w14:paraId="19B56589" w14:textId="1AEB5988" w:rsidR="00DC0F88" w:rsidRPr="00DC0F88" w:rsidRDefault="00DC0F88" w:rsidP="00DC0F88">
      <w:pPr>
        <w:pStyle w:val="Heading2"/>
        <w:numPr>
          <w:ilvl w:val="1"/>
          <w:numId w:val="1"/>
        </w:numPr>
        <w:tabs>
          <w:tab w:val="clear" w:pos="0"/>
        </w:tabs>
        <w:bidi/>
        <w:rPr>
          <w:sz w:val="26"/>
          <w:szCs w:val="26"/>
          <w:lang w:val="en-GB" w:bidi="ar-LB"/>
        </w:rPr>
      </w:pPr>
      <w:r w:rsidRPr="00DC0F88">
        <w:rPr>
          <w:sz w:val="26"/>
          <w:szCs w:val="26"/>
          <w:rtl/>
          <w:lang w:eastAsia="ar" w:bidi="ar-LB"/>
        </w:rPr>
        <w:t>بالنسبة للبلدان العاملة بالمادة 5 بخلاف تلك المشار إليها في الفقرة الفرعية (ب) أعلاه، سيتم الحفاظ على الوضع الراهن لخطط إدارة إزالة المواد الهيدروكلوروفلوروكربونية في المرحلة الأولى من خطط تنفيذ تعديل كيغالي فيما يخص الهيدروفلوروكربون</w:t>
      </w:r>
      <w:r w:rsidR="00D20FD4">
        <w:rPr>
          <w:sz w:val="26"/>
          <w:szCs w:val="26"/>
          <w:rtl/>
          <w:lang w:eastAsia="ar" w:bidi="ar-LB"/>
        </w:rPr>
        <w:t>،</w:t>
      </w:r>
      <w:r w:rsidRPr="00DC0F88">
        <w:rPr>
          <w:sz w:val="26"/>
          <w:szCs w:val="26"/>
          <w:rtl/>
          <w:lang w:eastAsia="ar" w:bidi="ar-LB"/>
        </w:rPr>
        <w:t xml:space="preserve"> باستثناء أنه يمكن تقديم شريحة التمويل النهائية، على أقرب تقدير، قبل عام واحد من العام الماضي</w:t>
      </w:r>
      <w:r w:rsidR="00786556">
        <w:rPr>
          <w:sz w:val="26"/>
          <w:szCs w:val="26"/>
          <w:rtl/>
          <w:lang w:eastAsia="ar" w:bidi="ar-LB"/>
        </w:rPr>
        <w:t xml:space="preserve"> </w:t>
      </w:r>
      <w:r w:rsidRPr="00DC0F88">
        <w:rPr>
          <w:sz w:val="26"/>
          <w:szCs w:val="26"/>
          <w:rtl/>
          <w:lang w:eastAsia="ar" w:bidi="ar-LB"/>
        </w:rPr>
        <w:t>الذي تحدد هدف الاستهلاك له</w:t>
      </w:r>
      <w:bookmarkEnd w:id="1"/>
      <w:r w:rsidRPr="00DC0F88">
        <w:rPr>
          <w:sz w:val="26"/>
          <w:szCs w:val="26"/>
          <w:rtl/>
          <w:lang w:eastAsia="ar" w:bidi="ar-LB"/>
        </w:rPr>
        <w:t xml:space="preserve"> مع الإحاطة علما</w:t>
      </w:r>
      <w:r w:rsidR="00D20FD4">
        <w:rPr>
          <w:sz w:val="26"/>
          <w:szCs w:val="26"/>
          <w:rtl/>
          <w:lang w:eastAsia="ar" w:bidi="ar-LB"/>
        </w:rPr>
        <w:t>ً</w:t>
      </w:r>
      <w:r w:rsidRPr="00DC0F88">
        <w:rPr>
          <w:sz w:val="26"/>
          <w:szCs w:val="26"/>
          <w:rtl/>
          <w:lang w:eastAsia="ar" w:bidi="ar-LB"/>
        </w:rPr>
        <w:t xml:space="preserve"> بأن المرونة في تطبيق المقرر 62/17 سيستمر تطبيقها على أساس كل حالة على حدة، بما يتماشى مع الممارسة السابقة. </w:t>
      </w:r>
    </w:p>
    <w:p w14:paraId="5F04FC5A" w14:textId="51D68574" w:rsidR="00DC0F88" w:rsidRPr="00DC0F88" w:rsidRDefault="00DC0F88" w:rsidP="00DC0F88">
      <w:pPr>
        <w:pStyle w:val="Heading2"/>
        <w:numPr>
          <w:ilvl w:val="1"/>
          <w:numId w:val="1"/>
        </w:numPr>
        <w:bidi/>
        <w:rPr>
          <w:sz w:val="26"/>
          <w:szCs w:val="26"/>
          <w:lang w:bidi="ar-LB"/>
        </w:rPr>
      </w:pPr>
      <w:r w:rsidRPr="00DC0F88">
        <w:rPr>
          <w:sz w:val="26"/>
          <w:szCs w:val="26"/>
          <w:rtl/>
          <w:lang w:eastAsia="ar" w:bidi="ar-LB"/>
        </w:rPr>
        <w:t>بالنسبة للبلدان العاملة بالمادة 5 المشار إليها في الفقرتين الفرعيتين (ب) و(ج) أعلاه، فإن الموافقة النهائية على شريحة التمويل للمرحلة الأولى من خطط تنفيذ تعديل كيغالي فيما يخص الهيدروفلوروكربون ستكون مصحوبة بطلب للحصول على تقرير نهائي عن تنفيذ الشريحة، وتقرير تحقق بشأن التنفيذ و، حسب الاقتضاء، على المرحلة الحالية من خطط تنفيذ تعديل كيغالي فيما يخص الهيدروفلوروكربون التي تضمن إنجاز جميع الأنشطة المتوقعة وتحقيق أهداف استهلاك الهيدروفلوروكربون؛</w:t>
      </w:r>
    </w:p>
    <w:p w14:paraId="5D5202C1" w14:textId="2DCAA52F" w:rsidR="00DC0F88" w:rsidRPr="00DC0F88" w:rsidRDefault="00DC0F88" w:rsidP="00DC0F88">
      <w:pPr>
        <w:pStyle w:val="Heading2"/>
        <w:numPr>
          <w:ilvl w:val="1"/>
          <w:numId w:val="1"/>
        </w:numPr>
        <w:bidi/>
        <w:rPr>
          <w:sz w:val="26"/>
          <w:szCs w:val="26"/>
          <w:lang w:bidi="ar-LB"/>
        </w:rPr>
      </w:pPr>
      <w:r w:rsidRPr="00DC0F88">
        <w:rPr>
          <w:sz w:val="26"/>
          <w:szCs w:val="26"/>
          <w:rtl/>
          <w:lang w:eastAsia="ar" w:bidi="ar-LB"/>
        </w:rPr>
        <w:t>بعد الموافقة على شريحة التمويل النهائية للمرحلة الأولى من خطط تنفيذ تعديل كيغالي فيما يخص الهيدروفلوروكربون، وما لم تقع ظروف غير متوقعة ت</w:t>
      </w:r>
      <w:r w:rsidR="007A7B6F">
        <w:rPr>
          <w:sz w:val="26"/>
          <w:szCs w:val="26"/>
          <w:rtl/>
          <w:lang w:eastAsia="ar" w:bidi="ar-LB"/>
        </w:rPr>
        <w:t>ُ</w:t>
      </w:r>
      <w:r w:rsidRPr="00DC0F88">
        <w:rPr>
          <w:sz w:val="26"/>
          <w:szCs w:val="26"/>
          <w:rtl/>
          <w:lang w:eastAsia="ar" w:bidi="ar-LB"/>
        </w:rPr>
        <w:t>جرى نظرا</w:t>
      </w:r>
      <w:r w:rsidR="007A7B6F">
        <w:rPr>
          <w:sz w:val="26"/>
          <w:szCs w:val="26"/>
          <w:rtl/>
          <w:lang w:eastAsia="ar" w:bidi="ar-LB"/>
        </w:rPr>
        <w:t>ً</w:t>
      </w:r>
      <w:r w:rsidRPr="00DC0F88">
        <w:rPr>
          <w:sz w:val="26"/>
          <w:szCs w:val="26"/>
          <w:rtl/>
          <w:lang w:eastAsia="ar" w:bidi="ar-LB"/>
        </w:rPr>
        <w:t xml:space="preserve"> لها</w:t>
      </w:r>
      <w:r w:rsidR="00786556">
        <w:rPr>
          <w:sz w:val="26"/>
          <w:szCs w:val="26"/>
          <w:rtl/>
          <w:lang w:eastAsia="ar" w:bidi="ar-LB"/>
        </w:rPr>
        <w:t xml:space="preserve"> </w:t>
      </w:r>
      <w:r w:rsidRPr="00DC0F88">
        <w:rPr>
          <w:sz w:val="26"/>
          <w:szCs w:val="26"/>
          <w:rtl/>
          <w:lang w:eastAsia="ar" w:bidi="ar-LB"/>
        </w:rPr>
        <w:t xml:space="preserve">تعديلات في التمويل، بما في ذلك تلك الناتجة عن عدم الامتثال </w:t>
      </w:r>
      <w:r w:rsidRPr="00DC0F88">
        <w:rPr>
          <w:sz w:val="26"/>
          <w:szCs w:val="26"/>
          <w:rtl/>
          <w:lang w:eastAsia="ar" w:bidi="ar-LB"/>
        </w:rPr>
        <w:noBreakHyphen/>
        <w:t xml:space="preserve"> لاتفاقات خطط تنفيذ تعديل كيغالي فيما يخص الهيدروفلوروكربون المبرمة مع اللجنة التنفيذية، ت</w:t>
      </w:r>
      <w:r w:rsidR="007A7B6F">
        <w:rPr>
          <w:sz w:val="26"/>
          <w:szCs w:val="26"/>
          <w:rtl/>
          <w:lang w:eastAsia="ar" w:bidi="ar-LB"/>
        </w:rPr>
        <w:t>ُ</w:t>
      </w:r>
      <w:r w:rsidRPr="00DC0F88">
        <w:rPr>
          <w:sz w:val="26"/>
          <w:szCs w:val="26"/>
          <w:rtl/>
          <w:lang w:eastAsia="ar" w:bidi="ar-LB"/>
        </w:rPr>
        <w:t>جرى هذه التعديلات في المرحلة اللاحقة من خطط تنفيذ تعديل كيغالي فيما يخص الهيدروفلوروكربون.</w:t>
      </w:r>
    </w:p>
    <w:p w14:paraId="2E407BD5" w14:textId="0D0F27A3" w:rsidR="00DC0F88" w:rsidRPr="00DC0F88" w:rsidRDefault="00DC0F88" w:rsidP="00DC0F88">
      <w:pPr>
        <w:pStyle w:val="Heading1"/>
        <w:bidi/>
        <w:rPr>
          <w:sz w:val="26"/>
          <w:szCs w:val="26"/>
          <w:lang w:val="en-GB" w:bidi="ar-LB"/>
        </w:rPr>
      </w:pPr>
      <w:r w:rsidRPr="00DC0F88">
        <w:rPr>
          <w:sz w:val="26"/>
          <w:szCs w:val="26"/>
          <w:rtl/>
          <w:lang w:eastAsia="ar" w:bidi="ar-LB"/>
        </w:rPr>
        <w:t>وبما أن تنفيذ جميع أنشطة إزالة الهيدروكلوروفلوروكربون سيكون في مرحلة متقدمة عندما يبدأ إعداد المرحلة الثانية من خطط تنفيذ تعديل كيغالي فيما يخص الهيدروفلوروكربون، فقد ترغب اللجنة التنفيذية في النظر في إعادة النظر في العناصر المشار إليها في الفقرات الفرعية (ب) إلى (هـ) أعلاه في عام 2028 لتطبيقها على المراحل المستقبلية من خطط</w:t>
      </w:r>
      <w:r w:rsidR="00786556">
        <w:rPr>
          <w:sz w:val="26"/>
          <w:szCs w:val="26"/>
          <w:rtl/>
          <w:lang w:eastAsia="ar" w:bidi="ar-LB"/>
        </w:rPr>
        <w:t xml:space="preserve"> </w:t>
      </w:r>
      <w:r w:rsidRPr="00DC0F88">
        <w:rPr>
          <w:sz w:val="26"/>
          <w:szCs w:val="26"/>
          <w:rtl/>
          <w:lang w:eastAsia="ar" w:bidi="ar-LB"/>
        </w:rPr>
        <w:t>تنفيذ تعديل كيغالي فيما يخص الهيدروفلوروكربون</w:t>
      </w:r>
      <w:r w:rsidR="007A7B6F">
        <w:rPr>
          <w:sz w:val="26"/>
          <w:szCs w:val="26"/>
          <w:rtl/>
          <w:lang w:eastAsia="ar" w:bidi="ar-LB"/>
        </w:rPr>
        <w:t>،</w:t>
      </w:r>
      <w:r w:rsidRPr="00DC0F88">
        <w:rPr>
          <w:sz w:val="26"/>
          <w:szCs w:val="26"/>
          <w:rtl/>
          <w:lang w:eastAsia="ar" w:bidi="ar-LB"/>
        </w:rPr>
        <w:t xml:space="preserve"> بما في ذلك المستوى المطلوب لصرف الأموال للمرحلة الأولى من خطط تنفيذ تعديل كيغالي فيما يخص الهيدروفلوروكربون للنظر في المرحلة الثانية. وسيضمن النظر في مستوى التمويل المطلوب</w:t>
      </w:r>
      <w:r w:rsidR="00786556">
        <w:rPr>
          <w:sz w:val="26"/>
          <w:szCs w:val="26"/>
          <w:rtl/>
          <w:lang w:eastAsia="ar" w:bidi="ar-LB"/>
        </w:rPr>
        <w:t xml:space="preserve"> </w:t>
      </w:r>
      <w:r w:rsidRPr="00DC0F88">
        <w:rPr>
          <w:sz w:val="26"/>
          <w:szCs w:val="26"/>
          <w:rtl/>
          <w:lang w:eastAsia="ar" w:bidi="ar-LB"/>
        </w:rPr>
        <w:t xml:space="preserve">وجود حافز لتنفيذ واستكمال المرحلة الأولى من خطط تنفيذ تعديل كيغالي فيما يخص الهيدروفلوروكربون. </w:t>
      </w:r>
    </w:p>
    <w:p w14:paraId="7ADB6C6C" w14:textId="77777777" w:rsidR="00DC0F88" w:rsidRPr="00DC0F88" w:rsidRDefault="00DC0F88" w:rsidP="00DC0F88">
      <w:pPr>
        <w:keepNext/>
        <w:bidi/>
        <w:spacing w:after="240"/>
        <w:rPr>
          <w:b/>
          <w:bCs/>
          <w:sz w:val="26"/>
          <w:szCs w:val="26"/>
          <w:lang w:bidi="ar-LB"/>
        </w:rPr>
      </w:pPr>
      <w:r w:rsidRPr="00DC0F88">
        <w:rPr>
          <w:b/>
          <w:bCs/>
          <w:sz w:val="26"/>
          <w:szCs w:val="26"/>
          <w:rtl/>
          <w:lang w:eastAsia="ar" w:bidi="ar-LB"/>
        </w:rPr>
        <w:t>التوصية</w:t>
      </w:r>
    </w:p>
    <w:p w14:paraId="4EDB6777" w14:textId="77777777" w:rsidR="00DC0F88" w:rsidRPr="00DC0F88" w:rsidRDefault="00DC0F88" w:rsidP="00DC0F88">
      <w:pPr>
        <w:keepNext/>
        <w:numPr>
          <w:ilvl w:val="0"/>
          <w:numId w:val="1"/>
        </w:numPr>
        <w:bidi/>
        <w:spacing w:after="240"/>
        <w:outlineLvl w:val="0"/>
        <w:rPr>
          <w:sz w:val="26"/>
          <w:szCs w:val="26"/>
          <w:lang w:bidi="ar-LB"/>
        </w:rPr>
      </w:pPr>
      <w:r w:rsidRPr="00DC0F88">
        <w:rPr>
          <w:sz w:val="26"/>
          <w:szCs w:val="26"/>
          <w:rtl/>
          <w:lang w:eastAsia="ar" w:bidi="ar-LB"/>
        </w:rPr>
        <w:t>قد ترغب اللجنة التنفيذية في</w:t>
      </w:r>
      <w:r w:rsidRPr="00DC0F88">
        <w:rPr>
          <w:sz w:val="26"/>
          <w:szCs w:val="26"/>
          <w:lang w:eastAsia="ar" w:bidi="ar-LB"/>
        </w:rPr>
        <w:t xml:space="preserve"> </w:t>
      </w:r>
      <w:r w:rsidRPr="00DC0F88">
        <w:rPr>
          <w:sz w:val="26"/>
          <w:szCs w:val="26"/>
          <w:rtl/>
          <w:lang w:eastAsia="ar" w:bidi="ar-LB"/>
        </w:rPr>
        <w:t>الآتي:</w:t>
      </w:r>
    </w:p>
    <w:p w14:paraId="521D205D" w14:textId="19704600" w:rsidR="00DC0F88" w:rsidRPr="00594821" w:rsidRDefault="00DC0F88" w:rsidP="00780C33">
      <w:pPr>
        <w:widowControl w:val="0"/>
        <w:numPr>
          <w:ilvl w:val="1"/>
          <w:numId w:val="1"/>
        </w:numPr>
        <w:bidi/>
        <w:spacing w:after="240"/>
        <w:outlineLvl w:val="1"/>
        <w:rPr>
          <w:sz w:val="26"/>
          <w:szCs w:val="26"/>
          <w:lang w:bidi="ar-LB"/>
        </w:rPr>
      </w:pPr>
      <w:r w:rsidRPr="00594821">
        <w:rPr>
          <w:sz w:val="26"/>
          <w:szCs w:val="26"/>
          <w:rtl/>
          <w:lang w:eastAsia="ar" w:bidi="ar-LB"/>
        </w:rPr>
        <w:t xml:space="preserve">الإحاطة علما بتحليل آثار المقرر 62/17 على تنفيذ خطة إدارة إزالة المواد الهيدروكلوروفلوروكربونية (المقرر 93/105 (أ))، الوارد في الوثيقة </w:t>
      </w:r>
      <w:r w:rsidRPr="00594821">
        <w:rPr>
          <w:sz w:val="26"/>
          <w:szCs w:val="26"/>
          <w:lang w:eastAsia="ar" w:bidi="ar-LB"/>
        </w:rPr>
        <w:t>UNEP/</w:t>
      </w:r>
      <w:proofErr w:type="spellStart"/>
      <w:r w:rsidRPr="00594821">
        <w:rPr>
          <w:sz w:val="26"/>
          <w:szCs w:val="26"/>
          <w:lang w:eastAsia="ar" w:bidi="ar-LB"/>
        </w:rPr>
        <w:t>OzL.Pro</w:t>
      </w:r>
      <w:proofErr w:type="spellEnd"/>
      <w:r w:rsidRPr="00594821">
        <w:rPr>
          <w:sz w:val="26"/>
          <w:szCs w:val="26"/>
          <w:lang w:eastAsia="ar" w:bidi="ar-LB"/>
        </w:rPr>
        <w:t>/ExCom/94/59</w:t>
      </w:r>
      <w:r w:rsidRPr="00594821">
        <w:rPr>
          <w:sz w:val="26"/>
          <w:szCs w:val="26"/>
          <w:rtl/>
          <w:lang w:eastAsia="ar" w:bidi="ar-LB"/>
        </w:rPr>
        <w:t xml:space="preserve">؛ </w:t>
      </w:r>
    </w:p>
    <w:p w14:paraId="426F6B59" w14:textId="145BE5E6" w:rsidR="00DC0F88" w:rsidRDefault="00DC0F88" w:rsidP="00DC0F88">
      <w:pPr>
        <w:widowControl w:val="0"/>
        <w:numPr>
          <w:ilvl w:val="1"/>
          <w:numId w:val="1"/>
        </w:numPr>
        <w:bidi/>
        <w:spacing w:after="240"/>
        <w:outlineLvl w:val="1"/>
        <w:rPr>
          <w:sz w:val="26"/>
          <w:szCs w:val="26"/>
          <w:lang w:eastAsia="en-US" w:bidi="ar-LB"/>
        </w:rPr>
      </w:pPr>
      <w:r w:rsidRPr="00DC0F88">
        <w:rPr>
          <w:sz w:val="26"/>
          <w:szCs w:val="26"/>
          <w:rtl/>
          <w:lang w:eastAsia="ar" w:bidi="ar-LB"/>
        </w:rPr>
        <w:t xml:space="preserve">النظر في تنقيح النهج المتبع إزاء توقيت وقيمة الشريحة النهائية من اتفاق متعدد السنوات وكيفية ذلك، مع مراعاة التحليل المشار إليه في الفقرة الفرعية (أ) أعلاه، ولا سيما الفقرات </w:t>
      </w:r>
      <w:r w:rsidR="001F6E3B">
        <w:rPr>
          <w:sz w:val="26"/>
          <w:szCs w:val="26"/>
          <w:lang w:val="en-US" w:eastAsia="ar" w:bidi="ar-LB"/>
        </w:rPr>
        <w:t>9</w:t>
      </w:r>
      <w:r w:rsidRPr="00DC0F88">
        <w:rPr>
          <w:sz w:val="26"/>
          <w:szCs w:val="26"/>
          <w:rtl/>
          <w:lang w:eastAsia="ar" w:bidi="ar-LB"/>
        </w:rPr>
        <w:t>-1</w:t>
      </w:r>
      <w:r w:rsidR="005D54E5">
        <w:rPr>
          <w:rFonts w:hint="cs"/>
          <w:sz w:val="26"/>
          <w:szCs w:val="26"/>
          <w:rtl/>
          <w:lang w:eastAsia="ar" w:bidi="ar-LB"/>
        </w:rPr>
        <w:t>1</w:t>
      </w:r>
      <w:r w:rsidRPr="00DC0F88">
        <w:rPr>
          <w:sz w:val="26"/>
          <w:szCs w:val="26"/>
          <w:rtl/>
          <w:lang w:eastAsia="ar" w:bidi="ar-LB"/>
        </w:rPr>
        <w:t>.</w:t>
      </w:r>
    </w:p>
    <w:p w14:paraId="3E3967A2" w14:textId="77777777" w:rsidR="00780C33" w:rsidRDefault="00780C33" w:rsidP="00780C33">
      <w:pPr>
        <w:rPr>
          <w:rtl/>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80C33" w14:paraId="0D102C0E" w14:textId="77777777" w:rsidTr="00827EE9">
        <w:tc>
          <w:tcPr>
            <w:tcW w:w="1915" w:type="dxa"/>
          </w:tcPr>
          <w:p w14:paraId="3B499774" w14:textId="77777777" w:rsidR="00780C33" w:rsidRDefault="00780C33" w:rsidP="00827EE9">
            <w:pPr>
              <w:rPr>
                <w:lang w:bidi="ar-LB"/>
              </w:rPr>
            </w:pPr>
          </w:p>
        </w:tc>
        <w:tc>
          <w:tcPr>
            <w:tcW w:w="1915" w:type="dxa"/>
          </w:tcPr>
          <w:p w14:paraId="114422AC" w14:textId="77777777" w:rsidR="00780C33" w:rsidRDefault="00780C33" w:rsidP="00827EE9">
            <w:pPr>
              <w:rPr>
                <w:lang w:bidi="ar-LB"/>
              </w:rPr>
            </w:pPr>
          </w:p>
        </w:tc>
        <w:tc>
          <w:tcPr>
            <w:tcW w:w="1915" w:type="dxa"/>
            <w:tcBorders>
              <w:bottom w:val="single" w:sz="4" w:space="0" w:color="auto"/>
            </w:tcBorders>
          </w:tcPr>
          <w:p w14:paraId="7DF2D8AD" w14:textId="77777777" w:rsidR="00780C33" w:rsidRDefault="00780C33" w:rsidP="00827EE9">
            <w:pPr>
              <w:rPr>
                <w:b/>
                <w:bCs/>
                <w:lang w:bidi="ar-LB"/>
              </w:rPr>
            </w:pPr>
          </w:p>
        </w:tc>
        <w:tc>
          <w:tcPr>
            <w:tcW w:w="1915" w:type="dxa"/>
          </w:tcPr>
          <w:p w14:paraId="686F6DE4" w14:textId="77777777" w:rsidR="00780C33" w:rsidRDefault="00780C33" w:rsidP="00827EE9">
            <w:pPr>
              <w:rPr>
                <w:lang w:bidi="ar-LB"/>
              </w:rPr>
            </w:pPr>
          </w:p>
        </w:tc>
        <w:tc>
          <w:tcPr>
            <w:tcW w:w="1916" w:type="dxa"/>
          </w:tcPr>
          <w:p w14:paraId="15D7A636" w14:textId="77777777" w:rsidR="00780C33" w:rsidRDefault="00780C33" w:rsidP="00827EE9">
            <w:pPr>
              <w:rPr>
                <w:lang w:bidi="ar-LB"/>
              </w:rPr>
            </w:pPr>
          </w:p>
        </w:tc>
      </w:tr>
    </w:tbl>
    <w:p w14:paraId="4076BEAC" w14:textId="77777777" w:rsidR="00780C33" w:rsidRDefault="00780C33" w:rsidP="00780C33">
      <w:pPr>
        <w:rPr>
          <w:rtl/>
          <w:lang w:bidi="ar-LB"/>
        </w:rPr>
      </w:pPr>
    </w:p>
    <w:p w14:paraId="52A01CE1" w14:textId="77777777" w:rsidR="007E5D09" w:rsidRDefault="007E5D09">
      <w:pPr>
        <w:rPr>
          <w:rtl/>
          <w:lang w:bidi="ar-LB"/>
        </w:rPr>
      </w:pPr>
    </w:p>
    <w:sectPr w:rsidR="007E5D09" w:rsidSect="002E2841">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22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5DBCA3" w14:textId="77777777" w:rsidR="002E2841" w:rsidRDefault="002E2841">
      <w:r>
        <w:separator/>
      </w:r>
    </w:p>
  </w:endnote>
  <w:endnote w:type="continuationSeparator" w:id="0">
    <w:p w14:paraId="73BF71D4" w14:textId="77777777" w:rsidR="002E2841" w:rsidRDefault="002E2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2D74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4745BA"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D775F" w14:textId="77777777" w:rsidR="00160C48" w:rsidRDefault="00160C48" w:rsidP="00160C4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9195518" w14:textId="77777777" w:rsidR="00160C48" w:rsidRDefault="00160C48" w:rsidP="00160C4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7A08819F" w14:textId="01272C5C" w:rsidR="007E5D09" w:rsidRPr="00160C48" w:rsidRDefault="007E5D09" w:rsidP="00160C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6A4F04" w14:textId="77777777" w:rsidR="002E2841" w:rsidRDefault="002E2841">
      <w:r>
        <w:separator/>
      </w:r>
    </w:p>
  </w:footnote>
  <w:footnote w:type="continuationSeparator" w:id="0">
    <w:p w14:paraId="6BCB83E2" w14:textId="77777777" w:rsidR="002E2841" w:rsidRDefault="002E2841">
      <w:r>
        <w:continuationSeparator/>
      </w:r>
    </w:p>
  </w:footnote>
  <w:footnote w:id="1">
    <w:p w14:paraId="0033D767" w14:textId="139E78A7" w:rsidR="00DC0F88" w:rsidRPr="00F415C0" w:rsidRDefault="00DC0F88" w:rsidP="00DC0F88">
      <w:pPr>
        <w:pStyle w:val="FootnoteText"/>
        <w:rPr>
          <w:sz w:val="18"/>
          <w:szCs w:val="18"/>
        </w:rPr>
      </w:pPr>
      <w:r w:rsidRPr="00DC0F88">
        <w:rPr>
          <w:rStyle w:val="FootnoteReference"/>
          <w:sz w:val="18"/>
          <w:szCs w:val="18"/>
          <w:rtl/>
          <w:lang w:eastAsia="ar" w:bidi="ar-EG"/>
        </w:rPr>
        <w:footnoteRef/>
      </w:r>
      <w:r w:rsidRPr="00DC0F88">
        <w:rPr>
          <w:sz w:val="18"/>
          <w:szCs w:val="18"/>
          <w:rtl/>
          <w:lang w:eastAsia="ar" w:bidi="ar-EG"/>
        </w:rPr>
        <w:t xml:space="preserve"> </w:t>
      </w:r>
      <w:r w:rsidRPr="00DC0F88">
        <w:rPr>
          <w:sz w:val="18"/>
          <w:szCs w:val="18"/>
          <w:lang w:val="en-GB" w:eastAsia="ar" w:bidi="en-GB"/>
        </w:rPr>
        <w:t>UNEP/</w:t>
      </w:r>
      <w:proofErr w:type="spellStart"/>
      <w:r w:rsidRPr="00DC0F88">
        <w:rPr>
          <w:sz w:val="18"/>
          <w:szCs w:val="18"/>
          <w:lang w:val="en-GB" w:eastAsia="ar" w:bidi="en-GB"/>
        </w:rPr>
        <w:t>OzL.Pro</w:t>
      </w:r>
      <w:proofErr w:type="spellEnd"/>
      <w:r w:rsidRPr="00DC0F88">
        <w:rPr>
          <w:sz w:val="18"/>
          <w:szCs w:val="18"/>
          <w:lang w:val="en-GB" w:eastAsia="ar" w:bidi="en-GB"/>
        </w:rPr>
        <w:t>/ExCom</w:t>
      </w:r>
      <w:r w:rsidRPr="00DC0F88">
        <w:rPr>
          <w:sz w:val="18"/>
          <w:szCs w:val="18"/>
          <w:lang w:eastAsia="ar" w:bidi="ar-EG"/>
        </w:rPr>
        <w:t>/94/1</w:t>
      </w:r>
    </w:p>
  </w:footnote>
  <w:footnote w:id="2">
    <w:p w14:paraId="5FDB46BC" w14:textId="2322806A" w:rsidR="00DC0F88" w:rsidRPr="00DC0F88" w:rsidRDefault="00DC0F88" w:rsidP="00194EAC">
      <w:pPr>
        <w:pStyle w:val="FootnoteText"/>
        <w:bidi/>
        <w:jc w:val="right"/>
        <w:rPr>
          <w:sz w:val="18"/>
          <w:szCs w:val="18"/>
          <w:lang w:val="en-US"/>
        </w:rPr>
      </w:pPr>
      <w:r w:rsidRPr="00DC0F88">
        <w:rPr>
          <w:sz w:val="18"/>
          <w:szCs w:val="18"/>
          <w:lang w:val="en-GB" w:eastAsia="ar" w:bidi="en-GB"/>
        </w:rPr>
        <w:t>UNEP/OzL.Pro/ExCom</w:t>
      </w:r>
      <w:r w:rsidRPr="00DC0F88">
        <w:rPr>
          <w:sz w:val="18"/>
          <w:szCs w:val="18"/>
          <w:lang w:eastAsia="ar" w:bidi="ar-EG"/>
        </w:rPr>
        <w:t>/93/105</w:t>
      </w:r>
      <w:r w:rsidRPr="00DC0F88">
        <w:rPr>
          <w:sz w:val="18"/>
          <w:szCs w:val="18"/>
          <w:rtl/>
          <w:lang w:eastAsia="ar" w:bidi="ar-EG"/>
        </w:rPr>
        <w:t>، الفقرات 413-416</w:t>
      </w:r>
      <w:r w:rsidR="00194EAC" w:rsidRPr="00194EAC">
        <w:rPr>
          <w:rStyle w:val="FootnoteReference"/>
          <w:sz w:val="18"/>
          <w:szCs w:val="18"/>
          <w:rtl/>
          <w:lang w:eastAsia="ar" w:bidi="ar-EG"/>
        </w:rPr>
        <w:t xml:space="preserve"> </w:t>
      </w:r>
      <w:r w:rsidR="00194EAC" w:rsidRPr="00DC0F88">
        <w:rPr>
          <w:rStyle w:val="FootnoteReference"/>
          <w:sz w:val="18"/>
          <w:szCs w:val="18"/>
          <w:rtl/>
          <w:lang w:eastAsia="ar" w:bidi="ar-EG"/>
        </w:rPr>
        <w:footnoteRef/>
      </w:r>
    </w:p>
  </w:footnote>
  <w:footnote w:id="3">
    <w:p w14:paraId="7A357C9A" w14:textId="7F4D4846" w:rsidR="00DC0F88" w:rsidRPr="00DC0F88" w:rsidRDefault="00DC0F88" w:rsidP="00DC0F88">
      <w:pPr>
        <w:pStyle w:val="FootnoteText"/>
        <w:bidi/>
        <w:rPr>
          <w:sz w:val="18"/>
          <w:szCs w:val="18"/>
          <w:lang w:val="en-US"/>
        </w:rPr>
      </w:pPr>
      <w:r w:rsidRPr="00DC0F88">
        <w:rPr>
          <w:rStyle w:val="FootnoteReference"/>
          <w:sz w:val="18"/>
          <w:szCs w:val="18"/>
          <w:rtl/>
          <w:lang w:eastAsia="ar" w:bidi="ar-EG"/>
        </w:rPr>
        <w:footnoteRef/>
      </w:r>
      <w:r w:rsidRPr="00DC0F88">
        <w:rPr>
          <w:sz w:val="18"/>
          <w:szCs w:val="18"/>
          <w:rtl/>
          <w:lang w:eastAsia="ar" w:bidi="ar-EG"/>
        </w:rPr>
        <w:t xml:space="preserve"> قررت اللجنة التنفيذية، فيما يخص لخطط إدارة إزالة المواد الهيدروكلوروفلوروكربونية التي طُلب لها شريحة التمويل النهائية قبل سنة أو أكثر من السنة الأخيرة التي تحدد هدف استهلاك لها، أن تطلب من الوكالة المنفذة الرئيسية والوكالات المتعاونة ذات الصلة تقديم تقارير سنوية عن تنفيذ الشريحة، وكذلك، متى أمكن، تقارير تحقق عن المرحلة الحالية من خطط إدارة إزالة المواد الهيدروكلوروفلوروكربونية حتى إنجاز جميع الأنشطة المتوقعة وتحقيق أهداف استهلاك الهيدروكلوروفلوروكربون، على أساس أن تستند تقارير التحقق،</w:t>
      </w:r>
      <w:r w:rsidR="00786556">
        <w:rPr>
          <w:sz w:val="18"/>
          <w:szCs w:val="18"/>
          <w:rtl/>
          <w:lang w:eastAsia="ar" w:bidi="ar-EG"/>
        </w:rPr>
        <w:t xml:space="preserve"> </w:t>
      </w:r>
      <w:r w:rsidRPr="00DC0F88">
        <w:rPr>
          <w:sz w:val="18"/>
          <w:szCs w:val="18"/>
          <w:rtl/>
          <w:lang w:eastAsia="ar" w:bidi="ar-EG"/>
        </w:rPr>
        <w:t>عند</w:t>
      </w:r>
      <w:r w:rsidR="00786556">
        <w:rPr>
          <w:sz w:val="18"/>
          <w:szCs w:val="18"/>
          <w:rtl/>
          <w:lang w:eastAsia="ar" w:bidi="ar-EG"/>
        </w:rPr>
        <w:t xml:space="preserve"> </w:t>
      </w:r>
      <w:r w:rsidRPr="00DC0F88">
        <w:rPr>
          <w:sz w:val="18"/>
          <w:szCs w:val="18"/>
          <w:rtl/>
          <w:lang w:eastAsia="ar" w:bidi="ar-EG"/>
        </w:rPr>
        <w:t>تنفيذ المراحل المتعاقبة من خطط إدارة إزالة المواد الهيدروكلوروفلوروكربونية بشكل متزامن،</w:t>
      </w:r>
      <w:r w:rsidR="00786556">
        <w:rPr>
          <w:sz w:val="18"/>
          <w:szCs w:val="18"/>
          <w:rtl/>
          <w:lang w:eastAsia="ar" w:bidi="ar-EG"/>
        </w:rPr>
        <w:t xml:space="preserve"> </w:t>
      </w:r>
      <w:r w:rsidRPr="00DC0F88">
        <w:rPr>
          <w:sz w:val="18"/>
          <w:szCs w:val="18"/>
          <w:rtl/>
          <w:lang w:eastAsia="ar" w:bidi="ar-EG"/>
        </w:rPr>
        <w:t>إلى المستويات الأدنى هدف استهلاك الهيدروكلوروفلوروكربون الذي التزم به البلد المعني (المقرر 74/19)</w:t>
      </w:r>
    </w:p>
  </w:footnote>
  <w:footnote w:id="4">
    <w:p w14:paraId="70FA1428" w14:textId="41875178" w:rsidR="00DC0F88" w:rsidRPr="00DC0F88" w:rsidRDefault="00DC0F88" w:rsidP="00DC0F88">
      <w:pPr>
        <w:pStyle w:val="FootnoteText"/>
        <w:bidi/>
        <w:rPr>
          <w:sz w:val="18"/>
          <w:szCs w:val="18"/>
        </w:rPr>
      </w:pPr>
      <w:r w:rsidRPr="00DC0F88">
        <w:rPr>
          <w:rStyle w:val="FootnoteReference"/>
          <w:sz w:val="18"/>
          <w:szCs w:val="18"/>
          <w:rtl/>
          <w:lang w:eastAsia="ar" w:bidi="ar-EG"/>
        </w:rPr>
        <w:footnoteRef/>
      </w:r>
      <w:r w:rsidRPr="00DC0F88">
        <w:rPr>
          <w:sz w:val="18"/>
          <w:szCs w:val="18"/>
          <w:rtl/>
          <w:lang w:eastAsia="ar" w:bidi="ar-EG"/>
        </w:rPr>
        <w:t xml:space="preserve"> </w:t>
      </w:r>
      <w:r w:rsidRPr="00DC0F88">
        <w:rPr>
          <w:sz w:val="18"/>
          <w:szCs w:val="18"/>
          <w:rtl/>
          <w:lang w:eastAsia="ar" w:bidi="ar-EG"/>
        </w:rPr>
        <w:t xml:space="preserve">الفقرة 415 من الوثيقة </w:t>
      </w:r>
      <w:r w:rsidRPr="00DC0F88">
        <w:rPr>
          <w:sz w:val="18"/>
          <w:szCs w:val="18"/>
          <w:lang w:val="en-GB" w:eastAsia="ar" w:bidi="en-GB"/>
        </w:rPr>
        <w:t>UNEP/</w:t>
      </w:r>
      <w:proofErr w:type="spellStart"/>
      <w:r w:rsidRPr="00DC0F88">
        <w:rPr>
          <w:sz w:val="18"/>
          <w:szCs w:val="18"/>
          <w:lang w:val="en-GB" w:eastAsia="ar" w:bidi="en-GB"/>
        </w:rPr>
        <w:t>OzL.Pro</w:t>
      </w:r>
      <w:proofErr w:type="spellEnd"/>
      <w:r w:rsidRPr="00DC0F88">
        <w:rPr>
          <w:sz w:val="18"/>
          <w:szCs w:val="18"/>
          <w:lang w:val="en-GB" w:eastAsia="ar" w:bidi="en-GB"/>
        </w:rPr>
        <w:t>/ExCom</w:t>
      </w:r>
      <w:r w:rsidRPr="00DC0F88">
        <w:rPr>
          <w:sz w:val="18"/>
          <w:szCs w:val="18"/>
          <w:lang w:eastAsia="ar" w:bidi="ar-EG"/>
        </w:rPr>
        <w:t>/93/105</w:t>
      </w:r>
    </w:p>
  </w:footnote>
  <w:footnote w:id="5">
    <w:p w14:paraId="024E8A27" w14:textId="52DAA3E8" w:rsidR="00DC0F88" w:rsidRPr="00DC0F88" w:rsidRDefault="00DC0F88" w:rsidP="00DC0F88">
      <w:pPr>
        <w:pStyle w:val="FootnoteText"/>
        <w:bidi/>
        <w:rPr>
          <w:sz w:val="18"/>
          <w:szCs w:val="18"/>
          <w:lang w:val="en-US"/>
        </w:rPr>
      </w:pPr>
      <w:r w:rsidRPr="00DC0F88">
        <w:rPr>
          <w:rStyle w:val="FootnoteReference"/>
          <w:sz w:val="18"/>
          <w:szCs w:val="18"/>
          <w:rtl/>
          <w:lang w:eastAsia="ar" w:bidi="ar-EG"/>
        </w:rPr>
        <w:footnoteRef/>
      </w:r>
      <w:r w:rsidRPr="00DC0F88">
        <w:rPr>
          <w:sz w:val="18"/>
          <w:szCs w:val="18"/>
          <w:rtl/>
          <w:lang w:eastAsia="ar" w:bidi="ar-EG"/>
        </w:rPr>
        <w:t xml:space="preserve"> مونتريال، 12-13 مارس/آذار 2024</w:t>
      </w:r>
    </w:p>
  </w:footnote>
  <w:footnote w:id="6">
    <w:p w14:paraId="1A16B5AA" w14:textId="28CEEC80" w:rsidR="00DC0F88" w:rsidRPr="00DC0F88" w:rsidRDefault="00DC0F88" w:rsidP="00DC0F88">
      <w:pPr>
        <w:pStyle w:val="FootnoteText"/>
        <w:bidi/>
        <w:rPr>
          <w:sz w:val="18"/>
          <w:szCs w:val="18"/>
          <w:lang w:val="en-US"/>
        </w:rPr>
      </w:pPr>
      <w:r w:rsidRPr="00DC0F88">
        <w:rPr>
          <w:rStyle w:val="FootnoteReference"/>
          <w:sz w:val="18"/>
          <w:szCs w:val="18"/>
          <w:rtl/>
          <w:lang w:eastAsia="ar" w:bidi="ar-EG"/>
        </w:rPr>
        <w:footnoteRef/>
      </w:r>
      <w:r w:rsidRPr="00DC0F88">
        <w:rPr>
          <w:sz w:val="18"/>
          <w:szCs w:val="18"/>
          <w:rtl/>
          <w:lang w:eastAsia="ar" w:bidi="ar-EG"/>
        </w:rPr>
        <w:t xml:space="preserve"> </w:t>
      </w:r>
      <w:r w:rsidRPr="00DC0F88">
        <w:rPr>
          <w:sz w:val="18"/>
          <w:szCs w:val="18"/>
          <w:lang w:val="en-GB" w:eastAsia="ar" w:bidi="en-GB"/>
        </w:rPr>
        <w:t>MLF/IACM</w:t>
      </w:r>
      <w:r w:rsidRPr="00DC0F88">
        <w:rPr>
          <w:sz w:val="18"/>
          <w:szCs w:val="18"/>
          <w:lang w:eastAsia="ar" w:bidi="ar-EG"/>
        </w:rPr>
        <w:t>.2024/1/2</w:t>
      </w:r>
      <w:r w:rsidRPr="00DC0F88">
        <w:rPr>
          <w:sz w:val="18"/>
          <w:szCs w:val="18"/>
          <w:rtl/>
          <w:lang w:eastAsia="ar" w:bidi="ar-EG"/>
        </w:rPr>
        <w:t>، الفقرتان 28-29</w:t>
      </w:r>
    </w:p>
  </w:footnote>
  <w:footnote w:id="7">
    <w:p w14:paraId="7443F6C6" w14:textId="2553AF96" w:rsidR="00DC0F88" w:rsidRPr="00DC0F88" w:rsidRDefault="00DC0F88" w:rsidP="00DC0F88">
      <w:pPr>
        <w:pStyle w:val="FootnoteText"/>
        <w:rPr>
          <w:sz w:val="18"/>
          <w:szCs w:val="18"/>
          <w:lang w:val="en-US"/>
        </w:rPr>
      </w:pPr>
      <w:r w:rsidRPr="00DC0F88">
        <w:rPr>
          <w:rStyle w:val="FootnoteReference"/>
          <w:sz w:val="18"/>
          <w:szCs w:val="18"/>
          <w:lang w:eastAsia="ar" w:bidi="ar-EG"/>
        </w:rPr>
        <w:footnoteRef/>
      </w:r>
      <w:r w:rsidRPr="00DC0F88">
        <w:rPr>
          <w:sz w:val="18"/>
          <w:szCs w:val="18"/>
          <w:lang w:eastAsia="ar" w:bidi="ar-EG"/>
        </w:rPr>
        <w:t xml:space="preserve"> </w:t>
      </w:r>
      <w:r w:rsidRPr="00DC0F88">
        <w:rPr>
          <w:sz w:val="18"/>
          <w:szCs w:val="18"/>
          <w:lang w:val="en-GB" w:eastAsia="ar" w:bidi="en-GB"/>
        </w:rPr>
        <w:t>UNEP/</w:t>
      </w:r>
      <w:proofErr w:type="spellStart"/>
      <w:r w:rsidRPr="00DC0F88">
        <w:rPr>
          <w:sz w:val="18"/>
          <w:szCs w:val="18"/>
          <w:lang w:val="en-GB" w:eastAsia="ar" w:bidi="en-GB"/>
        </w:rPr>
        <w:t>OzL.Pro</w:t>
      </w:r>
      <w:proofErr w:type="spellEnd"/>
      <w:r w:rsidRPr="00DC0F88">
        <w:rPr>
          <w:sz w:val="18"/>
          <w:szCs w:val="18"/>
          <w:lang w:val="en-GB" w:eastAsia="ar" w:bidi="en-GB"/>
        </w:rPr>
        <w:t>/ExCom</w:t>
      </w:r>
      <w:r w:rsidRPr="00DC0F88">
        <w:rPr>
          <w:sz w:val="18"/>
          <w:szCs w:val="18"/>
          <w:lang w:eastAsia="ar" w:bidi="ar-EG"/>
        </w:rPr>
        <w:t>/89/4</w:t>
      </w:r>
    </w:p>
  </w:footnote>
  <w:footnote w:id="8">
    <w:p w14:paraId="6E5F0DBA" w14:textId="1683D31A" w:rsidR="00DC0F88" w:rsidRPr="00DC0F88" w:rsidRDefault="00DC0F88" w:rsidP="00DC0F88">
      <w:pPr>
        <w:pStyle w:val="FootnoteText"/>
        <w:rPr>
          <w:sz w:val="18"/>
          <w:szCs w:val="18"/>
        </w:rPr>
      </w:pPr>
      <w:r w:rsidRPr="00DC0F88">
        <w:rPr>
          <w:rStyle w:val="FootnoteReference"/>
          <w:sz w:val="18"/>
          <w:szCs w:val="18"/>
          <w:lang w:eastAsia="ar" w:bidi="ar-EG"/>
        </w:rPr>
        <w:footnoteRef/>
      </w:r>
      <w:r w:rsidRPr="00DC0F88">
        <w:rPr>
          <w:sz w:val="18"/>
          <w:szCs w:val="18"/>
          <w:lang w:eastAsia="ar" w:bidi="ar-EG"/>
        </w:rPr>
        <w:t xml:space="preserve"> </w:t>
      </w:r>
      <w:r w:rsidRPr="00DC0F88">
        <w:rPr>
          <w:sz w:val="18"/>
          <w:szCs w:val="18"/>
          <w:lang w:val="en-GB" w:eastAsia="ar" w:bidi="en-GB"/>
        </w:rPr>
        <w:t>UNEP/</w:t>
      </w:r>
      <w:proofErr w:type="spellStart"/>
      <w:r w:rsidRPr="00DC0F88">
        <w:rPr>
          <w:sz w:val="18"/>
          <w:szCs w:val="18"/>
          <w:lang w:val="en-GB" w:eastAsia="ar" w:bidi="en-GB"/>
        </w:rPr>
        <w:t>OzL.Pro</w:t>
      </w:r>
      <w:proofErr w:type="spellEnd"/>
      <w:r w:rsidRPr="00DC0F88">
        <w:rPr>
          <w:sz w:val="18"/>
          <w:szCs w:val="18"/>
          <w:lang w:val="en-GB" w:eastAsia="ar" w:bidi="en-GB"/>
        </w:rPr>
        <w:t>/ExCom</w:t>
      </w:r>
      <w:r w:rsidRPr="00DC0F88">
        <w:rPr>
          <w:sz w:val="18"/>
          <w:szCs w:val="18"/>
          <w:lang w:eastAsia="ar" w:bidi="ar-EG"/>
        </w:rPr>
        <w:t>/91/67</w:t>
      </w:r>
    </w:p>
  </w:footnote>
  <w:footnote w:id="9">
    <w:p w14:paraId="4F9E85E4" w14:textId="5A465C78" w:rsidR="00DC0F88" w:rsidRPr="00DC0F88" w:rsidRDefault="00DC0F88" w:rsidP="00DC0F88">
      <w:pPr>
        <w:pStyle w:val="FootnoteText"/>
        <w:bidi/>
        <w:rPr>
          <w:sz w:val="18"/>
          <w:szCs w:val="18"/>
          <w:lang w:val="en-US"/>
        </w:rPr>
      </w:pPr>
      <w:r w:rsidRPr="00DC0F88">
        <w:rPr>
          <w:rStyle w:val="FootnoteReference"/>
          <w:sz w:val="18"/>
          <w:szCs w:val="18"/>
          <w:rtl/>
          <w:lang w:eastAsia="ar" w:bidi="ar-EG"/>
        </w:rPr>
        <w:footnoteRef/>
      </w:r>
      <w:r w:rsidRPr="00DC0F88">
        <w:rPr>
          <w:sz w:val="18"/>
          <w:szCs w:val="18"/>
          <w:rtl/>
          <w:lang w:eastAsia="ar" w:bidi="ar-EG"/>
        </w:rPr>
        <w:t xml:space="preserve"> </w:t>
      </w:r>
      <w:r w:rsidRPr="00DC0F88">
        <w:rPr>
          <w:sz w:val="18"/>
          <w:szCs w:val="18"/>
          <w:lang w:val="en-GB" w:eastAsia="ar" w:bidi="en-GB"/>
        </w:rPr>
        <w:t>MLF/IACM</w:t>
      </w:r>
      <w:r w:rsidRPr="00DC0F88">
        <w:rPr>
          <w:sz w:val="18"/>
          <w:szCs w:val="18"/>
          <w:lang w:eastAsia="ar" w:bidi="ar-EG"/>
        </w:rPr>
        <w:t>.2019/1/28</w:t>
      </w:r>
      <w:r w:rsidRPr="00DC0F88">
        <w:rPr>
          <w:sz w:val="18"/>
          <w:szCs w:val="18"/>
          <w:rtl/>
          <w:lang w:eastAsia="ar" w:bidi="ar-EG"/>
        </w:rPr>
        <w:t>، الفقرة 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5C23D7" w14:textId="0BAD0F06" w:rsidR="007E5D09" w:rsidRPr="00780C33" w:rsidRDefault="005D65F3" w:rsidP="0032152A">
    <w:pPr>
      <w:jc w:val="right"/>
      <w:rPr>
        <w:sz w:val="24"/>
        <w:szCs w:val="24"/>
      </w:rPr>
    </w:pPr>
    <w:r w:rsidRPr="00780C33">
      <w:rPr>
        <w:sz w:val="24"/>
        <w:szCs w:val="24"/>
      </w:rPr>
      <w:fldChar w:fldCharType="begin"/>
    </w:r>
    <w:r w:rsidRPr="00780C33">
      <w:rPr>
        <w:sz w:val="24"/>
        <w:szCs w:val="24"/>
      </w:rPr>
      <w:instrText xml:space="preserve"> DOCPROPERTY "Document number"  \* MERGEFORMAT </w:instrText>
    </w:r>
    <w:r w:rsidRPr="00780C33">
      <w:rPr>
        <w:sz w:val="24"/>
        <w:szCs w:val="24"/>
      </w:rPr>
      <w:fldChar w:fldCharType="separate"/>
    </w:r>
    <w:r w:rsidR="00CD7C4B">
      <w:rPr>
        <w:sz w:val="24"/>
        <w:szCs w:val="24"/>
      </w:rPr>
      <w:t>UNEP/</w:t>
    </w:r>
    <w:proofErr w:type="spellStart"/>
    <w:r w:rsidR="00CD7C4B">
      <w:rPr>
        <w:sz w:val="24"/>
        <w:szCs w:val="24"/>
      </w:rPr>
      <w:t>OzL.Pro</w:t>
    </w:r>
    <w:proofErr w:type="spellEnd"/>
    <w:r w:rsidR="00CD7C4B">
      <w:rPr>
        <w:sz w:val="24"/>
        <w:szCs w:val="24"/>
      </w:rPr>
      <w:t>/ExCom/94/59</w:t>
    </w:r>
    <w:r w:rsidRPr="00780C33">
      <w:rPr>
        <w:sz w:val="24"/>
        <w:szCs w:val="24"/>
      </w:rPr>
      <w:fldChar w:fldCharType="end"/>
    </w:r>
  </w:p>
  <w:p w14:paraId="26D7D888" w14:textId="77777777" w:rsidR="007E5D09" w:rsidRDefault="007E5D09"/>
  <w:p w14:paraId="419AA2B0"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86280" w14:textId="11731538" w:rsidR="007E5D09" w:rsidRDefault="00193D09" w:rsidP="0032152A">
    <w:pPr>
      <w:jc w:val="left"/>
    </w:pPr>
    <w:r>
      <w:fldChar w:fldCharType="begin"/>
    </w:r>
    <w:r>
      <w:instrText xml:space="preserve"> DOCPROPERTY "Document number"  \* MERGEFORMAT </w:instrText>
    </w:r>
    <w:r>
      <w:fldChar w:fldCharType="separate"/>
    </w:r>
    <w:r w:rsidR="00CD7C4B">
      <w:t>UNEP/</w:t>
    </w:r>
    <w:proofErr w:type="spellStart"/>
    <w:r w:rsidR="00CD7C4B">
      <w:t>OzL.Pro</w:t>
    </w:r>
    <w:proofErr w:type="spellEnd"/>
    <w:r w:rsidR="00CD7C4B">
      <w:t>/ExCom/94/59</w:t>
    </w:r>
    <w:r>
      <w:rPr>
        <w:sz w:val="28"/>
        <w:szCs w:val="24"/>
      </w:rPr>
      <w:fldChar w:fldCharType="end"/>
    </w:r>
  </w:p>
  <w:p w14:paraId="5247B705" w14:textId="77777777" w:rsidR="007E5D09" w:rsidRDefault="007E5D09"/>
  <w:p w14:paraId="24451196"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5A4248E"/>
    <w:lvl w:ilvl="0">
      <w:start w:val="1"/>
      <w:numFmt w:val="decimal"/>
      <w:pStyle w:val="Heading1"/>
      <w:lvlText w:val="%1."/>
      <w:lvlJc w:val="left"/>
      <w:pPr>
        <w:tabs>
          <w:tab w:val="num" w:pos="0"/>
        </w:tabs>
        <w:ind w:left="0" w:firstLine="0"/>
      </w:pPr>
      <w:rPr>
        <w:rFonts w:hint="default"/>
      </w:rPr>
    </w:lvl>
    <w:lvl w:ilvl="1">
      <w:start w:val="1"/>
      <w:numFmt w:val="arabicAbjad"/>
      <w:lvlText w:val="(%2)"/>
      <w:lvlJc w:val="left"/>
      <w:pPr>
        <w:tabs>
          <w:tab w:val="num" w:pos="0"/>
        </w:tabs>
        <w:ind w:left="1440" w:hanging="720"/>
      </w:pPr>
      <w:rPr>
        <w:rFonts w:ascii="Times New Roman" w:eastAsia="Times New Roman" w:hAnsi="Times New Roman" w:cs="Times New Roman" w:hint="default"/>
        <w:lang w:val="en-GB"/>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73960044">
    <w:abstractNumId w:val="10"/>
  </w:num>
  <w:num w:numId="2" w16cid:durableId="1925409767">
    <w:abstractNumId w:val="10"/>
  </w:num>
  <w:num w:numId="3" w16cid:durableId="1898777541">
    <w:abstractNumId w:val="10"/>
  </w:num>
  <w:num w:numId="4" w16cid:durableId="925919421">
    <w:abstractNumId w:val="10"/>
  </w:num>
  <w:num w:numId="5" w16cid:durableId="517013623">
    <w:abstractNumId w:val="10"/>
  </w:num>
  <w:num w:numId="6" w16cid:durableId="1842432809">
    <w:abstractNumId w:val="9"/>
  </w:num>
  <w:num w:numId="7" w16cid:durableId="1437485705">
    <w:abstractNumId w:val="7"/>
  </w:num>
  <w:num w:numId="8" w16cid:durableId="1371107689">
    <w:abstractNumId w:val="6"/>
  </w:num>
  <w:num w:numId="9" w16cid:durableId="2069957233">
    <w:abstractNumId w:val="5"/>
  </w:num>
  <w:num w:numId="10" w16cid:durableId="648364025">
    <w:abstractNumId w:val="4"/>
  </w:num>
  <w:num w:numId="11" w16cid:durableId="504713277">
    <w:abstractNumId w:val="8"/>
  </w:num>
  <w:num w:numId="12" w16cid:durableId="1875843878">
    <w:abstractNumId w:val="3"/>
  </w:num>
  <w:num w:numId="13" w16cid:durableId="1667711523">
    <w:abstractNumId w:val="2"/>
  </w:num>
  <w:num w:numId="14" w16cid:durableId="598870984">
    <w:abstractNumId w:val="1"/>
  </w:num>
  <w:num w:numId="15" w16cid:durableId="1624530526">
    <w:abstractNumId w:val="0"/>
  </w:num>
  <w:num w:numId="16" w16cid:durableId="71590549">
    <w:abstractNumId w:val="12"/>
  </w:num>
  <w:num w:numId="17" w16cid:durableId="628168595">
    <w:abstractNumId w:val="15"/>
  </w:num>
  <w:num w:numId="18" w16cid:durableId="505948830">
    <w:abstractNumId w:val="16"/>
  </w:num>
  <w:num w:numId="19" w16cid:durableId="773749624">
    <w:abstractNumId w:val="17"/>
  </w:num>
  <w:num w:numId="20" w16cid:durableId="1050761379">
    <w:abstractNumId w:val="14"/>
  </w:num>
  <w:num w:numId="21" w16cid:durableId="1007901355">
    <w:abstractNumId w:val="11"/>
  </w:num>
  <w:num w:numId="22" w16cid:durableId="1843886432">
    <w:abstractNumId w:val="13"/>
  </w:num>
  <w:num w:numId="23" w16cid:durableId="4674327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4464857">
    <w:abstractNumId w:val="10"/>
  </w:num>
  <w:num w:numId="25" w16cid:durableId="1280600065">
    <w:abstractNumId w:val="10"/>
  </w:num>
  <w:num w:numId="26" w16cid:durableId="504708236">
    <w:abstractNumId w:val="10"/>
  </w:num>
  <w:num w:numId="27" w16cid:durableId="1863203522">
    <w:abstractNumId w:val="10"/>
    <w:lvlOverride w:ilvl="0">
      <w:startOverride w:val="1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18140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F88"/>
    <w:rsid w:val="00013372"/>
    <w:rsid w:val="00016DD6"/>
    <w:rsid w:val="00017133"/>
    <w:rsid w:val="0003197D"/>
    <w:rsid w:val="0003263B"/>
    <w:rsid w:val="0004254A"/>
    <w:rsid w:val="0005270A"/>
    <w:rsid w:val="000556F3"/>
    <w:rsid w:val="00071819"/>
    <w:rsid w:val="000861FE"/>
    <w:rsid w:val="00086747"/>
    <w:rsid w:val="000A6822"/>
    <w:rsid w:val="000B100B"/>
    <w:rsid w:val="000B6ED2"/>
    <w:rsid w:val="000C2FE8"/>
    <w:rsid w:val="000E0770"/>
    <w:rsid w:val="000F496C"/>
    <w:rsid w:val="00104E42"/>
    <w:rsid w:val="00160C48"/>
    <w:rsid w:val="00170997"/>
    <w:rsid w:val="00177765"/>
    <w:rsid w:val="00193D09"/>
    <w:rsid w:val="00194EAC"/>
    <w:rsid w:val="001D2B45"/>
    <w:rsid w:val="001F6E3B"/>
    <w:rsid w:val="0020514E"/>
    <w:rsid w:val="0022104F"/>
    <w:rsid w:val="00227EDE"/>
    <w:rsid w:val="00241573"/>
    <w:rsid w:val="00283AA6"/>
    <w:rsid w:val="002B535E"/>
    <w:rsid w:val="002D3D21"/>
    <w:rsid w:val="002E2841"/>
    <w:rsid w:val="002E3D44"/>
    <w:rsid w:val="002E6A6F"/>
    <w:rsid w:val="002E7EF7"/>
    <w:rsid w:val="002F0620"/>
    <w:rsid w:val="002F505F"/>
    <w:rsid w:val="0032152A"/>
    <w:rsid w:val="0032579D"/>
    <w:rsid w:val="00341578"/>
    <w:rsid w:val="0035441C"/>
    <w:rsid w:val="0038624C"/>
    <w:rsid w:val="003C2491"/>
    <w:rsid w:val="003C2739"/>
    <w:rsid w:val="003D5883"/>
    <w:rsid w:val="003F2852"/>
    <w:rsid w:val="00416AD7"/>
    <w:rsid w:val="00430246"/>
    <w:rsid w:val="00447186"/>
    <w:rsid w:val="004931E7"/>
    <w:rsid w:val="004A77B3"/>
    <w:rsid w:val="004C5B74"/>
    <w:rsid w:val="004D21AB"/>
    <w:rsid w:val="005242E7"/>
    <w:rsid w:val="0053096E"/>
    <w:rsid w:val="00557360"/>
    <w:rsid w:val="00594821"/>
    <w:rsid w:val="005B65DF"/>
    <w:rsid w:val="005C7D4A"/>
    <w:rsid w:val="005D4158"/>
    <w:rsid w:val="005D54E5"/>
    <w:rsid w:val="005D65F3"/>
    <w:rsid w:val="005E1548"/>
    <w:rsid w:val="00614434"/>
    <w:rsid w:val="00616FA5"/>
    <w:rsid w:val="00624AEF"/>
    <w:rsid w:val="006557C9"/>
    <w:rsid w:val="006603D7"/>
    <w:rsid w:val="00662A73"/>
    <w:rsid w:val="006759DA"/>
    <w:rsid w:val="006A299A"/>
    <w:rsid w:val="006B0DC1"/>
    <w:rsid w:val="006D68F7"/>
    <w:rsid w:val="006F2A2C"/>
    <w:rsid w:val="00702662"/>
    <w:rsid w:val="00750943"/>
    <w:rsid w:val="00780C33"/>
    <w:rsid w:val="0078158B"/>
    <w:rsid w:val="00786556"/>
    <w:rsid w:val="00786775"/>
    <w:rsid w:val="00791A1A"/>
    <w:rsid w:val="007A3B2A"/>
    <w:rsid w:val="007A5910"/>
    <w:rsid w:val="007A7B6F"/>
    <w:rsid w:val="007C6EF9"/>
    <w:rsid w:val="007D141D"/>
    <w:rsid w:val="007D567C"/>
    <w:rsid w:val="007E592F"/>
    <w:rsid w:val="007E5D09"/>
    <w:rsid w:val="007F35BB"/>
    <w:rsid w:val="0081620E"/>
    <w:rsid w:val="00885865"/>
    <w:rsid w:val="008E2901"/>
    <w:rsid w:val="008E3DF3"/>
    <w:rsid w:val="008E56F7"/>
    <w:rsid w:val="008E58FC"/>
    <w:rsid w:val="008F0C9E"/>
    <w:rsid w:val="008F372B"/>
    <w:rsid w:val="00900139"/>
    <w:rsid w:val="00920424"/>
    <w:rsid w:val="009370FD"/>
    <w:rsid w:val="0097413D"/>
    <w:rsid w:val="00983FD1"/>
    <w:rsid w:val="009C3B16"/>
    <w:rsid w:val="009C46B2"/>
    <w:rsid w:val="00A34013"/>
    <w:rsid w:val="00A44778"/>
    <w:rsid w:val="00A755B6"/>
    <w:rsid w:val="00A907AD"/>
    <w:rsid w:val="00AA1389"/>
    <w:rsid w:val="00AB4886"/>
    <w:rsid w:val="00AC7124"/>
    <w:rsid w:val="00B11DB6"/>
    <w:rsid w:val="00B23462"/>
    <w:rsid w:val="00B3695F"/>
    <w:rsid w:val="00B40E87"/>
    <w:rsid w:val="00B478F4"/>
    <w:rsid w:val="00B81E83"/>
    <w:rsid w:val="00BA0074"/>
    <w:rsid w:val="00BB1C42"/>
    <w:rsid w:val="00C0337B"/>
    <w:rsid w:val="00C100AF"/>
    <w:rsid w:val="00C27B58"/>
    <w:rsid w:val="00C51D5C"/>
    <w:rsid w:val="00C55EF2"/>
    <w:rsid w:val="00CB477C"/>
    <w:rsid w:val="00CB697C"/>
    <w:rsid w:val="00CD7C4B"/>
    <w:rsid w:val="00D006A9"/>
    <w:rsid w:val="00D20FD4"/>
    <w:rsid w:val="00D45C4D"/>
    <w:rsid w:val="00D6339B"/>
    <w:rsid w:val="00D76FE8"/>
    <w:rsid w:val="00DC0628"/>
    <w:rsid w:val="00DC0F88"/>
    <w:rsid w:val="00E1360E"/>
    <w:rsid w:val="00E27B62"/>
    <w:rsid w:val="00E35DE9"/>
    <w:rsid w:val="00E86EBE"/>
    <w:rsid w:val="00EC108E"/>
    <w:rsid w:val="00ED6520"/>
    <w:rsid w:val="00EF566C"/>
    <w:rsid w:val="00F35C5F"/>
    <w:rsid w:val="00F415C0"/>
    <w:rsid w:val="00F62D23"/>
    <w:rsid w:val="00FD3F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704F9E"/>
  <w15:docId w15:val="{D28F441A-6BAC-4CF5-A8D9-F0A2E6FB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462"/>
    <w:pPr>
      <w:jc w:val="both"/>
    </w:pPr>
    <w:rPr>
      <w:sz w:val="22"/>
      <w:szCs w:val="22"/>
      <w:lang w:val="en-CA" w:eastAsia="ar-EG"/>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C0337B"/>
    <w:rPr>
      <w:vertAlign w:val="superscript"/>
    </w:rPr>
  </w:style>
  <w:style w:type="paragraph" w:styleId="Revision">
    <w:name w:val="Revision"/>
    <w:hidden/>
    <w:uiPriority w:val="99"/>
    <w:semiHidden/>
    <w:rsid w:val="00B3695F"/>
    <w:rPr>
      <w:sz w:val="22"/>
      <w:szCs w:val="22"/>
      <w:lang w:val="en-CA" w:eastAsia="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A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0B75B83C8C5D4799D075575CC33ABC" ma:contentTypeVersion="5" ma:contentTypeDescription="Create a new document." ma:contentTypeScope="" ma:versionID="c2a8fbba443fb9ab0c5cab8ac842c96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6b03d5a6-c642-4a08-93b6-965b66bfac2e">UNEP/OzL.Pro/ExCom/94/59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5FDB1D05-CFE0-459A-8BFC-A0FE74A72801}"/>
</file>

<file path=customXml/itemProps2.xml><?xml version="1.0" encoding="utf-8"?>
<ds:datastoreItem xmlns:ds="http://schemas.openxmlformats.org/officeDocument/2006/customXml" ds:itemID="{E3DF69B9-4A18-451B-B0A6-67E25A5A045D}"/>
</file>

<file path=customXml/itemProps3.xml><?xml version="1.0" encoding="utf-8"?>
<ds:datastoreItem xmlns:ds="http://schemas.openxmlformats.org/officeDocument/2006/customXml" ds:itemID="{9BBF1351-FAC0-4470-99D0-522C5D972BB9}"/>
</file>

<file path=docProps/app.xml><?xml version="1.0" encoding="utf-8"?>
<Properties xmlns="http://schemas.openxmlformats.org/officeDocument/2006/extended-properties" xmlns:vt="http://schemas.openxmlformats.org/officeDocument/2006/docPropsVTypes">
  <Template>A94-template</Template>
  <TotalTime>64</TotalTime>
  <Pages>5</Pages>
  <Words>1791</Words>
  <Characters>9715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تحليل آثار المقرر 62/17 على تنفيذ خطة إدارة إزالة المواد الهيدروكلوروفلوروكربونية (المقرر 93/105(أ))</vt:lpstr>
    </vt:vector>
  </TitlesOfParts>
  <Company>UNMFS</Company>
  <LinksUpToDate>false</LinksUpToDate>
  <CharactersWithSpaces>11484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آثار المقرر 62/17 على تنفيذ خطة إدارة إزالة المواد الهيدروكلوروفلوروكربونية (المقرر 93/105(أ))                                                                                              .</dc:title>
  <cp:lastModifiedBy>Angela Xue He Yan</cp:lastModifiedBy>
  <cp:revision>58</cp:revision>
  <cp:lastPrinted>2024-05-07T13:55:00Z</cp:lastPrinted>
  <dcterms:created xsi:type="dcterms:W3CDTF">2024-05-02T17:45:00Z</dcterms:created>
  <dcterms:modified xsi:type="dcterms:W3CDTF">2024-05-07T13:55:00Z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UNEP/OzL.Pro/ExCom/94/59</vt:lpwstr>
  </property>
  <property fmtid="{D5CDD505-2E9C-101B-9397-08002B2CF9AE}" pid="3" name="Revision date">
    <vt:lpwstr>7 May 2024</vt:lpwstr>
  </property>
  <property fmtid="{D5CDD505-2E9C-101B-9397-08002B2CF9AE}" pid="4" name="ContentTypeId">
    <vt:lpwstr>0x010100050B75B83C8C5D4799D075575CC33ABC</vt:lpwstr>
  </property>
  <property fmtid="{D5CDD505-2E9C-101B-9397-08002B2CF9AE}" pid="5" name="Order">
    <vt:r8>147400</vt:r8>
  </property>
  <property fmtid="{D5CDD505-2E9C-101B-9397-08002B2CF9AE}" pid="6" name="MediaServiceImageTags">
    <vt:lpwstr/>
  </property>
</Properties>
</file>